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A2" w:rsidRPr="00E80649" w:rsidRDefault="00024A97" w:rsidP="008C1F0A">
      <w:pPr>
        <w:pStyle w:val="Covertitle1108pt"/>
        <w:spacing w:before="1080" w:line="1020" w:lineRule="exact"/>
        <w:ind w:left="1134"/>
        <w:rPr>
          <w:sz w:val="96"/>
          <w:szCs w:val="96"/>
        </w:rPr>
      </w:pPr>
      <w:r w:rsidRPr="00E80649">
        <w:rPr>
          <w:sz w:val="96"/>
          <w:szCs w:val="96"/>
        </w:rPr>
        <w:t>National Environmental Biosecurity Response Agreement</w:t>
      </w:r>
    </w:p>
    <w:p w:rsidR="009633A2" w:rsidRPr="00E80649" w:rsidRDefault="009633A2" w:rsidP="00CB7EE2">
      <w:pPr>
        <w:ind w:left="1134"/>
        <w:rPr>
          <w:b/>
          <w:color w:val="FFFFFF" w:themeColor="background1"/>
        </w:rPr>
      </w:pPr>
    </w:p>
    <w:p w:rsidR="009633A2" w:rsidRPr="00E80649" w:rsidRDefault="00024A97" w:rsidP="00CB7EE2">
      <w:pPr>
        <w:pStyle w:val="Covertitle216ptB"/>
        <w:ind w:left="1134"/>
        <w:rPr>
          <w:b w:val="0"/>
          <w:sz w:val="36"/>
        </w:rPr>
      </w:pPr>
      <w:r w:rsidRPr="00E80649">
        <w:rPr>
          <w:b w:val="0"/>
          <w:sz w:val="36"/>
        </w:rPr>
        <w:t>Five Year Review</w:t>
      </w:r>
    </w:p>
    <w:p w:rsidR="00024A97" w:rsidRPr="00E80649" w:rsidRDefault="00024A97" w:rsidP="00CB7EE2">
      <w:pPr>
        <w:pStyle w:val="Covertitle216ptB"/>
        <w:ind w:left="1134"/>
        <w:rPr>
          <w:b w:val="0"/>
        </w:rPr>
      </w:pPr>
    </w:p>
    <w:p w:rsidR="00024A97" w:rsidRPr="00E80649" w:rsidRDefault="004F253C" w:rsidP="00CB7EE2">
      <w:pPr>
        <w:pStyle w:val="Covertitle216ptB"/>
        <w:ind w:left="1134"/>
        <w:rPr>
          <w:b w:val="0"/>
          <w:sz w:val="24"/>
          <w:szCs w:val="24"/>
        </w:rPr>
      </w:pPr>
      <w:r>
        <w:rPr>
          <w:b w:val="0"/>
          <w:sz w:val="24"/>
          <w:szCs w:val="24"/>
        </w:rPr>
        <w:t>Final</w:t>
      </w:r>
      <w:r w:rsidRPr="00E80649">
        <w:rPr>
          <w:b w:val="0"/>
          <w:sz w:val="24"/>
          <w:szCs w:val="24"/>
        </w:rPr>
        <w:t xml:space="preserve"> </w:t>
      </w:r>
      <w:r w:rsidR="00024A97" w:rsidRPr="00E80649">
        <w:rPr>
          <w:b w:val="0"/>
          <w:sz w:val="24"/>
          <w:szCs w:val="24"/>
        </w:rPr>
        <w:t xml:space="preserve">Report – </w:t>
      </w:r>
      <w:r>
        <w:rPr>
          <w:b w:val="0"/>
          <w:sz w:val="24"/>
          <w:szCs w:val="24"/>
        </w:rPr>
        <w:t>May</w:t>
      </w:r>
      <w:r w:rsidRPr="00E80649">
        <w:rPr>
          <w:b w:val="0"/>
          <w:sz w:val="24"/>
          <w:szCs w:val="24"/>
        </w:rPr>
        <w:t xml:space="preserve"> </w:t>
      </w:r>
      <w:r w:rsidR="00024A97" w:rsidRPr="00E80649">
        <w:rPr>
          <w:b w:val="0"/>
          <w:sz w:val="24"/>
          <w:szCs w:val="24"/>
        </w:rPr>
        <w:t>2017</w:t>
      </w:r>
    </w:p>
    <w:p w:rsidR="009633A2" w:rsidRDefault="009633A2" w:rsidP="009633A2">
      <w:pPr>
        <w:sectPr w:rsidR="009633A2" w:rsidSect="00CB7EE2">
          <w:headerReference w:type="default" r:id="rId12"/>
          <w:pgSz w:w="16838" w:h="11906" w:orient="landscape"/>
          <w:pgMar w:top="1418" w:right="1418" w:bottom="1418" w:left="1418" w:header="709" w:footer="709" w:gutter="0"/>
          <w:cols w:space="708"/>
          <w:docGrid w:linePitch="360"/>
        </w:sectPr>
      </w:pPr>
    </w:p>
    <w:p w:rsidR="00074698" w:rsidRDefault="00074698" w:rsidP="00074698">
      <w:pPr>
        <w:sectPr w:rsidR="00074698" w:rsidSect="00074698">
          <w:headerReference w:type="default" r:id="rId13"/>
          <w:footerReference w:type="default" r:id="rId14"/>
          <w:pgSz w:w="16838" w:h="11906" w:orient="landscape"/>
          <w:pgMar w:top="1418" w:right="1418" w:bottom="1418" w:left="1418" w:header="709" w:footer="454" w:gutter="0"/>
          <w:pgNumType w:fmt="lowerRoman" w:start="1"/>
          <w:cols w:space="708"/>
          <w:docGrid w:linePitch="360"/>
        </w:sectPr>
      </w:pPr>
      <w:r w:rsidRPr="00074698">
        <w:rPr>
          <w:b/>
          <w:noProof/>
          <w:sz w:val="28"/>
          <w:lang w:eastAsia="en-AU"/>
        </w:rPr>
        <w:lastRenderedPageBreak/>
        <mc:AlternateContent>
          <mc:Choice Requires="wps">
            <w:drawing>
              <wp:anchor distT="45720" distB="45720" distL="114300" distR="114300" simplePos="0" relativeHeight="251660288" behindDoc="0" locked="0" layoutInCell="1" allowOverlap="1" wp14:anchorId="5677C601" wp14:editId="4BF40B20">
                <wp:simplePos x="0" y="0"/>
                <wp:positionH relativeFrom="margin">
                  <wp:align>left</wp:align>
                </wp:positionH>
                <wp:positionV relativeFrom="paragraph">
                  <wp:posOffset>0</wp:posOffset>
                </wp:positionV>
                <wp:extent cx="881062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1404620"/>
                        </a:xfrm>
                        <a:prstGeom prst="rect">
                          <a:avLst/>
                        </a:prstGeom>
                        <a:solidFill>
                          <a:srgbClr val="FFFFFF"/>
                        </a:solidFill>
                        <a:ln w="9525">
                          <a:solidFill>
                            <a:srgbClr val="000000"/>
                          </a:solidFill>
                          <a:miter lim="800000"/>
                          <a:headEnd/>
                          <a:tailEnd/>
                        </a:ln>
                      </wps:spPr>
                      <wps:txbx>
                        <w:txbxContent>
                          <w:p w:rsidR="00812D31" w:rsidRPr="00074698" w:rsidRDefault="00812D31" w:rsidP="00074698">
                            <w:pPr>
                              <w:rPr>
                                <w:b/>
                                <w:sz w:val="28"/>
                              </w:rPr>
                            </w:pPr>
                            <w:r w:rsidRPr="00074698">
                              <w:rPr>
                                <w:b/>
                                <w:sz w:val="28"/>
                              </w:rPr>
                              <w:t>Disclaimer</w:t>
                            </w:r>
                          </w:p>
                          <w:p w:rsidR="00812D31" w:rsidRPr="00DB3600" w:rsidRDefault="00812D31" w:rsidP="00DB3600">
                            <w:pPr>
                              <w:rPr>
                                <w:b/>
                              </w:rPr>
                            </w:pPr>
                            <w:r w:rsidRPr="00DB3600">
                              <w:rPr>
                                <w:b/>
                              </w:rPr>
                              <w:t>Inherent Limitations</w:t>
                            </w:r>
                          </w:p>
                          <w:p w:rsidR="00812D31" w:rsidRDefault="00812D31" w:rsidP="00974BD3">
                            <w:r w:rsidRPr="00974BD3">
                              <w:t>This report has been prepared as outlined in the Terms of Reference and Approach sections. 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w:t>
                            </w:r>
                          </w:p>
                          <w:p w:rsidR="00812D31" w:rsidRDefault="00812D31" w:rsidP="00974BD3">
                            <w:r w:rsidRPr="00974BD3">
                              <w:t xml:space="preserve">The findings in this report are based on consultation with key stakeholders and analysis of available data and information provided to KPMG by the Department of Agriculture and Water Resources (DAWR) and the </w:t>
                            </w:r>
                            <w:r>
                              <w:t>S</w:t>
                            </w:r>
                            <w:r w:rsidRPr="00974BD3">
                              <w:t xml:space="preserve">tate and </w:t>
                            </w:r>
                            <w:r>
                              <w:t>T</w:t>
                            </w:r>
                            <w:r w:rsidRPr="00974BD3">
                              <w:t xml:space="preserve">erritory </w:t>
                            </w:r>
                            <w:r>
                              <w:t>biosecurity agencies</w:t>
                            </w:r>
                            <w:r w:rsidRPr="00974BD3">
                              <w:t>.</w:t>
                            </w:r>
                          </w:p>
                          <w:p w:rsidR="00812D31" w:rsidRDefault="00812D31" w:rsidP="00974BD3">
                            <w:r w:rsidRPr="00974BD3">
                              <w:t>No warranty of completeness, accuracy or reliability is given in relation to the statements and representations made by, and the information and documentation provided by DAWR</w:t>
                            </w:r>
                            <w:r>
                              <w:t xml:space="preserve">, </w:t>
                            </w:r>
                            <w:r w:rsidRPr="00974BD3">
                              <w:t xml:space="preserve">the </w:t>
                            </w:r>
                            <w:r>
                              <w:t>S</w:t>
                            </w:r>
                            <w:r w:rsidRPr="00974BD3">
                              <w:t xml:space="preserve">tate and </w:t>
                            </w:r>
                            <w:r>
                              <w:t>T</w:t>
                            </w:r>
                            <w:r w:rsidRPr="00974BD3">
                              <w:t xml:space="preserve">erritory </w:t>
                            </w:r>
                            <w:r>
                              <w:t>biosecurity agencies,</w:t>
                            </w:r>
                            <w:r w:rsidRPr="00974BD3">
                              <w:t xml:space="preserve"> and stakeholders consulted as part of the process.</w:t>
                            </w:r>
                          </w:p>
                          <w:p w:rsidR="00812D31" w:rsidRDefault="00812D31" w:rsidP="00974BD3">
                            <w:r w:rsidRPr="00974BD3">
                              <w:t xml:space="preserve">KPMG has indicated within this report the sources of the information provided. We have not sought to independently verify those sources unless otherwise noted within the report. Accordingly, KPMG can accept no responsibility for any errors or omissions in the information shown in this report where it is based upon that information provided. </w:t>
                            </w:r>
                          </w:p>
                          <w:p w:rsidR="00812D31" w:rsidRDefault="00812D31" w:rsidP="00974BD3">
                            <w:r w:rsidRPr="00974BD3">
                              <w:t>KPMG is under no obligation in any circumstance to update this report, in either oral or written form, for events occurring after the report has been issued in final form.</w:t>
                            </w:r>
                          </w:p>
                          <w:p w:rsidR="00812D31" w:rsidRDefault="00812D31" w:rsidP="00974BD3">
                            <w:r w:rsidRPr="00974BD3">
                              <w:t>The findings in this report have been formed on the above basis.</w:t>
                            </w:r>
                          </w:p>
                          <w:p w:rsidR="00812D31" w:rsidRPr="00974BD3" w:rsidRDefault="00812D31" w:rsidP="00974BD3">
                            <w:pPr>
                              <w:rPr>
                                <w:b/>
                              </w:rPr>
                            </w:pPr>
                            <w:r w:rsidRPr="00974BD3">
                              <w:rPr>
                                <w:b/>
                              </w:rPr>
                              <w:t>Third Party Reliance</w:t>
                            </w:r>
                          </w:p>
                          <w:p w:rsidR="00812D31" w:rsidRDefault="00812D31" w:rsidP="00DB3600">
                            <w:r w:rsidRPr="0056267B">
                              <w:t>This report is solely for the purpose set out in the Background section and for the information of the Australian Commonwealth and the State and Territory biosecurity agencies, and is not to be used for any other purpose.</w:t>
                            </w:r>
                          </w:p>
                          <w:p w:rsidR="00812D31" w:rsidRDefault="00812D31" w:rsidP="00DB3600">
                            <w:r w:rsidRPr="00974BD3">
                              <w:t xml:space="preserve">This report has been prepared at the request of </w:t>
                            </w:r>
                            <w:r>
                              <w:t>DAWR</w:t>
                            </w:r>
                            <w:r w:rsidRPr="00974BD3">
                              <w:t xml:space="preserve"> (on behalf of the </w:t>
                            </w:r>
                            <w:r>
                              <w:t>NEBRA Administration Group</w:t>
                            </w:r>
                            <w:r w:rsidRPr="00974BD3">
                              <w:t xml:space="preserve">) in accordance with the terms of the contract </w:t>
                            </w:r>
                            <w:r>
                              <w:t>dated 6 December</w:t>
                            </w:r>
                            <w:r w:rsidRPr="00974BD3">
                              <w:t xml:space="preserve"> 2016. Other than our responsibility to the </w:t>
                            </w:r>
                            <w:r>
                              <w:t>Commonwealth and State and Territory biosecurity agencies</w:t>
                            </w:r>
                            <w:r w:rsidRPr="00974BD3">
                              <w:t>, neither KPMG nor any member or employee of KPMG undertakes responsibility arising in any way from reliance placed by a third party on this report. Any reliance placed is that party’s sole responsibility.</w:t>
                            </w:r>
                          </w:p>
                          <w:p w:rsidR="00812D31" w:rsidRPr="00812D31" w:rsidRDefault="00812D31">
                            <w:pPr>
                              <w:rPr>
                                <w:b/>
                              </w:rPr>
                            </w:pPr>
                            <w:r w:rsidRPr="00812D31">
                              <w:rPr>
                                <w:b/>
                              </w:rPr>
                              <w:t>Accessibility</w:t>
                            </w:r>
                          </w:p>
                          <w:p w:rsidR="00812D31" w:rsidRDefault="00812D31">
                            <w:r w:rsidRPr="00812D31">
                              <w:t>To comply with the Commonwealth Government’s accessibility requirements for publishing on the internet, two versions of this Report are available: a KPMG-branded PDF version and an unbranded Microsoft Word version. The KPMG-branded PDF version of this Report remains the definitive version of this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7C601" id="_x0000_t202" coordsize="21600,21600" o:spt="202" path="m,l,21600r21600,l21600,xe">
                <v:stroke joinstyle="miter"/>
                <v:path gradientshapeok="t" o:connecttype="rect"/>
              </v:shapetype>
              <v:shape id="Text Box 2" o:spid="_x0000_s1026" type="#_x0000_t202" style="position:absolute;margin-left:0;margin-top:0;width:693.7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">
                <v:textbox style="mso-fit-shape-to-text:t">
                  <w:txbxContent>
                    <w:p w:rsidR="00812D31" w:rsidRPr="00074698" w:rsidRDefault="00812D31" w:rsidP="00074698">
                      <w:pPr>
                        <w:rPr>
                          <w:b/>
                          <w:sz w:val="28"/>
                        </w:rPr>
                      </w:pPr>
                      <w:r w:rsidRPr="00074698">
                        <w:rPr>
                          <w:b/>
                          <w:sz w:val="28"/>
                        </w:rPr>
                        <w:t>Disclaimer</w:t>
                      </w:r>
                    </w:p>
                    <w:p w:rsidR="00812D31" w:rsidRPr="00DB3600" w:rsidRDefault="00812D31" w:rsidP="00DB3600">
                      <w:pPr>
                        <w:rPr>
                          <w:b/>
                        </w:rPr>
                      </w:pPr>
                      <w:r w:rsidRPr="00DB3600">
                        <w:rPr>
                          <w:b/>
                        </w:rPr>
                        <w:t>Inherent Limitations</w:t>
                      </w:r>
                    </w:p>
                    <w:p w:rsidR="00812D31" w:rsidRDefault="00812D31" w:rsidP="00974BD3">
                      <w:r w:rsidRPr="00974BD3">
                        <w:t>This report has been prepared as outlined in the Terms of Reference and Approach sections. 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w:t>
                      </w:r>
                    </w:p>
                    <w:p w:rsidR="00812D31" w:rsidRDefault="00812D31" w:rsidP="00974BD3">
                      <w:r w:rsidRPr="00974BD3">
                        <w:t xml:space="preserve">The findings in this report are based on consultation with key stakeholders and analysis of available data and information provided to KPMG by the Department of Agriculture and Water Resources (DAWR) and the </w:t>
                      </w:r>
                      <w:r>
                        <w:t>S</w:t>
                      </w:r>
                      <w:r w:rsidRPr="00974BD3">
                        <w:t xml:space="preserve">tate and </w:t>
                      </w:r>
                      <w:r>
                        <w:t>T</w:t>
                      </w:r>
                      <w:r w:rsidRPr="00974BD3">
                        <w:t xml:space="preserve">erritory </w:t>
                      </w:r>
                      <w:r>
                        <w:t>biosecurity agencies</w:t>
                      </w:r>
                      <w:r w:rsidRPr="00974BD3">
                        <w:t>.</w:t>
                      </w:r>
                    </w:p>
                    <w:p w:rsidR="00812D31" w:rsidRDefault="00812D31" w:rsidP="00974BD3">
                      <w:r w:rsidRPr="00974BD3">
                        <w:t>No warranty of completeness, accuracy or reliability is given in relation to the statements and representations made by, and the information and documentation provided by DAWR</w:t>
                      </w:r>
                      <w:r>
                        <w:t xml:space="preserve">, </w:t>
                      </w:r>
                      <w:r w:rsidRPr="00974BD3">
                        <w:t xml:space="preserve">the </w:t>
                      </w:r>
                      <w:r>
                        <w:t>S</w:t>
                      </w:r>
                      <w:r w:rsidRPr="00974BD3">
                        <w:t xml:space="preserve">tate and </w:t>
                      </w:r>
                      <w:r>
                        <w:t>T</w:t>
                      </w:r>
                      <w:r w:rsidRPr="00974BD3">
                        <w:t xml:space="preserve">erritory </w:t>
                      </w:r>
                      <w:r>
                        <w:t>biosecurity agencies,</w:t>
                      </w:r>
                      <w:r w:rsidRPr="00974BD3">
                        <w:t xml:space="preserve"> and stakeholders consulted as part of the process.</w:t>
                      </w:r>
                    </w:p>
                    <w:p w:rsidR="00812D31" w:rsidRDefault="00812D31" w:rsidP="00974BD3">
                      <w:r w:rsidRPr="00974BD3">
                        <w:t xml:space="preserve">KPMG has indicated within this report the sources of the information provided. We have not sought to independently verify those sources unless otherwise noted within the report. Accordingly, KPMG can accept no responsibility for any errors or omissions in the information shown in this report where it is based upon that information provided. </w:t>
                      </w:r>
                    </w:p>
                    <w:p w:rsidR="00812D31" w:rsidRDefault="00812D31" w:rsidP="00974BD3">
                      <w:r w:rsidRPr="00974BD3">
                        <w:t>KPMG is under no obligation in any circumstance to update this report, in either oral or written form, for events occurring after the report has been issued in final form.</w:t>
                      </w:r>
                    </w:p>
                    <w:p w:rsidR="00812D31" w:rsidRDefault="00812D31" w:rsidP="00974BD3">
                      <w:r w:rsidRPr="00974BD3">
                        <w:t>The findings in this report have been formed on the above basis.</w:t>
                      </w:r>
                    </w:p>
                    <w:p w:rsidR="00812D31" w:rsidRPr="00974BD3" w:rsidRDefault="00812D31" w:rsidP="00974BD3">
                      <w:pPr>
                        <w:rPr>
                          <w:b/>
                        </w:rPr>
                      </w:pPr>
                      <w:r w:rsidRPr="00974BD3">
                        <w:rPr>
                          <w:b/>
                        </w:rPr>
                        <w:t>Third Party Reliance</w:t>
                      </w:r>
                    </w:p>
                    <w:p w:rsidR="00812D31" w:rsidRDefault="00812D31" w:rsidP="00DB3600">
                      <w:r w:rsidRPr="0056267B">
                        <w:t>This report is solely for the purpose set out in the Background section and for the information of the Australian Commonwealth and the State and Territory biosecurity agencies, and is not to be used for any other purpose.</w:t>
                      </w:r>
                    </w:p>
                    <w:p w:rsidR="00812D31" w:rsidRDefault="00812D31" w:rsidP="00DB3600">
                      <w:r w:rsidRPr="00974BD3">
                        <w:t xml:space="preserve">This report has been prepared at the request of </w:t>
                      </w:r>
                      <w:r>
                        <w:t>DAWR</w:t>
                      </w:r>
                      <w:r w:rsidRPr="00974BD3">
                        <w:t xml:space="preserve"> (on behalf of the </w:t>
                      </w:r>
                      <w:r>
                        <w:t>NEBRA Administration Group</w:t>
                      </w:r>
                      <w:r w:rsidRPr="00974BD3">
                        <w:t xml:space="preserve">) in accordance with the terms of the contract </w:t>
                      </w:r>
                      <w:r>
                        <w:t>dated 6 December</w:t>
                      </w:r>
                      <w:r w:rsidRPr="00974BD3">
                        <w:t xml:space="preserve"> 2016. Other than our responsibility to the </w:t>
                      </w:r>
                      <w:r>
                        <w:t>Commonwealth and State and Territory biosecurity agencies</w:t>
                      </w:r>
                      <w:r w:rsidRPr="00974BD3">
                        <w:t>, neither KPMG nor any member or employee of KPMG undertakes responsibility arising in any way from reliance placed by a third party on this report. Any reliance placed is that party’s sole responsibility.</w:t>
                      </w:r>
                    </w:p>
                    <w:p w:rsidR="00812D31" w:rsidRPr="00812D31" w:rsidRDefault="00812D31">
                      <w:pPr>
                        <w:rPr>
                          <w:b/>
                        </w:rPr>
                      </w:pPr>
                      <w:r w:rsidRPr="00812D31">
                        <w:rPr>
                          <w:b/>
                        </w:rPr>
                        <w:t>Accessibility</w:t>
                      </w:r>
                    </w:p>
                    <w:p w:rsidR="00812D31" w:rsidRDefault="00812D31">
                      <w:r w:rsidRPr="00812D31">
                        <w:t>To comply with the Commonwealth Government’s accessibility requirements for publishing on the internet, two versions of this Report are available: a KPMG-branded PDF version and an unbranded Microsoft Word version. The KPMG-branded PDF version of this Report remains the definitive version of this Report.</w:t>
                      </w:r>
                    </w:p>
                  </w:txbxContent>
                </v:textbox>
                <w10:wrap type="square" anchorx="margin"/>
              </v:shape>
            </w:pict>
          </mc:Fallback>
        </mc:AlternateContent>
      </w:r>
    </w:p>
    <w:p w:rsidR="009633A2" w:rsidRDefault="004A3F32" w:rsidP="0056267B">
      <w:pPr>
        <w:pStyle w:val="HeadingLevel1NoNumber"/>
        <w:spacing w:before="0" w:after="120"/>
      </w:pPr>
      <w:bookmarkStart w:id="0" w:name="_Toc483482602"/>
      <w:r>
        <w:lastRenderedPageBreak/>
        <w:t>Executive summary</w:t>
      </w:r>
      <w:bookmarkEnd w:id="0"/>
    </w:p>
    <w:p w:rsidR="00303CC6" w:rsidRPr="00EA1AF6" w:rsidRDefault="00303CC6" w:rsidP="00D60C96">
      <w:pPr>
        <w:rPr>
          <w:b/>
        </w:rPr>
      </w:pPr>
      <w:r w:rsidRPr="00303CC6">
        <w:rPr>
          <w:b/>
        </w:rPr>
        <w:t>Background</w:t>
      </w:r>
      <w:r w:rsidRPr="00EA1AF6">
        <w:rPr>
          <w:b/>
        </w:rPr>
        <w:t xml:space="preserve"> and Purpose of </w:t>
      </w:r>
      <w:r w:rsidR="00CC04BA">
        <w:rPr>
          <w:b/>
        </w:rPr>
        <w:t>t</w:t>
      </w:r>
      <w:r w:rsidR="00CC04BA" w:rsidRPr="00EA1AF6">
        <w:rPr>
          <w:b/>
        </w:rPr>
        <w:t xml:space="preserve">his </w:t>
      </w:r>
      <w:r w:rsidRPr="00EA1AF6">
        <w:rPr>
          <w:b/>
        </w:rPr>
        <w:t>Report</w:t>
      </w:r>
    </w:p>
    <w:p w:rsidR="00A163B0" w:rsidRDefault="00683A12" w:rsidP="00D60C96">
      <w:r>
        <w:t xml:space="preserve">The </w:t>
      </w:r>
      <w:r w:rsidR="00D60C96">
        <w:t>responsibility</w:t>
      </w:r>
      <w:r>
        <w:t xml:space="preserve"> to protect Australia from potentially damaging incursions of diseases </w:t>
      </w:r>
      <w:r w:rsidR="00F9323C">
        <w:t>and</w:t>
      </w:r>
      <w:r>
        <w:t xml:space="preserve"> pests</w:t>
      </w:r>
      <w:r w:rsidR="00D60C96">
        <w:t xml:space="preserve"> is shared between Commonwealth and State and Territory jurisdictions</w:t>
      </w:r>
      <w:r w:rsidR="00F9323C">
        <w:t>.  Shared responsibility between governments is formalised through the Intergovernmental Agreement on Biosecurity (IGAB).</w:t>
      </w:r>
      <w:r w:rsidR="00A163B0">
        <w:t xml:space="preserve"> </w:t>
      </w:r>
      <w:r w:rsidR="00F9323C">
        <w:t xml:space="preserve"> Arrangements for national responses to biosecurity incidents</w:t>
      </w:r>
      <w:r w:rsidR="00D60C96">
        <w:t xml:space="preserve"> </w:t>
      </w:r>
      <w:r w:rsidR="00F9323C">
        <w:t>are</w:t>
      </w:r>
      <w:r w:rsidR="00D60C96">
        <w:t xml:space="preserve"> </w:t>
      </w:r>
      <w:r w:rsidR="00F9323C">
        <w:t>established</w:t>
      </w:r>
      <w:r w:rsidR="00D60C96">
        <w:t xml:space="preserve"> by </w:t>
      </w:r>
      <w:r w:rsidR="00F9323C">
        <w:t>inter-jurisdictional</w:t>
      </w:r>
      <w:r w:rsidR="00D60C96">
        <w:t xml:space="preserve"> agreement</w:t>
      </w:r>
      <w:r w:rsidR="00A163B0">
        <w:t>s</w:t>
      </w:r>
      <w:r w:rsidR="00D60C96">
        <w:t>, including the National Environmental Biosecurity Response Agreement (NEBRA)</w:t>
      </w:r>
      <w:r w:rsidR="00F9323C">
        <w:t xml:space="preserve"> which </w:t>
      </w:r>
      <w:r w:rsidR="00F9323C" w:rsidRPr="00F9323C">
        <w:t>sets out a framework for responding to national biosecurity incidents where there are predominantly public</w:t>
      </w:r>
      <w:r w:rsidR="005D134D">
        <w:t>, rather than private</w:t>
      </w:r>
      <w:r w:rsidR="00F9323C" w:rsidRPr="00F9323C">
        <w:t xml:space="preserve"> benefits</w:t>
      </w:r>
      <w:r w:rsidR="00D60C96">
        <w:t xml:space="preserve">. </w:t>
      </w:r>
    </w:p>
    <w:p w:rsidR="00D60C96" w:rsidRDefault="00D60C96" w:rsidP="00D60C96">
      <w:r>
        <w:t xml:space="preserve">KPMG </w:t>
      </w:r>
      <w:r w:rsidR="00F9323C">
        <w:t>have been</w:t>
      </w:r>
      <w:r>
        <w:t xml:space="preserve"> engaged </w:t>
      </w:r>
      <w:r w:rsidR="005D134D">
        <w:t xml:space="preserve">to consult with government and non-government stakeholders nationally to support the review </w:t>
      </w:r>
      <w:r w:rsidR="003D122A">
        <w:t>of NEBRA.</w:t>
      </w:r>
      <w:r w:rsidR="00735DC4">
        <w:rPr>
          <w:rStyle w:val="FootnoteReference"/>
        </w:rPr>
        <w:footnoteReference w:id="1"/>
      </w:r>
    </w:p>
    <w:p w:rsidR="00D60C96" w:rsidRDefault="00D60C96" w:rsidP="00D60C96">
      <w:r>
        <w:t xml:space="preserve">Submissions were invited from interested parties, and </w:t>
      </w:r>
      <w:r w:rsidR="00BF0AC1">
        <w:t>face-to-</w:t>
      </w:r>
      <w:r>
        <w:t xml:space="preserve">face consultations occurred across every jurisdiction. </w:t>
      </w:r>
      <w:r w:rsidR="006A44E9">
        <w:t xml:space="preserve"> </w:t>
      </w:r>
      <w:r>
        <w:t>Non-government stakeholders range</w:t>
      </w:r>
      <w:r w:rsidR="00683A12">
        <w:t>d</w:t>
      </w:r>
      <w:r>
        <w:t xml:space="preserve"> from large advocacy groups representing industry and the community</w:t>
      </w:r>
      <w:r w:rsidR="002F1D34">
        <w:t xml:space="preserve"> </w:t>
      </w:r>
      <w:r>
        <w:t>through to single issue, small</w:t>
      </w:r>
      <w:r w:rsidR="002F1D34">
        <w:t xml:space="preserve"> membership environmental</w:t>
      </w:r>
      <w:r>
        <w:t xml:space="preserve"> groups</w:t>
      </w:r>
      <w:r w:rsidR="002F1D34">
        <w:t xml:space="preserve"> acting in their local area</w:t>
      </w:r>
      <w:r>
        <w:t>.</w:t>
      </w:r>
    </w:p>
    <w:p w:rsidR="002F1D34" w:rsidRDefault="00D60C96" w:rsidP="00D65A2D">
      <w:pPr>
        <w:pStyle w:val="BodyText"/>
      </w:pPr>
      <w:r>
        <w:t xml:space="preserve">The views presented </w:t>
      </w:r>
      <w:r w:rsidR="002F1D34">
        <w:t>were</w:t>
      </w:r>
      <w:r>
        <w:t xml:space="preserve"> as diverse as the stakeholders.</w:t>
      </w:r>
      <w:r w:rsidR="002F1D34">
        <w:t xml:space="preserve"> </w:t>
      </w:r>
      <w:r w:rsidR="006A44E9">
        <w:t xml:space="preserve"> Many non-government stakeholders had limited awareness of NEBRA</w:t>
      </w:r>
      <w:r w:rsidR="003D122A">
        <w:t xml:space="preserve"> but had useful perspectives on environmental biosecurity</w:t>
      </w:r>
      <w:r w:rsidR="006A44E9">
        <w:t>.</w:t>
      </w:r>
    </w:p>
    <w:p w:rsidR="002F1D34" w:rsidRDefault="002F1D34" w:rsidP="00D65A2D">
      <w:pPr>
        <w:pStyle w:val="BodyText"/>
      </w:pPr>
      <w:r>
        <w:t xml:space="preserve">While there have been some positive achievements from the application of NEBRA, </w:t>
      </w:r>
      <w:r w:rsidR="003D122A">
        <w:t>stakeholders have identified</w:t>
      </w:r>
      <w:r>
        <w:t xml:space="preserve"> </w:t>
      </w:r>
      <w:r w:rsidR="00BF0AC1">
        <w:t xml:space="preserve">practical </w:t>
      </w:r>
      <w:r>
        <w:t xml:space="preserve">challenges with its </w:t>
      </w:r>
      <w:r w:rsidR="00BF0AC1">
        <w:t xml:space="preserve">day-to-day </w:t>
      </w:r>
      <w:r>
        <w:t xml:space="preserve">operation. </w:t>
      </w:r>
      <w:r w:rsidR="006A44E9">
        <w:t xml:space="preserve"> </w:t>
      </w:r>
      <w:r>
        <w:t xml:space="preserve">This report highlights </w:t>
      </w:r>
      <w:r w:rsidR="00BF0AC1">
        <w:t xml:space="preserve">the key </w:t>
      </w:r>
      <w:r w:rsidR="00A163B0">
        <w:t>challenges</w:t>
      </w:r>
      <w:r>
        <w:t>, recommending potential improvements to the agreement in order to address them.</w:t>
      </w:r>
    </w:p>
    <w:p w:rsidR="00303CC6" w:rsidRDefault="00C6597F" w:rsidP="00EA1AF6">
      <w:pPr>
        <w:rPr>
          <w:b/>
        </w:rPr>
      </w:pPr>
      <w:r>
        <w:rPr>
          <w:b/>
        </w:rPr>
        <w:br w:type="column"/>
      </w:r>
      <w:r w:rsidR="00303CC6" w:rsidRPr="00EA1AF6">
        <w:rPr>
          <w:b/>
        </w:rPr>
        <w:t>Key Observations</w:t>
      </w:r>
    </w:p>
    <w:p w:rsidR="0056267B" w:rsidRPr="00EA1AF6" w:rsidRDefault="0056267B" w:rsidP="0056267B">
      <w:pPr>
        <w:pStyle w:val="Heading6"/>
      </w:pPr>
      <w:r>
        <w:t>Biosecurity leadership</w:t>
      </w:r>
    </w:p>
    <w:p w:rsidR="00A163B0" w:rsidRDefault="00A163B0" w:rsidP="00D65A2D">
      <w:pPr>
        <w:pStyle w:val="BodyText"/>
      </w:pPr>
      <w:r>
        <w:t xml:space="preserve">In most jurisdictions, it is the </w:t>
      </w:r>
      <w:r w:rsidR="00683A12">
        <w:t>a</w:t>
      </w:r>
      <w:r>
        <w:t>griculture agency which leads biosecurity management</w:t>
      </w:r>
      <w:r w:rsidR="003D122A">
        <w:t xml:space="preserve"> for both agricultural and environmental pests and diseases</w:t>
      </w:r>
      <w:r>
        <w:t xml:space="preserve">. </w:t>
      </w:r>
      <w:r w:rsidR="006A44E9">
        <w:t xml:space="preserve"> </w:t>
      </w:r>
      <w:r>
        <w:t xml:space="preserve">This leads to the perception, real or not, that </w:t>
      </w:r>
      <w:r w:rsidR="006A44E9">
        <w:t>the application of NEBRA</w:t>
      </w:r>
      <w:r>
        <w:t xml:space="preserve"> is industry focussed and not truly </w:t>
      </w:r>
      <w:r w:rsidR="00683A12">
        <w:t>applied for</w:t>
      </w:r>
      <w:r>
        <w:t xml:space="preserve"> the benefit of the environment. </w:t>
      </w:r>
      <w:r w:rsidR="006A44E9">
        <w:t xml:space="preserve"> More active participation from</w:t>
      </w:r>
      <w:r>
        <w:t xml:space="preserve"> environment </w:t>
      </w:r>
      <w:r w:rsidR="006A44E9">
        <w:t xml:space="preserve">agency </w:t>
      </w:r>
      <w:r>
        <w:t xml:space="preserve">representatives </w:t>
      </w:r>
      <w:r w:rsidR="003D122A">
        <w:t xml:space="preserve">in the operation of NEBRA </w:t>
      </w:r>
      <w:r>
        <w:t>would ensure the environmental protection focus of the agreement is</w:t>
      </w:r>
      <w:r w:rsidR="00A70AA7">
        <w:t xml:space="preserve"> a </w:t>
      </w:r>
      <w:r w:rsidR="00310983">
        <w:t>strong factor,</w:t>
      </w:r>
      <w:r w:rsidR="00A70AA7">
        <w:t xml:space="preserve"> and also </w:t>
      </w:r>
      <w:r w:rsidR="006A44E9">
        <w:t>visibl</w:t>
      </w:r>
      <w:r w:rsidR="00A70AA7">
        <w:t>e</w:t>
      </w:r>
      <w:r w:rsidR="00310983">
        <w:t>,</w:t>
      </w:r>
      <w:r w:rsidR="00A70AA7">
        <w:t xml:space="preserve"> in </w:t>
      </w:r>
      <w:r w:rsidR="006A44E9">
        <w:t>decision making</w:t>
      </w:r>
      <w:r>
        <w:t>.</w:t>
      </w:r>
    </w:p>
    <w:p w:rsidR="0056267B" w:rsidRPr="00EA1AF6" w:rsidRDefault="0056267B" w:rsidP="0056267B">
      <w:pPr>
        <w:pStyle w:val="Heading6"/>
      </w:pPr>
      <w:r>
        <w:t>Stakeholder awareness</w:t>
      </w:r>
    </w:p>
    <w:p w:rsidR="006A44E9" w:rsidRDefault="002F1D34" w:rsidP="00D65A2D">
      <w:pPr>
        <w:pStyle w:val="BodyText"/>
      </w:pPr>
      <w:r>
        <w:t xml:space="preserve">Improving </w:t>
      </w:r>
      <w:r w:rsidR="006A44E9">
        <w:t xml:space="preserve">general </w:t>
      </w:r>
      <w:r>
        <w:t xml:space="preserve">awareness of the agreement’s existence and understanding of its operation is </w:t>
      </w:r>
      <w:r w:rsidR="00A163B0">
        <w:t>also important</w:t>
      </w:r>
      <w:r>
        <w:t xml:space="preserve">. </w:t>
      </w:r>
      <w:r w:rsidR="006A44E9">
        <w:t xml:space="preserve"> The limited awareness of NEBRA </w:t>
      </w:r>
      <w:r>
        <w:t>within</w:t>
      </w:r>
      <w:r w:rsidR="00BF0AC1">
        <w:t xml:space="preserve"> key</w:t>
      </w:r>
      <w:r>
        <w:t xml:space="preserve"> interest groups</w:t>
      </w:r>
      <w:r w:rsidR="00BF0AC1">
        <w:t>,</w:t>
      </w:r>
      <w:r>
        <w:t xml:space="preserve"> and across the community</w:t>
      </w:r>
      <w:r w:rsidR="00A163B0">
        <w:t xml:space="preserve"> more generally</w:t>
      </w:r>
      <w:r w:rsidR="00BF0AC1">
        <w:t>,</w:t>
      </w:r>
      <w:r>
        <w:t xml:space="preserve"> </w:t>
      </w:r>
      <w:r w:rsidR="006A44E9">
        <w:t xml:space="preserve">potentially reduces </w:t>
      </w:r>
      <w:r w:rsidR="00303CC6">
        <w:t>non-government participation in</w:t>
      </w:r>
      <w:r w:rsidR="006A44E9">
        <w:t xml:space="preserve"> environmental biosecurity responses.</w:t>
      </w:r>
    </w:p>
    <w:p w:rsidR="0056267B" w:rsidRPr="00EA1AF6" w:rsidRDefault="0056267B" w:rsidP="0056267B">
      <w:pPr>
        <w:pStyle w:val="Heading6"/>
      </w:pPr>
      <w:r>
        <w:t>Decision making</w:t>
      </w:r>
    </w:p>
    <w:p w:rsidR="002F1D34" w:rsidRDefault="006A44E9" w:rsidP="00D65A2D">
      <w:pPr>
        <w:pStyle w:val="BodyText"/>
      </w:pPr>
      <w:r>
        <w:t>Greater</w:t>
      </w:r>
      <w:r w:rsidR="002F1D34">
        <w:t xml:space="preserve"> transparency </w:t>
      </w:r>
      <w:r>
        <w:t xml:space="preserve">around NEBRA decision making </w:t>
      </w:r>
      <w:r w:rsidR="002F1D34">
        <w:t>will support education efforts</w:t>
      </w:r>
      <w:r>
        <w:t xml:space="preserve"> and enhance community </w:t>
      </w:r>
      <w:r w:rsidR="003D122A">
        <w:t>understanding</w:t>
      </w:r>
      <w:r w:rsidR="00E86611">
        <w:t xml:space="preserve"> of how environmental policy objectives are addressed under the agreement</w:t>
      </w:r>
      <w:r w:rsidR="00683A12">
        <w:t xml:space="preserve">. </w:t>
      </w:r>
      <w:r>
        <w:t xml:space="preserve"> M</w:t>
      </w:r>
      <w:r w:rsidR="002F1D34">
        <w:t xml:space="preserve">ore </w:t>
      </w:r>
      <w:r w:rsidR="00683A12">
        <w:t>consistent</w:t>
      </w:r>
      <w:r w:rsidR="002F1D34">
        <w:t xml:space="preserve"> </w:t>
      </w:r>
      <w:r>
        <w:t xml:space="preserve">use of </w:t>
      </w:r>
      <w:r w:rsidR="002F1D34">
        <w:t xml:space="preserve">language </w:t>
      </w:r>
      <w:r>
        <w:t xml:space="preserve">across NEBRA and </w:t>
      </w:r>
      <w:r w:rsidR="00AD77EF">
        <w:t>the broader</w:t>
      </w:r>
      <w:r>
        <w:t xml:space="preserve"> IGAB </w:t>
      </w:r>
      <w:r w:rsidR="00A163B0">
        <w:t xml:space="preserve">will facilitate </w:t>
      </w:r>
      <w:r w:rsidR="00AD77EF">
        <w:t>clear messaging</w:t>
      </w:r>
      <w:r w:rsidR="00A163B0">
        <w:t xml:space="preserve"> </w:t>
      </w:r>
      <w:r w:rsidR="00AD77EF">
        <w:t xml:space="preserve">from biosecurity agencies to </w:t>
      </w:r>
      <w:r w:rsidR="00A163B0">
        <w:t>stakeholders and the public.</w:t>
      </w:r>
    </w:p>
    <w:p w:rsidR="0056267B" w:rsidRPr="00EA1AF6" w:rsidRDefault="0078585C" w:rsidP="0056267B">
      <w:pPr>
        <w:pStyle w:val="Heading6"/>
      </w:pPr>
      <w:r>
        <w:t>Priority lists</w:t>
      </w:r>
    </w:p>
    <w:p w:rsidR="00A163B0" w:rsidRDefault="00AD77EF" w:rsidP="00D65A2D">
      <w:pPr>
        <w:pStyle w:val="BodyText"/>
      </w:pPr>
      <w:r>
        <w:t>D</w:t>
      </w:r>
      <w:r w:rsidR="00C15D8D">
        <w:t xml:space="preserve">iverse views were provided </w:t>
      </w:r>
      <w:r>
        <w:t xml:space="preserve">to this review </w:t>
      </w:r>
      <w:r w:rsidR="00C15D8D">
        <w:t xml:space="preserve">in relation to </w:t>
      </w:r>
      <w:r>
        <w:t xml:space="preserve">the </w:t>
      </w:r>
      <w:r w:rsidR="00C15D8D">
        <w:t>preparation and management of</w:t>
      </w:r>
      <w:r w:rsidR="00683A12">
        <w:t xml:space="preserve"> NEBRA</w:t>
      </w:r>
      <w:r w:rsidR="00C15D8D">
        <w:t xml:space="preserve"> responses. </w:t>
      </w:r>
      <w:r>
        <w:t xml:space="preserve"> Developing</w:t>
      </w:r>
      <w:r w:rsidR="00C15D8D">
        <w:t xml:space="preserve"> lists </w:t>
      </w:r>
      <w:r w:rsidR="00683A12">
        <w:t xml:space="preserve">of high risk </w:t>
      </w:r>
      <w:r>
        <w:t>pests</w:t>
      </w:r>
      <w:r w:rsidR="00683A12">
        <w:t xml:space="preserve"> </w:t>
      </w:r>
      <w:r>
        <w:t>and</w:t>
      </w:r>
      <w:r w:rsidR="00683A12">
        <w:t xml:space="preserve"> diseases </w:t>
      </w:r>
      <w:r w:rsidR="00C15D8D">
        <w:t xml:space="preserve">to support decision making </w:t>
      </w:r>
      <w:r>
        <w:t>was an area of some contention</w:t>
      </w:r>
      <w:r w:rsidR="00303CC6">
        <w:t xml:space="preserve">. </w:t>
      </w:r>
      <w:r w:rsidR="00C15D8D">
        <w:t xml:space="preserve"> </w:t>
      </w:r>
      <w:r w:rsidR="00303CC6">
        <w:t>While</w:t>
      </w:r>
      <w:r w:rsidR="00C15D8D">
        <w:t xml:space="preserve"> </w:t>
      </w:r>
      <w:r>
        <w:t>lists</w:t>
      </w:r>
      <w:r w:rsidR="00C15D8D">
        <w:t xml:space="preserve"> may provide assistance in fast-tracking response</w:t>
      </w:r>
      <w:r>
        <w:t>s</w:t>
      </w:r>
      <w:r w:rsidR="00C15D8D">
        <w:t xml:space="preserve">, </w:t>
      </w:r>
      <w:r>
        <w:t>their development is resource intensive and problematic in practice</w:t>
      </w:r>
      <w:r w:rsidR="00303CC6">
        <w:t xml:space="preserve">. </w:t>
      </w:r>
      <w:r>
        <w:t xml:space="preserve"> </w:t>
      </w:r>
      <w:r w:rsidR="00303CC6">
        <w:t xml:space="preserve">This is </w:t>
      </w:r>
      <w:r>
        <w:t xml:space="preserve">due to the large number of potential </w:t>
      </w:r>
      <w:r w:rsidR="004340A6">
        <w:t xml:space="preserve">pest and disease </w:t>
      </w:r>
      <w:r>
        <w:t>candidates</w:t>
      </w:r>
      <w:r w:rsidR="004F253C">
        <w:t xml:space="preserve">, </w:t>
      </w:r>
      <w:r>
        <w:t xml:space="preserve">the lack of certainty </w:t>
      </w:r>
      <w:r w:rsidR="00BC34EE">
        <w:t>regarding</w:t>
      </w:r>
      <w:r>
        <w:t xml:space="preserve"> </w:t>
      </w:r>
      <w:r w:rsidR="004F253C">
        <w:t xml:space="preserve">the likelihood of an incursion and, if it occurred, </w:t>
      </w:r>
      <w:r>
        <w:t xml:space="preserve">how </w:t>
      </w:r>
      <w:r w:rsidR="004F253C">
        <w:t xml:space="preserve">these pests and diseases </w:t>
      </w:r>
      <w:r>
        <w:t xml:space="preserve">may impact </w:t>
      </w:r>
      <w:r w:rsidR="00C6597F">
        <w:t xml:space="preserve">the </w:t>
      </w:r>
      <w:r>
        <w:t>Australian environment.</w:t>
      </w:r>
    </w:p>
    <w:p w:rsidR="00521C9B" w:rsidRPr="00EA1AF6" w:rsidRDefault="00521C9B" w:rsidP="00521C9B">
      <w:pPr>
        <w:pStyle w:val="Heading6"/>
      </w:pPr>
      <w:r>
        <w:t>Transition to Management</w:t>
      </w:r>
    </w:p>
    <w:p w:rsidR="00C15D8D" w:rsidRDefault="00AD77EF" w:rsidP="00D65A2D">
      <w:pPr>
        <w:pStyle w:val="BodyText"/>
      </w:pPr>
      <w:r>
        <w:t xml:space="preserve">The inclusion of Transition to Management provisions within NEBRA and the focus of the agreement </w:t>
      </w:r>
      <w:r w:rsidR="003D122A">
        <w:t xml:space="preserve">exclusively </w:t>
      </w:r>
      <w:r>
        <w:t>on eradication also exercised considerable debate among stakeholders.  There is a strong case to be made for including a Transition to Management phase within NEBRA</w:t>
      </w:r>
      <w:r w:rsidR="004340A6">
        <w:t>.  Expanding the scope of the agreement to include containment in some limited circumstances where it is difficult to demonstrate the feasibility of eradication also needs to be given consideration</w:t>
      </w:r>
      <w:r w:rsidR="00827C81">
        <w:t>.  Notwithstanding,</w:t>
      </w:r>
      <w:r w:rsidR="002506AB" w:rsidRPr="002506AB">
        <w:t xml:space="preserve"> it may not be appropriate for </w:t>
      </w:r>
      <w:r w:rsidR="002506AB">
        <w:t>containment</w:t>
      </w:r>
      <w:r w:rsidR="002506AB" w:rsidRPr="002506AB">
        <w:t xml:space="preserve"> to lie within the revised NE</w:t>
      </w:r>
      <w:r w:rsidR="002506AB">
        <w:t>BRA</w:t>
      </w:r>
      <w:r w:rsidR="004340A6">
        <w:t>.</w:t>
      </w:r>
    </w:p>
    <w:p w:rsidR="00F54EF8" w:rsidRPr="00E8209D" w:rsidRDefault="00F54EF8" w:rsidP="00F54EF8">
      <w:pPr>
        <w:pStyle w:val="HeadingLevel1NoNumber"/>
      </w:pPr>
      <w:bookmarkStart w:id="1" w:name="_Toc483482603"/>
      <w:r w:rsidRPr="00E8209D">
        <w:t>Recommendations</w:t>
      </w:r>
      <w:bookmarkEnd w:id="1"/>
    </w:p>
    <w:p w:rsidR="0011212A" w:rsidRDefault="0011212A" w:rsidP="0011212A">
      <w:pPr>
        <w:rPr>
          <w:b/>
        </w:rPr>
      </w:pPr>
      <w:r>
        <w:rPr>
          <w:b/>
        </w:rPr>
        <w:t>Recommendation 1</w:t>
      </w:r>
    </w:p>
    <w:p w:rsidR="0011212A" w:rsidRDefault="0011212A" w:rsidP="0011212A">
      <w:pPr>
        <w:pStyle w:val="BodyText"/>
      </w:pPr>
      <w:r>
        <w:t>The language used in the NEBRA to describe stakeholders should be consistent with that used in the broader IGAB and the other biosecurity response agreements (EADRA and EPPRD).</w:t>
      </w:r>
    </w:p>
    <w:p w:rsidR="0011212A" w:rsidRDefault="0011212A" w:rsidP="0011212A">
      <w:pPr>
        <w:rPr>
          <w:b/>
        </w:rPr>
      </w:pPr>
      <w:r>
        <w:rPr>
          <w:b/>
        </w:rPr>
        <w:t>Recommendation 2</w:t>
      </w:r>
    </w:p>
    <w:p w:rsidR="0011212A" w:rsidRDefault="0011212A" w:rsidP="0011212A">
      <w:r>
        <w:t>The Commonwealth Department of Agriculture and Water Resources (DAWR) should remain as the custodian of NEBRA.  If, following the IGAB Review, a new entity is created with responsibility for environmental biosecurity, consideration should be given to the role the entity should play in relation to NEBRA custodianship.</w:t>
      </w:r>
    </w:p>
    <w:p w:rsidR="0011212A" w:rsidRDefault="0011212A" w:rsidP="0011212A">
      <w:pPr>
        <w:rPr>
          <w:b/>
        </w:rPr>
      </w:pPr>
      <w:r>
        <w:rPr>
          <w:b/>
        </w:rPr>
        <w:t>Recommendation 3</w:t>
      </w:r>
    </w:p>
    <w:p w:rsidR="0011212A" w:rsidRDefault="0064682A" w:rsidP="0011212A">
      <w:r>
        <w:t xml:space="preserve">National Biosecurity Management Group </w:t>
      </w:r>
      <w:r w:rsidR="0011212A">
        <w:t>meetings should be co-chaired by an executive from the Commonwealth Department of Environment and Energy</w:t>
      </w:r>
      <w:r w:rsidR="00F10E7B">
        <w:t xml:space="preserve"> (DEE)</w:t>
      </w:r>
      <w:r w:rsidR="0011212A">
        <w:t>, potentially the Chief Environmental Biosecurity Officer if that position is created following the IGAB Review.</w:t>
      </w:r>
    </w:p>
    <w:p w:rsidR="0011212A" w:rsidRDefault="0011212A" w:rsidP="0011212A">
      <w:pPr>
        <w:rPr>
          <w:b/>
        </w:rPr>
      </w:pPr>
      <w:r>
        <w:rPr>
          <w:b/>
        </w:rPr>
        <w:t>Recommendation 4</w:t>
      </w:r>
    </w:p>
    <w:p w:rsidR="0011212A" w:rsidRDefault="0094187F" w:rsidP="0011212A">
      <w:r>
        <w:t>NBMG members should undertake formal consultation with their environment agency counterparts in each jurisdiction</w:t>
      </w:r>
      <w:r w:rsidR="00122C00">
        <w:t xml:space="preserve"> prior to any substantive </w:t>
      </w:r>
      <w:r>
        <w:t>decision</w:t>
      </w:r>
      <w:r w:rsidR="00122C00">
        <w:t xml:space="preserve"> being made under the NEBRA.</w:t>
      </w:r>
    </w:p>
    <w:p w:rsidR="0011212A" w:rsidRDefault="0011212A" w:rsidP="0011212A">
      <w:pPr>
        <w:rPr>
          <w:b/>
        </w:rPr>
      </w:pPr>
      <w:r>
        <w:rPr>
          <w:b/>
        </w:rPr>
        <w:t>Recommendation 5</w:t>
      </w:r>
    </w:p>
    <w:p w:rsidR="0011212A" w:rsidRDefault="0011212A" w:rsidP="0011212A">
      <w:r>
        <w:t xml:space="preserve">The NEBRA custodian role should be enhanced to support a maturing NEBRA.  Areas of focus should include greater public transparency around decision making, greater support for the development of interpretative guides, enhanced communication with non-government stakeholders and general co-ordination of stakeholder activity.  An enhanced custodian role would require a greater level of resourcing </w:t>
      </w:r>
      <w:r w:rsidR="008D18EC">
        <w:t>for</w:t>
      </w:r>
      <w:r>
        <w:t xml:space="preserve"> the NEBRA custodian</w:t>
      </w:r>
      <w:r w:rsidR="008D18EC">
        <w:t xml:space="preserve"> role</w:t>
      </w:r>
      <w:r>
        <w:t>.</w:t>
      </w:r>
    </w:p>
    <w:p w:rsidR="0011212A" w:rsidRPr="00E70430" w:rsidRDefault="0011212A" w:rsidP="0011212A">
      <w:pPr>
        <w:rPr>
          <w:b/>
        </w:rPr>
      </w:pPr>
      <w:r w:rsidRPr="00E70430">
        <w:rPr>
          <w:b/>
        </w:rPr>
        <w:t>Recommendation 6</w:t>
      </w:r>
    </w:p>
    <w:p w:rsidR="0011212A" w:rsidRDefault="0011212A" w:rsidP="0011212A">
      <w:pPr>
        <w:pStyle w:val="BodyText"/>
      </w:pPr>
      <w:r>
        <w:t>The NEBRA Administrative Group formed for the purpose of guiding this review should be instituted as an ongoing body to enable the states and territories to support and engage with an enhanced NEBRA custodian.</w:t>
      </w:r>
      <w:r w:rsidR="0094187F">
        <w:t xml:space="preserve"> It would</w:t>
      </w:r>
      <w:r w:rsidR="00122C00">
        <w:t xml:space="preserve"> </w:t>
      </w:r>
      <w:r w:rsidR="0094187F">
        <w:t>also facilitate continuity of oversight and allow for feedback to the custodian in a structured manner.</w:t>
      </w:r>
    </w:p>
    <w:p w:rsidR="0011212A" w:rsidRDefault="0011212A" w:rsidP="0011212A">
      <w:pPr>
        <w:rPr>
          <w:b/>
        </w:rPr>
      </w:pPr>
      <w:r>
        <w:rPr>
          <w:b/>
        </w:rPr>
        <w:t>Recommendation 7</w:t>
      </w:r>
    </w:p>
    <w:p w:rsidR="0011212A" w:rsidRDefault="0011212A" w:rsidP="0011212A">
      <w:pPr>
        <w:pStyle w:val="BodyText"/>
      </w:pPr>
      <w:r>
        <w:t xml:space="preserve">A summary of decisions made by NBMGs on whether </w:t>
      </w:r>
      <w:r w:rsidR="00122C00">
        <w:t xml:space="preserve">or not </w:t>
      </w:r>
      <w:r>
        <w:t xml:space="preserve">to apply NEBRA should be made publicly available in a timely manner to encourage wider understanding of the operation of the agreement.  </w:t>
      </w:r>
    </w:p>
    <w:p w:rsidR="0011212A" w:rsidRDefault="0011212A" w:rsidP="0011212A">
      <w:pPr>
        <w:rPr>
          <w:b/>
        </w:rPr>
      </w:pPr>
      <w:r>
        <w:rPr>
          <w:b/>
        </w:rPr>
        <w:t>Recommendation 8</w:t>
      </w:r>
    </w:p>
    <w:p w:rsidR="0011212A" w:rsidRDefault="0011212A" w:rsidP="0011212A">
      <w:r>
        <w:t>The</w:t>
      </w:r>
      <w:r w:rsidRPr="00451E15">
        <w:t xml:space="preserve"> NEBRA </w:t>
      </w:r>
      <w:r>
        <w:t xml:space="preserve">should </w:t>
      </w:r>
      <w:r w:rsidRPr="00451E15">
        <w:t>be re-drafted around four phases to a response</w:t>
      </w:r>
      <w:r>
        <w:t>:</w:t>
      </w:r>
      <w:r w:rsidRPr="00451E15">
        <w:t xml:space="preserve"> Incident Definition, Emergency Response, Proof of Freedom and Transition to Management</w:t>
      </w:r>
      <w:r>
        <w:t xml:space="preserve"> (consistent with EPPRD)</w:t>
      </w:r>
      <w:r w:rsidRPr="00451E15">
        <w:t xml:space="preserve">.  The commencement of each phase </w:t>
      </w:r>
      <w:r>
        <w:t>should</w:t>
      </w:r>
      <w:r w:rsidRPr="00451E15">
        <w:t xml:space="preserve"> require separate approval by NBMG of a ph</w:t>
      </w:r>
      <w:r>
        <w:t>ase plan in order to limit the scope of cost-shared activity.</w:t>
      </w:r>
    </w:p>
    <w:p w:rsidR="0011212A" w:rsidRDefault="0011212A" w:rsidP="0011212A">
      <w:pPr>
        <w:rPr>
          <w:b/>
        </w:rPr>
      </w:pPr>
      <w:r>
        <w:rPr>
          <w:b/>
        </w:rPr>
        <w:t>Recommendation 9</w:t>
      </w:r>
    </w:p>
    <w:p w:rsidR="0011212A" w:rsidRDefault="0011212A" w:rsidP="0011212A">
      <w:r>
        <w:t xml:space="preserve">Analysis and documentation conducted during </w:t>
      </w:r>
      <w:r w:rsidRPr="00451E15">
        <w:t xml:space="preserve">the Incident Definition Phase </w:t>
      </w:r>
      <w:r>
        <w:t xml:space="preserve">should </w:t>
      </w:r>
      <w:r w:rsidRPr="00451E15">
        <w:t>be eligible for cost sharing contingent on an initial assessment by NBMG of the likelihood that an incident will meet NEBRA criteria and approval o</w:t>
      </w:r>
      <w:r w:rsidR="00E55E28">
        <w:t>f an Incident Definition Plan.</w:t>
      </w:r>
    </w:p>
    <w:p w:rsidR="0011212A" w:rsidRDefault="0011212A" w:rsidP="0011212A">
      <w:pPr>
        <w:rPr>
          <w:b/>
        </w:rPr>
      </w:pPr>
      <w:r>
        <w:rPr>
          <w:b/>
        </w:rPr>
        <w:t>Recommendation 10</w:t>
      </w:r>
    </w:p>
    <w:p w:rsidR="0011212A" w:rsidRDefault="0011212A" w:rsidP="0011212A">
      <w:pPr>
        <w:pStyle w:val="BodyText"/>
      </w:pPr>
      <w:r>
        <w:t>The</w:t>
      </w:r>
      <w:r w:rsidRPr="00451E15">
        <w:t xml:space="preserve"> NEBRA</w:t>
      </w:r>
      <w:r>
        <w:t xml:space="preserve"> should</w:t>
      </w:r>
      <w:r w:rsidRPr="00451E15">
        <w:t xml:space="preserve"> be re-drafted to </w:t>
      </w:r>
      <w:r w:rsidR="008219E3">
        <w:t>allow for</w:t>
      </w:r>
      <w:r w:rsidR="008219E3" w:rsidRPr="00451E15">
        <w:t xml:space="preserve"> </w:t>
      </w:r>
      <w:r w:rsidRPr="00451E15">
        <w:t>a time-</w:t>
      </w:r>
      <w:r>
        <w:t>limited (12 month) cost-shared Transition to M</w:t>
      </w:r>
      <w:r w:rsidRPr="00451E15">
        <w:t>anagement phase.  This Transition to Management phase could follow on from an Emergency Response Phase where eradication has been determined no longer to be possible.</w:t>
      </w:r>
    </w:p>
    <w:p w:rsidR="0011212A" w:rsidRDefault="0011212A">
      <w:pPr>
        <w:spacing w:before="0" w:after="160" w:line="259" w:lineRule="auto"/>
        <w:rPr>
          <w:b/>
        </w:rPr>
      </w:pPr>
      <w:r>
        <w:rPr>
          <w:b/>
        </w:rPr>
        <w:br w:type="page"/>
      </w:r>
    </w:p>
    <w:p w:rsidR="0011212A" w:rsidRDefault="0011212A" w:rsidP="0011212A">
      <w:pPr>
        <w:rPr>
          <w:b/>
        </w:rPr>
      </w:pPr>
      <w:r>
        <w:rPr>
          <w:b/>
        </w:rPr>
        <w:t>Recommendation 11</w:t>
      </w:r>
    </w:p>
    <w:p w:rsidR="0011212A" w:rsidRDefault="0011212A" w:rsidP="0011212A">
      <w:pPr>
        <w:rPr>
          <w:b/>
        </w:rPr>
      </w:pPr>
      <w:r>
        <w:t>The feasibility of conducting a five-yearly test of preparedness for the unique challenges posed by an environmental biosecurity response under NEBRA should be considered by the National Biosecurity Committee.</w:t>
      </w:r>
      <w:r w:rsidRPr="00F54EF8">
        <w:rPr>
          <w:b/>
        </w:rPr>
        <w:t xml:space="preserve"> </w:t>
      </w:r>
    </w:p>
    <w:p w:rsidR="0011212A" w:rsidRDefault="0011212A" w:rsidP="0011212A">
      <w:pPr>
        <w:rPr>
          <w:b/>
        </w:rPr>
      </w:pPr>
      <w:r>
        <w:rPr>
          <w:b/>
        </w:rPr>
        <w:t>Recommendation 12</w:t>
      </w:r>
    </w:p>
    <w:p w:rsidR="0011212A" w:rsidRDefault="0011212A" w:rsidP="0011212A">
      <w:r>
        <w:t>Meeting and decision making protocols in NEBRA should be redrafted to reflect that:</w:t>
      </w:r>
    </w:p>
    <w:p w:rsidR="0011212A" w:rsidRDefault="0011212A" w:rsidP="0011212A">
      <w:pPr>
        <w:pStyle w:val="ListParagraph"/>
        <w:numPr>
          <w:ilvl w:val="0"/>
          <w:numId w:val="18"/>
        </w:numPr>
      </w:pPr>
      <w:r>
        <w:t>The NBMCC provides technical and expert advice to the NBMG, it does not make decisions and its meetings should not involve voting.  If Members of the NBMCC hold different views all views should be incorporated into the written advice to the NBMG.</w:t>
      </w:r>
    </w:p>
    <w:p w:rsidR="0011212A" w:rsidRDefault="0011212A" w:rsidP="0011212A">
      <w:pPr>
        <w:pStyle w:val="ListParagraph"/>
        <w:numPr>
          <w:ilvl w:val="0"/>
          <w:numId w:val="18"/>
        </w:numPr>
      </w:pPr>
      <w:r>
        <w:t>Voting membership of the NBMG should be limited to parties who will be contributing to a cost-shared response.  Jurisdictions who are not potentially affected by a pest or disease or who have indicated that they do not intend to contribute to a cost-shared response should be Non-voting members of the NBMG</w:t>
      </w:r>
      <w:r w:rsidR="008219E3">
        <w:t xml:space="preserve"> for decisions regarding that pest or disease</w:t>
      </w:r>
      <w:r>
        <w:t>.</w:t>
      </w:r>
    </w:p>
    <w:p w:rsidR="0011212A" w:rsidRDefault="0011212A" w:rsidP="00EA1AF6">
      <w:pPr>
        <w:pStyle w:val="ListParagraph"/>
        <w:numPr>
          <w:ilvl w:val="0"/>
          <w:numId w:val="18"/>
        </w:numPr>
      </w:pPr>
      <w:r w:rsidRPr="00A70AA7">
        <w:t>All</w:t>
      </w:r>
      <w:r>
        <w:t xml:space="preserve"> decisions of the NBMG should need to be made unanimously between Voting members.</w:t>
      </w:r>
    </w:p>
    <w:p w:rsidR="007F201D" w:rsidRDefault="007F201D" w:rsidP="00EA1AF6">
      <w:pPr>
        <w:pStyle w:val="ListParagraph"/>
        <w:numPr>
          <w:ilvl w:val="0"/>
          <w:numId w:val="18"/>
        </w:numPr>
      </w:pPr>
      <w:r w:rsidRPr="00A70AA7">
        <w:t>Where attendance at NBMG meetings is delegated, the jurisdiction must enable that delegate to make decisions during the meeting</w:t>
      </w:r>
      <w:r>
        <w:rPr>
          <w:u w:val="single"/>
        </w:rPr>
        <w:t>.</w:t>
      </w:r>
    </w:p>
    <w:p w:rsidR="0011212A" w:rsidRDefault="0011212A" w:rsidP="0011212A">
      <w:pPr>
        <w:rPr>
          <w:b/>
        </w:rPr>
      </w:pPr>
      <w:r>
        <w:rPr>
          <w:b/>
        </w:rPr>
        <w:t>Recommendation 13</w:t>
      </w:r>
    </w:p>
    <w:p w:rsidR="0011212A" w:rsidRDefault="0011212A" w:rsidP="0011212A">
      <w:pPr>
        <w:pStyle w:val="BodyText"/>
      </w:pPr>
      <w:r>
        <w:t>T</w:t>
      </w:r>
      <w:r w:rsidRPr="000D7299">
        <w:t xml:space="preserve">he NEBRA </w:t>
      </w:r>
      <w:r>
        <w:t xml:space="preserve">should </w:t>
      </w:r>
      <w:r w:rsidRPr="000D7299">
        <w:t>be amended to allow any system participants to seek approval to participate in NBMG meetings as voting members if the system</w:t>
      </w:r>
      <w:r w:rsidR="00735DC4">
        <w:t xml:space="preserve"> </w:t>
      </w:r>
      <w:r w:rsidRPr="000D7299">
        <w:t xml:space="preserve">participant has made (or will make) significant in-kind or financial contributions to </w:t>
      </w:r>
      <w:r>
        <w:t>a</w:t>
      </w:r>
      <w:r w:rsidRPr="000D7299">
        <w:t xml:space="preserve"> response in relation to an </w:t>
      </w:r>
      <w:r>
        <w:t>outbreak</w:t>
      </w:r>
      <w:r w:rsidRPr="000D7299">
        <w:t>.  Inclusion of system-participants as voting members should be at the discretion of the other NBMG members.</w:t>
      </w:r>
    </w:p>
    <w:p w:rsidR="0011212A" w:rsidRDefault="0011212A" w:rsidP="0011212A">
      <w:pPr>
        <w:rPr>
          <w:b/>
        </w:rPr>
      </w:pPr>
      <w:r>
        <w:rPr>
          <w:b/>
        </w:rPr>
        <w:t>Recommendation 14</w:t>
      </w:r>
    </w:p>
    <w:p w:rsidR="0011212A" w:rsidRDefault="0011212A" w:rsidP="0011212A">
      <w:pPr>
        <w:rPr>
          <w:b/>
        </w:rPr>
      </w:pPr>
      <w:r>
        <w:t>National significance for proposed NEBRA responses should be assessed in line with a broader risk prioritisation framework (such as that recommended in the draft IGAB report) rather than static criteria for national significance.</w:t>
      </w:r>
      <w:r w:rsidRPr="00F54EF8">
        <w:rPr>
          <w:b/>
        </w:rPr>
        <w:t xml:space="preserve"> </w:t>
      </w:r>
    </w:p>
    <w:p w:rsidR="0011212A" w:rsidRDefault="0011212A" w:rsidP="0011212A">
      <w:pPr>
        <w:rPr>
          <w:b/>
        </w:rPr>
      </w:pPr>
      <w:r>
        <w:rPr>
          <w:b/>
        </w:rPr>
        <w:t>Recommendation 15</w:t>
      </w:r>
    </w:p>
    <w:p w:rsidR="0011212A" w:rsidRDefault="0011212A" w:rsidP="0011212A">
      <w:pPr>
        <w:pStyle w:val="BodyText"/>
      </w:pPr>
      <w:r>
        <w:t>Benefit-cost analysis requirements and guidance in NEBRA should be revised and simplified to accept qualitative descriptions of benefits where no pre-existing studies on the cost of an outbreak are available.</w:t>
      </w:r>
    </w:p>
    <w:p w:rsidR="0011212A" w:rsidRDefault="0011212A" w:rsidP="0011212A">
      <w:pPr>
        <w:rPr>
          <w:b/>
        </w:rPr>
      </w:pPr>
      <w:r>
        <w:rPr>
          <w:b/>
        </w:rPr>
        <w:t>Recommendation 16</w:t>
      </w:r>
    </w:p>
    <w:p w:rsidR="00F54EF8" w:rsidRPr="00D65A2D" w:rsidRDefault="0011212A" w:rsidP="0011212A">
      <w:pPr>
        <w:pStyle w:val="BodyText"/>
        <w:sectPr w:rsidR="00F54EF8" w:rsidRPr="00D65A2D" w:rsidSect="0056267B">
          <w:pgSz w:w="16838" w:h="11906" w:orient="landscape"/>
          <w:pgMar w:top="1418" w:right="1418" w:bottom="1276" w:left="1418" w:header="709" w:footer="454" w:gutter="0"/>
          <w:pgNumType w:fmt="lowerRoman" w:start="1"/>
          <w:cols w:num="2" w:space="708"/>
          <w:docGrid w:linePitch="360"/>
        </w:sectPr>
      </w:pPr>
      <w:r>
        <w:t xml:space="preserve">The National Biosecurity Committee should consider whether there is sufficient support to revise NEBRA to provide for cost-shared responses aimed at containment in some instances.  These instances may include wildlife disease or environmental weeds where it be may </w:t>
      </w:r>
      <w:r w:rsidR="00AF4EBD">
        <w:t xml:space="preserve">be </w:t>
      </w:r>
      <w:r>
        <w:t xml:space="preserve">difficult to demonstrate feasibility of eradication but there are net benefits in a national, time-limited containment response.  </w:t>
      </w:r>
      <w:r w:rsidRPr="0050240C">
        <w:t>Alternatively, a different mechanism could be developed to facilitate cost sharing arrangements where eradication is not possible, but there are joint benefits to ensuring containment</w:t>
      </w:r>
      <w:r>
        <w:t>.</w:t>
      </w:r>
    </w:p>
    <w:p w:rsidR="009633A2" w:rsidRPr="00926C88" w:rsidRDefault="007634C5" w:rsidP="00926C88">
      <w:pPr>
        <w:pStyle w:val="Heading1Noshow"/>
      </w:pPr>
      <w:r w:rsidRPr="00926C88">
        <w:t>Contents</w:t>
      </w:r>
    </w:p>
    <w:p w:rsidR="00521C9B" w:rsidRDefault="00C13D7A">
      <w:pPr>
        <w:pStyle w:val="TOC1"/>
        <w:rPr>
          <w:rFonts w:asciiTheme="minorHAnsi" w:eastAsiaTheme="minorEastAsia" w:hAnsiTheme="minorHAnsi"/>
          <w:sz w:val="22"/>
          <w:lang w:eastAsia="en-AU"/>
        </w:rPr>
      </w:pPr>
      <w:r>
        <w:fldChar w:fldCharType="begin"/>
      </w:r>
      <w:r>
        <w:instrText xml:space="preserve"> TOC \o "1-2" \h \z \u </w:instrText>
      </w:r>
      <w:r>
        <w:fldChar w:fldCharType="separate"/>
      </w:r>
      <w:hyperlink w:anchor="_Toc483482602" w:history="1">
        <w:r w:rsidR="00521C9B" w:rsidRPr="00AF0104">
          <w:rPr>
            <w:rStyle w:val="Hyperlink"/>
          </w:rPr>
          <w:t>Executive summary</w:t>
        </w:r>
        <w:r w:rsidR="00521C9B">
          <w:rPr>
            <w:webHidden/>
          </w:rPr>
          <w:tab/>
        </w:r>
        <w:r w:rsidR="00521C9B">
          <w:rPr>
            <w:webHidden/>
          </w:rPr>
          <w:fldChar w:fldCharType="begin"/>
        </w:r>
        <w:r w:rsidR="00521C9B">
          <w:rPr>
            <w:webHidden/>
          </w:rPr>
          <w:instrText xml:space="preserve"> PAGEREF _Toc483482602 \h </w:instrText>
        </w:r>
        <w:r w:rsidR="00521C9B">
          <w:rPr>
            <w:webHidden/>
          </w:rPr>
        </w:r>
        <w:r w:rsidR="00521C9B">
          <w:rPr>
            <w:webHidden/>
          </w:rPr>
          <w:fldChar w:fldCharType="separate"/>
        </w:r>
        <w:r w:rsidR="00521C9B">
          <w:rPr>
            <w:webHidden/>
          </w:rPr>
          <w:t>i</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03" w:history="1">
        <w:r w:rsidR="00521C9B" w:rsidRPr="00AF0104">
          <w:rPr>
            <w:rStyle w:val="Hyperlink"/>
          </w:rPr>
          <w:t>Recommendations</w:t>
        </w:r>
        <w:r w:rsidR="00521C9B">
          <w:rPr>
            <w:webHidden/>
          </w:rPr>
          <w:tab/>
        </w:r>
        <w:r w:rsidR="00521C9B">
          <w:rPr>
            <w:webHidden/>
          </w:rPr>
          <w:fldChar w:fldCharType="begin"/>
        </w:r>
        <w:r w:rsidR="00521C9B">
          <w:rPr>
            <w:webHidden/>
          </w:rPr>
          <w:instrText xml:space="preserve"> PAGEREF _Toc483482603 \h </w:instrText>
        </w:r>
        <w:r w:rsidR="00521C9B">
          <w:rPr>
            <w:webHidden/>
          </w:rPr>
        </w:r>
        <w:r w:rsidR="00521C9B">
          <w:rPr>
            <w:webHidden/>
          </w:rPr>
          <w:fldChar w:fldCharType="separate"/>
        </w:r>
        <w:r w:rsidR="00521C9B">
          <w:rPr>
            <w:webHidden/>
          </w:rPr>
          <w:t>iii</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04" w:history="1">
        <w:r w:rsidR="00521C9B" w:rsidRPr="00AF0104">
          <w:rPr>
            <w:rStyle w:val="Hyperlink"/>
          </w:rPr>
          <w:t>2</w:t>
        </w:r>
        <w:r w:rsidR="00521C9B">
          <w:rPr>
            <w:rFonts w:asciiTheme="minorHAnsi" w:eastAsiaTheme="minorEastAsia" w:hAnsiTheme="minorHAnsi"/>
            <w:sz w:val="22"/>
            <w:lang w:eastAsia="en-AU"/>
          </w:rPr>
          <w:tab/>
        </w:r>
        <w:r w:rsidR="00521C9B" w:rsidRPr="00AF0104">
          <w:rPr>
            <w:rStyle w:val="Hyperlink"/>
          </w:rPr>
          <w:t>Introduction</w:t>
        </w:r>
        <w:r w:rsidR="00521C9B">
          <w:rPr>
            <w:webHidden/>
          </w:rPr>
          <w:tab/>
        </w:r>
        <w:r w:rsidR="00521C9B">
          <w:rPr>
            <w:webHidden/>
          </w:rPr>
          <w:fldChar w:fldCharType="begin"/>
        </w:r>
        <w:r w:rsidR="00521C9B">
          <w:rPr>
            <w:webHidden/>
          </w:rPr>
          <w:instrText xml:space="preserve"> PAGEREF _Toc483482604 \h </w:instrText>
        </w:r>
        <w:r w:rsidR="00521C9B">
          <w:rPr>
            <w:webHidden/>
          </w:rPr>
        </w:r>
        <w:r w:rsidR="00521C9B">
          <w:rPr>
            <w:webHidden/>
          </w:rPr>
          <w:fldChar w:fldCharType="separate"/>
        </w:r>
        <w:r w:rsidR="00521C9B">
          <w:rPr>
            <w:webHidden/>
          </w:rPr>
          <w:t>1</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05" w:history="1">
        <w:r w:rsidR="00521C9B" w:rsidRPr="00AF0104">
          <w:rPr>
            <w:rStyle w:val="Hyperlink"/>
          </w:rPr>
          <w:t>2.1</w:t>
        </w:r>
        <w:r w:rsidR="00521C9B">
          <w:rPr>
            <w:rFonts w:asciiTheme="minorHAnsi" w:eastAsiaTheme="minorEastAsia" w:hAnsiTheme="minorHAnsi"/>
            <w:sz w:val="22"/>
            <w:lang w:eastAsia="en-AU"/>
          </w:rPr>
          <w:tab/>
        </w:r>
        <w:r w:rsidR="00521C9B" w:rsidRPr="00AF0104">
          <w:rPr>
            <w:rStyle w:val="Hyperlink"/>
          </w:rPr>
          <w:t>Background</w:t>
        </w:r>
        <w:r w:rsidR="00521C9B">
          <w:rPr>
            <w:webHidden/>
          </w:rPr>
          <w:tab/>
        </w:r>
        <w:r w:rsidR="00521C9B">
          <w:rPr>
            <w:webHidden/>
          </w:rPr>
          <w:fldChar w:fldCharType="begin"/>
        </w:r>
        <w:r w:rsidR="00521C9B">
          <w:rPr>
            <w:webHidden/>
          </w:rPr>
          <w:instrText xml:space="preserve"> PAGEREF _Toc483482605 \h </w:instrText>
        </w:r>
        <w:r w:rsidR="00521C9B">
          <w:rPr>
            <w:webHidden/>
          </w:rPr>
        </w:r>
        <w:r w:rsidR="00521C9B">
          <w:rPr>
            <w:webHidden/>
          </w:rPr>
          <w:fldChar w:fldCharType="separate"/>
        </w:r>
        <w:r w:rsidR="00521C9B">
          <w:rPr>
            <w:webHidden/>
          </w:rPr>
          <w:t>1</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06" w:history="1">
        <w:r w:rsidR="00521C9B" w:rsidRPr="00AF0104">
          <w:rPr>
            <w:rStyle w:val="Hyperlink"/>
          </w:rPr>
          <w:t>2.2</w:t>
        </w:r>
        <w:r w:rsidR="00521C9B">
          <w:rPr>
            <w:rFonts w:asciiTheme="minorHAnsi" w:eastAsiaTheme="minorEastAsia" w:hAnsiTheme="minorHAnsi"/>
            <w:sz w:val="22"/>
            <w:lang w:eastAsia="en-AU"/>
          </w:rPr>
          <w:tab/>
        </w:r>
        <w:r w:rsidR="00521C9B" w:rsidRPr="00AF0104">
          <w:rPr>
            <w:rStyle w:val="Hyperlink"/>
          </w:rPr>
          <w:t>Terms of Reference</w:t>
        </w:r>
        <w:r w:rsidR="00521C9B">
          <w:rPr>
            <w:webHidden/>
          </w:rPr>
          <w:tab/>
        </w:r>
        <w:r w:rsidR="00521C9B">
          <w:rPr>
            <w:webHidden/>
          </w:rPr>
          <w:fldChar w:fldCharType="begin"/>
        </w:r>
        <w:r w:rsidR="00521C9B">
          <w:rPr>
            <w:webHidden/>
          </w:rPr>
          <w:instrText xml:space="preserve"> PAGEREF _Toc483482606 \h </w:instrText>
        </w:r>
        <w:r w:rsidR="00521C9B">
          <w:rPr>
            <w:webHidden/>
          </w:rPr>
        </w:r>
        <w:r w:rsidR="00521C9B">
          <w:rPr>
            <w:webHidden/>
          </w:rPr>
          <w:fldChar w:fldCharType="separate"/>
        </w:r>
        <w:r w:rsidR="00521C9B">
          <w:rPr>
            <w:webHidden/>
          </w:rPr>
          <w:t>2</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07" w:history="1">
        <w:r w:rsidR="00521C9B" w:rsidRPr="00AF0104">
          <w:rPr>
            <w:rStyle w:val="Hyperlink"/>
          </w:rPr>
          <w:t>2.3</w:t>
        </w:r>
        <w:r w:rsidR="00521C9B">
          <w:rPr>
            <w:rFonts w:asciiTheme="minorHAnsi" w:eastAsiaTheme="minorEastAsia" w:hAnsiTheme="minorHAnsi"/>
            <w:sz w:val="22"/>
            <w:lang w:eastAsia="en-AU"/>
          </w:rPr>
          <w:tab/>
        </w:r>
        <w:r w:rsidR="00521C9B" w:rsidRPr="00AF0104">
          <w:rPr>
            <w:rStyle w:val="Hyperlink"/>
          </w:rPr>
          <w:t>Approach</w:t>
        </w:r>
        <w:r w:rsidR="00521C9B">
          <w:rPr>
            <w:webHidden/>
          </w:rPr>
          <w:tab/>
        </w:r>
        <w:r w:rsidR="00521C9B">
          <w:rPr>
            <w:webHidden/>
          </w:rPr>
          <w:fldChar w:fldCharType="begin"/>
        </w:r>
        <w:r w:rsidR="00521C9B">
          <w:rPr>
            <w:webHidden/>
          </w:rPr>
          <w:instrText xml:space="preserve"> PAGEREF _Toc483482607 \h </w:instrText>
        </w:r>
        <w:r w:rsidR="00521C9B">
          <w:rPr>
            <w:webHidden/>
          </w:rPr>
        </w:r>
        <w:r w:rsidR="00521C9B">
          <w:rPr>
            <w:webHidden/>
          </w:rPr>
          <w:fldChar w:fldCharType="separate"/>
        </w:r>
        <w:r w:rsidR="00521C9B">
          <w:rPr>
            <w:webHidden/>
          </w:rPr>
          <w:t>2</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08" w:history="1">
        <w:r w:rsidR="00521C9B" w:rsidRPr="00AF0104">
          <w:rPr>
            <w:rStyle w:val="Hyperlink"/>
          </w:rPr>
          <w:t>2.4</w:t>
        </w:r>
        <w:r w:rsidR="00521C9B">
          <w:rPr>
            <w:rFonts w:asciiTheme="minorHAnsi" w:eastAsiaTheme="minorEastAsia" w:hAnsiTheme="minorHAnsi"/>
            <w:sz w:val="22"/>
            <w:lang w:eastAsia="en-AU"/>
          </w:rPr>
          <w:tab/>
        </w:r>
        <w:r w:rsidR="00521C9B" w:rsidRPr="00AF0104">
          <w:rPr>
            <w:rStyle w:val="Hyperlink"/>
          </w:rPr>
          <w:t>Other Reviews</w:t>
        </w:r>
        <w:r w:rsidR="00521C9B">
          <w:rPr>
            <w:webHidden/>
          </w:rPr>
          <w:tab/>
        </w:r>
        <w:r w:rsidR="00521C9B">
          <w:rPr>
            <w:webHidden/>
          </w:rPr>
          <w:fldChar w:fldCharType="begin"/>
        </w:r>
        <w:r w:rsidR="00521C9B">
          <w:rPr>
            <w:webHidden/>
          </w:rPr>
          <w:instrText xml:space="preserve"> PAGEREF _Toc483482608 \h </w:instrText>
        </w:r>
        <w:r w:rsidR="00521C9B">
          <w:rPr>
            <w:webHidden/>
          </w:rPr>
        </w:r>
        <w:r w:rsidR="00521C9B">
          <w:rPr>
            <w:webHidden/>
          </w:rPr>
          <w:fldChar w:fldCharType="separate"/>
        </w:r>
        <w:r w:rsidR="00521C9B">
          <w:rPr>
            <w:webHidden/>
          </w:rPr>
          <w:t>3</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09" w:history="1">
        <w:r w:rsidR="00521C9B" w:rsidRPr="00AF0104">
          <w:rPr>
            <w:rStyle w:val="Hyperlink"/>
            <w:rFonts w:cs="Times New Roman"/>
          </w:rPr>
          <w:t>3</w:t>
        </w:r>
        <w:r w:rsidR="00521C9B">
          <w:rPr>
            <w:rFonts w:asciiTheme="minorHAnsi" w:eastAsiaTheme="minorEastAsia" w:hAnsiTheme="minorHAnsi"/>
            <w:sz w:val="22"/>
            <w:lang w:eastAsia="en-AU"/>
          </w:rPr>
          <w:tab/>
        </w:r>
        <w:r w:rsidR="00521C9B" w:rsidRPr="00AF0104">
          <w:rPr>
            <w:rStyle w:val="Hyperlink"/>
            <w:rFonts w:cs="Times New Roman"/>
          </w:rPr>
          <w:t>The Current Agreement</w:t>
        </w:r>
        <w:r w:rsidR="00521C9B">
          <w:rPr>
            <w:webHidden/>
          </w:rPr>
          <w:tab/>
        </w:r>
        <w:r w:rsidR="00521C9B">
          <w:rPr>
            <w:webHidden/>
          </w:rPr>
          <w:fldChar w:fldCharType="begin"/>
        </w:r>
        <w:r w:rsidR="00521C9B">
          <w:rPr>
            <w:webHidden/>
          </w:rPr>
          <w:instrText xml:space="preserve"> PAGEREF _Toc483482609 \h </w:instrText>
        </w:r>
        <w:r w:rsidR="00521C9B">
          <w:rPr>
            <w:webHidden/>
          </w:rPr>
        </w:r>
        <w:r w:rsidR="00521C9B">
          <w:rPr>
            <w:webHidden/>
          </w:rPr>
          <w:fldChar w:fldCharType="separate"/>
        </w:r>
        <w:r w:rsidR="00521C9B">
          <w:rPr>
            <w:webHidden/>
          </w:rPr>
          <w:t>4</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0" w:history="1">
        <w:r w:rsidR="00521C9B" w:rsidRPr="00AF0104">
          <w:rPr>
            <w:rStyle w:val="Hyperlink"/>
          </w:rPr>
          <w:t>3.1</w:t>
        </w:r>
        <w:r w:rsidR="00521C9B">
          <w:rPr>
            <w:rFonts w:asciiTheme="minorHAnsi" w:eastAsiaTheme="minorEastAsia" w:hAnsiTheme="minorHAnsi"/>
            <w:sz w:val="22"/>
            <w:lang w:eastAsia="en-AU"/>
          </w:rPr>
          <w:tab/>
        </w:r>
        <w:r w:rsidR="00521C9B" w:rsidRPr="00AF0104">
          <w:rPr>
            <w:rStyle w:val="Hyperlink"/>
          </w:rPr>
          <w:t>NEBRA Purpose</w:t>
        </w:r>
        <w:r w:rsidR="00521C9B">
          <w:rPr>
            <w:webHidden/>
          </w:rPr>
          <w:tab/>
        </w:r>
        <w:r w:rsidR="00521C9B">
          <w:rPr>
            <w:webHidden/>
          </w:rPr>
          <w:fldChar w:fldCharType="begin"/>
        </w:r>
        <w:r w:rsidR="00521C9B">
          <w:rPr>
            <w:webHidden/>
          </w:rPr>
          <w:instrText xml:space="preserve"> PAGEREF _Toc483482610 \h </w:instrText>
        </w:r>
        <w:r w:rsidR="00521C9B">
          <w:rPr>
            <w:webHidden/>
          </w:rPr>
        </w:r>
        <w:r w:rsidR="00521C9B">
          <w:rPr>
            <w:webHidden/>
          </w:rPr>
          <w:fldChar w:fldCharType="separate"/>
        </w:r>
        <w:r w:rsidR="00521C9B">
          <w:rPr>
            <w:webHidden/>
          </w:rPr>
          <w:t>4</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1" w:history="1">
        <w:r w:rsidR="00521C9B" w:rsidRPr="00AF0104">
          <w:rPr>
            <w:rStyle w:val="Hyperlink"/>
          </w:rPr>
          <w:t>3.2</w:t>
        </w:r>
        <w:r w:rsidR="00521C9B">
          <w:rPr>
            <w:rFonts w:asciiTheme="minorHAnsi" w:eastAsiaTheme="minorEastAsia" w:hAnsiTheme="minorHAnsi"/>
            <w:sz w:val="22"/>
            <w:lang w:eastAsia="en-AU"/>
          </w:rPr>
          <w:tab/>
        </w:r>
        <w:r w:rsidR="00521C9B" w:rsidRPr="00AF0104">
          <w:rPr>
            <w:rStyle w:val="Hyperlink"/>
          </w:rPr>
          <w:t>NEBRA and Other Biosecurity Response Agreements</w:t>
        </w:r>
        <w:r w:rsidR="00521C9B">
          <w:rPr>
            <w:webHidden/>
          </w:rPr>
          <w:tab/>
        </w:r>
        <w:r w:rsidR="00521C9B">
          <w:rPr>
            <w:webHidden/>
          </w:rPr>
          <w:fldChar w:fldCharType="begin"/>
        </w:r>
        <w:r w:rsidR="00521C9B">
          <w:rPr>
            <w:webHidden/>
          </w:rPr>
          <w:instrText xml:space="preserve"> PAGEREF _Toc483482611 \h </w:instrText>
        </w:r>
        <w:r w:rsidR="00521C9B">
          <w:rPr>
            <w:webHidden/>
          </w:rPr>
        </w:r>
        <w:r w:rsidR="00521C9B">
          <w:rPr>
            <w:webHidden/>
          </w:rPr>
          <w:fldChar w:fldCharType="separate"/>
        </w:r>
        <w:r w:rsidR="00521C9B">
          <w:rPr>
            <w:webHidden/>
          </w:rPr>
          <w:t>4</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2" w:history="1">
        <w:r w:rsidR="00521C9B" w:rsidRPr="00AF0104">
          <w:rPr>
            <w:rStyle w:val="Hyperlink"/>
          </w:rPr>
          <w:t>3.3</w:t>
        </w:r>
        <w:r w:rsidR="00521C9B">
          <w:rPr>
            <w:rFonts w:asciiTheme="minorHAnsi" w:eastAsiaTheme="minorEastAsia" w:hAnsiTheme="minorHAnsi"/>
            <w:sz w:val="22"/>
            <w:lang w:eastAsia="en-AU"/>
          </w:rPr>
          <w:tab/>
        </w:r>
        <w:r w:rsidR="00521C9B" w:rsidRPr="00AF0104">
          <w:rPr>
            <w:rStyle w:val="Hyperlink"/>
          </w:rPr>
          <w:t>NEBRA Decision Making Structure</w:t>
        </w:r>
        <w:r w:rsidR="00521C9B">
          <w:rPr>
            <w:webHidden/>
          </w:rPr>
          <w:tab/>
        </w:r>
        <w:r w:rsidR="00521C9B">
          <w:rPr>
            <w:webHidden/>
          </w:rPr>
          <w:fldChar w:fldCharType="begin"/>
        </w:r>
        <w:r w:rsidR="00521C9B">
          <w:rPr>
            <w:webHidden/>
          </w:rPr>
          <w:instrText xml:space="preserve"> PAGEREF _Toc483482612 \h </w:instrText>
        </w:r>
        <w:r w:rsidR="00521C9B">
          <w:rPr>
            <w:webHidden/>
          </w:rPr>
        </w:r>
        <w:r w:rsidR="00521C9B">
          <w:rPr>
            <w:webHidden/>
          </w:rPr>
          <w:fldChar w:fldCharType="separate"/>
        </w:r>
        <w:r w:rsidR="00521C9B">
          <w:rPr>
            <w:webHidden/>
          </w:rPr>
          <w:t>6</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3" w:history="1">
        <w:r w:rsidR="00521C9B" w:rsidRPr="00AF0104">
          <w:rPr>
            <w:rStyle w:val="Hyperlink"/>
          </w:rPr>
          <w:t>3.4</w:t>
        </w:r>
        <w:r w:rsidR="00521C9B">
          <w:rPr>
            <w:rFonts w:asciiTheme="minorHAnsi" w:eastAsiaTheme="minorEastAsia" w:hAnsiTheme="minorHAnsi"/>
            <w:sz w:val="22"/>
            <w:lang w:eastAsia="en-AU"/>
          </w:rPr>
          <w:tab/>
        </w:r>
        <w:r w:rsidR="00521C9B" w:rsidRPr="00AF0104">
          <w:rPr>
            <w:rStyle w:val="Hyperlink"/>
          </w:rPr>
          <w:t>NEBRA National Significance Criteria</w:t>
        </w:r>
        <w:r w:rsidR="00521C9B">
          <w:rPr>
            <w:webHidden/>
          </w:rPr>
          <w:tab/>
        </w:r>
        <w:r w:rsidR="00521C9B">
          <w:rPr>
            <w:webHidden/>
          </w:rPr>
          <w:fldChar w:fldCharType="begin"/>
        </w:r>
        <w:r w:rsidR="00521C9B">
          <w:rPr>
            <w:webHidden/>
          </w:rPr>
          <w:instrText xml:space="preserve"> PAGEREF _Toc483482613 \h </w:instrText>
        </w:r>
        <w:r w:rsidR="00521C9B">
          <w:rPr>
            <w:webHidden/>
          </w:rPr>
        </w:r>
        <w:r w:rsidR="00521C9B">
          <w:rPr>
            <w:webHidden/>
          </w:rPr>
          <w:fldChar w:fldCharType="separate"/>
        </w:r>
        <w:r w:rsidR="00521C9B">
          <w:rPr>
            <w:webHidden/>
          </w:rPr>
          <w:t>7</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4" w:history="1">
        <w:r w:rsidR="00521C9B" w:rsidRPr="00AF0104">
          <w:rPr>
            <w:rStyle w:val="Hyperlink"/>
          </w:rPr>
          <w:t>3.5</w:t>
        </w:r>
        <w:r w:rsidR="00521C9B">
          <w:rPr>
            <w:rFonts w:asciiTheme="minorHAnsi" w:eastAsiaTheme="minorEastAsia" w:hAnsiTheme="minorHAnsi"/>
            <w:sz w:val="22"/>
            <w:lang w:eastAsia="en-AU"/>
          </w:rPr>
          <w:tab/>
        </w:r>
        <w:r w:rsidR="00521C9B" w:rsidRPr="00AF0104">
          <w:rPr>
            <w:rStyle w:val="Hyperlink"/>
          </w:rPr>
          <w:t>NEBRA Feasibility of Eradication Criteria</w:t>
        </w:r>
        <w:r w:rsidR="00521C9B">
          <w:rPr>
            <w:webHidden/>
          </w:rPr>
          <w:tab/>
        </w:r>
        <w:r w:rsidR="00521C9B">
          <w:rPr>
            <w:webHidden/>
          </w:rPr>
          <w:fldChar w:fldCharType="begin"/>
        </w:r>
        <w:r w:rsidR="00521C9B">
          <w:rPr>
            <w:webHidden/>
          </w:rPr>
          <w:instrText xml:space="preserve"> PAGEREF _Toc483482614 \h </w:instrText>
        </w:r>
        <w:r w:rsidR="00521C9B">
          <w:rPr>
            <w:webHidden/>
          </w:rPr>
        </w:r>
        <w:r w:rsidR="00521C9B">
          <w:rPr>
            <w:webHidden/>
          </w:rPr>
          <w:fldChar w:fldCharType="separate"/>
        </w:r>
        <w:r w:rsidR="00521C9B">
          <w:rPr>
            <w:webHidden/>
          </w:rPr>
          <w:t>8</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5" w:history="1">
        <w:r w:rsidR="00521C9B" w:rsidRPr="00AF0104">
          <w:rPr>
            <w:rStyle w:val="Hyperlink"/>
          </w:rPr>
          <w:t>3.6</w:t>
        </w:r>
        <w:r w:rsidR="00521C9B">
          <w:rPr>
            <w:rFonts w:asciiTheme="minorHAnsi" w:eastAsiaTheme="minorEastAsia" w:hAnsiTheme="minorHAnsi"/>
            <w:sz w:val="22"/>
            <w:lang w:eastAsia="en-AU"/>
          </w:rPr>
          <w:tab/>
        </w:r>
        <w:r w:rsidR="00521C9B" w:rsidRPr="00AF0104">
          <w:rPr>
            <w:rStyle w:val="Hyperlink"/>
          </w:rPr>
          <w:t>NEBRA Benefit-Cost Criteria</w:t>
        </w:r>
        <w:r w:rsidR="00521C9B">
          <w:rPr>
            <w:webHidden/>
          </w:rPr>
          <w:tab/>
        </w:r>
        <w:r w:rsidR="00521C9B">
          <w:rPr>
            <w:webHidden/>
          </w:rPr>
          <w:fldChar w:fldCharType="begin"/>
        </w:r>
        <w:r w:rsidR="00521C9B">
          <w:rPr>
            <w:webHidden/>
          </w:rPr>
          <w:instrText xml:space="preserve"> PAGEREF _Toc483482615 \h </w:instrText>
        </w:r>
        <w:r w:rsidR="00521C9B">
          <w:rPr>
            <w:webHidden/>
          </w:rPr>
        </w:r>
        <w:r w:rsidR="00521C9B">
          <w:rPr>
            <w:webHidden/>
          </w:rPr>
          <w:fldChar w:fldCharType="separate"/>
        </w:r>
        <w:r w:rsidR="00521C9B">
          <w:rPr>
            <w:webHidden/>
          </w:rPr>
          <w:t>8</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6" w:history="1">
        <w:r w:rsidR="00521C9B" w:rsidRPr="00AF0104">
          <w:rPr>
            <w:rStyle w:val="Hyperlink"/>
          </w:rPr>
          <w:t>3.7</w:t>
        </w:r>
        <w:r w:rsidR="00521C9B">
          <w:rPr>
            <w:rFonts w:asciiTheme="minorHAnsi" w:eastAsiaTheme="minorEastAsia" w:hAnsiTheme="minorHAnsi"/>
            <w:sz w:val="22"/>
            <w:lang w:eastAsia="en-AU"/>
          </w:rPr>
          <w:tab/>
        </w:r>
        <w:r w:rsidR="00521C9B" w:rsidRPr="00AF0104">
          <w:rPr>
            <w:rStyle w:val="Hyperlink"/>
          </w:rPr>
          <w:t>Cost Sharing Arrangements</w:t>
        </w:r>
        <w:r w:rsidR="00521C9B">
          <w:rPr>
            <w:webHidden/>
          </w:rPr>
          <w:tab/>
        </w:r>
        <w:r w:rsidR="00521C9B">
          <w:rPr>
            <w:webHidden/>
          </w:rPr>
          <w:fldChar w:fldCharType="begin"/>
        </w:r>
        <w:r w:rsidR="00521C9B">
          <w:rPr>
            <w:webHidden/>
          </w:rPr>
          <w:instrText xml:space="preserve"> PAGEREF _Toc483482616 \h </w:instrText>
        </w:r>
        <w:r w:rsidR="00521C9B">
          <w:rPr>
            <w:webHidden/>
          </w:rPr>
        </w:r>
        <w:r w:rsidR="00521C9B">
          <w:rPr>
            <w:webHidden/>
          </w:rPr>
          <w:fldChar w:fldCharType="separate"/>
        </w:r>
        <w:r w:rsidR="00521C9B">
          <w:rPr>
            <w:webHidden/>
          </w:rPr>
          <w:t>8</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17" w:history="1">
        <w:r w:rsidR="00521C9B" w:rsidRPr="00AF0104">
          <w:rPr>
            <w:rStyle w:val="Hyperlink"/>
          </w:rPr>
          <w:t>4</w:t>
        </w:r>
        <w:r w:rsidR="00521C9B">
          <w:rPr>
            <w:rFonts w:asciiTheme="minorHAnsi" w:eastAsiaTheme="minorEastAsia" w:hAnsiTheme="minorHAnsi"/>
            <w:sz w:val="22"/>
            <w:lang w:eastAsia="en-AU"/>
          </w:rPr>
          <w:tab/>
        </w:r>
        <w:r w:rsidR="00521C9B" w:rsidRPr="00AF0104">
          <w:rPr>
            <w:rStyle w:val="Hyperlink"/>
          </w:rPr>
          <w:t>Findings and Recommendations</w:t>
        </w:r>
        <w:r w:rsidR="00521C9B">
          <w:rPr>
            <w:webHidden/>
          </w:rPr>
          <w:tab/>
        </w:r>
        <w:r w:rsidR="00521C9B">
          <w:rPr>
            <w:webHidden/>
          </w:rPr>
          <w:fldChar w:fldCharType="begin"/>
        </w:r>
        <w:r w:rsidR="00521C9B">
          <w:rPr>
            <w:webHidden/>
          </w:rPr>
          <w:instrText xml:space="preserve"> PAGEREF _Toc483482617 \h </w:instrText>
        </w:r>
        <w:r w:rsidR="00521C9B">
          <w:rPr>
            <w:webHidden/>
          </w:rPr>
        </w:r>
        <w:r w:rsidR="00521C9B">
          <w:rPr>
            <w:webHidden/>
          </w:rPr>
          <w:fldChar w:fldCharType="separate"/>
        </w:r>
        <w:r w:rsidR="00521C9B">
          <w:rPr>
            <w:webHidden/>
          </w:rPr>
          <w:t>9</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8" w:history="1">
        <w:r w:rsidR="00521C9B" w:rsidRPr="00AF0104">
          <w:rPr>
            <w:rStyle w:val="Hyperlink"/>
          </w:rPr>
          <w:t>4.1</w:t>
        </w:r>
        <w:r w:rsidR="00521C9B">
          <w:rPr>
            <w:rFonts w:asciiTheme="minorHAnsi" w:eastAsiaTheme="minorEastAsia" w:hAnsiTheme="minorHAnsi"/>
            <w:sz w:val="22"/>
            <w:lang w:eastAsia="en-AU"/>
          </w:rPr>
          <w:tab/>
        </w:r>
        <w:r w:rsidR="00521C9B" w:rsidRPr="00AF0104">
          <w:rPr>
            <w:rStyle w:val="Hyperlink"/>
          </w:rPr>
          <w:t>Roles and Responsibilities</w:t>
        </w:r>
        <w:r w:rsidR="00521C9B">
          <w:rPr>
            <w:webHidden/>
          </w:rPr>
          <w:tab/>
        </w:r>
        <w:r w:rsidR="00521C9B">
          <w:rPr>
            <w:webHidden/>
          </w:rPr>
          <w:fldChar w:fldCharType="begin"/>
        </w:r>
        <w:r w:rsidR="00521C9B">
          <w:rPr>
            <w:webHidden/>
          </w:rPr>
          <w:instrText xml:space="preserve"> PAGEREF _Toc483482618 \h </w:instrText>
        </w:r>
        <w:r w:rsidR="00521C9B">
          <w:rPr>
            <w:webHidden/>
          </w:rPr>
        </w:r>
        <w:r w:rsidR="00521C9B">
          <w:rPr>
            <w:webHidden/>
          </w:rPr>
          <w:fldChar w:fldCharType="separate"/>
        </w:r>
        <w:r w:rsidR="00521C9B">
          <w:rPr>
            <w:webHidden/>
          </w:rPr>
          <w:t>9</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19" w:history="1">
        <w:r w:rsidR="00521C9B" w:rsidRPr="00AF0104">
          <w:rPr>
            <w:rStyle w:val="Hyperlink"/>
          </w:rPr>
          <w:t>4.2</w:t>
        </w:r>
        <w:r w:rsidR="00521C9B">
          <w:rPr>
            <w:rFonts w:asciiTheme="minorHAnsi" w:eastAsiaTheme="minorEastAsia" w:hAnsiTheme="minorHAnsi"/>
            <w:sz w:val="22"/>
            <w:lang w:eastAsia="en-AU"/>
          </w:rPr>
          <w:tab/>
        </w:r>
        <w:r w:rsidR="00521C9B" w:rsidRPr="00AF0104">
          <w:rPr>
            <w:rStyle w:val="Hyperlink"/>
          </w:rPr>
          <w:t>NEBRA Custodianship</w:t>
        </w:r>
        <w:r w:rsidR="00521C9B">
          <w:rPr>
            <w:webHidden/>
          </w:rPr>
          <w:tab/>
        </w:r>
        <w:r w:rsidR="00521C9B">
          <w:rPr>
            <w:webHidden/>
          </w:rPr>
          <w:fldChar w:fldCharType="begin"/>
        </w:r>
        <w:r w:rsidR="00521C9B">
          <w:rPr>
            <w:webHidden/>
          </w:rPr>
          <w:instrText xml:space="preserve"> PAGEREF _Toc483482619 \h </w:instrText>
        </w:r>
        <w:r w:rsidR="00521C9B">
          <w:rPr>
            <w:webHidden/>
          </w:rPr>
        </w:r>
        <w:r w:rsidR="00521C9B">
          <w:rPr>
            <w:webHidden/>
          </w:rPr>
          <w:fldChar w:fldCharType="separate"/>
        </w:r>
        <w:r w:rsidR="00521C9B">
          <w:rPr>
            <w:webHidden/>
          </w:rPr>
          <w:t>10</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20" w:history="1">
        <w:r w:rsidR="00521C9B" w:rsidRPr="00AF0104">
          <w:rPr>
            <w:rStyle w:val="Hyperlink"/>
          </w:rPr>
          <w:t>4.3</w:t>
        </w:r>
        <w:r w:rsidR="00521C9B">
          <w:rPr>
            <w:rFonts w:asciiTheme="minorHAnsi" w:eastAsiaTheme="minorEastAsia" w:hAnsiTheme="minorHAnsi"/>
            <w:sz w:val="22"/>
            <w:lang w:eastAsia="en-AU"/>
          </w:rPr>
          <w:tab/>
        </w:r>
        <w:r w:rsidR="00521C9B" w:rsidRPr="00AF0104">
          <w:rPr>
            <w:rStyle w:val="Hyperlink"/>
          </w:rPr>
          <w:t>NEBRA Communication</w:t>
        </w:r>
        <w:r w:rsidR="00521C9B">
          <w:rPr>
            <w:webHidden/>
          </w:rPr>
          <w:tab/>
        </w:r>
        <w:r w:rsidR="00521C9B">
          <w:rPr>
            <w:webHidden/>
          </w:rPr>
          <w:fldChar w:fldCharType="begin"/>
        </w:r>
        <w:r w:rsidR="00521C9B">
          <w:rPr>
            <w:webHidden/>
          </w:rPr>
          <w:instrText xml:space="preserve"> PAGEREF _Toc483482620 \h </w:instrText>
        </w:r>
        <w:r w:rsidR="00521C9B">
          <w:rPr>
            <w:webHidden/>
          </w:rPr>
        </w:r>
        <w:r w:rsidR="00521C9B">
          <w:rPr>
            <w:webHidden/>
          </w:rPr>
          <w:fldChar w:fldCharType="separate"/>
        </w:r>
        <w:r w:rsidR="00521C9B">
          <w:rPr>
            <w:webHidden/>
          </w:rPr>
          <w:t>13</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21" w:history="1">
        <w:r w:rsidR="00521C9B" w:rsidRPr="00AF0104">
          <w:rPr>
            <w:rStyle w:val="Hyperlink"/>
          </w:rPr>
          <w:t>4.4</w:t>
        </w:r>
        <w:r w:rsidR="00521C9B">
          <w:rPr>
            <w:rFonts w:asciiTheme="minorHAnsi" w:eastAsiaTheme="minorEastAsia" w:hAnsiTheme="minorHAnsi"/>
            <w:sz w:val="22"/>
            <w:lang w:eastAsia="en-AU"/>
          </w:rPr>
          <w:tab/>
        </w:r>
        <w:r w:rsidR="00521C9B" w:rsidRPr="00AF0104">
          <w:rPr>
            <w:rStyle w:val="Hyperlink"/>
          </w:rPr>
          <w:t>NEBRA Management</w:t>
        </w:r>
        <w:r w:rsidR="00521C9B">
          <w:rPr>
            <w:webHidden/>
          </w:rPr>
          <w:tab/>
        </w:r>
        <w:r w:rsidR="00521C9B">
          <w:rPr>
            <w:webHidden/>
          </w:rPr>
          <w:fldChar w:fldCharType="begin"/>
        </w:r>
        <w:r w:rsidR="00521C9B">
          <w:rPr>
            <w:webHidden/>
          </w:rPr>
          <w:instrText xml:space="preserve"> PAGEREF _Toc483482621 \h </w:instrText>
        </w:r>
        <w:r w:rsidR="00521C9B">
          <w:rPr>
            <w:webHidden/>
          </w:rPr>
        </w:r>
        <w:r w:rsidR="00521C9B">
          <w:rPr>
            <w:webHidden/>
          </w:rPr>
          <w:fldChar w:fldCharType="separate"/>
        </w:r>
        <w:r w:rsidR="00521C9B">
          <w:rPr>
            <w:webHidden/>
          </w:rPr>
          <w:t>14</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22" w:history="1">
        <w:r w:rsidR="00521C9B" w:rsidRPr="00AF0104">
          <w:rPr>
            <w:rStyle w:val="Hyperlink"/>
          </w:rPr>
          <w:t>4.5</w:t>
        </w:r>
        <w:r w:rsidR="00521C9B">
          <w:rPr>
            <w:rFonts w:asciiTheme="minorHAnsi" w:eastAsiaTheme="minorEastAsia" w:hAnsiTheme="minorHAnsi"/>
            <w:sz w:val="22"/>
            <w:lang w:eastAsia="en-AU"/>
          </w:rPr>
          <w:tab/>
        </w:r>
        <w:r w:rsidR="00521C9B" w:rsidRPr="00AF0104">
          <w:rPr>
            <w:rStyle w:val="Hyperlink"/>
          </w:rPr>
          <w:t>Governance and Decision Making</w:t>
        </w:r>
        <w:r w:rsidR="00521C9B">
          <w:rPr>
            <w:webHidden/>
          </w:rPr>
          <w:tab/>
        </w:r>
        <w:r w:rsidR="00521C9B">
          <w:rPr>
            <w:webHidden/>
          </w:rPr>
          <w:fldChar w:fldCharType="begin"/>
        </w:r>
        <w:r w:rsidR="00521C9B">
          <w:rPr>
            <w:webHidden/>
          </w:rPr>
          <w:instrText xml:space="preserve"> PAGEREF _Toc483482622 \h </w:instrText>
        </w:r>
        <w:r w:rsidR="00521C9B">
          <w:rPr>
            <w:webHidden/>
          </w:rPr>
        </w:r>
        <w:r w:rsidR="00521C9B">
          <w:rPr>
            <w:webHidden/>
          </w:rPr>
          <w:fldChar w:fldCharType="separate"/>
        </w:r>
        <w:r w:rsidR="00521C9B">
          <w:rPr>
            <w:webHidden/>
          </w:rPr>
          <w:t>17</w:t>
        </w:r>
        <w:r w:rsidR="00521C9B">
          <w:rPr>
            <w:webHidden/>
          </w:rPr>
          <w:fldChar w:fldCharType="end"/>
        </w:r>
      </w:hyperlink>
    </w:p>
    <w:p w:rsidR="00521C9B" w:rsidRDefault="00125534">
      <w:pPr>
        <w:pStyle w:val="TOC2"/>
        <w:tabs>
          <w:tab w:val="left" w:pos="1100"/>
        </w:tabs>
        <w:rPr>
          <w:rFonts w:asciiTheme="minorHAnsi" w:eastAsiaTheme="minorEastAsia" w:hAnsiTheme="minorHAnsi"/>
          <w:sz w:val="22"/>
          <w:lang w:eastAsia="en-AU"/>
        </w:rPr>
      </w:pPr>
      <w:hyperlink w:anchor="_Toc483482623" w:history="1">
        <w:r w:rsidR="00521C9B" w:rsidRPr="00AF0104">
          <w:rPr>
            <w:rStyle w:val="Hyperlink"/>
          </w:rPr>
          <w:t>4.6</w:t>
        </w:r>
        <w:r w:rsidR="00521C9B">
          <w:rPr>
            <w:rFonts w:asciiTheme="minorHAnsi" w:eastAsiaTheme="minorEastAsia" w:hAnsiTheme="minorHAnsi"/>
            <w:sz w:val="22"/>
            <w:lang w:eastAsia="en-AU"/>
          </w:rPr>
          <w:tab/>
        </w:r>
        <w:r w:rsidR="00521C9B" w:rsidRPr="00AF0104">
          <w:rPr>
            <w:rStyle w:val="Hyperlink"/>
          </w:rPr>
          <w:t>Technical Elements of the Agreement: Risk Assessment, National Significance, Technical Feasibility and Benefit-Cost</w:t>
        </w:r>
        <w:r w:rsidR="00521C9B">
          <w:rPr>
            <w:webHidden/>
          </w:rPr>
          <w:tab/>
        </w:r>
        <w:r w:rsidR="00521C9B">
          <w:rPr>
            <w:webHidden/>
          </w:rPr>
          <w:fldChar w:fldCharType="begin"/>
        </w:r>
        <w:r w:rsidR="00521C9B">
          <w:rPr>
            <w:webHidden/>
          </w:rPr>
          <w:instrText xml:space="preserve"> PAGEREF _Toc483482623 \h </w:instrText>
        </w:r>
        <w:r w:rsidR="00521C9B">
          <w:rPr>
            <w:webHidden/>
          </w:rPr>
        </w:r>
        <w:r w:rsidR="00521C9B">
          <w:rPr>
            <w:webHidden/>
          </w:rPr>
          <w:fldChar w:fldCharType="separate"/>
        </w:r>
        <w:r w:rsidR="00521C9B">
          <w:rPr>
            <w:webHidden/>
          </w:rPr>
          <w:t>21</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24" w:history="1">
        <w:r w:rsidR="00521C9B" w:rsidRPr="00AF0104">
          <w:rPr>
            <w:rStyle w:val="Hyperlink"/>
            <w:rFonts w:cs="Times New Roman"/>
          </w:rPr>
          <w:t>Appendix A : NEBRA Review Guiding Questions</w:t>
        </w:r>
        <w:r w:rsidR="00521C9B">
          <w:rPr>
            <w:webHidden/>
          </w:rPr>
          <w:tab/>
        </w:r>
        <w:r w:rsidR="00521C9B">
          <w:rPr>
            <w:webHidden/>
          </w:rPr>
          <w:fldChar w:fldCharType="begin"/>
        </w:r>
        <w:r w:rsidR="00521C9B">
          <w:rPr>
            <w:webHidden/>
          </w:rPr>
          <w:instrText xml:space="preserve"> PAGEREF _Toc483482624 \h </w:instrText>
        </w:r>
        <w:r w:rsidR="00521C9B">
          <w:rPr>
            <w:webHidden/>
          </w:rPr>
        </w:r>
        <w:r w:rsidR="00521C9B">
          <w:rPr>
            <w:webHidden/>
          </w:rPr>
          <w:fldChar w:fldCharType="separate"/>
        </w:r>
        <w:r w:rsidR="00521C9B">
          <w:rPr>
            <w:webHidden/>
          </w:rPr>
          <w:t>25</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25" w:history="1">
        <w:r w:rsidR="00521C9B" w:rsidRPr="00AF0104">
          <w:rPr>
            <w:rStyle w:val="Hyperlink"/>
            <w:rFonts w:cs="Times New Roman"/>
          </w:rPr>
          <w:t>Appendix B : Face-to-face Consultation Sessions – Dates and Organisations Represented</w:t>
        </w:r>
        <w:r w:rsidR="00521C9B">
          <w:rPr>
            <w:webHidden/>
          </w:rPr>
          <w:tab/>
        </w:r>
        <w:r w:rsidR="00521C9B">
          <w:rPr>
            <w:webHidden/>
          </w:rPr>
          <w:fldChar w:fldCharType="begin"/>
        </w:r>
        <w:r w:rsidR="00521C9B">
          <w:rPr>
            <w:webHidden/>
          </w:rPr>
          <w:instrText xml:space="preserve"> PAGEREF _Toc483482625 \h </w:instrText>
        </w:r>
        <w:r w:rsidR="00521C9B">
          <w:rPr>
            <w:webHidden/>
          </w:rPr>
        </w:r>
        <w:r w:rsidR="00521C9B">
          <w:rPr>
            <w:webHidden/>
          </w:rPr>
          <w:fldChar w:fldCharType="separate"/>
        </w:r>
        <w:r w:rsidR="00521C9B">
          <w:rPr>
            <w:webHidden/>
          </w:rPr>
          <w:t>27</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26" w:history="1">
        <w:r w:rsidR="00521C9B" w:rsidRPr="00AF0104">
          <w:rPr>
            <w:rStyle w:val="Hyperlink"/>
            <w:rFonts w:cs="Times New Roman"/>
          </w:rPr>
          <w:t>Appendix C : List of Other Organisations Invited to Participate in Consultation Sessions</w:t>
        </w:r>
        <w:r w:rsidR="00521C9B">
          <w:rPr>
            <w:webHidden/>
          </w:rPr>
          <w:tab/>
        </w:r>
        <w:r w:rsidR="00521C9B">
          <w:rPr>
            <w:webHidden/>
          </w:rPr>
          <w:fldChar w:fldCharType="begin"/>
        </w:r>
        <w:r w:rsidR="00521C9B">
          <w:rPr>
            <w:webHidden/>
          </w:rPr>
          <w:instrText xml:space="preserve"> PAGEREF _Toc483482626 \h </w:instrText>
        </w:r>
        <w:r w:rsidR="00521C9B">
          <w:rPr>
            <w:webHidden/>
          </w:rPr>
        </w:r>
        <w:r w:rsidR="00521C9B">
          <w:rPr>
            <w:webHidden/>
          </w:rPr>
          <w:fldChar w:fldCharType="separate"/>
        </w:r>
        <w:r w:rsidR="00521C9B">
          <w:rPr>
            <w:webHidden/>
          </w:rPr>
          <w:t>32</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27" w:history="1">
        <w:r w:rsidR="00521C9B" w:rsidRPr="00AF0104">
          <w:rPr>
            <w:rStyle w:val="Hyperlink"/>
            <w:rFonts w:cs="Times New Roman"/>
          </w:rPr>
          <w:t>Appendix D : Written Submissions to the Review</w:t>
        </w:r>
        <w:r w:rsidR="00521C9B">
          <w:rPr>
            <w:webHidden/>
          </w:rPr>
          <w:tab/>
        </w:r>
        <w:r w:rsidR="00521C9B">
          <w:rPr>
            <w:webHidden/>
          </w:rPr>
          <w:fldChar w:fldCharType="begin"/>
        </w:r>
        <w:r w:rsidR="00521C9B">
          <w:rPr>
            <w:webHidden/>
          </w:rPr>
          <w:instrText xml:space="preserve"> PAGEREF _Toc483482627 \h </w:instrText>
        </w:r>
        <w:r w:rsidR="00521C9B">
          <w:rPr>
            <w:webHidden/>
          </w:rPr>
        </w:r>
        <w:r w:rsidR="00521C9B">
          <w:rPr>
            <w:webHidden/>
          </w:rPr>
          <w:fldChar w:fldCharType="separate"/>
        </w:r>
        <w:r w:rsidR="00521C9B">
          <w:rPr>
            <w:webHidden/>
          </w:rPr>
          <w:t>42</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28" w:history="1">
        <w:r w:rsidR="00521C9B" w:rsidRPr="00AF0104">
          <w:rPr>
            <w:rStyle w:val="Hyperlink"/>
            <w:rFonts w:cs="Times New Roman"/>
          </w:rPr>
          <w:t>Appendix E : Decision Flow Chart</w:t>
        </w:r>
        <w:r w:rsidR="00521C9B">
          <w:rPr>
            <w:webHidden/>
          </w:rPr>
          <w:tab/>
        </w:r>
        <w:r w:rsidR="00521C9B">
          <w:rPr>
            <w:webHidden/>
          </w:rPr>
          <w:fldChar w:fldCharType="begin"/>
        </w:r>
        <w:r w:rsidR="00521C9B">
          <w:rPr>
            <w:webHidden/>
          </w:rPr>
          <w:instrText xml:space="preserve"> PAGEREF _Toc483482628 \h </w:instrText>
        </w:r>
        <w:r w:rsidR="00521C9B">
          <w:rPr>
            <w:webHidden/>
          </w:rPr>
        </w:r>
        <w:r w:rsidR="00521C9B">
          <w:rPr>
            <w:webHidden/>
          </w:rPr>
          <w:fldChar w:fldCharType="separate"/>
        </w:r>
        <w:r w:rsidR="00521C9B">
          <w:rPr>
            <w:webHidden/>
          </w:rPr>
          <w:t>43</w:t>
        </w:r>
        <w:r w:rsidR="00521C9B">
          <w:rPr>
            <w:webHidden/>
          </w:rPr>
          <w:fldChar w:fldCharType="end"/>
        </w:r>
      </w:hyperlink>
    </w:p>
    <w:p w:rsidR="00521C9B" w:rsidRDefault="00125534">
      <w:pPr>
        <w:pStyle w:val="TOC1"/>
        <w:rPr>
          <w:rFonts w:asciiTheme="minorHAnsi" w:eastAsiaTheme="minorEastAsia" w:hAnsiTheme="minorHAnsi"/>
          <w:sz w:val="22"/>
          <w:lang w:eastAsia="en-AU"/>
        </w:rPr>
      </w:pPr>
      <w:hyperlink w:anchor="_Toc483482629" w:history="1">
        <w:r w:rsidR="00521C9B" w:rsidRPr="00AF0104">
          <w:rPr>
            <w:rStyle w:val="Hyperlink"/>
            <w:rFonts w:cs="Times New Roman"/>
          </w:rPr>
          <w:t>Appendix F : Minor Technical and Definitional Amendments</w:t>
        </w:r>
        <w:r w:rsidR="00521C9B">
          <w:rPr>
            <w:webHidden/>
          </w:rPr>
          <w:tab/>
        </w:r>
        <w:r w:rsidR="00521C9B">
          <w:rPr>
            <w:webHidden/>
          </w:rPr>
          <w:fldChar w:fldCharType="begin"/>
        </w:r>
        <w:r w:rsidR="00521C9B">
          <w:rPr>
            <w:webHidden/>
          </w:rPr>
          <w:instrText xml:space="preserve"> PAGEREF _Toc483482629 \h </w:instrText>
        </w:r>
        <w:r w:rsidR="00521C9B">
          <w:rPr>
            <w:webHidden/>
          </w:rPr>
        </w:r>
        <w:r w:rsidR="00521C9B">
          <w:rPr>
            <w:webHidden/>
          </w:rPr>
          <w:fldChar w:fldCharType="separate"/>
        </w:r>
        <w:r w:rsidR="00521C9B">
          <w:rPr>
            <w:webHidden/>
          </w:rPr>
          <w:t>44</w:t>
        </w:r>
        <w:r w:rsidR="00521C9B">
          <w:rPr>
            <w:webHidden/>
          </w:rPr>
          <w:fldChar w:fldCharType="end"/>
        </w:r>
      </w:hyperlink>
    </w:p>
    <w:p w:rsidR="007634C5" w:rsidRDefault="00C13D7A" w:rsidP="00E02C03">
      <w:pPr>
        <w:pStyle w:val="TOC1"/>
      </w:pPr>
      <w:r>
        <w:fldChar w:fldCharType="end"/>
      </w:r>
    </w:p>
    <w:p w:rsidR="009633A2" w:rsidRDefault="009633A2" w:rsidP="007634C5">
      <w:pPr>
        <w:pStyle w:val="BodyText1"/>
      </w:pPr>
    </w:p>
    <w:p w:rsidR="009633A2" w:rsidRDefault="009633A2" w:rsidP="007634C5">
      <w:pPr>
        <w:pStyle w:val="BodyText1"/>
        <w:sectPr w:rsidR="009633A2" w:rsidSect="00CB7EE2">
          <w:pgSz w:w="16838" w:h="11906" w:orient="landscape"/>
          <w:pgMar w:top="1418" w:right="1418" w:bottom="1418" w:left="1418" w:header="709" w:footer="709" w:gutter="0"/>
          <w:pgNumType w:fmt="lowerRoman"/>
          <w:cols w:space="708"/>
          <w:docGrid w:linePitch="360"/>
        </w:sectPr>
      </w:pPr>
    </w:p>
    <w:p w:rsidR="00860A83" w:rsidRPr="00860A83" w:rsidRDefault="006157AB" w:rsidP="00860A83">
      <w:pPr>
        <w:pStyle w:val="Heading1"/>
      </w:pPr>
      <w:bookmarkStart w:id="2" w:name="_Toc483482604"/>
      <w:r>
        <w:t>Introduction</w:t>
      </w:r>
      <w:bookmarkEnd w:id="2"/>
    </w:p>
    <w:p w:rsidR="009633A2" w:rsidRDefault="006157AB" w:rsidP="006157AB">
      <w:pPr>
        <w:pStyle w:val="Heading2"/>
      </w:pPr>
      <w:bookmarkStart w:id="3" w:name="_Toc483482605"/>
      <w:r>
        <w:t>Back</w:t>
      </w:r>
      <w:r w:rsidR="0064098A">
        <w:t>g</w:t>
      </w:r>
      <w:r>
        <w:t>round</w:t>
      </w:r>
      <w:bookmarkEnd w:id="3"/>
    </w:p>
    <w:p w:rsidR="006157AB" w:rsidRDefault="006157AB" w:rsidP="006157AB">
      <w:r>
        <w:t>Australia’s national biosecurity system aims to maintain our favourable pest and disease status and minimise the impact of pests and diseases on Australia’s economy, environment and community. This system is underpinned by a number of national frameworks, including the Intergovernmental Agreement on Biosecurity (IGAB), which aims to strengthen the working partnerships between Commonwealth, state and territory governments and improve the national biosecurity system.</w:t>
      </w:r>
    </w:p>
    <w:p w:rsidR="00594EC8" w:rsidRDefault="006157AB" w:rsidP="006157AB">
      <w:r>
        <w:t xml:space="preserve">The National Environmental Biosecurity Response Agreement (NEBRA) sets out a framework for responding to national biosecurity incidents where there are predominantly public benefits. </w:t>
      </w:r>
      <w:r w:rsidR="00594EC8">
        <w:t xml:space="preserve"> </w:t>
      </w:r>
      <w:r>
        <w:t xml:space="preserve">This includes incursions of exotic pests and diseases in terrestrial and aquatic environments. </w:t>
      </w:r>
      <w:r w:rsidR="00594EC8">
        <w:t xml:space="preserve"> </w:t>
      </w:r>
      <w:r>
        <w:t>The NEBRA operates alongside the Emergency Animal Disease Response Agreement (EADRA) and the Emergency Plant Pest Response Deed (EPPRD)</w:t>
      </w:r>
      <w:r w:rsidR="00594EC8">
        <w:t xml:space="preserve"> which provide a framework for national responses to diseases and pests of production animals and plants respectively</w:t>
      </w:r>
      <w:r>
        <w:t>.</w:t>
      </w:r>
      <w:r w:rsidR="00594EC8">
        <w:t xml:space="preserve"> </w:t>
      </w:r>
      <w:r>
        <w:t xml:space="preserve"> Exotic</w:t>
      </w:r>
      <w:r w:rsidR="008219E3">
        <w:t xml:space="preserve"> agricultural</w:t>
      </w:r>
      <w:r>
        <w:t xml:space="preserve"> weed and aquatic disease response agreements are also in devel</w:t>
      </w:r>
      <w:r w:rsidR="00594EC8">
        <w:t>opment.</w:t>
      </w:r>
    </w:p>
    <w:p w:rsidR="006157AB" w:rsidRDefault="006157AB" w:rsidP="006157AB">
      <w:r>
        <w:t xml:space="preserve">All agreements contribute to the first principle of the IGAB – that biosecurity is a shared responsibility – and help to achieve the second </w:t>
      </w:r>
      <w:r w:rsidRPr="00295213">
        <w:t>objective</w:t>
      </w:r>
      <w:r>
        <w:t xml:space="preserve"> of the IGAB – to prepare and allow for effective responses to, and management of, exotic and emerging pests and diseases that enter, establish or spread in Australia.</w:t>
      </w:r>
      <w:r w:rsidR="00D36811">
        <w:rPr>
          <w:rStyle w:val="FootnoteReference"/>
        </w:rPr>
        <w:footnoteReference w:id="2"/>
      </w:r>
    </w:p>
    <w:p w:rsidR="00EC5AEC" w:rsidRDefault="006157AB" w:rsidP="006157AB">
      <w:r>
        <w:t xml:space="preserve">Since it was signed in 2012, five nationally cost-shared eradication responses have been managed </w:t>
      </w:r>
      <w:r w:rsidR="00295213">
        <w:t xml:space="preserve">through </w:t>
      </w:r>
      <w:r>
        <w:t xml:space="preserve">the NEBRA. These include eradication </w:t>
      </w:r>
      <w:r w:rsidR="00295213">
        <w:t xml:space="preserve">programs </w:t>
      </w:r>
      <w:r>
        <w:t>for</w:t>
      </w:r>
      <w:r w:rsidR="00EC5AEC">
        <w:t>:</w:t>
      </w:r>
      <w:r>
        <w:t xml:space="preserve"> three </w:t>
      </w:r>
      <w:r w:rsidR="006C2D16">
        <w:t xml:space="preserve">separate </w:t>
      </w:r>
      <w:r>
        <w:t>red imported fire ant incursions in Port Botany, Yarwun and Brisbane Airport</w:t>
      </w:r>
      <w:r w:rsidR="00EC5AEC">
        <w:t>;</w:t>
      </w:r>
      <w:r>
        <w:t xml:space="preserve"> browsing ant in Darwin</w:t>
      </w:r>
      <w:r w:rsidR="00EC5AEC">
        <w:t>;</w:t>
      </w:r>
      <w:r>
        <w:t xml:space="preserve"> and Macao paper wasp on the Cocos (Keeling) Islands. </w:t>
      </w:r>
    </w:p>
    <w:p w:rsidR="006157AB" w:rsidRDefault="006157AB" w:rsidP="006157AB">
      <w:r>
        <w:t xml:space="preserve">The recent eradication of red imported fire ants at Yarwun was the first NEBRA </w:t>
      </w:r>
      <w:r w:rsidR="00295213">
        <w:t>program</w:t>
      </w:r>
      <w:r>
        <w:t xml:space="preserve"> to reach completion.</w:t>
      </w:r>
      <w:r w:rsidR="00AF0162">
        <w:t xml:space="preserve">  Final surveillance is also underway at Port Botany to demonstrate freedom from red imported fire ants.</w:t>
      </w:r>
    </w:p>
    <w:p w:rsidR="006157AB" w:rsidRDefault="006157AB" w:rsidP="006157AB">
      <w:r>
        <w:t>Part VIII of the NEBRA requires that a review of the agreement’s implementation and effectiveness is conducted within five years of commencement and a report prepared for Commonwealth, state and territory ministers responsible for biosecurity matters. The objective of the NEBRA review is to assess the implementation and effectiveness of the national biosecurity incident response arrangements outlined in the agreement. Once completed, the NEBRA review will inform the future application of the agreement and maximise the capability of Australian governments and non-government stakeholders to manage nationally significant environmental biosecurity incidents.</w:t>
      </w:r>
      <w:r>
        <w:rPr>
          <w:rStyle w:val="FootnoteReference"/>
        </w:rPr>
        <w:footnoteReference w:id="3"/>
      </w:r>
    </w:p>
    <w:p w:rsidR="00FF5F94" w:rsidRDefault="00FF5F94" w:rsidP="006157AB">
      <w:r>
        <w:t xml:space="preserve">A NEBRA Administrative Group has been </w:t>
      </w:r>
      <w:r w:rsidR="00EC5AEC">
        <w:t>established</w:t>
      </w:r>
      <w:r>
        <w:t xml:space="preserve"> for the purpose of managing the review.  The Administrative Group is made up of a representative from each </w:t>
      </w:r>
      <w:r w:rsidR="00EC5AEC">
        <w:t xml:space="preserve">of the biosecurity agencies </w:t>
      </w:r>
      <w:r>
        <w:t>(</w:t>
      </w:r>
      <w:r w:rsidR="00EC5AEC">
        <w:t xml:space="preserve">from </w:t>
      </w:r>
      <w:r>
        <w:t>state/territory and Commonwealth</w:t>
      </w:r>
      <w:r w:rsidR="00EC5AEC">
        <w:t xml:space="preserve"> level of government</w:t>
      </w:r>
      <w:r>
        <w:t>)</w:t>
      </w:r>
      <w:r w:rsidR="008219E3">
        <w:t xml:space="preserve">, as well as the Commonwealth </w:t>
      </w:r>
      <w:r w:rsidR="00735DC4">
        <w:t>DEE</w:t>
      </w:r>
      <w:r>
        <w:t>.</w:t>
      </w:r>
    </w:p>
    <w:p w:rsidR="006157AB" w:rsidRDefault="00FF5F94" w:rsidP="006157AB">
      <w:r>
        <w:t xml:space="preserve">The NEBRA Administrative Group engaged </w:t>
      </w:r>
      <w:r w:rsidR="006157AB" w:rsidRPr="006157AB">
        <w:t>KPMG</w:t>
      </w:r>
      <w:r w:rsidR="00594EC8">
        <w:t xml:space="preserve"> to support this review by conducting consultations, reviewing written submissions and preparing a report </w:t>
      </w:r>
      <w:r w:rsidR="006157AB" w:rsidRPr="006157AB">
        <w:t>detailing recommendations on the future application of the NEBRA in order to strengthen Australia’s ability to respond to environmental biosecurity threats</w:t>
      </w:r>
      <w:r w:rsidR="006157AB">
        <w:t>.</w:t>
      </w:r>
    </w:p>
    <w:p w:rsidR="00E02C03" w:rsidRDefault="00620D83" w:rsidP="00620D83">
      <w:pPr>
        <w:pStyle w:val="Heading2"/>
      </w:pPr>
      <w:bookmarkStart w:id="4" w:name="_Toc483482606"/>
      <w:bookmarkStart w:id="5" w:name="_Toc450138051"/>
      <w:bookmarkStart w:id="6" w:name="_Toc450296014"/>
      <w:r>
        <w:t>Terms of Reference</w:t>
      </w:r>
      <w:bookmarkEnd w:id="4"/>
    </w:p>
    <w:p w:rsidR="00212362" w:rsidRDefault="001E109A" w:rsidP="00620D83">
      <w:r>
        <w:t>The</w:t>
      </w:r>
      <w:r w:rsidR="00620D83">
        <w:t xml:space="preserve"> Terms of Reference for this review </w:t>
      </w:r>
      <w:r>
        <w:t xml:space="preserve">which </w:t>
      </w:r>
      <w:r w:rsidR="00295213">
        <w:t xml:space="preserve">framed </w:t>
      </w:r>
      <w:r>
        <w:t xml:space="preserve">KPMG’s consultations </w:t>
      </w:r>
      <w:r w:rsidR="00620D83">
        <w:t>were to “</w:t>
      </w:r>
      <w:r w:rsidR="00620D83" w:rsidRPr="00620D83">
        <w:t>identify any issues or inefficiencies in current NEBRA processes and facilitate the development of future policies that can better deliver the specified outcomes of the NEBRA</w:t>
      </w:r>
      <w:r w:rsidR="00620D83">
        <w:t>”.</w:t>
      </w:r>
      <w:r w:rsidR="00212362">
        <w:rPr>
          <w:rStyle w:val="FootnoteReference"/>
        </w:rPr>
        <w:footnoteReference w:id="4"/>
      </w:r>
      <w:r w:rsidR="00620D83">
        <w:t xml:space="preserve"> Specifically this was to </w:t>
      </w:r>
      <w:r w:rsidR="00212362">
        <w:t>involve:</w:t>
      </w:r>
    </w:p>
    <w:p w:rsidR="00F43DD7" w:rsidRDefault="00F43DD7" w:rsidP="00EB3FAA">
      <w:pPr>
        <w:pStyle w:val="Bullet1stlevel"/>
      </w:pPr>
      <w:r>
        <w:t>examination of any interconnections and synergies with other response agreements;</w:t>
      </w:r>
    </w:p>
    <w:p w:rsidR="00F43DD7" w:rsidRDefault="00F43DD7" w:rsidP="00EB3FAA">
      <w:pPr>
        <w:pStyle w:val="Bullet1stlevel"/>
      </w:pPr>
      <w:r>
        <w:t>review of the governance structure of the NEBRA;</w:t>
      </w:r>
    </w:p>
    <w:p w:rsidR="00F43DD7" w:rsidRDefault="00F43DD7" w:rsidP="00EB3FAA">
      <w:pPr>
        <w:pStyle w:val="Bullet1stlevel"/>
      </w:pPr>
      <w:r>
        <w:t>assessment of signatory (i.e. Commonwealth, state and territory governments) and stakeholder (e.g. industry bodies, non-government organisations) understanding of their roles and responsibilities under the agreement;</w:t>
      </w:r>
    </w:p>
    <w:p w:rsidR="00F43DD7" w:rsidRDefault="00F43DD7" w:rsidP="00EB3FAA">
      <w:pPr>
        <w:pStyle w:val="Bullet1stlevel"/>
      </w:pPr>
      <w:r>
        <w:t>review of the technical elements of the agreement (Schedules 2, 3 and 4);</w:t>
      </w:r>
    </w:p>
    <w:p w:rsidR="00F43DD7" w:rsidRDefault="00F43DD7" w:rsidP="00EB3FAA">
      <w:pPr>
        <w:pStyle w:val="Bullet1stlevel"/>
      </w:pPr>
      <w:r>
        <w:t>review of the NEBRA decision</w:t>
      </w:r>
      <w:r w:rsidR="00521C9B">
        <w:t xml:space="preserve"> </w:t>
      </w:r>
      <w:r>
        <w:t>making processes outlined in Schedules 7 and 8 of the agreement - the process map and the processes actually followed for NEBRA responses to date</w:t>
      </w:r>
      <w:r w:rsidR="00EC5AEC">
        <w:t>;</w:t>
      </w:r>
    </w:p>
    <w:p w:rsidR="00F43DD7" w:rsidRDefault="00EB3FAA" w:rsidP="00EB3FAA">
      <w:pPr>
        <w:pStyle w:val="Bullet1stlevel"/>
      </w:pPr>
      <w:r>
        <w:t>analysis of</w:t>
      </w:r>
      <w:r w:rsidR="00F43DD7">
        <w:t xml:space="preserve"> the role of the </w:t>
      </w:r>
      <w:r w:rsidR="008219E3">
        <w:t>Department of Agriculture and Water Resources</w:t>
      </w:r>
      <w:r w:rsidR="00F10E7B">
        <w:t xml:space="preserve"> (DAWR)</w:t>
      </w:r>
      <w:r w:rsidR="008219E3">
        <w:t xml:space="preserve"> </w:t>
      </w:r>
      <w:r w:rsidR="00F43DD7">
        <w:t>in undertaking custodian activities</w:t>
      </w:r>
      <w:r>
        <w:t>;</w:t>
      </w:r>
    </w:p>
    <w:p w:rsidR="00F43DD7" w:rsidRDefault="00EB3FAA" w:rsidP="00EB3FAA">
      <w:pPr>
        <w:pStyle w:val="Bullet1stlevel"/>
      </w:pPr>
      <w:r>
        <w:t>analysis of</w:t>
      </w:r>
      <w:r w:rsidR="00F43DD7">
        <w:t xml:space="preserve"> the effectiveness of response and management activities (e.g. National Biosecurity Management Consultative Committee and the National Biosecurity Management Group)</w:t>
      </w:r>
      <w:r>
        <w:t>;</w:t>
      </w:r>
    </w:p>
    <w:p w:rsidR="00F43DD7" w:rsidRDefault="00EB3FAA" w:rsidP="00EB3FAA">
      <w:pPr>
        <w:pStyle w:val="Bullet1stlevel"/>
      </w:pPr>
      <w:r>
        <w:t>evaluation of</w:t>
      </w:r>
      <w:r w:rsidR="00F43DD7">
        <w:t xml:space="preserve"> communication under the NEBRA - including National Communication Network, National Biosecurity Committee, NEBRA custodian, secretariats and communication with the general public during a response, and</w:t>
      </w:r>
    </w:p>
    <w:p w:rsidR="00212362" w:rsidRDefault="00EB3FAA" w:rsidP="00EB3FAA">
      <w:pPr>
        <w:pStyle w:val="Bullet1stlevel"/>
      </w:pPr>
      <w:r>
        <w:t>evaluation of</w:t>
      </w:r>
      <w:r w:rsidR="00F43DD7">
        <w:t xml:space="preserve"> the role of non-government entities in environmental biosecurity response activities.</w:t>
      </w:r>
    </w:p>
    <w:p w:rsidR="001E109A" w:rsidRDefault="001E109A" w:rsidP="001E109A">
      <w:pPr>
        <w:pStyle w:val="Heading2"/>
      </w:pPr>
      <w:bookmarkStart w:id="7" w:name="_Toc481053100"/>
      <w:bookmarkStart w:id="8" w:name="_Toc481055924"/>
      <w:bookmarkStart w:id="9" w:name="_Toc481055998"/>
      <w:bookmarkStart w:id="10" w:name="_Toc481056054"/>
      <w:bookmarkStart w:id="11" w:name="_Toc481056110"/>
      <w:bookmarkStart w:id="12" w:name="_Toc481056166"/>
      <w:bookmarkStart w:id="13" w:name="_Toc481056223"/>
      <w:bookmarkStart w:id="14" w:name="_Toc481053101"/>
      <w:bookmarkStart w:id="15" w:name="_Toc481055925"/>
      <w:bookmarkStart w:id="16" w:name="_Toc481055999"/>
      <w:bookmarkStart w:id="17" w:name="_Toc481056055"/>
      <w:bookmarkStart w:id="18" w:name="_Toc481056111"/>
      <w:bookmarkStart w:id="19" w:name="_Toc481056167"/>
      <w:bookmarkStart w:id="20" w:name="_Toc481056224"/>
      <w:bookmarkStart w:id="21" w:name="_Toc481053106"/>
      <w:bookmarkStart w:id="22" w:name="_Toc481055930"/>
      <w:bookmarkStart w:id="23" w:name="_Toc481056004"/>
      <w:bookmarkStart w:id="24" w:name="_Toc481056060"/>
      <w:bookmarkStart w:id="25" w:name="_Toc481056116"/>
      <w:bookmarkStart w:id="26" w:name="_Toc481056172"/>
      <w:bookmarkStart w:id="27" w:name="_Toc481056229"/>
      <w:bookmarkStart w:id="28" w:name="_Toc481053110"/>
      <w:bookmarkStart w:id="29" w:name="_Toc481055934"/>
      <w:bookmarkStart w:id="30" w:name="_Toc481056008"/>
      <w:bookmarkStart w:id="31" w:name="_Toc481056064"/>
      <w:bookmarkStart w:id="32" w:name="_Toc481056120"/>
      <w:bookmarkStart w:id="33" w:name="_Toc481056176"/>
      <w:bookmarkStart w:id="34" w:name="_Toc481056233"/>
      <w:bookmarkStart w:id="35" w:name="_Toc481053113"/>
      <w:bookmarkStart w:id="36" w:name="_Toc481055937"/>
      <w:bookmarkStart w:id="37" w:name="_Toc481056011"/>
      <w:bookmarkStart w:id="38" w:name="_Toc481056067"/>
      <w:bookmarkStart w:id="39" w:name="_Toc481056123"/>
      <w:bookmarkStart w:id="40" w:name="_Toc481056179"/>
      <w:bookmarkStart w:id="41" w:name="_Toc481056236"/>
      <w:bookmarkStart w:id="42" w:name="_Toc481053117"/>
      <w:bookmarkStart w:id="43" w:name="_Toc481055941"/>
      <w:bookmarkStart w:id="44" w:name="_Toc481056015"/>
      <w:bookmarkStart w:id="45" w:name="_Toc481056071"/>
      <w:bookmarkStart w:id="46" w:name="_Toc481056127"/>
      <w:bookmarkStart w:id="47" w:name="_Toc481056183"/>
      <w:bookmarkStart w:id="48" w:name="_Toc481056240"/>
      <w:bookmarkStart w:id="49" w:name="_Toc481053120"/>
      <w:bookmarkStart w:id="50" w:name="_Toc481055944"/>
      <w:bookmarkStart w:id="51" w:name="_Toc481056018"/>
      <w:bookmarkStart w:id="52" w:name="_Toc481056074"/>
      <w:bookmarkStart w:id="53" w:name="_Toc481056130"/>
      <w:bookmarkStart w:id="54" w:name="_Toc481056186"/>
      <w:bookmarkStart w:id="55" w:name="_Toc481056243"/>
      <w:bookmarkStart w:id="56" w:name="_Toc481053123"/>
      <w:bookmarkStart w:id="57" w:name="_Toc481055947"/>
      <w:bookmarkStart w:id="58" w:name="_Toc481056021"/>
      <w:bookmarkStart w:id="59" w:name="_Toc481056077"/>
      <w:bookmarkStart w:id="60" w:name="_Toc481056133"/>
      <w:bookmarkStart w:id="61" w:name="_Toc481056189"/>
      <w:bookmarkStart w:id="62" w:name="_Toc481056246"/>
      <w:bookmarkStart w:id="63" w:name="_Toc481053127"/>
      <w:bookmarkStart w:id="64" w:name="_Toc481055951"/>
      <w:bookmarkStart w:id="65" w:name="_Toc481056025"/>
      <w:bookmarkStart w:id="66" w:name="_Toc481056081"/>
      <w:bookmarkStart w:id="67" w:name="_Toc481056137"/>
      <w:bookmarkStart w:id="68" w:name="_Toc481056193"/>
      <w:bookmarkStart w:id="69" w:name="_Toc481056250"/>
      <w:bookmarkStart w:id="70" w:name="_Toc48348260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Approach</w:t>
      </w:r>
      <w:bookmarkEnd w:id="70"/>
    </w:p>
    <w:p w:rsidR="00DF41EE" w:rsidRDefault="00DF41EE" w:rsidP="001E109A">
      <w:r>
        <w:t xml:space="preserve">In order to provide stakeholders with a background on the review the NEBRA Administrative Group developed a Discussion Paper which was made publicly available prior to consultation.  A set of 21 guiding questions were detailed in the </w:t>
      </w:r>
      <w:r w:rsidR="009B5F14">
        <w:t>D</w:t>
      </w:r>
      <w:r>
        <w:t xml:space="preserve">iscussion </w:t>
      </w:r>
      <w:r w:rsidR="009B5F14">
        <w:t>P</w:t>
      </w:r>
      <w:r>
        <w:t>aper and KPMG had a focus on these questions throughout the review</w:t>
      </w:r>
      <w:r w:rsidR="00C11EBB">
        <w:t>, both during consultations and analysis</w:t>
      </w:r>
      <w:r>
        <w:t xml:space="preserve">.  The questions are detailed in </w:t>
      </w:r>
      <w:r w:rsidR="009B19A2">
        <w:fldChar w:fldCharType="begin"/>
      </w:r>
      <w:r w:rsidR="009B19A2">
        <w:instrText xml:space="preserve"> REF _Ref481053084 \r \h </w:instrText>
      </w:r>
      <w:r w:rsidR="009B19A2">
        <w:fldChar w:fldCharType="separate"/>
      </w:r>
      <w:r w:rsidR="009B19A2">
        <w:t>Appendix A</w:t>
      </w:r>
      <w:r w:rsidR="009B19A2">
        <w:fldChar w:fldCharType="end"/>
      </w:r>
      <w:r w:rsidR="009B19A2">
        <w:t>.</w:t>
      </w:r>
    </w:p>
    <w:p w:rsidR="001E109A" w:rsidRDefault="001E109A" w:rsidP="001E109A">
      <w:r>
        <w:t>Following the public release of the Review’s Discussion Paper by the Administrative Group, KPMG’s scope of work and approach to conducting consultations has been to:</w:t>
      </w:r>
    </w:p>
    <w:p w:rsidR="001E109A" w:rsidRDefault="001E109A" w:rsidP="001E109A">
      <w:pPr>
        <w:pStyle w:val="Bullet1stlevel"/>
      </w:pPr>
      <w:r>
        <w:t xml:space="preserve">Hold </w:t>
      </w:r>
      <w:r w:rsidR="000E3122">
        <w:t>face-to-face</w:t>
      </w:r>
      <w:r>
        <w:t xml:space="preserve"> consultation sessions with government and non-government stakeholders in every Australian capital city. Jurisdictions (state/territory and Commonwealth) nominated stakeholders for these consultation sessions. A list of the </w:t>
      </w:r>
      <w:r w:rsidR="000E3122">
        <w:t>face-to-face</w:t>
      </w:r>
      <w:r>
        <w:t xml:space="preserve"> consultation sessions and the organisations represented at those sessions is included at </w:t>
      </w:r>
      <w:r w:rsidR="009B19A2">
        <w:fldChar w:fldCharType="begin"/>
      </w:r>
      <w:r w:rsidR="009B19A2">
        <w:instrText xml:space="preserve"> REF _Ref481053154 \r \h </w:instrText>
      </w:r>
      <w:r w:rsidR="009B19A2">
        <w:fldChar w:fldCharType="separate"/>
      </w:r>
      <w:r w:rsidR="009B19A2">
        <w:t>Appendix B</w:t>
      </w:r>
      <w:r w:rsidR="009B19A2">
        <w:fldChar w:fldCharType="end"/>
      </w:r>
      <w:r>
        <w:fldChar w:fldCharType="begin"/>
      </w:r>
      <w:r>
        <w:instrText xml:space="preserve"> REF _Ref478047714 \r \h  \* MERGEFORMAT </w:instrText>
      </w:r>
      <w:r>
        <w:fldChar w:fldCharType="end"/>
      </w:r>
      <w:r>
        <w:t xml:space="preserve">.  A list of other organisations invited to participate in </w:t>
      </w:r>
      <w:r w:rsidR="000E3122">
        <w:t>face-to-face</w:t>
      </w:r>
      <w:r>
        <w:t xml:space="preserve"> consultation sessions (who did not attend) is provided at </w:t>
      </w:r>
      <w:r>
        <w:fldChar w:fldCharType="begin"/>
      </w:r>
      <w:r>
        <w:instrText xml:space="preserve"> REF _Ref479756180 \r \h </w:instrText>
      </w:r>
      <w:r>
        <w:fldChar w:fldCharType="separate"/>
      </w:r>
      <w:r w:rsidR="009B19A2">
        <w:t>Appendix C</w:t>
      </w:r>
      <w:r>
        <w:fldChar w:fldCharType="end"/>
      </w:r>
      <w:r>
        <w:t>.</w:t>
      </w:r>
    </w:p>
    <w:p w:rsidR="001E109A" w:rsidRDefault="001E109A" w:rsidP="001E109A">
      <w:pPr>
        <w:pStyle w:val="Bullet1stlevel"/>
      </w:pPr>
      <w:r>
        <w:t xml:space="preserve">Summarise the key themes of </w:t>
      </w:r>
      <w:r w:rsidR="000E3122">
        <w:t>face-to-face</w:t>
      </w:r>
      <w:r>
        <w:t xml:space="preserve"> consultation and provide a brief report to the Administrative Group on those themes.</w:t>
      </w:r>
    </w:p>
    <w:p w:rsidR="001E109A" w:rsidRDefault="001E109A" w:rsidP="001E109A">
      <w:pPr>
        <w:pStyle w:val="Bullet1stlevel"/>
      </w:pPr>
      <w:r>
        <w:t xml:space="preserve">Review and analyse written submissions to the review received by the Commonwealth </w:t>
      </w:r>
      <w:r w:rsidR="00F10E7B">
        <w:t>DAWR</w:t>
      </w:r>
      <w:r>
        <w:t xml:space="preserve"> (on behalf of the Administrative Group) in response to the Discussion Paper.  A list of the </w:t>
      </w:r>
      <w:r w:rsidR="008219E3">
        <w:t xml:space="preserve">organisations and agencies who made </w:t>
      </w:r>
      <w:r>
        <w:t xml:space="preserve">written submissions is provided at </w:t>
      </w:r>
      <w:r>
        <w:fldChar w:fldCharType="begin"/>
      </w:r>
      <w:r>
        <w:instrText xml:space="preserve"> REF _Ref478048087 \r \h </w:instrText>
      </w:r>
      <w:r>
        <w:fldChar w:fldCharType="separate"/>
      </w:r>
      <w:r w:rsidR="009B19A2">
        <w:t>Appendix D</w:t>
      </w:r>
      <w:r>
        <w:fldChar w:fldCharType="end"/>
      </w:r>
      <w:r>
        <w:t>.</w:t>
      </w:r>
    </w:p>
    <w:p w:rsidR="001E109A" w:rsidRDefault="001E109A" w:rsidP="001E109A">
      <w:pPr>
        <w:pStyle w:val="Bullet1stlevel"/>
      </w:pPr>
      <w:r>
        <w:t>Conduct</w:t>
      </w:r>
      <w:r w:rsidR="000C1C8C">
        <w:t xml:space="preserve"> limited</w:t>
      </w:r>
      <w:r>
        <w:t xml:space="preserve"> supplementary research and consultation into matters raised during </w:t>
      </w:r>
      <w:r w:rsidR="000E3122">
        <w:t>face-to-face</w:t>
      </w:r>
      <w:r>
        <w:t xml:space="preserve"> consultation.  Particular areas of enquiry have related to the development of exotic weed and aquatic disease response agreements and analysis of decision making in relation to environmental biosecurity incursions.</w:t>
      </w:r>
    </w:p>
    <w:p w:rsidR="001E109A" w:rsidRDefault="001E109A" w:rsidP="001E109A">
      <w:pPr>
        <w:pStyle w:val="Bullet1stlevel"/>
      </w:pPr>
      <w:r>
        <w:t>Drafting this report on the basis of consultation and analysis, providing recommendations for the future application of NEBRA.</w:t>
      </w:r>
    </w:p>
    <w:p w:rsidR="005B3D06" w:rsidRDefault="005B3D06" w:rsidP="005B3D06">
      <w:pPr>
        <w:pStyle w:val="Heading2"/>
      </w:pPr>
      <w:bookmarkStart w:id="71" w:name="_Toc483482608"/>
      <w:r>
        <w:t>Other Reviews</w:t>
      </w:r>
      <w:bookmarkEnd w:id="71"/>
    </w:p>
    <w:p w:rsidR="00C70CBD" w:rsidRPr="00C70CBD" w:rsidRDefault="00C70CBD" w:rsidP="00C70CBD">
      <w:pPr>
        <w:pStyle w:val="Heading3"/>
      </w:pPr>
      <w:r>
        <w:t>Review of the IGAB</w:t>
      </w:r>
    </w:p>
    <w:p w:rsidR="005B3D06" w:rsidRDefault="005B3D06" w:rsidP="005B3D06">
      <w:r>
        <w:t>It should be noted that at the time of conducting this review</w:t>
      </w:r>
      <w:r w:rsidR="00C11EBB">
        <w:t>,</w:t>
      </w:r>
      <w:r>
        <w:t xml:space="preserve"> </w:t>
      </w:r>
      <w:r w:rsidR="00C70CBD">
        <w:t xml:space="preserve">a review of the broader IGAB was also being conducted.  A draft report with recommendations for changes to Australia’s biosecurity system </w:t>
      </w:r>
      <w:r w:rsidR="000C1C8C">
        <w:t>was</w:t>
      </w:r>
      <w:r w:rsidR="00C70CBD">
        <w:t xml:space="preserve"> released </w:t>
      </w:r>
      <w:r w:rsidR="000C1C8C">
        <w:t xml:space="preserve">in December 2016 </w:t>
      </w:r>
      <w:r w:rsidR="00C70CBD">
        <w:t>and submissions from interested parties were being analysed.  The draft report contained six recommendations directly regarding environmental biosecurity and other recommendations with relevance to NEBRA.</w:t>
      </w:r>
      <w:r w:rsidR="00C70CBD">
        <w:rPr>
          <w:rStyle w:val="FootnoteReference"/>
        </w:rPr>
        <w:footnoteReference w:id="5"/>
      </w:r>
    </w:p>
    <w:p w:rsidR="00C70CBD" w:rsidRDefault="00C70CBD" w:rsidP="005B3D06">
      <w:r>
        <w:t xml:space="preserve">KPMG has been cognisant of the </w:t>
      </w:r>
      <w:r w:rsidR="00861326">
        <w:t xml:space="preserve">draft </w:t>
      </w:r>
      <w:r>
        <w:t>IGAB Review recommendations in preparing this report</w:t>
      </w:r>
      <w:r w:rsidR="00861326">
        <w:t xml:space="preserve"> and none of the recommendations of the two reports are in conflict</w:t>
      </w:r>
      <w:r>
        <w:t>.</w:t>
      </w:r>
    </w:p>
    <w:p w:rsidR="00C70CBD" w:rsidRDefault="00540263" w:rsidP="00540263">
      <w:pPr>
        <w:pStyle w:val="Heading3"/>
      </w:pPr>
      <w:r>
        <w:t>Senate Inquiry into Environmental Biosecurity</w:t>
      </w:r>
    </w:p>
    <w:p w:rsidR="00540263" w:rsidRDefault="00540263" w:rsidP="00540263">
      <w:r>
        <w:t xml:space="preserve">In May </w:t>
      </w:r>
      <w:r w:rsidR="002562C9">
        <w:t>2015</w:t>
      </w:r>
      <w:r w:rsidR="006C2D16">
        <w:t>,</w:t>
      </w:r>
      <w:r w:rsidR="002562C9">
        <w:t xml:space="preserve"> the Senate Environment and Communications References Committee released a report on its findings on Australia’s environmental biosecurity arrangements.  That report also contained recommendations either directly relevant to NEBRA or relating to environmental biosecurity more generally.</w:t>
      </w:r>
      <w:r w:rsidR="002562C9">
        <w:rPr>
          <w:rStyle w:val="FootnoteReference"/>
        </w:rPr>
        <w:footnoteReference w:id="6"/>
      </w:r>
    </w:p>
    <w:p w:rsidR="002562C9" w:rsidRPr="00540263" w:rsidRDefault="002562C9" w:rsidP="00540263">
      <w:r>
        <w:t>KPMG has also been cognisant of the Senate Committee’s recommendation</w:t>
      </w:r>
      <w:r w:rsidR="00447CB5">
        <w:t>s</w:t>
      </w:r>
      <w:r>
        <w:t xml:space="preserve"> in preparing this report.</w:t>
      </w:r>
    </w:p>
    <w:p w:rsidR="00AF3BAB" w:rsidRPr="00AF3BAB" w:rsidRDefault="00AF3BAB" w:rsidP="00AF3BAB">
      <w:pPr>
        <w:sectPr w:rsidR="00AF3BAB" w:rsidRPr="00AF3BAB" w:rsidSect="006157AB">
          <w:footerReference w:type="default" r:id="rId15"/>
          <w:pgSz w:w="16838" w:h="11906" w:orient="landscape"/>
          <w:pgMar w:top="1418" w:right="1418" w:bottom="1418" w:left="1418" w:header="709" w:footer="453" w:gutter="0"/>
          <w:pgNumType w:start="1"/>
          <w:cols w:num="2" w:space="708"/>
          <w:docGrid w:linePitch="360"/>
        </w:sectPr>
      </w:pPr>
      <w:r>
        <w:t xml:space="preserve"> </w:t>
      </w:r>
    </w:p>
    <w:p w:rsidR="00DC30A4" w:rsidRDefault="005C5200" w:rsidP="00DC30A4">
      <w:pPr>
        <w:pStyle w:val="Heading1"/>
        <w:rPr>
          <w:rStyle w:val="Heading1Char"/>
          <w:rFonts w:cs="Times New Roman"/>
          <w:szCs w:val="18"/>
        </w:rPr>
      </w:pPr>
      <w:bookmarkStart w:id="72" w:name="_Toc483482609"/>
      <w:bookmarkStart w:id="73" w:name="_Toc401155221"/>
      <w:bookmarkEnd w:id="5"/>
      <w:bookmarkEnd w:id="6"/>
      <w:r>
        <w:rPr>
          <w:rStyle w:val="Heading1Char"/>
          <w:rFonts w:cs="Times New Roman"/>
          <w:szCs w:val="18"/>
        </w:rPr>
        <w:t>The Current Agreement</w:t>
      </w:r>
      <w:bookmarkEnd w:id="72"/>
    </w:p>
    <w:p w:rsidR="000A3293" w:rsidRPr="000A3293" w:rsidRDefault="000A3293" w:rsidP="000A3293">
      <w:pPr>
        <w:pStyle w:val="BodyText"/>
      </w:pPr>
      <w:r>
        <w:t xml:space="preserve">Before </w:t>
      </w:r>
      <w:r w:rsidR="0058699D">
        <w:t>detailing</w:t>
      </w:r>
      <w:r>
        <w:t xml:space="preserve"> recommended improvements to NEBRA</w:t>
      </w:r>
      <w:r w:rsidR="006C2D16">
        <w:t xml:space="preserve"> this section provides</w:t>
      </w:r>
      <w:r>
        <w:t xml:space="preserve"> some background on the key features of the agreement as it currently operates.</w:t>
      </w:r>
    </w:p>
    <w:p w:rsidR="00DC30A4" w:rsidRDefault="00A2328B" w:rsidP="00DC30A4">
      <w:pPr>
        <w:pStyle w:val="Heading2"/>
      </w:pPr>
      <w:bookmarkStart w:id="74" w:name="_Toc483482610"/>
      <w:r>
        <w:t>NEBRA</w:t>
      </w:r>
      <w:r w:rsidR="000A3293">
        <w:t xml:space="preserve"> </w:t>
      </w:r>
      <w:r w:rsidR="0029008C">
        <w:t>Purpose</w:t>
      </w:r>
      <w:bookmarkEnd w:id="74"/>
    </w:p>
    <w:p w:rsidR="00DC30A4" w:rsidRDefault="0029008C" w:rsidP="00DC30A4">
      <w:r>
        <w:t>The purpose of NEBRA is to “</w:t>
      </w:r>
      <w:r w:rsidRPr="0029008C">
        <w:t>establish national arrangements for responses to nationally significant biosecurity incidents where there are predominantly public benefits</w:t>
      </w:r>
      <w:r>
        <w:t>”</w:t>
      </w:r>
      <w:r w:rsidR="00352851">
        <w:t>.</w:t>
      </w:r>
      <w:r>
        <w:rPr>
          <w:rStyle w:val="FootnoteReference"/>
        </w:rPr>
        <w:footnoteReference w:id="7"/>
      </w:r>
      <w:r>
        <w:t xml:space="preserve">  In practice NEBRA is designed to deliver public benefits in relation to the environment; people, including social amenity and human infrastructure; and business activity.</w:t>
      </w:r>
      <w:r>
        <w:rPr>
          <w:rStyle w:val="FootnoteReference"/>
        </w:rPr>
        <w:footnoteReference w:id="8"/>
      </w:r>
    </w:p>
    <w:p w:rsidR="00AF41E4" w:rsidRDefault="00860F7F" w:rsidP="00DC30A4">
      <w:r>
        <w:t xml:space="preserve">NEBRA details the type of biosecurity incidents that can be responded to under the agreement.  It states that a NEBRA response cannot be implemented in relation to </w:t>
      </w:r>
      <w:r w:rsidR="00AF41E4">
        <w:t>an established pest or disease</w:t>
      </w:r>
      <w:r w:rsidR="00AF41E4">
        <w:rPr>
          <w:rStyle w:val="FootnoteReference"/>
        </w:rPr>
        <w:footnoteReference w:id="9"/>
      </w:r>
      <w:r w:rsidR="00AF41E4">
        <w:t xml:space="preserve"> but that a response could be implemented in relation to “a pest or disease that is a potential threat to an area but is not yet present or widely distributed or being officially controlled”.</w:t>
      </w:r>
      <w:r w:rsidR="00AF41E4">
        <w:rPr>
          <w:rStyle w:val="FootnoteReference"/>
        </w:rPr>
        <w:footnoteReference w:id="10"/>
      </w:r>
      <w:r w:rsidR="00AF41E4">
        <w:t xml:space="preserve"> The combination of these requirements would seem to indicate that NEBRA responses can be initiated in relation to outbreaks of exotic pests or diseases that are new to Australia, but also to ‘range expansions’ of pests or diseases that meet the other NEBRA criteria but may not necessarily be new to Australia </w:t>
      </w:r>
      <w:r w:rsidR="002E2ADD">
        <w:t>or even exotic.</w:t>
      </w:r>
    </w:p>
    <w:p w:rsidR="002E2ADD" w:rsidRDefault="002E2ADD" w:rsidP="00DC30A4">
      <w:bookmarkStart w:id="75" w:name="_GoBack"/>
      <w:bookmarkEnd w:id="75"/>
      <w:r>
        <w:t xml:space="preserve">During consultation for this review KPMG became aware that NEBRA stakeholders </w:t>
      </w:r>
      <w:r w:rsidR="006D0F27">
        <w:t xml:space="preserve">(government and non-government) </w:t>
      </w:r>
      <w:r>
        <w:t>held a variety of views in relation to whether a NEBRA response could be triggered in relation to a ‘range expansion’ of an established pest or disease.</w:t>
      </w:r>
      <w:r w:rsidR="008219E3">
        <w:t xml:space="preserve"> On balance, the view is that it is ‘possible’ that a NEBRA response may be triggered, but it was considered unlikely that it would receive support beyond the combat jurisdiction.</w:t>
      </w:r>
    </w:p>
    <w:p w:rsidR="002E2ADD" w:rsidRDefault="00F6617F" w:rsidP="00A62152">
      <w:pPr>
        <w:pStyle w:val="Heading2"/>
      </w:pPr>
      <w:bookmarkStart w:id="76" w:name="_Ref479325920"/>
      <w:bookmarkStart w:id="77" w:name="_Ref479576830"/>
      <w:bookmarkStart w:id="78" w:name="_Toc483482611"/>
      <w:r>
        <w:t xml:space="preserve">NEBRA and </w:t>
      </w:r>
      <w:r w:rsidR="00A62152">
        <w:t>Other Biosecurity Response Agreements</w:t>
      </w:r>
      <w:bookmarkEnd w:id="76"/>
      <w:bookmarkEnd w:id="77"/>
      <w:bookmarkEnd w:id="78"/>
    </w:p>
    <w:p w:rsidR="00A62152" w:rsidRDefault="00A62152" w:rsidP="00DC30A4">
      <w:r>
        <w:t>A NEBRA response can only be implemented if the “emergency response cannot proceed under pre-existing cost-sharing arrangements”.</w:t>
      </w:r>
      <w:r>
        <w:rPr>
          <w:rStyle w:val="FootnoteReference"/>
        </w:rPr>
        <w:footnoteReference w:id="11"/>
      </w:r>
      <w:r w:rsidR="00234181">
        <w:t xml:space="preserve">  </w:t>
      </w:r>
      <w:r>
        <w:t xml:space="preserve">Pre-existing cost sharing arrangements are defined as meaning the </w:t>
      </w:r>
      <w:r w:rsidR="00234181">
        <w:t>EPPRD</w:t>
      </w:r>
      <w:r>
        <w:t xml:space="preserve">, the </w:t>
      </w:r>
      <w:r w:rsidR="00234181">
        <w:t>EADRA</w:t>
      </w:r>
      <w:r>
        <w:t xml:space="preserve"> and national arrangements in the health sector.</w:t>
      </w:r>
      <w:r>
        <w:rPr>
          <w:rStyle w:val="FootnoteReference"/>
        </w:rPr>
        <w:footnoteReference w:id="12"/>
      </w:r>
      <w:r w:rsidR="00234181">
        <w:t xml:space="preserve"> The pests and diseases addressed by the EPPRD and EADRA are listed in those agreements under four categories which reflect the pest or disease’s level of impact on agricultural industries and which are used to determine the level of financial contribution from industry in relation to the cost-shared response.</w:t>
      </w:r>
    </w:p>
    <w:p w:rsidR="00234181" w:rsidRDefault="00234181" w:rsidP="00DC30A4">
      <w:r>
        <w:t>There are some key differences between NEBRA and the EPPRD and EADRA:</w:t>
      </w:r>
    </w:p>
    <w:p w:rsidR="00234181" w:rsidRDefault="00366E93" w:rsidP="00366E93">
      <w:pPr>
        <w:pStyle w:val="Bullet1stlevel"/>
      </w:pPr>
      <w:r>
        <w:t>Parties to the EPPRD and EADRA include animal and plant industry bodies who have agreed to cost share emergency responses to outbreaks of pests and diseases in accordance with established formulas.  There are no non-government parties to NEBRA</w:t>
      </w:r>
      <w:r w:rsidR="00036717">
        <w:t xml:space="preserve"> and NEBRA responses are entirely government funded</w:t>
      </w:r>
      <w:r>
        <w:t>.</w:t>
      </w:r>
    </w:p>
    <w:p w:rsidR="00366E93" w:rsidRDefault="00366E93" w:rsidP="00366E93">
      <w:pPr>
        <w:pStyle w:val="Bullet1stlevel"/>
      </w:pPr>
      <w:r>
        <w:t>The EPPRD and EADRA are managed and administered by not-for-profit companies</w:t>
      </w:r>
      <w:r w:rsidR="006D0F27">
        <w:t>:</w:t>
      </w:r>
      <w:r>
        <w:t xml:space="preserve"> Plant Health Australia and Animal Health Australia respectively.</w:t>
      </w:r>
      <w:r w:rsidR="00A03345">
        <w:t xml:space="preserve">  Plant Health Australia and Animal Health Australia are funded by contributions from Australian governments (state/territory and Commonwealth) and industry members.  The NEBRA has no equivalent custodian and is instead managed and administered by a small secretariat within the Commonwealth </w:t>
      </w:r>
      <w:r w:rsidR="00F10E7B">
        <w:t>DAWR</w:t>
      </w:r>
      <w:r w:rsidR="00A03345">
        <w:t>.</w:t>
      </w:r>
    </w:p>
    <w:p w:rsidR="00366E93" w:rsidRDefault="000D2222" w:rsidP="00366E93">
      <w:pPr>
        <w:pStyle w:val="Bullet1stlevel"/>
      </w:pPr>
      <w:r>
        <w:t>The EPPRD includes arrangements for a ‘Transition to Management’ phase of an emergency response of not longer than 12 months if it is determined that the pest cannot be eradicated and should be managed outside of the EPPRD.</w:t>
      </w:r>
      <w:r>
        <w:rPr>
          <w:rStyle w:val="FootnoteReference"/>
        </w:rPr>
        <w:footnoteReference w:id="13"/>
      </w:r>
      <w:r w:rsidR="00AD5636">
        <w:t xml:space="preserve">  The EADRA does not include provision for a ‘Transition to Management’ phase but describes the ‘Emergency Response Phase’ involving efforts to eradicate or contain.</w:t>
      </w:r>
      <w:r w:rsidR="00AD5636">
        <w:rPr>
          <w:rStyle w:val="FootnoteReference"/>
        </w:rPr>
        <w:footnoteReference w:id="14"/>
      </w:r>
      <w:r w:rsidR="00AD5636">
        <w:t xml:space="preserve">  NEBRA does not include provision for a ‘Transition to Management’ phase and explicitly excludes containment efforts that are not leading to eradication.</w:t>
      </w:r>
      <w:r w:rsidR="00AD5636">
        <w:rPr>
          <w:rStyle w:val="FootnoteReference"/>
        </w:rPr>
        <w:footnoteReference w:id="15"/>
      </w:r>
    </w:p>
    <w:p w:rsidR="00E0387A" w:rsidRDefault="00E0387A" w:rsidP="00E0387A">
      <w:r>
        <w:t>In addition to the EPPRD and EADRA, Australian governments (state/territory and Commonwealth) are working with industry partners to develop separate biosecurity response agreements to address diseases of aquaculture and weeds with agricultural production impacts.</w:t>
      </w:r>
    </w:p>
    <w:p w:rsidR="00B26C2D" w:rsidRDefault="00B26C2D" w:rsidP="00B26C2D">
      <w:pPr>
        <w:pStyle w:val="Heading2"/>
      </w:pPr>
      <w:bookmarkStart w:id="79" w:name="_Toc483482612"/>
      <w:r>
        <w:t>NEBRA Decision Making Structure</w:t>
      </w:r>
      <w:bookmarkEnd w:id="79"/>
    </w:p>
    <w:p w:rsidR="00B26C2D" w:rsidRDefault="0038698A" w:rsidP="00E0387A">
      <w:r>
        <w:t>NEBRA establishes a decision making structure and 10 step process to be followed in the case of an outbreak of a potentially nationally significant pest or disease.</w:t>
      </w:r>
      <w:r w:rsidR="005201AE">
        <w:rPr>
          <w:rStyle w:val="FootnoteReference"/>
        </w:rPr>
        <w:footnoteReference w:id="16"/>
      </w:r>
      <w:r>
        <w:t xml:space="preserve">  A flow chart summarising the process is also included in the agreement</w:t>
      </w:r>
      <w:r w:rsidR="00410470">
        <w:t xml:space="preserve"> and is reproduced at </w:t>
      </w:r>
      <w:r w:rsidR="00410470">
        <w:fldChar w:fldCharType="begin"/>
      </w:r>
      <w:r w:rsidR="00410470">
        <w:instrText xml:space="preserve"> REF _Ref478127204 \r \h </w:instrText>
      </w:r>
      <w:r w:rsidR="00410470">
        <w:fldChar w:fldCharType="separate"/>
      </w:r>
      <w:r w:rsidR="009B19A2">
        <w:t>Appendix E</w:t>
      </w:r>
      <w:r w:rsidR="00410470">
        <w:fldChar w:fldCharType="end"/>
      </w:r>
      <w:r w:rsidR="00410470">
        <w:t>.</w:t>
      </w:r>
      <w:r w:rsidR="005201AE">
        <w:t xml:space="preserve">  In summary the steps are:</w:t>
      </w:r>
    </w:p>
    <w:p w:rsidR="005201AE" w:rsidRDefault="005201AE" w:rsidP="006113C3">
      <w:pPr>
        <w:pStyle w:val="Numberbullet1stlevel"/>
        <w:numPr>
          <w:ilvl w:val="0"/>
          <w:numId w:val="14"/>
        </w:numPr>
      </w:pPr>
      <w:r>
        <w:t>Notifying party becomes aware of an outbreak and uses all reasonable endeavours to contain the pest or disease.</w:t>
      </w:r>
    </w:p>
    <w:p w:rsidR="005201AE" w:rsidRDefault="005201AE" w:rsidP="006113C3">
      <w:pPr>
        <w:pStyle w:val="Numberbullet1stlevel"/>
        <w:numPr>
          <w:ilvl w:val="0"/>
          <w:numId w:val="14"/>
        </w:numPr>
      </w:pPr>
      <w:r>
        <w:t>Notifying party commences risk assessment and decides whether the outbreak can be managed through pre-existing cost sharing arrangements.</w:t>
      </w:r>
    </w:p>
    <w:p w:rsidR="005201AE" w:rsidRDefault="00F66210" w:rsidP="006113C3">
      <w:pPr>
        <w:pStyle w:val="Numberbullet1stlevel"/>
        <w:numPr>
          <w:ilvl w:val="0"/>
          <w:numId w:val="14"/>
        </w:numPr>
      </w:pPr>
      <w:r>
        <w:t>Notifying party notifies the reporting point.  It must do so with 24 hours of step 1.</w:t>
      </w:r>
    </w:p>
    <w:p w:rsidR="00F66210" w:rsidRDefault="00F66210" w:rsidP="006113C3">
      <w:pPr>
        <w:pStyle w:val="Numberbullet1stlevel"/>
        <w:numPr>
          <w:ilvl w:val="0"/>
          <w:numId w:val="14"/>
        </w:numPr>
      </w:pPr>
      <w:r>
        <w:t>Parties to the agreement establish a National Biosecurity Management Consultative Committee (NBMCC).</w:t>
      </w:r>
    </w:p>
    <w:p w:rsidR="00F66210" w:rsidRDefault="00F66210" w:rsidP="006113C3">
      <w:pPr>
        <w:pStyle w:val="Numberbullet1stlevel"/>
        <w:numPr>
          <w:ilvl w:val="0"/>
          <w:numId w:val="14"/>
        </w:numPr>
      </w:pPr>
      <w:r>
        <w:t>A National Biosecurity Management Group (NBMG) is convened on the request of any party or the advice of the NBMCC</w:t>
      </w:r>
      <w:r w:rsidR="006D0F27">
        <w:rPr>
          <w:rStyle w:val="FootnoteReference"/>
        </w:rPr>
        <w:footnoteReference w:id="17"/>
      </w:r>
      <w:r>
        <w:t>.</w:t>
      </w:r>
    </w:p>
    <w:p w:rsidR="00F66210" w:rsidRDefault="00F66210" w:rsidP="006113C3">
      <w:pPr>
        <w:pStyle w:val="Numberbullet1stlevel"/>
        <w:numPr>
          <w:ilvl w:val="0"/>
          <w:numId w:val="14"/>
        </w:numPr>
      </w:pPr>
      <w:r>
        <w:t>NBMCC provides advice to the NBMG in relation to whether the outbreak can be managed under pre-existing cost sharing arrangements</w:t>
      </w:r>
      <w:r w:rsidR="00636874">
        <w:t>, or if not, whether the pest or disease is nationally significant and likely to be eradicable.</w:t>
      </w:r>
    </w:p>
    <w:p w:rsidR="00636874" w:rsidRDefault="00636874" w:rsidP="006113C3">
      <w:pPr>
        <w:pStyle w:val="Numberbullet1stlevel"/>
        <w:numPr>
          <w:ilvl w:val="0"/>
          <w:numId w:val="14"/>
        </w:numPr>
      </w:pPr>
      <w:r>
        <w:t>If the NBMG considers that the pest or disease is nationally significant and likely to be eradicable then the notifying party must prepare a risk analysis, conduct technical feasibility analysis, conduct benefit cost analysis and prepare a draft response plan for NBMCC consideration.</w:t>
      </w:r>
    </w:p>
    <w:p w:rsidR="00636874" w:rsidRDefault="002D4548" w:rsidP="006113C3">
      <w:pPr>
        <w:pStyle w:val="Numberbullet1stlevel"/>
        <w:numPr>
          <w:ilvl w:val="0"/>
          <w:numId w:val="14"/>
        </w:numPr>
      </w:pPr>
      <w:r>
        <w:t>The NBMCC must advise the NBMG in relation to the response plan.</w:t>
      </w:r>
    </w:p>
    <w:p w:rsidR="002D4548" w:rsidRDefault="002D4548" w:rsidP="006113C3">
      <w:pPr>
        <w:pStyle w:val="Numberbullet1stlevel"/>
        <w:numPr>
          <w:ilvl w:val="0"/>
          <w:numId w:val="14"/>
        </w:numPr>
      </w:pPr>
      <w:r>
        <w:t>The NBMG must determine whether or not to undertake a NEBRA response.</w:t>
      </w:r>
    </w:p>
    <w:p w:rsidR="002D4548" w:rsidRDefault="002D4548" w:rsidP="006113C3">
      <w:pPr>
        <w:pStyle w:val="Numberbullet1stlevel"/>
        <w:numPr>
          <w:ilvl w:val="0"/>
          <w:numId w:val="14"/>
        </w:numPr>
      </w:pPr>
      <w:r>
        <w:t>All NBMG members must agree to the response plan before cost-sharing arrangements can come into effect.</w:t>
      </w:r>
    </w:p>
    <w:p w:rsidR="00EE7DBC" w:rsidRDefault="00EE7DBC" w:rsidP="00EE7DBC">
      <w:pPr>
        <w:pStyle w:val="Numberbullet1stlevel"/>
        <w:numPr>
          <w:ilvl w:val="0"/>
          <w:numId w:val="0"/>
        </w:numPr>
        <w:ind w:left="340" w:hanging="340"/>
      </w:pPr>
      <w:r>
        <w:t>Other points to note in relation to NEBRA decision making:</w:t>
      </w:r>
    </w:p>
    <w:p w:rsidR="00EE7DBC" w:rsidRDefault="009D42B3" w:rsidP="004539E6">
      <w:pPr>
        <w:pStyle w:val="Bullet1stlevel"/>
      </w:pPr>
      <w:r>
        <w:t>The agreement specifies that each party of the NBMG has a vote on all NBMG decisions, except cost-sharing decisions, regardless of whether or not they are an affected party.  In relation to cost-sharing decisions only the Commonwealth, affected parties and cost-sharing private beneficiaries may vote.</w:t>
      </w:r>
      <w:r>
        <w:rPr>
          <w:rStyle w:val="FootnoteReference"/>
        </w:rPr>
        <w:footnoteReference w:id="18"/>
      </w:r>
    </w:p>
    <w:p w:rsidR="009D42B3" w:rsidRDefault="009D42B3" w:rsidP="004539E6">
      <w:pPr>
        <w:pStyle w:val="Bullet1stlevel"/>
      </w:pPr>
      <w:r>
        <w:t>NBMG decisions must be made by consensus, meaning that all parties present support a decision.  NBMG decisions relating to cost-sharing must be unanimous, meaning that all parties entitled to vote have voted in the same fashion.</w:t>
      </w:r>
      <w:r w:rsidR="00AA4B9D">
        <w:rPr>
          <w:rStyle w:val="FootnoteReference"/>
        </w:rPr>
        <w:footnoteReference w:id="19"/>
      </w:r>
    </w:p>
    <w:p w:rsidR="00AA4B9D" w:rsidRDefault="00AA4B9D" w:rsidP="004539E6">
      <w:pPr>
        <w:pStyle w:val="Bullet1stlevel"/>
      </w:pPr>
      <w:r>
        <w:t>NBMCC decisions must be made by consensus.</w:t>
      </w:r>
      <w:r w:rsidR="0016647A">
        <w:rPr>
          <w:rStyle w:val="FootnoteReference"/>
        </w:rPr>
        <w:footnoteReference w:id="20"/>
      </w:r>
      <w:r w:rsidR="00684420">
        <w:rPr>
          <w:rStyle w:val="FootnoteReference"/>
        </w:rPr>
        <w:footnoteReference w:id="21"/>
      </w:r>
    </w:p>
    <w:p w:rsidR="00E827F0" w:rsidRDefault="00E827F0" w:rsidP="00E827F0">
      <w:pPr>
        <w:pStyle w:val="Heading2"/>
      </w:pPr>
      <w:bookmarkStart w:id="80" w:name="_Ref479596662"/>
      <w:bookmarkStart w:id="81" w:name="_Toc483482613"/>
      <w:r>
        <w:t>NEBRA</w:t>
      </w:r>
      <w:r w:rsidR="008C7371">
        <w:t xml:space="preserve"> National Significance Criteria</w:t>
      </w:r>
      <w:bookmarkEnd w:id="80"/>
      <w:bookmarkEnd w:id="81"/>
    </w:p>
    <w:p w:rsidR="00E827F0" w:rsidRDefault="008C7371" w:rsidP="00E0387A">
      <w:r>
        <w:t>Outbreaks of pests or diseases need to meet national significance criteria to be eligible for a cost shared response under NEBRA.  Criteria relate to the pest or disease’s impact on:</w:t>
      </w:r>
    </w:p>
    <w:p w:rsidR="008C7371" w:rsidRDefault="008C7371" w:rsidP="008C7371">
      <w:pPr>
        <w:pStyle w:val="Bullet1stlevel"/>
      </w:pPr>
      <w:r>
        <w:t>The Environment – further sub-criteria are detailed under the headings of nationally important species; ecologically valuable species; nationally important places; ecologically important places; and extensive impacts.</w:t>
      </w:r>
      <w:r w:rsidR="00F155D8">
        <w:rPr>
          <w:rStyle w:val="FootnoteReference"/>
        </w:rPr>
        <w:footnoteReference w:id="22"/>
      </w:r>
    </w:p>
    <w:p w:rsidR="008C7371" w:rsidRDefault="008C7371" w:rsidP="008C7371">
      <w:pPr>
        <w:pStyle w:val="Bullet1stlevel"/>
      </w:pPr>
      <w:r>
        <w:t>People, including social amenity and human infrastructure – further sub-criteria are detailed under the headings of impacts on human infrastructure; impacts on social amenity; and cultural impacts.</w:t>
      </w:r>
      <w:r w:rsidR="00F155D8">
        <w:rPr>
          <w:rStyle w:val="FootnoteReference"/>
        </w:rPr>
        <w:footnoteReference w:id="23"/>
      </w:r>
    </w:p>
    <w:p w:rsidR="008C7371" w:rsidRDefault="008C7371" w:rsidP="008C7371">
      <w:pPr>
        <w:pStyle w:val="Bullet1stlevel"/>
      </w:pPr>
      <w:r>
        <w:t xml:space="preserve">Business </w:t>
      </w:r>
      <w:r w:rsidR="00F155D8">
        <w:t>Impacts -</w:t>
      </w:r>
      <w:r>
        <w:t xml:space="preserve"> with the caveat that pests or diseases impacting predominantly on primary production or human health should be dealt with under EPPRD, EADRA or national arrangements in the health sector.</w:t>
      </w:r>
      <w:r>
        <w:rPr>
          <w:rStyle w:val="FootnoteReference"/>
        </w:rPr>
        <w:footnoteReference w:id="24"/>
      </w:r>
    </w:p>
    <w:p w:rsidR="00F155D8" w:rsidRDefault="00F155D8" w:rsidP="00F155D8">
      <w:pPr>
        <w:pStyle w:val="Heading2"/>
      </w:pPr>
      <w:bookmarkStart w:id="82" w:name="_Toc483482614"/>
      <w:r>
        <w:t>NEBRA Feasibility of Eradication Criteria</w:t>
      </w:r>
      <w:bookmarkEnd w:id="82"/>
    </w:p>
    <w:p w:rsidR="00F155D8" w:rsidRDefault="002407B8" w:rsidP="00F155D8">
      <w:r>
        <w:t>The NBMG must consider whether it is technically feasible to eradicate a pest or disease when deciding whether to undertake a NEBRA response.</w:t>
      </w:r>
      <w:r>
        <w:rPr>
          <w:rStyle w:val="FootnoteReference"/>
        </w:rPr>
        <w:footnoteReference w:id="25"/>
      </w:r>
      <w:r>
        <w:t xml:space="preserve">  The agreement specifies 17 sub-criteria which must be considered when evaluating the technical feasibility of eradicating a pest or disease.</w:t>
      </w:r>
      <w:r>
        <w:rPr>
          <w:rStyle w:val="FootnoteReference"/>
        </w:rPr>
        <w:footnoteReference w:id="26"/>
      </w:r>
    </w:p>
    <w:p w:rsidR="00912509" w:rsidRDefault="00912509" w:rsidP="00912509">
      <w:pPr>
        <w:pStyle w:val="Heading2"/>
      </w:pPr>
      <w:bookmarkStart w:id="83" w:name="_Ref479599154"/>
      <w:bookmarkStart w:id="84" w:name="_Toc483482615"/>
      <w:r>
        <w:t>NEBRA Benefit-Cost Criteria</w:t>
      </w:r>
      <w:bookmarkEnd w:id="83"/>
      <w:bookmarkEnd w:id="84"/>
    </w:p>
    <w:p w:rsidR="00912509" w:rsidRDefault="00912509" w:rsidP="00F155D8">
      <w:r>
        <w:t xml:space="preserve">The NBMG must consider whether it is </w:t>
      </w:r>
      <w:r w:rsidR="0024294E">
        <w:t>cost-beneficial</w:t>
      </w:r>
      <w:r>
        <w:t xml:space="preserve"> to undertake a NEBRA response.</w:t>
      </w:r>
      <w:r>
        <w:rPr>
          <w:rStyle w:val="FootnoteReference"/>
        </w:rPr>
        <w:footnoteReference w:id="27"/>
      </w:r>
      <w:r>
        <w:t xml:space="preserve">  A </w:t>
      </w:r>
      <w:r w:rsidR="005827FC">
        <w:t xml:space="preserve">high-level </w:t>
      </w:r>
      <w:r>
        <w:t xml:space="preserve">framework for conducting the </w:t>
      </w:r>
      <w:r w:rsidR="005827FC">
        <w:t xml:space="preserve">benefit-cost analysis is provided in the agreement but it does not </w:t>
      </w:r>
      <w:r w:rsidR="00684420">
        <w:t>mandate</w:t>
      </w:r>
      <w:r w:rsidR="005827FC">
        <w:t xml:space="preserve"> specific environmental valuation techniques or methodologies.</w:t>
      </w:r>
      <w:r w:rsidR="005827FC">
        <w:rPr>
          <w:rStyle w:val="FootnoteReference"/>
        </w:rPr>
        <w:footnoteReference w:id="28"/>
      </w:r>
    </w:p>
    <w:p w:rsidR="005827FC" w:rsidRDefault="005827FC" w:rsidP="005827FC">
      <w:pPr>
        <w:pStyle w:val="Heading2"/>
      </w:pPr>
      <w:bookmarkStart w:id="85" w:name="_Toc483482616"/>
      <w:r>
        <w:t>Cost Sharing Arrangements</w:t>
      </w:r>
      <w:bookmarkEnd w:id="85"/>
    </w:p>
    <w:p w:rsidR="005827FC" w:rsidRDefault="00FA40B0" w:rsidP="00F155D8">
      <w:r>
        <w:t xml:space="preserve">The NEBRA sets out cost sharing arrangements for NEBRA responses.  In summary, the cost of NEBRA responses are funded 50 per cent by the Commonwealth and the remaining 50 per cent by the states and territories.  A state or territory’s contribution is calculated </w:t>
      </w:r>
      <w:r w:rsidR="007944EC">
        <w:t>with reference to its proportion of the total number of people potentially affected by the pest or disease.</w:t>
      </w:r>
      <w:r w:rsidR="007944EC">
        <w:rPr>
          <w:rStyle w:val="FootnoteReference"/>
        </w:rPr>
        <w:footnoteReference w:id="29"/>
      </w:r>
      <w:r w:rsidR="007944EC">
        <w:t xml:space="preserve">  The exact manner of that calculation is determined by modelling of the potential geographic </w:t>
      </w:r>
      <w:r w:rsidR="00097215">
        <w:t xml:space="preserve">distribution </w:t>
      </w:r>
      <w:r w:rsidR="007944EC">
        <w:t>of the pest or disease across Australia</w:t>
      </w:r>
      <w:r w:rsidR="00097215">
        <w:t>, based on climatic suitability</w:t>
      </w:r>
      <w:r w:rsidR="007944EC">
        <w:t>.</w:t>
      </w:r>
      <w:r w:rsidR="007944EC">
        <w:rPr>
          <w:rStyle w:val="FootnoteReference"/>
        </w:rPr>
        <w:footnoteReference w:id="30"/>
      </w:r>
    </w:p>
    <w:p w:rsidR="00453BFD" w:rsidRDefault="00453BFD" w:rsidP="00F155D8">
      <w:r>
        <w:t>NEBRA specifies the type of costs that are eligible for cost sharing.</w:t>
      </w:r>
      <w:r>
        <w:rPr>
          <w:rStyle w:val="FootnoteReference"/>
        </w:rPr>
        <w:footnoteReference w:id="31"/>
      </w:r>
      <w:r w:rsidR="00F66210">
        <w:t xml:space="preserve">  NBMGs may commit up to $5 million per financial year towards NEBRA responses.  If the $5 million is exceeded the relevant NBMGs must seek Ministerial approval from all parties to continue activities or begin new emergency responses.</w:t>
      </w:r>
      <w:r w:rsidR="00F66210">
        <w:rPr>
          <w:rStyle w:val="FootnoteReference"/>
        </w:rPr>
        <w:footnoteReference w:id="32"/>
      </w:r>
    </w:p>
    <w:p w:rsidR="00F66210" w:rsidRPr="00F155D8" w:rsidRDefault="00F66210" w:rsidP="00F155D8">
      <w:r>
        <w:t xml:space="preserve">As an acknowledgment of the complexity of identifying private beneficiaries </w:t>
      </w:r>
      <w:r w:rsidR="009B1CC6">
        <w:t xml:space="preserve">for public-good biosecurity responses </w:t>
      </w:r>
      <w:r>
        <w:t xml:space="preserve">and quantifying their </w:t>
      </w:r>
      <w:r w:rsidR="009B1CC6">
        <w:t xml:space="preserve">appropriate </w:t>
      </w:r>
      <w:r>
        <w:t>financial input</w:t>
      </w:r>
      <w:r w:rsidR="009B1CC6">
        <w:t>,</w:t>
      </w:r>
      <w:r>
        <w:t xml:space="preserve"> NEBRA specifies that private beneficiary financial contributions should be considered on a case by case basis</w:t>
      </w:r>
      <w:r w:rsidR="009B1CC6">
        <w:t xml:space="preserve"> rather than establishing set formulas</w:t>
      </w:r>
      <w:r>
        <w:t>.</w:t>
      </w:r>
      <w:r w:rsidR="009B1CC6">
        <w:rPr>
          <w:rStyle w:val="FootnoteReference"/>
        </w:rPr>
        <w:footnoteReference w:id="33"/>
      </w:r>
    </w:p>
    <w:p w:rsidR="005C5200" w:rsidRDefault="005C5200" w:rsidP="005C5200">
      <w:pPr>
        <w:pStyle w:val="Heading1"/>
      </w:pPr>
      <w:bookmarkStart w:id="86" w:name="_Toc483482617"/>
      <w:r>
        <w:t>Findings and Recommendations</w:t>
      </w:r>
      <w:bookmarkEnd w:id="86"/>
    </w:p>
    <w:p w:rsidR="005C5200" w:rsidRDefault="005C5200" w:rsidP="005C5200">
      <w:pPr>
        <w:pStyle w:val="Heading2"/>
      </w:pPr>
      <w:bookmarkStart w:id="87" w:name="_Toc483482618"/>
      <w:r>
        <w:t>Roles and Responsibilities</w:t>
      </w:r>
      <w:bookmarkEnd w:id="87"/>
    </w:p>
    <w:p w:rsidR="00C04F44" w:rsidRDefault="00C04F44" w:rsidP="005C5200">
      <w:r>
        <w:t xml:space="preserve">One of the key focus areas for this review, identified </w:t>
      </w:r>
      <w:r w:rsidR="002E5143">
        <w:t>in</w:t>
      </w:r>
      <w:r>
        <w:t xml:space="preserve"> both the NEBRA Review Discussion Paper</w:t>
      </w:r>
      <w:r w:rsidR="002E5143">
        <w:t xml:space="preserve"> and Terms of Reference</w:t>
      </w:r>
      <w:r>
        <w:t xml:space="preserve">, has been to assess stakeholder understanding of their roles and responsibilities under the NEBRA.  The Discussion Paper takes this issue further and asks for suggestions to increase the role of private beneficiaries and non-government stakeholders in relation to </w:t>
      </w:r>
      <w:r w:rsidR="003348D5">
        <w:t xml:space="preserve">NEBRA </w:t>
      </w:r>
      <w:r>
        <w:t>decision making, responses, and preparedness.</w:t>
      </w:r>
      <w:r w:rsidR="00FD334E">
        <w:t xml:space="preserve">  This section deals exclusively with </w:t>
      </w:r>
      <w:r w:rsidR="00CC04BA">
        <w:t xml:space="preserve">government </w:t>
      </w:r>
      <w:r w:rsidR="00FD334E" w:rsidRPr="00B869FC">
        <w:t>stakeholders</w:t>
      </w:r>
      <w:r w:rsidR="00E370BE" w:rsidRPr="00B869FC">
        <w:t>’</w:t>
      </w:r>
      <w:r w:rsidR="00FD334E" w:rsidRPr="00B869FC">
        <w:t xml:space="preserve"> understanding of their roles and</w:t>
      </w:r>
      <w:r w:rsidR="00FD334E">
        <w:t xml:space="preserve"> responsibilities.  Subsequent sections detail recommendations intended to enhance </w:t>
      </w:r>
      <w:r w:rsidR="00B869FC">
        <w:t>active participation</w:t>
      </w:r>
      <w:r w:rsidR="00FD334E" w:rsidRPr="00B869FC">
        <w:t xml:space="preserve"> of non-government</w:t>
      </w:r>
      <w:r w:rsidR="00FD334E">
        <w:t xml:space="preserve"> stakeholders.</w:t>
      </w:r>
    </w:p>
    <w:p w:rsidR="00C04F44" w:rsidRDefault="00FB5A45" w:rsidP="005C5200">
      <w:r>
        <w:t>KPMG consultation and analysis of written submissions identified that the roles of government stakeholders detailed in clauses 4, 5 and 6 of the NEBRA are generally well underst</w:t>
      </w:r>
      <w:r w:rsidR="009E5F31">
        <w:t xml:space="preserve">ood: </w:t>
      </w:r>
      <w:r w:rsidR="00E370BE">
        <w:t>states and t</w:t>
      </w:r>
      <w:r w:rsidR="009E5F31">
        <w:t>erritories retain primary responsibility for the emergency management of outbreaks</w:t>
      </w:r>
      <w:r w:rsidR="00147A30">
        <w:t>;</w:t>
      </w:r>
      <w:r w:rsidR="009E5F31">
        <w:t xml:space="preserve"> but where an outbreak is determined to be nationally significant</w:t>
      </w:r>
      <w:r w:rsidR="00A3259A">
        <w:t>,</w:t>
      </w:r>
      <w:r w:rsidR="009E5F31">
        <w:t xml:space="preserve"> and a response determined to be technically feasible and cost-beneficial, NEBRA provides a mechanism to share the cost of the response between jurisdictions.</w:t>
      </w:r>
    </w:p>
    <w:p w:rsidR="00FB5A45" w:rsidRDefault="00260E8B" w:rsidP="005C5200">
      <w:r>
        <w:t>N</w:t>
      </w:r>
      <w:r w:rsidR="00FB5A45">
        <w:t>on-government stakeholders</w:t>
      </w:r>
      <w:r w:rsidR="003348D5">
        <w:t xml:space="preserve"> </w:t>
      </w:r>
      <w:r>
        <w:t xml:space="preserve">are far less </w:t>
      </w:r>
      <w:r w:rsidR="00B869FC">
        <w:t xml:space="preserve">aware </w:t>
      </w:r>
      <w:r>
        <w:t>of NEBRA</w:t>
      </w:r>
      <w:r w:rsidR="00F8684C">
        <w:t xml:space="preserve"> (see also </w:t>
      </w:r>
      <w:r w:rsidR="00F8684C">
        <w:fldChar w:fldCharType="begin"/>
      </w:r>
      <w:r w:rsidR="00F8684C">
        <w:instrText xml:space="preserve"> REF _Ref479323598 \r \h </w:instrText>
      </w:r>
      <w:r w:rsidR="00F8684C">
        <w:fldChar w:fldCharType="separate"/>
      </w:r>
      <w:r w:rsidR="00F8684C">
        <w:t>3.3</w:t>
      </w:r>
      <w:r w:rsidR="00F8684C">
        <w:fldChar w:fldCharType="end"/>
      </w:r>
      <w:r w:rsidR="00F8684C">
        <w:t xml:space="preserve"> – NEBRA Communication)</w:t>
      </w:r>
      <w:r>
        <w:t>.</w:t>
      </w:r>
      <w:r w:rsidR="00147A30">
        <w:t xml:space="preserve">  Unlike the EADRA and EPPRD, there are no industry signatories to NEBRA who </w:t>
      </w:r>
      <w:r w:rsidR="00C13BD2">
        <w:t xml:space="preserve">would </w:t>
      </w:r>
      <w:r w:rsidR="00097215">
        <w:t xml:space="preserve">normally </w:t>
      </w:r>
      <w:r w:rsidR="00147A30">
        <w:t>contribute financially to a response</w:t>
      </w:r>
      <w:r w:rsidR="00097215">
        <w:t>, when affected</w:t>
      </w:r>
      <w:r w:rsidR="00FD097B">
        <w:t>.</w:t>
      </w:r>
      <w:r w:rsidR="00097215">
        <w:t xml:space="preserve">  </w:t>
      </w:r>
      <w:r w:rsidR="0049276F">
        <w:t>Consultation has indicated that industry stakeholders for environmental biosecurity are less directly affected than in agriculture and more difficult to identify in relation to spec</w:t>
      </w:r>
      <w:r w:rsidR="003348D5">
        <w:t>ific outbreaks.</w:t>
      </w:r>
    </w:p>
    <w:p w:rsidR="005F5B21" w:rsidRDefault="005F5B21" w:rsidP="005C5200">
      <w:r>
        <w:t xml:space="preserve">The NEBRA itself </w:t>
      </w:r>
      <w:r w:rsidRPr="00B869FC">
        <w:t>provides little role</w:t>
      </w:r>
      <w:r>
        <w:t xml:space="preserve"> for non-government stakeholders.  The most significant provisions for their role relate to the potential for ‘affected stakeholders’ to have a representative on NBMCCs as an observer</w:t>
      </w:r>
      <w:r>
        <w:rPr>
          <w:rStyle w:val="FootnoteReference"/>
        </w:rPr>
        <w:footnoteReference w:id="34"/>
      </w:r>
      <w:r w:rsidR="00E83944">
        <w:t>,</w:t>
      </w:r>
      <w:r>
        <w:t xml:space="preserve"> for financial contributions to be sought from ‘private beneficiaries’ on a case by case basis</w:t>
      </w:r>
      <w:r>
        <w:rPr>
          <w:rStyle w:val="FootnoteReference"/>
        </w:rPr>
        <w:footnoteReference w:id="35"/>
      </w:r>
      <w:r w:rsidR="00E83944">
        <w:t>, and for ‘private beneficiaries’ to be voting members of an NBMG if they are contributing to the cost of a response</w:t>
      </w:r>
      <w:r w:rsidR="00CB6AC4">
        <w:rPr>
          <w:rStyle w:val="FootnoteReference"/>
        </w:rPr>
        <w:footnoteReference w:id="36"/>
      </w:r>
      <w:r w:rsidR="00E83944">
        <w:t>.</w:t>
      </w:r>
    </w:p>
    <w:p w:rsidR="005F5B21" w:rsidRDefault="005F5B21" w:rsidP="005C5200">
      <w:r>
        <w:t xml:space="preserve">During consultation, KPMG found that the language that is sometimes used by government to describe non-government stakeholders to NEBRA can be divisive.  Industry stakeholders in particular reacted negatively to being described as ‘private beneficiaries’ or ‘risk creators’ </w:t>
      </w:r>
      <w:r w:rsidR="00821D20">
        <w:t>and tended to see that language as being a prelude to ‘cost-shifting’ environmental biosecurity from government to industry.  In this respect KPMG agrees with the commentary in the Draft IGAB Review that the term ‘system participants’ would be a better way of describing stakeholders.</w:t>
      </w:r>
      <w:r w:rsidR="00821D20">
        <w:rPr>
          <w:rStyle w:val="FootnoteReference"/>
        </w:rPr>
        <w:footnoteReference w:id="37"/>
      </w:r>
      <w:r w:rsidR="00BC2112">
        <w:t xml:space="preserve">  The Draft IGAB Review further categorises ‘system participants’ as being the Australian Government, State and Territory Governments, Local Government, Industry, General Community and Non-Gove</w:t>
      </w:r>
      <w:r w:rsidR="00346434">
        <w:t>rnment Organisations and seeks feedback on a set of draft roles and responsibilities.</w:t>
      </w:r>
    </w:p>
    <w:tbl>
      <w:tblPr>
        <w:tblStyle w:val="TableGrid"/>
        <w:tblW w:w="0" w:type="auto"/>
        <w:tblLook w:val="04A0" w:firstRow="1" w:lastRow="0" w:firstColumn="1" w:lastColumn="0" w:noHBand="0" w:noVBand="1"/>
      </w:tblPr>
      <w:tblGrid>
        <w:gridCol w:w="6637"/>
      </w:tblGrid>
      <w:tr w:rsidR="00821D20" w:rsidTr="00821D20">
        <w:tc>
          <w:tcPr>
            <w:tcW w:w="6637" w:type="dxa"/>
          </w:tcPr>
          <w:p w:rsidR="008056E3" w:rsidRDefault="008056E3" w:rsidP="008056E3">
            <w:pPr>
              <w:rPr>
                <w:b/>
              </w:rPr>
            </w:pPr>
            <w:r>
              <w:rPr>
                <w:b/>
              </w:rPr>
              <w:t>Recommendation 1</w:t>
            </w:r>
          </w:p>
          <w:p w:rsidR="00821D20" w:rsidRPr="00821D20" w:rsidRDefault="008056E3" w:rsidP="008056E3">
            <w:r>
              <w:t>The language used in the NEBRA to describe stakeholders should be consistent with that used in the broader IGAB and the other biosecurity response agreements (EADRA and EPPRD).</w:t>
            </w:r>
          </w:p>
        </w:tc>
      </w:tr>
    </w:tbl>
    <w:p w:rsidR="001C3627" w:rsidRDefault="001C3627" w:rsidP="001C3627">
      <w:pPr>
        <w:pStyle w:val="Heading2"/>
      </w:pPr>
      <w:bookmarkStart w:id="88" w:name="_Ref479340410"/>
      <w:bookmarkStart w:id="89" w:name="_Toc483482619"/>
      <w:r>
        <w:t>NEBRA Custodianship</w:t>
      </w:r>
      <w:bookmarkEnd w:id="88"/>
      <w:bookmarkEnd w:id="89"/>
    </w:p>
    <w:p w:rsidR="001C3627" w:rsidRDefault="00F105C3" w:rsidP="001C3627">
      <w:r>
        <w:t xml:space="preserve">Unlike the EADRA and EPPRD, there is no </w:t>
      </w:r>
      <w:r w:rsidR="000E3122">
        <w:t xml:space="preserve">dedicated independent body to act as custodian for </w:t>
      </w:r>
      <w:r>
        <w:t xml:space="preserve">NEBRA (see also </w:t>
      </w:r>
      <w:r>
        <w:fldChar w:fldCharType="begin"/>
      </w:r>
      <w:r>
        <w:instrText xml:space="preserve"> REF _Ref479325920 \r \h </w:instrText>
      </w:r>
      <w:r>
        <w:fldChar w:fldCharType="separate"/>
      </w:r>
      <w:r w:rsidR="009B19A2">
        <w:t>2.2</w:t>
      </w:r>
      <w:r>
        <w:fldChar w:fldCharType="end"/>
      </w:r>
      <w:r>
        <w:t xml:space="preserve"> – NEBRA and Other Biosecurity Response Agreements</w:t>
      </w:r>
      <w:r w:rsidR="00F84276">
        <w:t>)</w:t>
      </w:r>
      <w:r>
        <w:t xml:space="preserve">.  The Commonwealth </w:t>
      </w:r>
      <w:r w:rsidR="00274B77">
        <w:t>DAWR</w:t>
      </w:r>
      <w:r>
        <w:t xml:space="preserve"> fulfils the custodian role for the NEBRA.</w:t>
      </w:r>
      <w:r w:rsidR="007F7E1F">
        <w:t xml:space="preserve">  Key functions of the custodian role include “providing policy advice to signatory parties, implementing the cost-share formula on behalf of combat jurisdictions, co-ordinating financial re-imbursement claims for NEBRA responses and disseminating information related to NEBRA responses”.</w:t>
      </w:r>
      <w:r w:rsidR="007F7E1F">
        <w:rPr>
          <w:rStyle w:val="FootnoteReference"/>
        </w:rPr>
        <w:footnoteReference w:id="38"/>
      </w:r>
      <w:r w:rsidR="007F7E1F">
        <w:t xml:space="preserve"> </w:t>
      </w:r>
    </w:p>
    <w:p w:rsidR="00274B77" w:rsidRDefault="00274B77" w:rsidP="001C3627">
      <w:r>
        <w:t>This review identified a range of views in relation to NEBRA custodianship.</w:t>
      </w:r>
      <w:r w:rsidR="00B01D5A">
        <w:t xml:space="preserve">  The Invasive Species Council, one of the few non-government entities with a relatively strong understanding of the NEBRA, submitted that the NEBRA requires </w:t>
      </w:r>
      <w:r w:rsidR="009B5F14">
        <w:t>an independent</w:t>
      </w:r>
      <w:r w:rsidR="00B01D5A">
        <w:t xml:space="preserve"> custodian to perform the role that Animal Health Australia </w:t>
      </w:r>
      <w:r w:rsidR="00943836">
        <w:t xml:space="preserve">(AHA) </w:t>
      </w:r>
      <w:r w:rsidR="00B01D5A">
        <w:t xml:space="preserve">and Plant Health Australia </w:t>
      </w:r>
      <w:r w:rsidR="00943836">
        <w:t xml:space="preserve">(PHA) </w:t>
      </w:r>
      <w:r w:rsidR="00B01D5A">
        <w:t>perform for the EADRA and EPPRD respectively</w:t>
      </w:r>
      <w:r w:rsidR="000E3122">
        <w:t xml:space="preserve">.  </w:t>
      </w:r>
      <w:r w:rsidR="00B01D5A">
        <w:t xml:space="preserve">The Invasive Species Council submitted that an </w:t>
      </w:r>
      <w:r w:rsidR="000E3122">
        <w:t>independent custodian</w:t>
      </w:r>
      <w:r w:rsidR="00B01D5A">
        <w:t xml:space="preserve"> is needed to “undertake the work necessary to better prepare Australia to respond to outbreaks of environmental pests and diseases, including the identification of priority risks and development of contingency plans”.</w:t>
      </w:r>
      <w:r w:rsidR="00B01D5A">
        <w:rPr>
          <w:rStyle w:val="FootnoteReference"/>
        </w:rPr>
        <w:footnoteReference w:id="39"/>
      </w:r>
      <w:r w:rsidR="00943836">
        <w:t xml:space="preserve">  The Biosecurity Council of Western Australia expressed a similar view in stating that someone needs to ‘own’ NEBRA to drive environmental biosecurity in the way that AHA and PHA drive the EADRA and EPPRD.</w:t>
      </w:r>
    </w:p>
    <w:p w:rsidR="00391BBF" w:rsidRDefault="00404D78" w:rsidP="001C3627">
      <w:r>
        <w:t>Not all non-government stakeholders supported the creation of a new custodian for NEBRA.  Wildlife Health Australia, another organisation outside of government with relatively high awareness of NEBRA, submitted that they were supportive of DAWR’s continuation in the custodian role, particularly until broader arrangements for environmental biosecurity are settled following the IGAB Review.</w:t>
      </w:r>
    </w:p>
    <w:p w:rsidR="00404D78" w:rsidRDefault="00670CF5" w:rsidP="001C3627">
      <w:r>
        <w:t>During consultation some state and territory jurisdictions expressed concern about Commonwealth DAWR’s ability to act as an impartial NEBRA custodian when it is potentially a combat state in its own right and a major contributor to cost-sharing</w:t>
      </w:r>
      <w:r w:rsidR="003E305A">
        <w:t>.</w:t>
      </w:r>
      <w:r>
        <w:t xml:space="preserve">  Concerns were also expressed about the level of resourcing that DAWR has made available for the custodian role.</w:t>
      </w:r>
    </w:p>
    <w:p w:rsidR="00E42AA6" w:rsidRDefault="004315E5" w:rsidP="001C3627">
      <w:r>
        <w:t>In the Commonwealth’s submission</w:t>
      </w:r>
      <w:r w:rsidR="006D0F0F">
        <w:t>,</w:t>
      </w:r>
      <w:r>
        <w:t xml:space="preserve"> DAWR and the Department of Environment and Energy noted that DAWR had limited funds available for the custodian role and supported “consideration of mechanisms by which other NEBRA signatories could support or contribute to the NEBRA custodian role”.</w:t>
      </w:r>
      <w:r w:rsidR="009701D2" w:rsidRPr="009701D2">
        <w:t xml:space="preserve"> </w:t>
      </w:r>
      <w:r w:rsidR="009701D2">
        <w:t xml:space="preserve"> DAWR also stated that it is committed to the NEBRA custodian role.</w:t>
      </w:r>
    </w:p>
    <w:p w:rsidR="00F84276" w:rsidRDefault="009B0644" w:rsidP="001C3627">
      <w:r>
        <w:t xml:space="preserve">Over the course of this review KPMG has not seen any evidence to suggest that the creation of an </w:t>
      </w:r>
      <w:r w:rsidR="000E3122">
        <w:t>independent custodian</w:t>
      </w:r>
      <w:r>
        <w:t xml:space="preserve"> would attract significant funding from any parties other than the Commonwealth and state and territory governments.</w:t>
      </w:r>
      <w:r w:rsidR="00F84276">
        <w:t xml:space="preserve">  Creating a new entity to act as custodian for the NEBRA has the potential to raise the cost of NEBRA custodianship (through increased organisational overheads) and further fragment the national biosecurity system by separating NEBRA custodianship from DAWR, who, presumably, would retain responsibility for funding the Commonwealth’s proportion of national environmental biosecurity responses.</w:t>
      </w:r>
    </w:p>
    <w:p w:rsidR="009B0644" w:rsidRDefault="00F84276" w:rsidP="001C3627">
      <w:r>
        <w:t>KPMG therefore does not recommend that a new body be created specifically to</w:t>
      </w:r>
      <w:r w:rsidR="00F26F6E">
        <w:t xml:space="preserve"> act as custodian for the NEBRA.</w:t>
      </w:r>
      <w:r>
        <w:t xml:space="preserve"> </w:t>
      </w:r>
      <w:r w:rsidR="00F26F6E">
        <w:t xml:space="preserve"> However</w:t>
      </w:r>
      <w:r>
        <w:t xml:space="preserve"> if, following the IGAB Review, a new entity is created with responsibility for environmental biosecurity, consideration should be given to the role the entity should play in relation to NEBRA custodianship.</w:t>
      </w:r>
      <w:r w:rsidR="008D18EC">
        <w:rPr>
          <w:rStyle w:val="FootnoteReference"/>
        </w:rPr>
        <w:footnoteReference w:id="40"/>
      </w:r>
    </w:p>
    <w:p w:rsidR="00517FED" w:rsidRPr="008D18EC" w:rsidRDefault="00517FED" w:rsidP="001C3627">
      <w:r w:rsidRPr="008D18EC">
        <w:t>KPMG consultation has indicated that, five years after the commencement of the NEBRA, there is a need to strengthen the NEBRA custodian role.  Stakeholders advised KPMG that a maturing NEBRA requires additional supports including:</w:t>
      </w:r>
    </w:p>
    <w:p w:rsidR="00517FED" w:rsidRPr="008D18EC" w:rsidRDefault="00517FED" w:rsidP="0056267B">
      <w:pPr>
        <w:pStyle w:val="ListParagraph"/>
        <w:numPr>
          <w:ilvl w:val="0"/>
          <w:numId w:val="20"/>
        </w:numPr>
      </w:pPr>
      <w:r w:rsidRPr="008D18EC">
        <w:t>greater public transparency around decision making (see Recommendation 7);</w:t>
      </w:r>
    </w:p>
    <w:p w:rsidR="00517FED" w:rsidRPr="008D18EC" w:rsidRDefault="00517FED" w:rsidP="0056267B">
      <w:pPr>
        <w:pStyle w:val="ListParagraph"/>
        <w:numPr>
          <w:ilvl w:val="0"/>
          <w:numId w:val="20"/>
        </w:numPr>
      </w:pPr>
      <w:r w:rsidRPr="008D18EC">
        <w:t>greater support for the development</w:t>
      </w:r>
      <w:r w:rsidR="00097215">
        <w:t xml:space="preserve"> and maintenance</w:t>
      </w:r>
      <w:r w:rsidRPr="008D18EC">
        <w:t xml:space="preserve"> of interpretative guides for decision making (see particularly the South Australian Government’s submission on this point)</w:t>
      </w:r>
      <w:r w:rsidR="00097215">
        <w:t>, as well as other material to support decision making, for example development of case studies that provide examples of the implementation of the NEBRA</w:t>
      </w:r>
      <w:r w:rsidRPr="008D18EC">
        <w:t>;</w:t>
      </w:r>
    </w:p>
    <w:p w:rsidR="00517FED" w:rsidRPr="008D18EC" w:rsidRDefault="00517FED" w:rsidP="0056267B">
      <w:pPr>
        <w:pStyle w:val="ListParagraph"/>
        <w:numPr>
          <w:ilvl w:val="0"/>
          <w:numId w:val="20"/>
        </w:numPr>
      </w:pPr>
      <w:r w:rsidRPr="008D18EC">
        <w:t>enhanced communication and liaison with non-government stakeholders to promote awareness of the agreement</w:t>
      </w:r>
      <w:r w:rsidR="008D18EC">
        <w:t xml:space="preserve"> and thus potentially greater in-kind or financial support for future responses (see Recommendation 13)</w:t>
      </w:r>
      <w:r w:rsidRPr="008D18EC">
        <w:t>; and</w:t>
      </w:r>
    </w:p>
    <w:p w:rsidR="00517FED" w:rsidRPr="008D18EC" w:rsidRDefault="00517FED" w:rsidP="0056267B">
      <w:pPr>
        <w:pStyle w:val="ListParagraph"/>
        <w:numPr>
          <w:ilvl w:val="0"/>
          <w:numId w:val="20"/>
        </w:numPr>
      </w:pPr>
      <w:r w:rsidRPr="008D18EC">
        <w:t>greater emphasis on the maintenance of stakeholder lists and general co</w:t>
      </w:r>
      <w:r w:rsidR="006D0F0F">
        <w:t>-</w:t>
      </w:r>
      <w:r w:rsidRPr="008D18EC">
        <w:t>ordination of stakeholder activity.</w:t>
      </w:r>
    </w:p>
    <w:p w:rsidR="000C0C20" w:rsidRDefault="00E42AA6" w:rsidP="001C3627">
      <w:r>
        <w:t xml:space="preserve">One of the questions posed in the NEBRA Review Discussion Paper was whether the NEBRA Administrative Group formed to guide this review (with a member from each signatory jurisdiction) should be maintained on an ongoing basis.  This question was not directly addressed in most written submissions but would seem like an obvious way for states and territories to support the Commonwealth in relation to its custodian role.  This support could involve contributing to the development of interpretative guides and participating in knowledge sharing in relation to the </w:t>
      </w:r>
      <w:r w:rsidR="001978EA">
        <w:t>initiation of NEBRA responses.</w:t>
      </w:r>
      <w:r w:rsidR="00DB015C">
        <w:t xml:space="preserve"> </w:t>
      </w:r>
    </w:p>
    <w:p w:rsidR="00E42AA6" w:rsidRDefault="00DB015C" w:rsidP="001C3627">
      <w:r>
        <w:t xml:space="preserve">Without continuation of the </w:t>
      </w:r>
      <w:r w:rsidR="000C0C20">
        <w:t>Administrative</w:t>
      </w:r>
      <w:r>
        <w:t xml:space="preserve"> Group, there is potentially no ongoing governance over the operation of NEBRA</w:t>
      </w:r>
      <w:r w:rsidR="00515C54">
        <w:t xml:space="preserve"> (in contrast to the Animal Disease and Plant Pest agreements)</w:t>
      </w:r>
      <w:r>
        <w:t>.</w:t>
      </w:r>
      <w:r w:rsidR="000C0C20">
        <w:t xml:space="preserve"> </w:t>
      </w:r>
      <w:r w:rsidR="00A70AA7">
        <w:t xml:space="preserve"> </w:t>
      </w:r>
      <w:r>
        <w:t xml:space="preserve">As NBMG are only constituted when an incursion occurs, there are potentially no meetings of the senior officers responsible for the implementation and application of NEBRA. </w:t>
      </w:r>
      <w:r w:rsidR="00D03F1F">
        <w:t xml:space="preserve"> </w:t>
      </w:r>
      <w:r>
        <w:t xml:space="preserve">KPMG consider that there would be significant governance value in retaining the group to meet once each year, or more often if required. </w:t>
      </w:r>
      <w:r w:rsidR="00D03F1F">
        <w:t xml:space="preserve"> </w:t>
      </w:r>
      <w:r>
        <w:t>This would enable continuity of oversight, provide a forum for feedback on operation</w:t>
      </w:r>
      <w:r w:rsidR="00D03F1F">
        <w:t>s</w:t>
      </w:r>
      <w:r>
        <w:t xml:space="preserve"> and custodianship, as well as provide a mechanism to test communication</w:t>
      </w:r>
      <w:r w:rsidR="00122C00">
        <w:t>s</w:t>
      </w:r>
      <w:r>
        <w:t xml:space="preserve"> prior to release. </w:t>
      </w:r>
    </w:p>
    <w:p w:rsidR="00515C54" w:rsidRDefault="00515C54" w:rsidP="001C3627">
      <w:r>
        <w:t xml:space="preserve">KPMG recognises that governments have been seeking to streamline the number of inter-governmental committees, and to make them project-based and time limited wherever possible. Such moves are intended, at least in part, to reduce the burden of such arrangements on smaller jurisdictions. </w:t>
      </w:r>
      <w:r w:rsidR="00A70AA7">
        <w:t xml:space="preserve"> </w:t>
      </w:r>
      <w:r>
        <w:t>However, given the importance of ensuring coordinated preparedness activities and the additional supports outlined above, KPMG does not consider improving governance through a small number of teleconferences to be a substantial burden.</w:t>
      </w:r>
    </w:p>
    <w:p w:rsidR="00122C00" w:rsidRDefault="00E42AA6" w:rsidP="001C3627">
      <w:r>
        <w:t xml:space="preserve">Another concern expressed to KPMG, particularly </w:t>
      </w:r>
      <w:r w:rsidR="00CB6AC4">
        <w:t xml:space="preserve">by non-government stakeholders </w:t>
      </w:r>
      <w:r>
        <w:t xml:space="preserve">during consultation, was that </w:t>
      </w:r>
      <w:r w:rsidR="008D18EC">
        <w:t xml:space="preserve">they considered </w:t>
      </w:r>
      <w:r>
        <w:t xml:space="preserve">DAWR’s </w:t>
      </w:r>
      <w:r w:rsidR="008D18EC">
        <w:t>custodianship of the NEBRA tended</w:t>
      </w:r>
      <w:r>
        <w:t xml:space="preserve"> to emphasise the agricultural aspects of biosecurity </w:t>
      </w:r>
      <w:r w:rsidR="000E3122">
        <w:t>to the detriment</w:t>
      </w:r>
      <w:r w:rsidR="006D0F0F">
        <w:t xml:space="preserve"> of</w:t>
      </w:r>
      <w:r>
        <w:t xml:space="preserve"> environmental perspectives. </w:t>
      </w:r>
      <w:r w:rsidR="00122C00">
        <w:t xml:space="preserve">The </w:t>
      </w:r>
      <w:r w:rsidR="00447A76">
        <w:t xml:space="preserve">current </w:t>
      </w:r>
      <w:r w:rsidR="00122C00">
        <w:t xml:space="preserve">lack of transparency </w:t>
      </w:r>
      <w:r w:rsidR="00447A76">
        <w:t xml:space="preserve">relating to the basis of decisions under the </w:t>
      </w:r>
      <w:r w:rsidR="00122C00">
        <w:t xml:space="preserve">NEBRA </w:t>
      </w:r>
      <w:r w:rsidR="00447A76">
        <w:t>(which is addressed in Recommendation 7) is likely to be contributing to these concerns.</w:t>
      </w:r>
    </w:p>
    <w:p w:rsidR="00423132" w:rsidRDefault="00E42AA6" w:rsidP="001C3627">
      <w:r>
        <w:t xml:space="preserve">This </w:t>
      </w:r>
      <w:r w:rsidR="008D18EC">
        <w:t xml:space="preserve">perception of an </w:t>
      </w:r>
      <w:r>
        <w:t xml:space="preserve">agricultural emphasis is further </w:t>
      </w:r>
      <w:r w:rsidR="000E3122">
        <w:t xml:space="preserve">exacerbated </w:t>
      </w:r>
      <w:r>
        <w:t xml:space="preserve">by the fact that the Chair of the NBMG </w:t>
      </w:r>
      <w:r w:rsidR="008D18EC">
        <w:t>has generally been a</w:t>
      </w:r>
      <w:r>
        <w:t xml:space="preserve"> DAWR </w:t>
      </w:r>
      <w:r w:rsidR="008D18EC">
        <w:t xml:space="preserve">executive </w:t>
      </w:r>
      <w:r>
        <w:t xml:space="preserve">and voting membership from states and territories </w:t>
      </w:r>
      <w:r w:rsidR="008D18EC">
        <w:t>has largely been</w:t>
      </w:r>
      <w:r>
        <w:t xml:space="preserve"> drawn from agriculture agencie</w:t>
      </w:r>
      <w:r w:rsidR="00423132">
        <w:t>s.</w:t>
      </w:r>
    </w:p>
    <w:p w:rsidR="005C7397" w:rsidRDefault="00423132" w:rsidP="001C3627">
      <w:r>
        <w:t xml:space="preserve">Agriculture agency </w:t>
      </w:r>
      <w:r w:rsidR="00515C54">
        <w:t>leadership of</w:t>
      </w:r>
      <w:r w:rsidR="008D18EC">
        <w:t xml:space="preserve"> the management</w:t>
      </w:r>
      <w:r>
        <w:t xml:space="preserve"> of NEBRA </w:t>
      </w:r>
      <w:r w:rsidR="00E42AA6">
        <w:t xml:space="preserve">is understandable because </w:t>
      </w:r>
      <w:r w:rsidR="008D18EC">
        <w:t>governments have assigned</w:t>
      </w:r>
      <w:r w:rsidR="00E42AA6">
        <w:t xml:space="preserve"> responsibility for </w:t>
      </w:r>
      <w:r w:rsidR="00515C54">
        <w:t xml:space="preserve">broader </w:t>
      </w:r>
      <w:r w:rsidR="00E42AA6">
        <w:t xml:space="preserve">biosecurity </w:t>
      </w:r>
      <w:r w:rsidR="008D18EC">
        <w:t xml:space="preserve">to agriculture agencies </w:t>
      </w:r>
      <w:r w:rsidR="00E42AA6">
        <w:t>(except in Tasmania where there is currently a joint agriculture and environment agency</w:t>
      </w:r>
      <w:r w:rsidR="00097215">
        <w:t xml:space="preserve"> (albeit with two different ministers)</w:t>
      </w:r>
      <w:r w:rsidR="00A70AA7">
        <w:t xml:space="preserve"> </w:t>
      </w:r>
      <w:r w:rsidR="00E42AA6">
        <w:t>and in the ACT where agriculture</w:t>
      </w:r>
      <w:r w:rsidR="00097215">
        <w:t xml:space="preserve"> sits within the environment agency</w:t>
      </w:r>
      <w:r w:rsidR="00E42AA6">
        <w:t>).</w:t>
      </w:r>
      <w:r>
        <w:t xml:space="preserve">  However, </w:t>
      </w:r>
      <w:r w:rsidR="008D18EC">
        <w:t xml:space="preserve">greater involvement by </w:t>
      </w:r>
      <w:r>
        <w:t xml:space="preserve">environment agencies would </w:t>
      </w:r>
      <w:r w:rsidR="008D18EC">
        <w:t>aid</w:t>
      </w:r>
      <w:r>
        <w:t xml:space="preserve"> agriculture agencies </w:t>
      </w:r>
      <w:r w:rsidR="008D18EC">
        <w:t>in the prioritisation of</w:t>
      </w:r>
      <w:r>
        <w:t xml:space="preserve"> environmental biosecurity responses.  In their submission to this review the New South Wales Government noted that “there is a gap in environmental agency funding specific to NEBRA activity</w:t>
      </w:r>
      <w:r w:rsidR="004623DA">
        <w:t xml:space="preserve"> </w:t>
      </w:r>
      <w:r w:rsidR="004623DA" w:rsidRPr="004623DA">
        <w:t xml:space="preserve">and there is also an opportunity for the Commonwealth </w:t>
      </w:r>
      <w:r w:rsidR="00735DC4">
        <w:t>DEE</w:t>
      </w:r>
      <w:r w:rsidR="004623DA" w:rsidRPr="004623DA">
        <w:t xml:space="preserve"> to be more engaged with state environmental departments</w:t>
      </w:r>
      <w:r w:rsidR="004623DA">
        <w:t>”</w:t>
      </w:r>
      <w:r>
        <w:t xml:space="preserve">.  </w:t>
      </w:r>
      <w:r w:rsidR="004623DA">
        <w:t xml:space="preserve">It would be beneficial if environment agencies </w:t>
      </w:r>
      <w:r w:rsidR="00D03F1F">
        <w:t xml:space="preserve">of all jurisdictions </w:t>
      </w:r>
      <w:r w:rsidR="004623DA">
        <w:t xml:space="preserve">were more actively engaged </w:t>
      </w:r>
      <w:r w:rsidR="00D03F1F">
        <w:t xml:space="preserve">and formally consulted </w:t>
      </w:r>
      <w:r w:rsidR="004623DA">
        <w:t xml:space="preserve">in </w:t>
      </w:r>
      <w:r w:rsidR="00D03F1F">
        <w:t xml:space="preserve">relation to </w:t>
      </w:r>
      <w:r w:rsidR="004623DA">
        <w:t>NEBRA decision making</w:t>
      </w:r>
      <w:r w:rsidR="00E42AA6">
        <w:t>.</w:t>
      </w:r>
      <w:r w:rsidR="00F10E7B">
        <w:t xml:space="preserve">  </w:t>
      </w:r>
      <w:r w:rsidR="00515C54">
        <w:t>A f</w:t>
      </w:r>
      <w:r w:rsidR="00F10E7B">
        <w:t xml:space="preserve">ormal consultation </w:t>
      </w:r>
      <w:r w:rsidR="00515C54">
        <w:t xml:space="preserve">requirement </w:t>
      </w:r>
      <w:r w:rsidR="00F10E7B">
        <w:t xml:space="preserve">would </w:t>
      </w:r>
      <w:r w:rsidR="00515C54">
        <w:t xml:space="preserve">go some way to </w:t>
      </w:r>
      <w:r w:rsidR="00D03F1F">
        <w:t>demonstrat</w:t>
      </w:r>
      <w:r w:rsidR="00515C54">
        <w:t>ing</w:t>
      </w:r>
      <w:r w:rsidR="00D03F1F">
        <w:t xml:space="preserve"> to non-government stakeholders that environmental </w:t>
      </w:r>
      <w:r w:rsidR="00447A76">
        <w:t>policy objectives</w:t>
      </w:r>
      <w:r w:rsidR="00D03F1F">
        <w:t xml:space="preserve"> are taken into consideration in NEBRA decision making.</w:t>
      </w:r>
    </w:p>
    <w:p w:rsidR="00E42AA6" w:rsidRDefault="00E42AA6" w:rsidP="001C3627"/>
    <w:tbl>
      <w:tblPr>
        <w:tblStyle w:val="TableGrid"/>
        <w:tblW w:w="0" w:type="auto"/>
        <w:tblLook w:val="04A0" w:firstRow="1" w:lastRow="0" w:firstColumn="1" w:lastColumn="0" w:noHBand="0" w:noVBand="1"/>
      </w:tblPr>
      <w:tblGrid>
        <w:gridCol w:w="6637"/>
      </w:tblGrid>
      <w:tr w:rsidR="00882C94" w:rsidTr="00882C94">
        <w:tc>
          <w:tcPr>
            <w:tcW w:w="6637" w:type="dxa"/>
          </w:tcPr>
          <w:p w:rsidR="008056E3" w:rsidRDefault="008056E3" w:rsidP="008056E3">
            <w:pPr>
              <w:rPr>
                <w:b/>
              </w:rPr>
            </w:pPr>
            <w:r>
              <w:rPr>
                <w:b/>
              </w:rPr>
              <w:t>Recommendation 2</w:t>
            </w:r>
          </w:p>
          <w:p w:rsidR="008056E3" w:rsidRDefault="008056E3" w:rsidP="008056E3">
            <w:r>
              <w:t>The Commonwealth DAWR should remain as the custodian of NEBRA.  If, following the IGAB Review, a new entity is created with responsibility for environmental biosecurity, consideration should be given to the role the entity should play in relation to NEBRA custodianship.</w:t>
            </w:r>
          </w:p>
          <w:p w:rsidR="008056E3" w:rsidRDefault="008056E3" w:rsidP="008056E3">
            <w:pPr>
              <w:rPr>
                <w:b/>
              </w:rPr>
            </w:pPr>
            <w:r>
              <w:rPr>
                <w:b/>
              </w:rPr>
              <w:t>Recommendation 3</w:t>
            </w:r>
          </w:p>
          <w:p w:rsidR="008056E3" w:rsidRDefault="008056E3" w:rsidP="008056E3">
            <w:r>
              <w:t>NBMG meetings should be co-chaired by an executive from the Commonwealth Department of Environment and Energy</w:t>
            </w:r>
            <w:r w:rsidR="00F10E7B">
              <w:t xml:space="preserve"> (DEE)</w:t>
            </w:r>
            <w:r>
              <w:t>, potentially the Chief Environmental Biosecurity Officer if that position is created following the IGAB Review.</w:t>
            </w:r>
          </w:p>
          <w:p w:rsidR="008056E3" w:rsidRDefault="008056E3" w:rsidP="008056E3">
            <w:pPr>
              <w:rPr>
                <w:b/>
              </w:rPr>
            </w:pPr>
            <w:r>
              <w:rPr>
                <w:b/>
              </w:rPr>
              <w:t>Recommendation 4</w:t>
            </w:r>
          </w:p>
          <w:p w:rsidR="00B23924" w:rsidRDefault="00B23924" w:rsidP="00B23924">
            <w:r>
              <w:t xml:space="preserve">NBMG members should undertake formal consultation with their environment agency counterparts in each jurisdiction, </w:t>
            </w:r>
            <w:r w:rsidR="00447A76">
              <w:t>prior to any substantive decision being made under the NEBRA</w:t>
            </w:r>
            <w:r>
              <w:t>.</w:t>
            </w:r>
          </w:p>
          <w:p w:rsidR="008056E3" w:rsidRPr="008D18EC" w:rsidRDefault="008056E3" w:rsidP="008056E3">
            <w:pPr>
              <w:rPr>
                <w:b/>
              </w:rPr>
            </w:pPr>
            <w:r w:rsidRPr="008D18EC">
              <w:rPr>
                <w:b/>
              </w:rPr>
              <w:t>Recommendation 5</w:t>
            </w:r>
          </w:p>
          <w:p w:rsidR="008056E3" w:rsidRDefault="008056E3" w:rsidP="008056E3">
            <w:r w:rsidRPr="008D18EC">
              <w:t xml:space="preserve">The NEBRA custodian role should be enhanced to support a maturing NEBRA.  Areas of focus should include greater public transparency around decision making, greater support for the development of interpretative guides, enhanced communication with non-government stakeholders and general co-ordination of stakeholder activity.  An enhanced custodian role would require a greater level of resourcing </w:t>
            </w:r>
            <w:r w:rsidR="008D18EC" w:rsidRPr="008D18EC">
              <w:t>for</w:t>
            </w:r>
            <w:r w:rsidRPr="008D18EC">
              <w:t xml:space="preserve"> the NEBRA custodian</w:t>
            </w:r>
            <w:r w:rsidR="008D18EC" w:rsidRPr="008D18EC">
              <w:t xml:space="preserve"> role</w:t>
            </w:r>
            <w:r w:rsidRPr="008D18EC">
              <w:t>.</w:t>
            </w:r>
          </w:p>
          <w:p w:rsidR="008056E3" w:rsidRPr="00E70430" w:rsidRDefault="008056E3" w:rsidP="008056E3">
            <w:pPr>
              <w:rPr>
                <w:b/>
              </w:rPr>
            </w:pPr>
            <w:r w:rsidRPr="00E70430">
              <w:rPr>
                <w:b/>
              </w:rPr>
              <w:t>Recommendation 6</w:t>
            </w:r>
          </w:p>
          <w:p w:rsidR="00E70430" w:rsidRPr="00E70430" w:rsidRDefault="008056E3" w:rsidP="008056E3">
            <w:r>
              <w:t>The NEBRA Administrative Group formed for the purpose of guiding this review should be instituted as an ongoing body to enable the states and territories to support and engage with an enhanced NEBRA custodian.</w:t>
            </w:r>
            <w:r w:rsidR="00B23924">
              <w:t xml:space="preserve"> It would also facilitate continuity of oversight and allow for feedback to the custodian in a structured manner.</w:t>
            </w:r>
          </w:p>
        </w:tc>
      </w:tr>
    </w:tbl>
    <w:p w:rsidR="00680998" w:rsidRDefault="00680998" w:rsidP="00680998">
      <w:pPr>
        <w:pStyle w:val="Heading2"/>
      </w:pPr>
      <w:bookmarkStart w:id="90" w:name="_Ref479323598"/>
      <w:bookmarkStart w:id="91" w:name="_Toc483482620"/>
      <w:r>
        <w:t>NEBRA Communication</w:t>
      </w:r>
      <w:bookmarkEnd w:id="90"/>
      <w:bookmarkEnd w:id="91"/>
    </w:p>
    <w:p w:rsidR="004315E5" w:rsidRDefault="00B978C9" w:rsidP="001C3627">
      <w:r>
        <w:t xml:space="preserve">There are </w:t>
      </w:r>
      <w:r w:rsidR="00574EAE">
        <w:t>three</w:t>
      </w:r>
      <w:r>
        <w:t xml:space="preserve"> distinct elements to NEBRA Communication: communication between government biosecurity agencies around NEBRA</w:t>
      </w:r>
      <w:r w:rsidR="006D0F0F">
        <w:t>;</w:t>
      </w:r>
      <w:r w:rsidR="00574EAE">
        <w:t xml:space="preserve"> communication between biosecurity agencies and their colleagues in the rest of government</w:t>
      </w:r>
      <w:r w:rsidR="006D0F0F">
        <w:t>;</w:t>
      </w:r>
      <w:r>
        <w:t xml:space="preserve"> and communication between </w:t>
      </w:r>
      <w:r w:rsidR="00574EAE">
        <w:t xml:space="preserve">government and </w:t>
      </w:r>
      <w:r>
        <w:t>industry, non-government organisations and the general community.</w:t>
      </w:r>
    </w:p>
    <w:p w:rsidR="00B978C9" w:rsidRDefault="00B978C9" w:rsidP="00B978C9">
      <w:pPr>
        <w:pStyle w:val="Heading3"/>
      </w:pPr>
      <w:r>
        <w:t>Communication between Biosecurity Agencies</w:t>
      </w:r>
    </w:p>
    <w:p w:rsidR="00B978C9" w:rsidRDefault="00B978C9" w:rsidP="00B978C9">
      <w:r>
        <w:t xml:space="preserve">KPMG’s consultation indicated that communication between biosecurity agencies on NEBRA issues was effective but based on professional relationships and informal channels rather than formal structures.  Stakeholders advised KPMG that for demographic reasons there is likely to be significant turnover at the senior levels of biosecurity agencies in coming years.  </w:t>
      </w:r>
      <w:r w:rsidR="00640251">
        <w:t>Consequently, t</w:t>
      </w:r>
      <w:r>
        <w:t xml:space="preserve">here is a need for </w:t>
      </w:r>
      <w:r w:rsidR="00640251">
        <w:t xml:space="preserve">more structured and formal collaboration arrangements through </w:t>
      </w:r>
      <w:r>
        <w:t xml:space="preserve">an ongoing NEBRA forum.  See </w:t>
      </w:r>
      <w:r w:rsidR="007C139A">
        <w:t>Recommendation 6.</w:t>
      </w:r>
    </w:p>
    <w:p w:rsidR="007C139A" w:rsidRDefault="00081019" w:rsidP="007C139A">
      <w:pPr>
        <w:pStyle w:val="Heading3"/>
      </w:pPr>
      <w:r>
        <w:t>Intra-Government Communication</w:t>
      </w:r>
    </w:p>
    <w:p w:rsidR="007C139A" w:rsidRDefault="00081019" w:rsidP="007C139A">
      <w:r>
        <w:t>During consultation KPMG noted that some jurisdictions (NSW in particular) have robust arrangements in place to engage their whole apparatus of government in emergency biosecurity responses (including those under NEBRA</w:t>
      </w:r>
      <w:r w:rsidR="00972F05">
        <w:t>)</w:t>
      </w:r>
      <w:r>
        <w:t>.  However, two-way communication between biosecurity agencies and other agencies within the same jurisdictions could be strengthened.  It is particularly important that environment agencies are engaged in the decision making process around the application of NEBRA.  See Recommendations 3 and 4.</w:t>
      </w:r>
    </w:p>
    <w:p w:rsidR="00C34580" w:rsidRDefault="00C34580" w:rsidP="00C34580">
      <w:pPr>
        <w:pStyle w:val="Heading3"/>
      </w:pPr>
      <w:r>
        <w:t>Communication with Industry, Non-Government Organisations and the General Community</w:t>
      </w:r>
    </w:p>
    <w:p w:rsidR="00C34580" w:rsidRDefault="006F610E" w:rsidP="00C34580">
      <w:r>
        <w:t>KPMG’s consultation for this review quickly revealed that the level of awareness of NEBRA outside government is extremely low and almost exclusively limited to non-government organisations who are actively engaged with government (such as the Invasive Species Council and Wildlife Health Australia) and</w:t>
      </w:r>
      <w:r w:rsidR="005E21F7">
        <w:t xml:space="preserve"> some well-informed agriculture</w:t>
      </w:r>
      <w:r>
        <w:t xml:space="preserve"> and </w:t>
      </w:r>
      <w:r w:rsidR="005E21F7">
        <w:t>aquaculture</w:t>
      </w:r>
      <w:r>
        <w:t xml:space="preserve"> industry groups whose businesses could be directly threatened by biosecurity incidents.</w:t>
      </w:r>
    </w:p>
    <w:p w:rsidR="002F438D" w:rsidRDefault="002F438D" w:rsidP="00C34580">
      <w:r>
        <w:t xml:space="preserve">Even within these relatively well informed groups there was a very low level of awareness of the outbreaks for which the NEBRA had been applied and, perhaps more importantly, </w:t>
      </w:r>
      <w:r w:rsidR="00F0225D">
        <w:t>outbreaks which had been considered for a response under NEBRA but which were not judged to have met the criteria.</w:t>
      </w:r>
      <w:r w:rsidR="002E0BA8">
        <w:t xml:space="preserve"> However, there was some evidence of </w:t>
      </w:r>
      <w:r w:rsidR="00337CF8">
        <w:t>practical collaboration between government and non-government organisations to</w:t>
      </w:r>
      <w:r w:rsidR="002E0BA8">
        <w:t xml:space="preserve"> </w:t>
      </w:r>
      <w:r w:rsidR="00337CF8">
        <w:t>address</w:t>
      </w:r>
      <w:r w:rsidR="002E0BA8">
        <w:t xml:space="preserve"> biosecurity risks outside the NEBRA context (several examples were provided in both South Australia and New South Wales).</w:t>
      </w:r>
    </w:p>
    <w:p w:rsidR="00A41A7F" w:rsidRDefault="00A41A7F" w:rsidP="00C34580">
      <w:r>
        <w:t>During this review KPMG engaged with the NEBRA secretariat in DAWR to obtain a list of outbreaks for which the application of NEBRA had been considered.</w:t>
      </w:r>
      <w:r w:rsidR="0065352E">
        <w:t xml:space="preserve"> This list was not publicly available.</w:t>
      </w:r>
    </w:p>
    <w:p w:rsidR="00F0225D" w:rsidRDefault="00F0225D" w:rsidP="00C34580">
      <w:r>
        <w:t>Almost every stakeholder</w:t>
      </w:r>
      <w:r w:rsidR="00B23924">
        <w:t>, both government and non-government,</w:t>
      </w:r>
      <w:r>
        <w:t xml:space="preserve"> who made a written submission to this review or participated in a consultation session agreed that there is a need for greater transparency around NEBRA decision making.</w:t>
      </w:r>
      <w:r w:rsidR="00247DFE">
        <w:t xml:space="preserve">  It is evident that the low level of transparency that is currently a feature of NEBRA has been predominantly a result of limited resourcing (see also </w:t>
      </w:r>
      <w:r w:rsidR="00247DFE">
        <w:fldChar w:fldCharType="begin"/>
      </w:r>
      <w:r w:rsidR="00247DFE">
        <w:instrText xml:space="preserve"> REF _Ref479340410 \r \h </w:instrText>
      </w:r>
      <w:r w:rsidR="00247DFE">
        <w:fldChar w:fldCharType="separate"/>
      </w:r>
      <w:r w:rsidR="009B19A2">
        <w:t>3.2</w:t>
      </w:r>
      <w:r w:rsidR="00247DFE">
        <w:fldChar w:fldCharType="end"/>
      </w:r>
      <w:r w:rsidR="00247DFE">
        <w:t xml:space="preserve"> – NEBRA Custodianship).</w:t>
      </w:r>
    </w:p>
    <w:p w:rsidR="00247DFE" w:rsidRDefault="00247DFE" w:rsidP="00C34580">
      <w:r>
        <w:t>The potential benefits of greater transparency include:</w:t>
      </w:r>
    </w:p>
    <w:p w:rsidR="00247DFE" w:rsidRDefault="00247DFE" w:rsidP="006113C3">
      <w:pPr>
        <w:pStyle w:val="ListParagraph"/>
        <w:numPr>
          <w:ilvl w:val="0"/>
          <w:numId w:val="16"/>
        </w:numPr>
      </w:pPr>
      <w:r>
        <w:t>raising awareness of environmental biosecurity issues which may act as a prompt for more extensive and better informed surveillance by industry and community groups;</w:t>
      </w:r>
    </w:p>
    <w:p w:rsidR="00247DFE" w:rsidRDefault="00247DFE" w:rsidP="006113C3">
      <w:pPr>
        <w:pStyle w:val="ListParagraph"/>
        <w:numPr>
          <w:ilvl w:val="0"/>
          <w:numId w:val="16"/>
        </w:numPr>
      </w:pPr>
      <w:r>
        <w:t>creation of an opportunity for stakeholders to contribute to environmental biosecurity arrangements in an informed way (e.g. by considering NEBRA criteria and whether they will address biosecurity threats</w:t>
      </w:r>
      <w:r w:rsidR="00574EAE">
        <w:t>)</w:t>
      </w:r>
      <w:r>
        <w:t xml:space="preserve">; </w:t>
      </w:r>
    </w:p>
    <w:p w:rsidR="00972F05" w:rsidRDefault="00972F05" w:rsidP="006113C3">
      <w:pPr>
        <w:pStyle w:val="ListParagraph"/>
        <w:numPr>
          <w:ilvl w:val="0"/>
          <w:numId w:val="16"/>
        </w:numPr>
      </w:pPr>
      <w:r>
        <w:t>increased stakeholder confidence that governments are managing environmental biosecurity;</w:t>
      </w:r>
      <w:r w:rsidRPr="00972F05">
        <w:t xml:space="preserve"> </w:t>
      </w:r>
      <w:r>
        <w:t>and</w:t>
      </w:r>
    </w:p>
    <w:p w:rsidR="00247DFE" w:rsidRDefault="00247DFE" w:rsidP="006113C3">
      <w:pPr>
        <w:pStyle w:val="ListParagraph"/>
        <w:numPr>
          <w:ilvl w:val="0"/>
          <w:numId w:val="16"/>
        </w:numPr>
      </w:pPr>
      <w:r>
        <w:t xml:space="preserve">providing a resource for biosecurity agencies to understand </w:t>
      </w:r>
      <w:r w:rsidR="00C501C3">
        <w:t>what kind of outbreaks have met (or have not met) NEBRA criteria in the past.</w:t>
      </w:r>
    </w:p>
    <w:p w:rsidR="00C501C3" w:rsidRDefault="00EC45B6" w:rsidP="00C501C3">
      <w:r>
        <w:t xml:space="preserve">There is also the potential that increased scrutiny that is likely to accompany </w:t>
      </w:r>
      <w:r w:rsidR="00A41A7F">
        <w:t>greater</w:t>
      </w:r>
      <w:r>
        <w:t xml:space="preserve"> transparency will p</w:t>
      </w:r>
      <w:r w:rsidR="00A41A7F">
        <w:t>resent its own resource demands.  For that reason the aim of enhanced transparency should be to provide a level of information that is informative without exposing every level of assessment to intensive examination.</w:t>
      </w:r>
    </w:p>
    <w:tbl>
      <w:tblPr>
        <w:tblStyle w:val="TableGrid"/>
        <w:tblW w:w="0" w:type="auto"/>
        <w:tblLook w:val="04A0" w:firstRow="1" w:lastRow="0" w:firstColumn="1" w:lastColumn="0" w:noHBand="0" w:noVBand="1"/>
      </w:tblPr>
      <w:tblGrid>
        <w:gridCol w:w="6637"/>
      </w:tblGrid>
      <w:tr w:rsidR="00A41A7F" w:rsidTr="00A41A7F">
        <w:tc>
          <w:tcPr>
            <w:tcW w:w="6637" w:type="dxa"/>
          </w:tcPr>
          <w:p w:rsidR="008056E3" w:rsidRDefault="008056E3" w:rsidP="008056E3">
            <w:pPr>
              <w:rPr>
                <w:b/>
              </w:rPr>
            </w:pPr>
            <w:r>
              <w:rPr>
                <w:b/>
              </w:rPr>
              <w:t>Recommendation 7</w:t>
            </w:r>
          </w:p>
          <w:p w:rsidR="00A41A7F" w:rsidRPr="00A41A7F" w:rsidRDefault="008056E3" w:rsidP="008056E3">
            <w:r>
              <w:t xml:space="preserve">A summary of decisions made by NBMGs on whether </w:t>
            </w:r>
            <w:r w:rsidR="00447A76">
              <w:t xml:space="preserve">or not </w:t>
            </w:r>
            <w:r>
              <w:t>to apply NEBRA should be made publicly available in a timely manner to encourage wider understanding of the operation of the agreement.</w:t>
            </w:r>
          </w:p>
        </w:tc>
      </w:tr>
    </w:tbl>
    <w:p w:rsidR="003348D5" w:rsidRDefault="003348D5" w:rsidP="003348D5">
      <w:pPr>
        <w:pStyle w:val="Heading2"/>
      </w:pPr>
      <w:bookmarkStart w:id="92" w:name="_Toc483482621"/>
      <w:r>
        <w:t>NEBRA</w:t>
      </w:r>
      <w:r w:rsidR="00276C6F">
        <w:t xml:space="preserve"> Management</w:t>
      </w:r>
      <w:bookmarkEnd w:id="92"/>
    </w:p>
    <w:p w:rsidR="00A2604E" w:rsidRDefault="00076C0B" w:rsidP="00076C0B">
      <w:pPr>
        <w:pStyle w:val="Heading3"/>
      </w:pPr>
      <w:r>
        <w:t>Phases of a Response</w:t>
      </w:r>
    </w:p>
    <w:p w:rsidR="00076C0B" w:rsidRDefault="002C7E6E" w:rsidP="00076C0B">
      <w:r>
        <w:t xml:space="preserve">KPMG </w:t>
      </w:r>
      <w:r w:rsidR="00972F05">
        <w:t xml:space="preserve"> </w:t>
      </w:r>
      <w:r>
        <w:t>consultation</w:t>
      </w:r>
      <w:r w:rsidR="00972F05">
        <w:t>s</w:t>
      </w:r>
      <w:r>
        <w:t xml:space="preserve"> and written submissions have indicated that the pre-response requirements of NEBRA (through which the combat jurisdiction must contain the outbreak while preparing NEBRA analyses and documentation for decision making) and the incorporation of a transition to management phase (see section </w:t>
      </w:r>
      <w:r>
        <w:fldChar w:fldCharType="begin"/>
      </w:r>
      <w:r>
        <w:instrText xml:space="preserve"> REF _Ref479576830 \r \h </w:instrText>
      </w:r>
      <w:r>
        <w:fldChar w:fldCharType="separate"/>
      </w:r>
      <w:r w:rsidR="009B19A2">
        <w:t>2.2</w:t>
      </w:r>
      <w:r>
        <w:fldChar w:fldCharType="end"/>
      </w:r>
      <w:r>
        <w:t xml:space="preserve"> for background) provoke considerable discussion and differing views.</w:t>
      </w:r>
    </w:p>
    <w:p w:rsidR="002C7E6E" w:rsidRDefault="00CE66EC" w:rsidP="00076C0B">
      <w:r>
        <w:t xml:space="preserve">With respect to pre-response requirements, the NEBRA requires that combat jurisdictions meet the initial expenses of </w:t>
      </w:r>
      <w:r w:rsidR="009310D1">
        <w:t>containing an outbreak</w:t>
      </w:r>
      <w:r w:rsidR="00CB1737">
        <w:t>,</w:t>
      </w:r>
      <w:r w:rsidR="009310D1">
        <w:t xml:space="preserve"> </w:t>
      </w:r>
      <w:r>
        <w:t xml:space="preserve">preparing risk </w:t>
      </w:r>
      <w:r w:rsidR="00423DA5">
        <w:t xml:space="preserve">assessments, </w:t>
      </w:r>
      <w:r w:rsidR="00CB1737">
        <w:t xml:space="preserve">preparing </w:t>
      </w:r>
      <w:r w:rsidR="00E86CB3">
        <w:t>assessments of national significance, feasibility of eradication and benefit-cost analyses.</w:t>
      </w:r>
      <w:r w:rsidR="009310D1">
        <w:rPr>
          <w:rStyle w:val="FootnoteReference"/>
        </w:rPr>
        <w:footnoteReference w:id="41"/>
      </w:r>
      <w:r w:rsidR="009310D1">
        <w:t xml:space="preserve">  These costs can be reimbursed to the combat jurisdiction under agreed cost-sharing arrangements if a NEBRA response is later approved.</w:t>
      </w:r>
      <w:r w:rsidR="009310D1">
        <w:rPr>
          <w:rStyle w:val="FootnoteReference"/>
        </w:rPr>
        <w:footnoteReference w:id="42"/>
      </w:r>
    </w:p>
    <w:p w:rsidR="006B3F81" w:rsidRDefault="009310D1" w:rsidP="00076C0B">
      <w:r>
        <w:t xml:space="preserve">Small jurisdictions expressed concern about their ability to complete the analysis and documentation required to initiate a NEBRA response while </w:t>
      </w:r>
      <w:r w:rsidR="006B3F81">
        <w:t>simultaneously working to contain an outbreak:</w:t>
      </w:r>
    </w:p>
    <w:p w:rsidR="009310D1" w:rsidRDefault="006B3F81" w:rsidP="006113C3">
      <w:pPr>
        <w:pStyle w:val="ListParagraph"/>
        <w:numPr>
          <w:ilvl w:val="0"/>
          <w:numId w:val="16"/>
        </w:numPr>
      </w:pPr>
      <w:r>
        <w:t>South Australia submitted that “j</w:t>
      </w:r>
      <w:r w:rsidRPr="006B3F81">
        <w:t>urisdictions face significant costs in the early stages of an environmental biosecurity event before the NEBRA criteria can be addressed</w:t>
      </w:r>
      <w:r>
        <w:t>”.</w:t>
      </w:r>
    </w:p>
    <w:p w:rsidR="006B3F81" w:rsidRDefault="00F12732" w:rsidP="006113C3">
      <w:pPr>
        <w:pStyle w:val="ListParagraph"/>
        <w:numPr>
          <w:ilvl w:val="0"/>
          <w:numId w:val="16"/>
        </w:numPr>
      </w:pPr>
      <w:r>
        <w:t>Tasmania submitted that the “p</w:t>
      </w:r>
      <w:r w:rsidRPr="00F12732">
        <w:t>re-response burden falls entirely on the combat jurisdiction.  If the response doesn’t go ahead then that jurisdiction is unable to recover costs, although it may have been reasonable to approach it as if it were nationally significant</w:t>
      </w:r>
      <w:r>
        <w:t>”</w:t>
      </w:r>
      <w:r w:rsidRPr="00F12732">
        <w:t>.</w:t>
      </w:r>
    </w:p>
    <w:p w:rsidR="00F12732" w:rsidRDefault="00F12732" w:rsidP="006113C3">
      <w:pPr>
        <w:pStyle w:val="ListParagraph"/>
        <w:numPr>
          <w:ilvl w:val="0"/>
          <w:numId w:val="16"/>
        </w:numPr>
      </w:pPr>
      <w:r>
        <w:t>Northern Territory submitted that “d</w:t>
      </w:r>
      <w:r w:rsidRPr="00F12732">
        <w:t>elivery of responses is particularly difficult for small jurisdictions. This is especially so during the period before the final decision on approving a national response, when staff and resources are required to take immediate on-ground action in response to an incursion, while simultaneously conducting pre-response activities and preparing documentation for a NEBRA response</w:t>
      </w:r>
      <w:r>
        <w:t>”.</w:t>
      </w:r>
    </w:p>
    <w:p w:rsidR="00F12732" w:rsidRDefault="00F12732" w:rsidP="00F12732">
      <w:r>
        <w:t>Conversely</w:t>
      </w:r>
      <w:r w:rsidR="006C555E">
        <w:t xml:space="preserve">, both New South Wales and the Commonwealth maintained that </w:t>
      </w:r>
      <w:r w:rsidR="004421C8">
        <w:t>pre-response activities</w:t>
      </w:r>
      <w:r w:rsidR="006C555E">
        <w:t xml:space="preserve"> </w:t>
      </w:r>
      <w:r w:rsidR="004421C8">
        <w:t>are</w:t>
      </w:r>
      <w:r w:rsidR="006C555E">
        <w:t xml:space="preserve"> the responsibility of each jurisdiction under their normal commitments and that NEBRA should remain focussed on cost-sharing for nationally significant eradication efforts.</w:t>
      </w:r>
    </w:p>
    <w:p w:rsidR="00C72CBA" w:rsidRDefault="00C72CBA" w:rsidP="00F12732">
      <w:r>
        <w:t xml:space="preserve">Unlike the NEBRA, responses under the EADRA and EPPRD are designed around </w:t>
      </w:r>
      <w:r w:rsidR="00CB1737">
        <w:t xml:space="preserve">explicit </w:t>
      </w:r>
      <w:r>
        <w:t>phases.  The EADRA features an Incident Definition Phase, an Emergency Response Phase and a Proof of Freedom Phase.  The EPPRD features these three phases but also includes a (12 month) Transition to Management Phase which may follow a determination that eradication of the outbreak is no longer feasible.  Expenses incurred during the Incident Definition Phase under EADRA and EPPRD are met by the combat jurisdiction but may be reimbursed under agreed cost sharing arrangements if a response is approved.</w:t>
      </w:r>
      <w:r>
        <w:rPr>
          <w:rStyle w:val="FootnoteReference"/>
        </w:rPr>
        <w:footnoteReference w:id="43"/>
      </w:r>
    </w:p>
    <w:p w:rsidR="00451E15" w:rsidRDefault="006C555E" w:rsidP="00F12732">
      <w:r>
        <w:t xml:space="preserve">In addressing this issue it is probably useful to separate containment from the analysis and documentation required to initiate a NEBRA response.  </w:t>
      </w:r>
      <w:r w:rsidR="00AB0E7C">
        <w:t>It seems clear that expanding the NEBRA to include cost-sharing for containment would change the nature of the agreement and not be</w:t>
      </w:r>
      <w:r w:rsidR="00451E15">
        <w:t xml:space="preserve"> supported by all signatories.</w:t>
      </w:r>
      <w:r w:rsidR="0052720F">
        <w:t xml:space="preserve">  However, cost-shared containment in some circumstances should be considered even if the mechanism sits outside of NEBRA (see also section </w:t>
      </w:r>
      <w:r w:rsidR="0052720F">
        <w:fldChar w:fldCharType="begin"/>
      </w:r>
      <w:r w:rsidR="0052720F">
        <w:instrText xml:space="preserve"> REF _Ref480354367 \r \h </w:instrText>
      </w:r>
      <w:r w:rsidR="0052720F">
        <w:fldChar w:fldCharType="separate"/>
      </w:r>
      <w:r w:rsidR="009B19A2">
        <w:t>3.6.3</w:t>
      </w:r>
      <w:r w:rsidR="0052720F">
        <w:fldChar w:fldCharType="end"/>
      </w:r>
      <w:r w:rsidR="0052720F">
        <w:t>).</w:t>
      </w:r>
    </w:p>
    <w:p w:rsidR="006073EB" w:rsidRDefault="00451E15" w:rsidP="00F12732">
      <w:r>
        <w:t>I</w:t>
      </w:r>
      <w:r w:rsidR="00AB0E7C">
        <w:t xml:space="preserve">t is also clear that preparing assessments and documentation for outbreaks </w:t>
      </w:r>
      <w:r w:rsidR="00AD3467">
        <w:t>that have predominantly environmental impacts</w:t>
      </w:r>
      <w:r w:rsidR="00AB0E7C">
        <w:t xml:space="preserve"> is more challenging than for agricultural outbreaks because the pest or disease is often unknown (or little known) and its potential impact on an environment unpredictable</w:t>
      </w:r>
      <w:r w:rsidR="00D104E7">
        <w:rPr>
          <w:rStyle w:val="FootnoteReference"/>
        </w:rPr>
        <w:footnoteReference w:id="44"/>
      </w:r>
      <w:r w:rsidR="00AB0E7C">
        <w:t>.</w:t>
      </w:r>
      <w:r>
        <w:t xml:space="preserve">  In their submissions New South Wales, the Commonwealth and the National Farmers Federation expressed concern about </w:t>
      </w:r>
      <w:r w:rsidR="006073EB">
        <w:t xml:space="preserve">NEBRA criteria (which require a level of certainty in relation to an outbreak) and </w:t>
      </w:r>
      <w:r>
        <w:t>the limited evidence base available on new and emerging environmen</w:t>
      </w:r>
      <w:r w:rsidR="00E97508">
        <w:t>tal biosecurity threats.</w:t>
      </w:r>
    </w:p>
    <w:p w:rsidR="006073EB" w:rsidRDefault="00E97508" w:rsidP="00F12732">
      <w:r>
        <w:t>With respect to Transition to Management, EPPRD allows for a Transition to Management phase while EADRA and NEBRA do not.</w:t>
      </w:r>
      <w:r w:rsidR="0086307B">
        <w:t xml:space="preserve">  In submissions to this review New South Wales and the Commonwealth expressed</w:t>
      </w:r>
      <w:r w:rsidR="001B3FDC">
        <w:t xml:space="preserve"> cautious,</w:t>
      </w:r>
      <w:r w:rsidR="0086307B">
        <w:t xml:space="preserve"> in principle support for the inclusion of a Transition to Management Phase in NEBRA while the Northern Territory opposed the concept on the basis that it may weaken universal support for the agreement.</w:t>
      </w:r>
    </w:p>
    <w:p w:rsidR="0086307B" w:rsidRDefault="0086307B" w:rsidP="00F12732">
      <w:r>
        <w:t>During consultation a number of parties expressed concern to KPMG that if NEBRA does not contain explicit Transition to Management provisions then transition activities will likely still be funded as part of the final stages of an emergency response.  Given this, it would be preferable if a transparent plan for transition activities was a feature of the NEBRA.</w:t>
      </w:r>
    </w:p>
    <w:p w:rsidR="006C555E" w:rsidRDefault="00451E15" w:rsidP="00F12732">
      <w:r>
        <w:t>For these reasons KPMG makes the following recommendations:</w:t>
      </w:r>
    </w:p>
    <w:tbl>
      <w:tblPr>
        <w:tblStyle w:val="TableGrid"/>
        <w:tblW w:w="0" w:type="auto"/>
        <w:tblLook w:val="04A0" w:firstRow="1" w:lastRow="0" w:firstColumn="1" w:lastColumn="0" w:noHBand="0" w:noVBand="1"/>
      </w:tblPr>
      <w:tblGrid>
        <w:gridCol w:w="6637"/>
      </w:tblGrid>
      <w:tr w:rsidR="00451E15" w:rsidTr="00451E15">
        <w:tc>
          <w:tcPr>
            <w:tcW w:w="6637" w:type="dxa"/>
          </w:tcPr>
          <w:p w:rsidR="008056E3" w:rsidRDefault="008056E3" w:rsidP="008056E3">
            <w:pPr>
              <w:rPr>
                <w:b/>
              </w:rPr>
            </w:pPr>
            <w:r>
              <w:rPr>
                <w:b/>
              </w:rPr>
              <w:t>Recommendation 8</w:t>
            </w:r>
          </w:p>
          <w:p w:rsidR="008056E3" w:rsidRDefault="008056E3" w:rsidP="008056E3">
            <w:r>
              <w:t>The</w:t>
            </w:r>
            <w:r w:rsidRPr="00451E15">
              <w:t xml:space="preserve"> NEBRA </w:t>
            </w:r>
            <w:r>
              <w:t xml:space="preserve">should </w:t>
            </w:r>
            <w:r w:rsidRPr="00451E15">
              <w:t>be re-drafted around four phases to a response</w:t>
            </w:r>
            <w:r>
              <w:t>:</w:t>
            </w:r>
            <w:r w:rsidRPr="00451E15">
              <w:t xml:space="preserve"> Incident Definition, Emergency Response, Proof of Freedom and Transition to Management</w:t>
            </w:r>
            <w:r>
              <w:t xml:space="preserve"> (consistent with EPPRD)</w:t>
            </w:r>
            <w:r w:rsidRPr="00451E15">
              <w:t xml:space="preserve">.  The commencement of each phase </w:t>
            </w:r>
            <w:r>
              <w:t>should</w:t>
            </w:r>
            <w:r w:rsidRPr="00451E15">
              <w:t xml:space="preserve"> require separate approval by NBMG of a ph</w:t>
            </w:r>
            <w:r>
              <w:t>ase plan in order to limit the scope of cost-shared activity.</w:t>
            </w:r>
          </w:p>
          <w:p w:rsidR="008056E3" w:rsidRDefault="008056E3" w:rsidP="008056E3">
            <w:pPr>
              <w:rPr>
                <w:b/>
              </w:rPr>
            </w:pPr>
            <w:r>
              <w:rPr>
                <w:b/>
              </w:rPr>
              <w:t>Recommendation 9</w:t>
            </w:r>
          </w:p>
          <w:p w:rsidR="008056E3" w:rsidRDefault="008056E3" w:rsidP="008056E3">
            <w:r>
              <w:t xml:space="preserve">Analysis and documentation conducted during </w:t>
            </w:r>
            <w:r w:rsidRPr="00451E15">
              <w:t xml:space="preserve">the Incident Definition Phase </w:t>
            </w:r>
            <w:r>
              <w:t xml:space="preserve">should </w:t>
            </w:r>
            <w:r w:rsidRPr="00451E15">
              <w:t>be eligible for cost sharing contingent on an initial assessment by NBMG of the likelihood that an incident will meet NEBRA criteria and approval o</w:t>
            </w:r>
            <w:r w:rsidR="00E55E28">
              <w:t>f an Incident Definition Plan.</w:t>
            </w:r>
          </w:p>
          <w:p w:rsidR="008056E3" w:rsidRDefault="008056E3" w:rsidP="008056E3">
            <w:pPr>
              <w:rPr>
                <w:b/>
              </w:rPr>
            </w:pPr>
            <w:r>
              <w:rPr>
                <w:b/>
              </w:rPr>
              <w:t>Recommendation 10</w:t>
            </w:r>
          </w:p>
          <w:p w:rsidR="00451E15" w:rsidRPr="00451E15" w:rsidRDefault="008056E3" w:rsidP="00B23924">
            <w:r>
              <w:t>The</w:t>
            </w:r>
            <w:r w:rsidRPr="00451E15">
              <w:t xml:space="preserve"> NEBRA</w:t>
            </w:r>
            <w:r>
              <w:t xml:space="preserve"> should</w:t>
            </w:r>
            <w:r w:rsidRPr="00451E15">
              <w:t xml:space="preserve"> be re-drafted to </w:t>
            </w:r>
            <w:r w:rsidR="00B23924">
              <w:t>allow for</w:t>
            </w:r>
            <w:r w:rsidR="00B23924" w:rsidRPr="00451E15">
              <w:t xml:space="preserve"> </w:t>
            </w:r>
            <w:r w:rsidRPr="00451E15">
              <w:t>a time-</w:t>
            </w:r>
            <w:r>
              <w:t>limited (12 month) cost-shared Transition to M</w:t>
            </w:r>
            <w:r w:rsidRPr="00451E15">
              <w:t>anagement phase.  This Transition to Management phase could follow on from an Emergency Response Phase where eradication has been determined no longer to be possible.</w:t>
            </w:r>
          </w:p>
        </w:tc>
      </w:tr>
    </w:tbl>
    <w:p w:rsidR="002C7E6E" w:rsidRDefault="002C7E6E" w:rsidP="002C7E6E">
      <w:pPr>
        <w:pStyle w:val="Heading3"/>
      </w:pPr>
      <w:r>
        <w:t>Preparedness</w:t>
      </w:r>
    </w:p>
    <w:p w:rsidR="002C7E6E" w:rsidRDefault="00464CF2" w:rsidP="002C7E6E">
      <w:r>
        <w:t xml:space="preserve">The NEBRA specifies that it is a </w:t>
      </w:r>
      <w:r w:rsidR="00E370BE">
        <w:t>state</w:t>
      </w:r>
      <w:r>
        <w:t xml:space="preserve"> and </w:t>
      </w:r>
      <w:r w:rsidR="00E370BE">
        <w:t>territ</w:t>
      </w:r>
      <w:r>
        <w:t>ory responsibility to “</w:t>
      </w:r>
      <w:r w:rsidRPr="00464CF2">
        <w:t>maintain preparedness arrangements, including capacity and capability, to enable timely emergency responses to incidents of nationally significant pests and diseases</w:t>
      </w:r>
      <w:r>
        <w:t>”.</w:t>
      </w:r>
      <w:r>
        <w:rPr>
          <w:rStyle w:val="FootnoteReference"/>
        </w:rPr>
        <w:footnoteReference w:id="45"/>
      </w:r>
      <w:r w:rsidR="00FF0BDA">
        <w:t xml:space="preserve">  In its written submission to this review New South Wales expressed concern that not all jurisdictions are equally well placed to meet their commitments under NEBRA and advised KPMG of work that is being undertaken under IGAB to develop a performance framework, measures and auditing process for jurisdictions’ normal commitments.</w:t>
      </w:r>
    </w:p>
    <w:p w:rsidR="00DB6910" w:rsidRPr="008D18EC" w:rsidRDefault="00FF0BDA" w:rsidP="002C7E6E">
      <w:r w:rsidRPr="008D18EC">
        <w:t>A</w:t>
      </w:r>
      <w:r w:rsidR="00464CF2" w:rsidRPr="008D18EC">
        <w:t>ssessment of general preparedness for an environmental biosecurity outbreak relates to the broader IGAB and is outside the scope of this review</w:t>
      </w:r>
      <w:r w:rsidRPr="008D18EC">
        <w:t xml:space="preserve">. </w:t>
      </w:r>
      <w:r w:rsidR="00464CF2" w:rsidRPr="008D18EC">
        <w:t xml:space="preserve"> </w:t>
      </w:r>
      <w:r w:rsidRPr="008D18EC">
        <w:t xml:space="preserve">However, </w:t>
      </w:r>
      <w:r w:rsidR="00464CF2" w:rsidRPr="008D18EC">
        <w:t xml:space="preserve">KPMG understands that there </w:t>
      </w:r>
      <w:r w:rsidR="009C2428" w:rsidRPr="008D18EC">
        <w:t>has not yet been a national exercise to test the arrangements that would underpin a NEBRA response</w:t>
      </w:r>
      <w:r w:rsidRPr="008D18EC">
        <w:t xml:space="preserve"> such as those that are conducted to test preparedness for animal or plant outbreaks</w:t>
      </w:r>
      <w:r w:rsidR="009C2428" w:rsidRPr="008D18EC">
        <w:t>.</w:t>
      </w:r>
      <w:r w:rsidR="00C87941" w:rsidRPr="008D18EC">
        <w:t xml:space="preserve"> </w:t>
      </w:r>
      <w:r w:rsidR="00A70AA7">
        <w:t xml:space="preserve"> </w:t>
      </w:r>
      <w:r w:rsidR="00365F36">
        <w:t xml:space="preserve">The DAWR website notes a key part of its </w:t>
      </w:r>
      <w:r w:rsidR="00365F36" w:rsidRPr="00365F36">
        <w:t xml:space="preserve">work </w:t>
      </w:r>
      <w:r w:rsidR="00365F36">
        <w:t xml:space="preserve">to minimise the impact of diseases and pests more broadly </w:t>
      </w:r>
      <w:r w:rsidR="00365F36" w:rsidRPr="00365F36">
        <w:t>is conducting and participating in exercises that help both government and industry to be better prepared for, and able to respond to threats of exotic pests and diseases</w:t>
      </w:r>
      <w:r w:rsidR="00365F36">
        <w:t>.</w:t>
      </w:r>
      <w:r w:rsidR="00365F36">
        <w:rPr>
          <w:rStyle w:val="FootnoteReference"/>
        </w:rPr>
        <w:footnoteReference w:id="46"/>
      </w:r>
      <w:r w:rsidR="00365F36">
        <w:t xml:space="preserve"> Moreover, i</w:t>
      </w:r>
      <w:r w:rsidR="00DB6910" w:rsidRPr="008D18EC">
        <w:t>t is common practice to test emergency arrangements for other hazards such as terrorism and natural disasters through exercises.</w:t>
      </w:r>
    </w:p>
    <w:p w:rsidR="00464CF2" w:rsidRPr="008D18EC" w:rsidRDefault="00C87941" w:rsidP="002C7E6E">
      <w:r w:rsidRPr="008D18EC">
        <w:t>It should be noted that responses under NEBRA pose unique challenges including the lack of identified industry partners, an infinitely more diverse asset base to protect (the environment rather than a small number of plant or animal species) and a potentially larger geographic area.</w:t>
      </w:r>
      <w:r w:rsidR="00F10E7B">
        <w:t xml:space="preserve">  However, a readiness test or exercise would provide an opportunity to assess preparedness and provide stakeholders with assurance that jurisdictions are ready to respond to </w:t>
      </w:r>
      <w:r w:rsidR="00D03F1F">
        <w:t>potential</w:t>
      </w:r>
      <w:r w:rsidR="00F10E7B">
        <w:t xml:space="preserve"> incursion</w:t>
      </w:r>
      <w:r w:rsidR="00D03F1F">
        <w:t>s</w:t>
      </w:r>
      <w:r w:rsidR="00F10E7B">
        <w:t>.</w:t>
      </w:r>
      <w:r w:rsidR="00A70AA7">
        <w:t xml:space="preserve"> </w:t>
      </w:r>
      <w:r w:rsidR="00F10E7B">
        <w:t xml:space="preserve"> It could also be used as an education exercise, creating publicity and increased understanding with stakeholder groups and the broader community.</w:t>
      </w:r>
    </w:p>
    <w:tbl>
      <w:tblPr>
        <w:tblStyle w:val="TableGrid"/>
        <w:tblW w:w="0" w:type="auto"/>
        <w:tblLook w:val="04A0" w:firstRow="1" w:lastRow="0" w:firstColumn="1" w:lastColumn="0" w:noHBand="0" w:noVBand="1"/>
      </w:tblPr>
      <w:tblGrid>
        <w:gridCol w:w="6637"/>
      </w:tblGrid>
      <w:tr w:rsidR="00FF0BDA" w:rsidTr="00FF0BDA">
        <w:tc>
          <w:tcPr>
            <w:tcW w:w="6637" w:type="dxa"/>
          </w:tcPr>
          <w:p w:rsidR="008056E3" w:rsidRPr="008D18EC" w:rsidRDefault="008056E3" w:rsidP="008056E3">
            <w:pPr>
              <w:rPr>
                <w:b/>
              </w:rPr>
            </w:pPr>
            <w:r w:rsidRPr="008D18EC">
              <w:rPr>
                <w:b/>
              </w:rPr>
              <w:t>Recommendation 11</w:t>
            </w:r>
          </w:p>
          <w:p w:rsidR="00FF0BDA" w:rsidRPr="00FF0BDA" w:rsidRDefault="008056E3" w:rsidP="008056E3">
            <w:r w:rsidRPr="008D18EC">
              <w:t>The feasibility of conducting a five-yearly test of preparedness for the unique challenges posed by an environmental biosecurity response under NEBRA should be considered by the National Biosecurity Committee.</w:t>
            </w:r>
          </w:p>
        </w:tc>
      </w:tr>
    </w:tbl>
    <w:p w:rsidR="00276C6F" w:rsidRDefault="00E17AC7" w:rsidP="00276C6F">
      <w:pPr>
        <w:pStyle w:val="Heading2"/>
      </w:pPr>
      <w:bookmarkStart w:id="93" w:name="_Toc483482622"/>
      <w:r>
        <w:t xml:space="preserve">Governance and </w:t>
      </w:r>
      <w:r w:rsidR="00B833CC">
        <w:t>Decision Making</w:t>
      </w:r>
      <w:bookmarkEnd w:id="93"/>
    </w:p>
    <w:p w:rsidR="00E17AC7" w:rsidRDefault="00E17AC7" w:rsidP="00E17AC7">
      <w:pPr>
        <w:pStyle w:val="Heading3"/>
      </w:pPr>
      <w:r>
        <w:t>Procedural Matters</w:t>
      </w:r>
    </w:p>
    <w:p w:rsidR="00E17AC7" w:rsidRDefault="00E17AC7" w:rsidP="00E17AC7">
      <w:r>
        <w:t xml:space="preserve">The ten-step decision making process is set out in clause 6 of the NEBRA.  A graphical depiction of this process is included in Schedule 1 of the agreement and is reproduced in </w:t>
      </w:r>
      <w:r>
        <w:fldChar w:fldCharType="begin"/>
      </w:r>
      <w:r>
        <w:instrText xml:space="preserve"> REF _Ref478127204 \w \h </w:instrText>
      </w:r>
      <w:r>
        <w:fldChar w:fldCharType="separate"/>
      </w:r>
      <w:r w:rsidR="009B19A2">
        <w:t>Appendix E</w:t>
      </w:r>
      <w:r>
        <w:fldChar w:fldCharType="end"/>
      </w:r>
      <w:r>
        <w:t xml:space="preserve"> of this report.  In addition, Schedules 7 and 8 of the NEBRA outline the terms of reference, membership and decision making protocols for the NBMG and NBMCCs respectively.</w:t>
      </w:r>
    </w:p>
    <w:p w:rsidR="002D1F99" w:rsidRDefault="002D1F99" w:rsidP="00E17AC7">
      <w:r>
        <w:t>Within the meeting protocols the terms ‘consensus’ and ‘unanimous’ are used extensively.</w:t>
      </w:r>
    </w:p>
    <w:p w:rsidR="00E17AC7" w:rsidRDefault="00E17AC7" w:rsidP="00E17AC7">
      <w:r>
        <w:t>In the NEBRA ‘consensus’ is defined as meaning:</w:t>
      </w:r>
    </w:p>
    <w:p w:rsidR="00E17AC7" w:rsidRPr="002D1F99" w:rsidRDefault="00E17AC7" w:rsidP="00E17AC7">
      <w:pPr>
        <w:rPr>
          <w:i/>
        </w:rPr>
      </w:pPr>
      <w:r w:rsidRPr="002D1F99">
        <w:rPr>
          <w:i/>
          <w:sz w:val="18"/>
        </w:rPr>
        <w:t>that all of the parties present support a decision. This includes not abstaining when a particular issue is considered.</w:t>
      </w:r>
    </w:p>
    <w:p w:rsidR="00E17AC7" w:rsidRDefault="00E17AC7" w:rsidP="00E17AC7">
      <w:r>
        <w:t>It was brought to KPMG’s attention during consultation that this definition is inconsistent with that used in the Agriculture Ministers’ Forum and Agriculture Senior Officials Committee handbook and the</w:t>
      </w:r>
      <w:r w:rsidR="002D1F99">
        <w:t xml:space="preserve"> NEBRA Review Discussion Paper</w:t>
      </w:r>
      <w:r w:rsidR="002D1F99">
        <w:rPr>
          <w:rStyle w:val="FootnoteReference"/>
        </w:rPr>
        <w:footnoteReference w:id="47"/>
      </w:r>
      <w:r w:rsidR="002D1F99">
        <w:t xml:space="preserve"> </w:t>
      </w:r>
      <w:r>
        <w:t>which define consensus as meaning that all voting parties support a decision.</w:t>
      </w:r>
    </w:p>
    <w:p w:rsidR="00E17AC7" w:rsidRDefault="00E17AC7" w:rsidP="00E17AC7">
      <w:r>
        <w:t xml:space="preserve">In their joint submission to this review the Commonwealth </w:t>
      </w:r>
      <w:r w:rsidR="00F10E7B">
        <w:t>DAWR</w:t>
      </w:r>
      <w:r>
        <w:t xml:space="preserve"> and </w:t>
      </w:r>
      <w:r w:rsidR="00F10E7B">
        <w:t>DEE</w:t>
      </w:r>
      <w:r>
        <w:t xml:space="preserve"> pointed out that the NEBRA clauses relating to NBMCC com</w:t>
      </w:r>
      <w:r w:rsidR="002D1F99">
        <w:t>position and meeting protocols</w:t>
      </w:r>
      <w:r w:rsidR="002D1F99">
        <w:rPr>
          <w:rStyle w:val="FootnoteReference"/>
        </w:rPr>
        <w:footnoteReference w:id="48"/>
      </w:r>
      <w:r w:rsidR="002D1F99">
        <w:t xml:space="preserve"> </w:t>
      </w:r>
      <w:r>
        <w:t>discuss voting and decision making by consensus but that this is inconsistent with the NBMCCs Terms of Reference which centre on providing technica</w:t>
      </w:r>
      <w:r w:rsidR="002D1F99">
        <w:t>l and expert advice to the NBMG</w:t>
      </w:r>
      <w:r w:rsidR="002D1F99">
        <w:rPr>
          <w:rStyle w:val="FootnoteReference"/>
        </w:rPr>
        <w:footnoteReference w:id="49"/>
      </w:r>
      <w:r>
        <w:t xml:space="preserve">.  It is the NBMG that makes decisions </w:t>
      </w:r>
      <w:r w:rsidR="002D1F99">
        <w:t>on the application of the NEBRA</w:t>
      </w:r>
      <w:r>
        <w:t>.</w:t>
      </w:r>
      <w:r w:rsidR="002D1F99">
        <w:rPr>
          <w:rStyle w:val="FootnoteReference"/>
        </w:rPr>
        <w:footnoteReference w:id="50"/>
      </w:r>
    </w:p>
    <w:p w:rsidR="00E17AC7" w:rsidRDefault="00E17AC7" w:rsidP="00E17AC7">
      <w:r>
        <w:t>The Commonwealth joint submission also expressed concern that clause 6.7(e)(v) of the NEBRA states that:</w:t>
      </w:r>
    </w:p>
    <w:p w:rsidR="00E17AC7" w:rsidRPr="002D1F99" w:rsidRDefault="00E17AC7" w:rsidP="00E17AC7">
      <w:pPr>
        <w:rPr>
          <w:i/>
          <w:sz w:val="18"/>
        </w:rPr>
      </w:pPr>
      <w:r w:rsidRPr="002D1F99">
        <w:rPr>
          <w:i/>
          <w:sz w:val="18"/>
        </w:rPr>
        <w:t>a national biosecurity incident response will not commence if the NBMG has not reached a consensus that a national biosecurity incident response should commence.</w:t>
      </w:r>
    </w:p>
    <w:p w:rsidR="00E17AC7" w:rsidRDefault="00E17AC7" w:rsidP="00E17AC7">
      <w:r>
        <w:t>The Commonwealth submitted that this clause provides any party the power to veto action under NEBRA.</w:t>
      </w:r>
      <w:r w:rsidR="00B03E55">
        <w:t xml:space="preserve">  In contrast, Tasmania submitted that they were concerned the provision of decision making authority only to jurisdictions who would be party to cost-sharing arrangements potentially creates precedents which may later bind other jurisdictions.</w:t>
      </w:r>
      <w:r w:rsidR="00B23924">
        <w:t xml:space="preserve"> For example, if one jurisdiction applies a particular benefit-cost approach</w:t>
      </w:r>
      <w:r w:rsidR="006B49A4">
        <w:t xml:space="preserve"> or risk assessment methodology</w:t>
      </w:r>
      <w:r w:rsidR="00B23924">
        <w:t>, it could create the expectation that that will be replicated in future</w:t>
      </w:r>
      <w:r w:rsidR="006B49A4">
        <w:t>, regardless of jurisdiction</w:t>
      </w:r>
      <w:r w:rsidR="00B23924">
        <w:t xml:space="preserve">. This </w:t>
      </w:r>
      <w:r w:rsidR="006B49A4">
        <w:t>will</w:t>
      </w:r>
      <w:r w:rsidR="00B23924">
        <w:t xml:space="preserve"> not </w:t>
      </w:r>
      <w:r w:rsidR="006B49A4">
        <w:t xml:space="preserve">always be appropriate or possible. </w:t>
      </w:r>
      <w:r w:rsidR="00A70AA7">
        <w:t xml:space="preserve"> </w:t>
      </w:r>
      <w:r w:rsidR="006B49A4">
        <w:t>However, decisions with regard to a particular incursion should not create binding precedence on future decision making.</w:t>
      </w:r>
      <w:r w:rsidR="00D03F1F">
        <w:t xml:space="preserve">  </w:t>
      </w:r>
      <w:r w:rsidR="006B49A4">
        <w:t>I</w:t>
      </w:r>
      <w:r w:rsidR="00B03E55">
        <w:t>t should be noted that NEBRA is not a legally binding agreement and that non-voting members can participate and make their views heard in NBMG meetings.</w:t>
      </w:r>
    </w:p>
    <w:p w:rsidR="00E17AC7" w:rsidRDefault="00B03E55" w:rsidP="00E17AC7">
      <w:r>
        <w:t>T</w:t>
      </w:r>
      <w:r w:rsidR="00E17AC7">
        <w:t xml:space="preserve">he Commonwealth </w:t>
      </w:r>
      <w:r>
        <w:t xml:space="preserve">also </w:t>
      </w:r>
      <w:r w:rsidR="00E17AC7">
        <w:t xml:space="preserve">submitted that there is a lack of clarity within the NEBRA in relation to NBMG meeting protocols and voting.  In particular the Commonwealth submitted that the clauses that allow </w:t>
      </w:r>
      <w:r w:rsidR="00E17AC7" w:rsidRPr="002D1F99">
        <w:rPr>
          <w:u w:val="single"/>
        </w:rPr>
        <w:t>all</w:t>
      </w:r>
      <w:r w:rsidR="00E17AC7">
        <w:t xml:space="preserve"> NBMG members to vote on decisions except cost-sharing decisions and the clauses that provide that only </w:t>
      </w:r>
      <w:r w:rsidR="00E17AC7" w:rsidRPr="002D1F99">
        <w:rPr>
          <w:u w:val="single"/>
        </w:rPr>
        <w:t>affected</w:t>
      </w:r>
      <w:r w:rsidR="00E17AC7">
        <w:t xml:space="preserve"> parties can </w:t>
      </w:r>
      <w:r w:rsidR="002D1F99">
        <w:t>vote on cost-sharing decisions</w:t>
      </w:r>
      <w:r w:rsidR="002D1F99">
        <w:rPr>
          <w:rStyle w:val="FootnoteReference"/>
        </w:rPr>
        <w:footnoteReference w:id="51"/>
      </w:r>
      <w:r w:rsidR="002D1F99">
        <w:t xml:space="preserve"> </w:t>
      </w:r>
      <w:r w:rsidR="00E17AC7">
        <w:t>are unclear and do not necessarily achieve their presumed intent of only allowing financially contributing parties to vote on cost-sharing decisions.</w:t>
      </w:r>
    </w:p>
    <w:p w:rsidR="00E17AC7" w:rsidRDefault="00E17AC7" w:rsidP="00E17AC7">
      <w:r>
        <w:t>During research and analysis KPMG found that these definitional and procedural issues are interrelated.  In clarifying them, it is useful to articulate the principles on which NEBRA decision making is based.  KPMG’s understanding of these principles is that:</w:t>
      </w:r>
    </w:p>
    <w:p w:rsidR="00E17AC7" w:rsidRDefault="00E17AC7" w:rsidP="006113C3">
      <w:pPr>
        <w:pStyle w:val="ListParagraph"/>
        <w:numPr>
          <w:ilvl w:val="0"/>
          <w:numId w:val="17"/>
        </w:numPr>
      </w:pPr>
      <w:r>
        <w:t>The NBMCC is a technical advisory body that provides advice to allow the NBMG to make decisions on NEBRA criteria.  It is not a decision making body.</w:t>
      </w:r>
    </w:p>
    <w:p w:rsidR="00E17AC7" w:rsidRDefault="00E17AC7" w:rsidP="006113C3">
      <w:pPr>
        <w:pStyle w:val="ListParagraph"/>
        <w:numPr>
          <w:ilvl w:val="0"/>
          <w:numId w:val="17"/>
        </w:numPr>
      </w:pPr>
      <w:r>
        <w:t>NBMG decision making that has cost sharing implications should be limited to the parties who will be contributing to cost-sharing.</w:t>
      </w:r>
    </w:p>
    <w:p w:rsidR="007F201D" w:rsidRDefault="007F201D" w:rsidP="006113C3">
      <w:pPr>
        <w:pStyle w:val="ListParagraph"/>
        <w:numPr>
          <w:ilvl w:val="0"/>
          <w:numId w:val="17"/>
        </w:numPr>
      </w:pPr>
      <w:r>
        <w:t xml:space="preserve">Delegates attending NBMG meetings must have decision making </w:t>
      </w:r>
      <w:r w:rsidR="00447A76">
        <w:t>authority</w:t>
      </w:r>
      <w:r>
        <w:t>, so as not to delay processes.</w:t>
      </w:r>
    </w:p>
    <w:p w:rsidR="00E17AC7" w:rsidRDefault="00E17AC7" w:rsidP="00E17AC7">
      <w:r>
        <w:t>The NEBRA does not define what kind of decision is a decision about cost-sharing and what kind of decision is not.  In reality, any decision about the application of NEBRA criteria (such as national significance or technical feasibility of eradication) is a decision about cost-sharing because a cost-shared response will only proceed if these criteria are met.</w:t>
      </w:r>
    </w:p>
    <w:p w:rsidR="00E17AC7" w:rsidRDefault="00E17AC7" w:rsidP="00E17AC7">
      <w:r>
        <w:t>Furthermore, KPMG has found that if NEBRA’s decision making protocols more clearly reflected principle 2 (above) then the separate definitions of ‘unanimity’ and ‘consensus’ would be unnecessary.</w:t>
      </w:r>
    </w:p>
    <w:p w:rsidR="00B03E55" w:rsidRDefault="00B03E55" w:rsidP="00E17AC7">
      <w:r>
        <w:t xml:space="preserve">The decision making protocols in NEBRA </w:t>
      </w:r>
      <w:r w:rsidR="0065352E">
        <w:t>should</w:t>
      </w:r>
      <w:r>
        <w:t xml:space="preserve"> be clarified and streamlined.  In conducting background research for this review KPMG obtained a list of outbreaks which had been considered (at some level) for the application of NEBRA.  KPMG has depicted the decision making outcomes for these outbreaks in Diagram 1.</w:t>
      </w:r>
    </w:p>
    <w:p w:rsidR="00B03E55" w:rsidRDefault="00802C2C" w:rsidP="00802C2C">
      <w:pPr>
        <w:pStyle w:val="Heading5"/>
      </w:pPr>
      <w:r>
        <w:t>Diagram 1: NEBRA Decision Making</w:t>
      </w:r>
    </w:p>
    <w:p w:rsidR="00802C2C" w:rsidRDefault="004C1206" w:rsidP="00802C2C">
      <w:pPr>
        <w:pStyle w:val="BodyText"/>
      </w:pPr>
      <w:r>
        <w:rPr>
          <w:noProof/>
          <w:lang w:eastAsia="en-AU"/>
        </w:rPr>
        <w:drawing>
          <wp:inline distT="0" distB="0" distL="0" distR="0" wp14:anchorId="6C5BA0A4" wp14:editId="122EA180">
            <wp:extent cx="4086225" cy="28012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3137" cy="2812822"/>
                    </a:xfrm>
                    <a:prstGeom prst="rect">
                      <a:avLst/>
                    </a:prstGeom>
                    <a:noFill/>
                  </pic:spPr>
                </pic:pic>
              </a:graphicData>
            </a:graphic>
          </wp:inline>
        </w:drawing>
      </w:r>
    </w:p>
    <w:p w:rsidR="00802C2C" w:rsidRDefault="00802C2C" w:rsidP="00802C2C">
      <w:pPr>
        <w:pStyle w:val="BodyText"/>
      </w:pPr>
      <w:r>
        <w:t xml:space="preserve">Of the 28 outbreaks </w:t>
      </w:r>
      <w:r w:rsidR="000F467A">
        <w:t xml:space="preserve">that the NEBRA secretariat understands were </w:t>
      </w:r>
      <w:r w:rsidR="008D18EC">
        <w:t>potentially relevant to</w:t>
      </w:r>
      <w:r>
        <w:t xml:space="preserve"> NEBRA, 14 were not taken further</w:t>
      </w:r>
      <w:r w:rsidR="008D18EC">
        <w:t xml:space="preserve"> by relevant agencies</w:t>
      </w:r>
      <w:r>
        <w:t>, mostly because they were isolated sightings that were either dealt with immediately or for which no further action could be taken (e.g. single sightings of a squirrel or bir</w:t>
      </w:r>
      <w:r w:rsidR="001C42BC">
        <w:t>d that could not be captured).</w:t>
      </w:r>
    </w:p>
    <w:p w:rsidR="009A49D6" w:rsidRDefault="009B02D6" w:rsidP="00802C2C">
      <w:pPr>
        <w:pStyle w:val="BodyText"/>
      </w:pPr>
      <w:r>
        <w:t>O</w:t>
      </w:r>
      <w:r w:rsidR="00802C2C">
        <w:t xml:space="preserve">f the 14 outbreaks considered by NBMCCs, only </w:t>
      </w:r>
      <w:r>
        <w:t>six</w:t>
      </w:r>
      <w:r w:rsidR="00802C2C">
        <w:t xml:space="preserve"> </w:t>
      </w:r>
      <w:r>
        <w:t xml:space="preserve">have so far been </w:t>
      </w:r>
      <w:r w:rsidR="00802C2C">
        <w:t xml:space="preserve">referred to NBMGs.  </w:t>
      </w:r>
      <w:r w:rsidR="000F467A">
        <w:t xml:space="preserve">KPMG were advised that </w:t>
      </w:r>
      <w:r w:rsidR="004C1206">
        <w:t xml:space="preserve">five </w:t>
      </w:r>
      <w:r>
        <w:t xml:space="preserve">of these </w:t>
      </w:r>
      <w:r w:rsidR="000F467A">
        <w:t>were not progressed</w:t>
      </w:r>
      <w:r>
        <w:t xml:space="preserve"> because the NBMCC did not consider they met NEBRA criteria.  However, the NBMCC is not a decision making body and under NEBRA processes should not make decisions to take no further action.  </w:t>
      </w:r>
      <w:r w:rsidR="006B49A4">
        <w:t xml:space="preserve">The NBMCC is an advisory body, and instead should be making information and recommendations to NBMG. </w:t>
      </w:r>
      <w:r>
        <w:t>The lack of clarity in NBMG and NMBCC protocols may have contributed to this departure from procedure.</w:t>
      </w:r>
    </w:p>
    <w:tbl>
      <w:tblPr>
        <w:tblStyle w:val="TableGrid"/>
        <w:tblW w:w="0" w:type="auto"/>
        <w:tblLook w:val="04A0" w:firstRow="1" w:lastRow="0" w:firstColumn="1" w:lastColumn="0" w:noHBand="0" w:noVBand="1"/>
      </w:tblPr>
      <w:tblGrid>
        <w:gridCol w:w="6637"/>
      </w:tblGrid>
      <w:tr w:rsidR="00B03E55" w:rsidTr="00B03E55">
        <w:tc>
          <w:tcPr>
            <w:tcW w:w="6637" w:type="dxa"/>
          </w:tcPr>
          <w:p w:rsidR="008056E3" w:rsidRDefault="008056E3" w:rsidP="008056E3">
            <w:pPr>
              <w:rPr>
                <w:b/>
              </w:rPr>
            </w:pPr>
            <w:r>
              <w:rPr>
                <w:b/>
              </w:rPr>
              <w:t>Recommendation 12</w:t>
            </w:r>
          </w:p>
          <w:p w:rsidR="008056E3" w:rsidRDefault="008056E3" w:rsidP="008056E3">
            <w:r>
              <w:t>Meeting and decision making protocols in NEBRA should be redrafted to reflect that:</w:t>
            </w:r>
          </w:p>
          <w:p w:rsidR="008056E3" w:rsidRDefault="008056E3" w:rsidP="008056E3">
            <w:pPr>
              <w:pStyle w:val="ListParagraph"/>
              <w:numPr>
                <w:ilvl w:val="0"/>
                <w:numId w:val="18"/>
              </w:numPr>
            </w:pPr>
            <w:r>
              <w:t>The NBMCC provides technical and expert advice to the NBMG, it does not make decisions and its meetings should not involve voting.  If Members of the NBMCC hold different views all views should be incorporated into the written advice to the NBMG.</w:t>
            </w:r>
          </w:p>
          <w:p w:rsidR="008056E3" w:rsidRDefault="008056E3" w:rsidP="008056E3">
            <w:pPr>
              <w:pStyle w:val="ListParagraph"/>
              <w:numPr>
                <w:ilvl w:val="0"/>
                <w:numId w:val="18"/>
              </w:numPr>
            </w:pPr>
            <w:r>
              <w:t>Voting membership of the NBMG should be limited to parties who will be contributing to a cost-shared response.  Jurisdictions who are not potentially affected by a pest or disease or who have indicated that they do not intend to contribute to a cost-shared response should be Non-voting members of the NBMG</w:t>
            </w:r>
            <w:r w:rsidR="00B23924">
              <w:t xml:space="preserve"> for decisions regarding that pest or disease</w:t>
            </w:r>
            <w:r w:rsidR="006B49A4">
              <w:t xml:space="preserve"> incursion</w:t>
            </w:r>
            <w:r>
              <w:t>.</w:t>
            </w:r>
            <w:r w:rsidR="006B49A4">
              <w:t xml:space="preserve"> </w:t>
            </w:r>
          </w:p>
          <w:p w:rsidR="00B03E55" w:rsidRDefault="008056E3" w:rsidP="008056E3">
            <w:pPr>
              <w:pStyle w:val="ListParagraph"/>
              <w:numPr>
                <w:ilvl w:val="0"/>
                <w:numId w:val="18"/>
              </w:numPr>
            </w:pPr>
            <w:r w:rsidRPr="00A70AA7">
              <w:t>All</w:t>
            </w:r>
            <w:r>
              <w:t xml:space="preserve"> decisions of the NBMG should need to be made unanimously between </w:t>
            </w:r>
            <w:r w:rsidR="002E1DDC">
              <w:t>v</w:t>
            </w:r>
            <w:r>
              <w:t>oting members.</w:t>
            </w:r>
          </w:p>
          <w:p w:rsidR="007F201D" w:rsidRPr="00447A76" w:rsidRDefault="007F201D" w:rsidP="007F201D">
            <w:pPr>
              <w:pStyle w:val="ListParagraph"/>
              <w:numPr>
                <w:ilvl w:val="0"/>
                <w:numId w:val="18"/>
              </w:numPr>
            </w:pPr>
            <w:r w:rsidRPr="00A70AA7">
              <w:t xml:space="preserve">Where attendance at NBMG meetings is delegated, the jurisdiction must enable that delegate to make decisions during the meeting. </w:t>
            </w:r>
          </w:p>
        </w:tc>
      </w:tr>
    </w:tbl>
    <w:p w:rsidR="00B03E55" w:rsidRDefault="00AA7694" w:rsidP="00521C9B">
      <w:pPr>
        <w:pStyle w:val="Heading3"/>
        <w:spacing w:before="120"/>
      </w:pPr>
      <w:r>
        <w:t>Decision Making Role for Non-Government Stakeholders</w:t>
      </w:r>
      <w:r w:rsidR="001F5CBA">
        <w:t xml:space="preserve"> and Cost Sharing</w:t>
      </w:r>
    </w:p>
    <w:p w:rsidR="00202D9E" w:rsidRDefault="006A757C" w:rsidP="00AA7694">
      <w:r>
        <w:t>The NEBRA Review Discussion Paper poses question</w:t>
      </w:r>
      <w:r w:rsidR="00202D9E">
        <w:t xml:space="preserve">s relating </w:t>
      </w:r>
      <w:r>
        <w:t>of how an increased role for non-government stakeholders could be accommodated into NEBRA decision making</w:t>
      </w:r>
      <w:r w:rsidR="00202D9E">
        <w:t xml:space="preserve"> and whether private beneficiaries could be engaged in cost sharing</w:t>
      </w:r>
      <w:r>
        <w:t>.</w:t>
      </w:r>
    </w:p>
    <w:p w:rsidR="00AA7694" w:rsidRDefault="006A757C" w:rsidP="00AA7694">
      <w:r>
        <w:t xml:space="preserve">Currently all NEBRA decision making is by government representatives on NBMGs, though private beneficiaries may take a decision making role on NBMGs if they are contributing </w:t>
      </w:r>
      <w:r w:rsidR="000F467A">
        <w:t xml:space="preserve">to the cost of </w:t>
      </w:r>
      <w:r>
        <w:t>a response</w:t>
      </w:r>
      <w:r>
        <w:rPr>
          <w:rStyle w:val="FootnoteReference"/>
        </w:rPr>
        <w:footnoteReference w:id="52"/>
      </w:r>
      <w:r>
        <w:t xml:space="preserve"> and affected stakeholders may participate as observers in NBMCC meetings</w:t>
      </w:r>
      <w:r>
        <w:rPr>
          <w:rStyle w:val="FootnoteReference"/>
        </w:rPr>
        <w:footnoteReference w:id="53"/>
      </w:r>
      <w:r>
        <w:t>.</w:t>
      </w:r>
      <w:r w:rsidR="001F5CBA">
        <w:t xml:space="preserve">  Neither of these provisions has been exercised to date.</w:t>
      </w:r>
      <w:r w:rsidR="00202D9E">
        <w:t xml:space="preserve">  Cost-sharing with private beneficiaries is contemplated in NEBRA but there are no private signatories to the agreement and, because of the complexity of identifying private beneficiaries for environmental biosecurity responses, leaves determining those beneficiaries to the NBMG on a </w:t>
      </w:r>
      <w:r w:rsidR="009D5BD3">
        <w:t>case-by-</w:t>
      </w:r>
      <w:r w:rsidR="00202D9E">
        <w:t>case basis</w:t>
      </w:r>
      <w:r w:rsidR="0003778F">
        <w:rPr>
          <w:rStyle w:val="FootnoteReference"/>
        </w:rPr>
        <w:footnoteReference w:id="54"/>
      </w:r>
      <w:r w:rsidR="00202D9E">
        <w:t>.</w:t>
      </w:r>
    </w:p>
    <w:p w:rsidR="001F5CBA" w:rsidRDefault="008B537C" w:rsidP="00AA7694">
      <w:r>
        <w:t xml:space="preserve">While some jurisdictions have submitted to this review that they support the concept of requiring private beneficiaries to cost-share in NEBRA responses, a more workable mechanism for identifying these beneficiaries </w:t>
      </w:r>
      <w:r w:rsidR="000F467A">
        <w:t>and assessing the appropriate level of contribution is not evident</w:t>
      </w:r>
      <w:r>
        <w:t xml:space="preserve">.  </w:t>
      </w:r>
      <w:r w:rsidR="000F467A">
        <w:t>C</w:t>
      </w:r>
      <w:r>
        <w:t xml:space="preserve">ontributions from private beneficiaries </w:t>
      </w:r>
      <w:r w:rsidR="000F467A">
        <w:t>are</w:t>
      </w:r>
      <w:r>
        <w:t xml:space="preserve"> likely to remain on a </w:t>
      </w:r>
      <w:r w:rsidR="0024294E">
        <w:t>case-by-case</w:t>
      </w:r>
      <w:r>
        <w:t xml:space="preserve"> basis.</w:t>
      </w:r>
    </w:p>
    <w:p w:rsidR="008B537C" w:rsidRDefault="008B537C" w:rsidP="00AA7694">
      <w:r>
        <w:t xml:space="preserve">However, in their </w:t>
      </w:r>
      <w:r w:rsidR="006B54B0">
        <w:t xml:space="preserve">written submission, </w:t>
      </w:r>
      <w:r w:rsidR="000F467A">
        <w:t xml:space="preserve">the </w:t>
      </w:r>
      <w:r w:rsidR="006B54B0">
        <w:t xml:space="preserve">New South Wales </w:t>
      </w:r>
      <w:r w:rsidR="000F467A">
        <w:t xml:space="preserve">Government </w:t>
      </w:r>
      <w:r w:rsidR="006B54B0">
        <w:t xml:space="preserve">expressed openness to providing a decision making role to non-government stakeholders who provided in-kind support to a response.  Other jurisdictions expressed varying levels of support for this idea in consultation. </w:t>
      </w:r>
      <w:r w:rsidR="00521C9B">
        <w:t xml:space="preserve"> Providing a decision </w:t>
      </w:r>
      <w:r w:rsidR="006B54B0">
        <w:t>making role for in-kind contributors to responses could be a useful method of both encouraging much needed support for responses in the environmental space and also widen NEBRA decision making to parties outside of government who are invested in workable outcomes.</w:t>
      </w:r>
    </w:p>
    <w:p w:rsidR="00521C9B" w:rsidRDefault="000D7299" w:rsidP="00AA7694">
      <w:r>
        <w:t>A number of non-government stakeholders including the National Landcare Network and Wildlife Health Australia submitted to this review that their networks could be mobilised to support biosecurity response activities.</w:t>
      </w:r>
      <w:r w:rsidR="00337CF8">
        <w:t xml:space="preserve"> </w:t>
      </w:r>
      <w:r w:rsidR="00BF0A87">
        <w:t xml:space="preserve"> There are </w:t>
      </w:r>
      <w:r w:rsidR="00337CF8">
        <w:t xml:space="preserve">some </w:t>
      </w:r>
      <w:r w:rsidR="00BF0A87">
        <w:t xml:space="preserve">examples of this already occurring with </w:t>
      </w:r>
      <w:r w:rsidR="000F467A">
        <w:t>State Emergency Service</w:t>
      </w:r>
      <w:r w:rsidR="00BF0A87">
        <w:t xml:space="preserve"> units and Rural Bush Fire Brigades assisting in non-NEBRA biosecurity responses.</w:t>
      </w:r>
    </w:p>
    <w:p w:rsidR="00521C9B" w:rsidRDefault="00521C9B"/>
    <w:tbl>
      <w:tblPr>
        <w:tblStyle w:val="TableGrid"/>
        <w:tblW w:w="0" w:type="auto"/>
        <w:tblLook w:val="04A0" w:firstRow="1" w:lastRow="0" w:firstColumn="1" w:lastColumn="0" w:noHBand="0" w:noVBand="1"/>
      </w:tblPr>
      <w:tblGrid>
        <w:gridCol w:w="6637"/>
      </w:tblGrid>
      <w:tr w:rsidR="000D7299" w:rsidTr="000D7299">
        <w:tc>
          <w:tcPr>
            <w:tcW w:w="6637" w:type="dxa"/>
          </w:tcPr>
          <w:p w:rsidR="008056E3" w:rsidRDefault="00521C9B" w:rsidP="008056E3">
            <w:pPr>
              <w:rPr>
                <w:b/>
              </w:rPr>
            </w:pPr>
            <w:r>
              <w:br w:type="column"/>
            </w:r>
            <w:r w:rsidR="008056E3">
              <w:rPr>
                <w:b/>
              </w:rPr>
              <w:t>Recommendation 13</w:t>
            </w:r>
          </w:p>
          <w:p w:rsidR="000D7299" w:rsidRPr="000D7299" w:rsidRDefault="008056E3" w:rsidP="0024294E">
            <w:r>
              <w:t>T</w:t>
            </w:r>
            <w:r w:rsidRPr="000D7299">
              <w:t xml:space="preserve">he NEBRA </w:t>
            </w:r>
            <w:r>
              <w:t xml:space="preserve">should </w:t>
            </w:r>
            <w:r w:rsidRPr="000D7299">
              <w:t xml:space="preserve">be amended to allow any </w:t>
            </w:r>
            <w:r w:rsidRPr="009A49D6">
              <w:t xml:space="preserve">system participants </w:t>
            </w:r>
            <w:r w:rsidRPr="000D7299">
              <w:t xml:space="preserve">to seek approval to </w:t>
            </w:r>
            <w:r w:rsidR="0024294E">
              <w:t>join</w:t>
            </w:r>
            <w:r w:rsidRPr="000D7299">
              <w:t xml:space="preserve"> NBMG meetings as voting members if the system-</w:t>
            </w:r>
            <w:r w:rsidRPr="0024294E">
              <w:t>participant</w:t>
            </w:r>
            <w:r w:rsidRPr="000D7299">
              <w:t xml:space="preserve"> has made (or will make) significant in-kind or financial contributions to </w:t>
            </w:r>
            <w:r>
              <w:t>a</w:t>
            </w:r>
            <w:r w:rsidRPr="000D7299">
              <w:t xml:space="preserve"> response in relation to an </w:t>
            </w:r>
            <w:r>
              <w:t>outbreak</w:t>
            </w:r>
            <w:r w:rsidRPr="000D7299">
              <w:t>.  Inclusion of system-participants as voting members should be at the discretion of the other NBMG members.</w:t>
            </w:r>
          </w:p>
        </w:tc>
      </w:tr>
    </w:tbl>
    <w:p w:rsidR="003348D5" w:rsidRDefault="003348D5" w:rsidP="003348D5">
      <w:pPr>
        <w:pStyle w:val="Heading2"/>
      </w:pPr>
      <w:bookmarkStart w:id="94" w:name="_Toc483482623"/>
      <w:r>
        <w:t>Technical Elements of the Agreement: Risk Assessment, National Significance, Technical Feasibility and Benefit-Cost</w:t>
      </w:r>
      <w:bookmarkEnd w:id="94"/>
    </w:p>
    <w:p w:rsidR="003348D5" w:rsidRDefault="00412BA2" w:rsidP="00412BA2">
      <w:pPr>
        <w:pStyle w:val="Heading3"/>
      </w:pPr>
      <w:r>
        <w:t>National Significance</w:t>
      </w:r>
    </w:p>
    <w:p w:rsidR="00412BA2" w:rsidRPr="00412BA2" w:rsidRDefault="00412BA2" w:rsidP="00412BA2">
      <w:r>
        <w:t>At present the NEBRA contains criteria for the assessment of national significance in relation to the environment, people (</w:t>
      </w:r>
      <w:r w:rsidRPr="00412BA2">
        <w:t>including social amenity and human infrastructure</w:t>
      </w:r>
      <w:r>
        <w:t xml:space="preserve">) and business impacts (see section </w:t>
      </w:r>
      <w:r>
        <w:fldChar w:fldCharType="begin"/>
      </w:r>
      <w:r>
        <w:instrText xml:space="preserve"> REF _Ref479596662 \r \h </w:instrText>
      </w:r>
      <w:r>
        <w:fldChar w:fldCharType="separate"/>
      </w:r>
      <w:r w:rsidR="009B19A2">
        <w:t>2.4</w:t>
      </w:r>
      <w:r>
        <w:fldChar w:fldCharType="end"/>
      </w:r>
      <w:r>
        <w:t xml:space="preserve"> for more detail).</w:t>
      </w:r>
    </w:p>
    <w:p w:rsidR="003348D5" w:rsidRDefault="00412BA2" w:rsidP="005C5200">
      <w:r>
        <w:t>Some submissions to this review, including that of the Wet Tropics Management Authority, the Invasive Species Council, and the Nature Conservation Society of South Australia supported the inclusion of more detail in sub-criteria for national significance or the inclusion of particular additional sub-criteria.</w:t>
      </w:r>
    </w:p>
    <w:p w:rsidR="00772DB8" w:rsidRDefault="00772DB8" w:rsidP="005C5200">
      <w:r>
        <w:t xml:space="preserve">In contrast, other submissions, including the joint submission of Commonwealth DAWR and DOEE, questioned whether future criteria could be more flexible.  The Commonwealth further submitted that the existing national significance criteria were derived from the </w:t>
      </w:r>
      <w:r w:rsidR="00F10E7B">
        <w:t>DEE</w:t>
      </w:r>
      <w:r w:rsidRPr="00772DB8">
        <w:t>’s Policy Statement 1.1 “Significant Impact Guidelines – Matters of National Environmental Significance – 2013”</w:t>
      </w:r>
      <w:r>
        <w:t xml:space="preserve"> which were designed to guide development assessments rather than the impact of pests or diseases.  New South Wales submitted that “w</w:t>
      </w:r>
      <w:r w:rsidRPr="00772DB8">
        <w:t>hat is needed is a clear pathway for environmental agencies to engage in biosecurity policy setting that identifies priorities, identifies the most efficient point to fund incursions or infestations and addresses the knowledge gaps that exist in current systems</w:t>
      </w:r>
      <w:r>
        <w:t>”.</w:t>
      </w:r>
    </w:p>
    <w:p w:rsidR="00772DB8" w:rsidRDefault="00772DB8" w:rsidP="005C5200">
      <w:r>
        <w:t xml:space="preserve">The primary deficiency in NEBRA’s current national significance criteria is that </w:t>
      </w:r>
      <w:r w:rsidR="00E00D71">
        <w:t>they</w:t>
      </w:r>
      <w:r>
        <w:t xml:space="preserve"> do not provide guidance in relation to prioritisation.  If an outbreak meets the basic criteria then national significance will be established.</w:t>
      </w:r>
      <w:r w:rsidR="00DE632A">
        <w:t xml:space="preserve">  It is also questionable whether the current national significance criteria reflect the highest priorities for environmental biosecurity responses given the criteria’s origin.</w:t>
      </w:r>
    </w:p>
    <w:p w:rsidR="00772DB8" w:rsidRDefault="00833ECC" w:rsidP="00833ECC">
      <w:r>
        <w:t>Draft recommendation 14 of the IGAB Review is that “the NBC should lead five-yearly national-level risk prioritisation for emerging animal, plant and environmental risks and pathways, in partnership with system participants, reporting to AGSOC and AGMIN.”</w:t>
      </w:r>
      <w:r w:rsidR="00DE632A">
        <w:rPr>
          <w:rStyle w:val="FootnoteReference"/>
        </w:rPr>
        <w:footnoteReference w:id="55"/>
      </w:r>
      <w:r w:rsidR="00DE632A">
        <w:t xml:space="preserve">  A more meaningful assessment of national significance for proposed NEBRA responses would involve an evaluation of the </w:t>
      </w:r>
      <w:r w:rsidR="008F0F1A">
        <w:t>pest or disease</w:t>
      </w:r>
      <w:r w:rsidR="00DE632A">
        <w:t xml:space="preserve"> in line with this broader national-level risk prioritisation.</w:t>
      </w:r>
    </w:p>
    <w:p w:rsidR="00DE632A" w:rsidRDefault="00DE632A" w:rsidP="001E0DF0">
      <w:r>
        <w:t>The NEBRA Review Discussion Paper also posed the question of whether it would be feasible to develop a list of Australia’s priority environmental pests and diseases.  Submissions to this review, including those of the Commonwealth, S</w:t>
      </w:r>
      <w:r w:rsidR="001E0DF0">
        <w:t xml:space="preserve">outh Australian </w:t>
      </w:r>
      <w:r>
        <w:t xml:space="preserve">and Tasmanian governments tended to suggest that </w:t>
      </w:r>
      <w:r w:rsidR="00E00D71">
        <w:t xml:space="preserve">while </w:t>
      </w:r>
      <w:r>
        <w:t>developing such lists might be feasible</w:t>
      </w:r>
      <w:r w:rsidR="001E0DF0">
        <w:t xml:space="preserve"> they </w:t>
      </w:r>
      <w:r w:rsidR="008F0F1A">
        <w:t>would</w:t>
      </w:r>
      <w:r w:rsidR="001E0DF0">
        <w:t xml:space="preserve"> be resource intensive to develop, that a number of other similar lists already exist, and that the use and function of such lists needs to be carefully considered.  KPMG also notes that the draft IGAB review has stated that “the relevant NBC sectoral committee should identify all (exotic) pests and diseases of concern” and establish a priority list.</w:t>
      </w:r>
      <w:r w:rsidR="001E0DF0">
        <w:rPr>
          <w:rStyle w:val="FootnoteReference"/>
        </w:rPr>
        <w:footnoteReference w:id="56"/>
      </w:r>
    </w:p>
    <w:p w:rsidR="001E0DF0" w:rsidRDefault="001E0DF0" w:rsidP="001E0DF0">
      <w:r>
        <w:t xml:space="preserve">If a priority list of pests and diseases </w:t>
      </w:r>
      <w:r w:rsidR="004D6B89">
        <w:t xml:space="preserve">is established under IGAB </w:t>
      </w:r>
      <w:r w:rsidR="00A959B9">
        <w:t xml:space="preserve">it </w:t>
      </w:r>
      <w:r w:rsidR="004D6B89">
        <w:t xml:space="preserve">could be used to help inform national significance assessments.  However, KPMG </w:t>
      </w:r>
      <w:r w:rsidR="008F0F1A">
        <w:t xml:space="preserve">notes </w:t>
      </w:r>
      <w:r w:rsidR="004D6B89">
        <w:t xml:space="preserve">the Australian Museum’s submission to this review that it may be problematic to develop such lists because “so much of Australia’s biodiversity remains undescribed”.  It may be more practical to develop risk prioritisation around consideration of pathways of </w:t>
      </w:r>
      <w:r w:rsidR="00A959B9">
        <w:t xml:space="preserve">incursion </w:t>
      </w:r>
      <w:r w:rsidR="004D6B89">
        <w:t xml:space="preserve">and </w:t>
      </w:r>
      <w:r w:rsidR="00FA3DF7">
        <w:t>groups of species that may be particularly threatening to Australian ecosystems.</w:t>
      </w:r>
    </w:p>
    <w:tbl>
      <w:tblPr>
        <w:tblStyle w:val="TableGrid"/>
        <w:tblW w:w="0" w:type="auto"/>
        <w:tblLook w:val="04A0" w:firstRow="1" w:lastRow="0" w:firstColumn="1" w:lastColumn="0" w:noHBand="0" w:noVBand="1"/>
      </w:tblPr>
      <w:tblGrid>
        <w:gridCol w:w="6637"/>
      </w:tblGrid>
      <w:tr w:rsidR="00FA3DF7" w:rsidTr="00FA3DF7">
        <w:tc>
          <w:tcPr>
            <w:tcW w:w="6637" w:type="dxa"/>
          </w:tcPr>
          <w:p w:rsidR="008056E3" w:rsidRDefault="008056E3" w:rsidP="008056E3">
            <w:pPr>
              <w:rPr>
                <w:b/>
              </w:rPr>
            </w:pPr>
            <w:r>
              <w:rPr>
                <w:b/>
              </w:rPr>
              <w:t>Recommendation 14</w:t>
            </w:r>
          </w:p>
          <w:p w:rsidR="00FA3DF7" w:rsidRPr="00FA3DF7" w:rsidRDefault="008056E3" w:rsidP="008056E3">
            <w:r>
              <w:t>National significance for proposed NEBRA responses should be assessed in line with a broader risk prioritisation framework (such as that recommended in the draft IGAB report) rather than static criteria for national significance.</w:t>
            </w:r>
          </w:p>
        </w:tc>
      </w:tr>
    </w:tbl>
    <w:p w:rsidR="00FA3DF7" w:rsidRDefault="000C3596" w:rsidP="00521C9B">
      <w:pPr>
        <w:pStyle w:val="Heading3"/>
        <w:spacing w:before="120"/>
      </w:pPr>
      <w:r>
        <w:t>Benefit-Cost Analysis</w:t>
      </w:r>
    </w:p>
    <w:p w:rsidR="000C3596" w:rsidRDefault="000C3596" w:rsidP="000C3596">
      <w:r>
        <w:t xml:space="preserve">NEBRA responses must be </w:t>
      </w:r>
      <w:r w:rsidRPr="0024294E">
        <w:t>cost-beneficial</w:t>
      </w:r>
      <w:r>
        <w:t xml:space="preserve"> (see section </w:t>
      </w:r>
      <w:r>
        <w:fldChar w:fldCharType="begin"/>
      </w:r>
      <w:r>
        <w:instrText xml:space="preserve"> REF _Ref479599154 \r \h </w:instrText>
      </w:r>
      <w:r>
        <w:fldChar w:fldCharType="separate"/>
      </w:r>
      <w:r w:rsidR="009B19A2">
        <w:t>2.6</w:t>
      </w:r>
      <w:r>
        <w:fldChar w:fldCharType="end"/>
      </w:r>
      <w:r>
        <w:t xml:space="preserve"> for more detail).</w:t>
      </w:r>
      <w:r w:rsidR="0066673E">
        <w:t xml:space="preserve">  During consultation many government stakeholders advised KPMG that dev</w:t>
      </w:r>
      <w:r w:rsidR="00CF5A31">
        <w:t xml:space="preserve">elopment of </w:t>
      </w:r>
      <w:r w:rsidR="00CF5A31" w:rsidRPr="0024294E">
        <w:t>benefit-cost</w:t>
      </w:r>
      <w:r w:rsidR="00CF5A31">
        <w:t xml:space="preserve"> analyse</w:t>
      </w:r>
      <w:r w:rsidR="0066673E">
        <w:t>s had been (or would be) the most problematic element of NEBRA documentation to complete because biosecurity agencies do not tend to have easy access to economic expertise.</w:t>
      </w:r>
      <w:r w:rsidR="00A959B9">
        <w:t xml:space="preserve"> Benefit-cost analysis is only once method of determining the economic benefits of undertaking a response.  As responses are time-critical and information may be incomplete, it may be more appropriate to undertake a different measure of the economic benefits of responding. </w:t>
      </w:r>
    </w:p>
    <w:p w:rsidR="0066673E" w:rsidRDefault="0006382E" w:rsidP="000C3596">
      <w:r>
        <w:t>In its submission to this review the Invasive Species Council stated “f</w:t>
      </w:r>
      <w:r w:rsidRPr="0006382E">
        <w:t xml:space="preserve">or pests or diseases with national environmental significance, remove the requirement for eradication to be </w:t>
      </w:r>
      <w:r w:rsidR="0024294E">
        <w:t>cost-beneficial</w:t>
      </w:r>
      <w:r w:rsidRPr="0006382E">
        <w:t>, in recognition that there is no satisfactory method for quantitatively assessing and comparing most environmental costs and benefits</w:t>
      </w:r>
      <w:r>
        <w:t>”.  The Invasive Species Council suggest</w:t>
      </w:r>
      <w:r w:rsidR="00CF5A31">
        <w:t>ed</w:t>
      </w:r>
      <w:r>
        <w:t xml:space="preserve"> that </w:t>
      </w:r>
      <w:r w:rsidRPr="00B4432A">
        <w:t>costs and benefits</w:t>
      </w:r>
      <w:r>
        <w:t xml:space="preserve"> of a response be identified and that consideration of a response should proceed from an assumption that an environmental benefit-cost analysis will be positive.</w:t>
      </w:r>
    </w:p>
    <w:p w:rsidR="0006382E" w:rsidRPr="000C3596" w:rsidRDefault="0006382E" w:rsidP="000C3596">
      <w:r>
        <w:t>Attachment 4A of the NEBRA does provide a framework for benefit-cost analysis, but while it acknowledges that “</w:t>
      </w:r>
      <w:r w:rsidRPr="0006382E">
        <w:t>application of environmental valuation techniques</w:t>
      </w:r>
      <w:r>
        <w:t xml:space="preserve">” will be required to assess non-market impacts, it does not </w:t>
      </w:r>
      <w:r w:rsidR="008F0F1A">
        <w:t>mandate</w:t>
      </w:r>
      <w:r>
        <w:t xml:space="preserve"> any particular techniques.  KPMG understands from consultation that environmental valuation techniques are </w:t>
      </w:r>
      <w:r w:rsidR="00A959B9">
        <w:t xml:space="preserve">resource </w:t>
      </w:r>
      <w:r w:rsidR="000D7E06">
        <w:t>intensive</w:t>
      </w:r>
      <w:r w:rsidR="00A959B9">
        <w:t xml:space="preserve"> and </w:t>
      </w:r>
      <w:r w:rsidR="008F0F1A">
        <w:t>often challenging</w:t>
      </w:r>
      <w:r>
        <w:t xml:space="preserve"> to apply in practice.</w:t>
      </w:r>
    </w:p>
    <w:p w:rsidR="00480411" w:rsidRDefault="008F0F1A" w:rsidP="001E0DF0">
      <w:r>
        <w:t xml:space="preserve">In practice, the analysis of </w:t>
      </w:r>
      <w:r w:rsidR="00B4432A">
        <w:t>costs and benefits</w:t>
      </w:r>
      <w:r>
        <w:t xml:space="preserve"> for NEBRA responses to date has been largely qualitative.  </w:t>
      </w:r>
      <w:r w:rsidR="0006382E">
        <w:t xml:space="preserve">In conducting background research KPMG reviewed the benefit-cost analyses contained in the approved response plans.  </w:t>
      </w:r>
      <w:r w:rsidR="00413F49">
        <w:t xml:space="preserve">In the response plans for the Yarwun and Brisbane Airport Red </w:t>
      </w:r>
      <w:r w:rsidR="00201B24">
        <w:t>Imported</w:t>
      </w:r>
      <w:r w:rsidR="00413F49">
        <w:t xml:space="preserve"> Fire Ant responses the Queensland Government referenced work that had been completed by the </w:t>
      </w:r>
      <w:r w:rsidR="00413F49" w:rsidRPr="00413F49">
        <w:t>Australian Bureau of Agricultural and Resource Economics and Sciences</w:t>
      </w:r>
      <w:r w:rsidR="00413F49">
        <w:t xml:space="preserve"> (ABARES) </w:t>
      </w:r>
      <w:r w:rsidR="00201B24">
        <w:t>in 2001</w:t>
      </w:r>
      <w:r w:rsidR="00A959B9">
        <w:t xml:space="preserve"> and 2014</w:t>
      </w:r>
      <w:r w:rsidR="00201B24">
        <w:t>, the Queensland Department of Primary Industries and Fisheries in 2009.</w:t>
      </w:r>
      <w:r w:rsidR="00FA704D">
        <w:t xml:space="preserve">  It should be noted that the </w:t>
      </w:r>
      <w:r w:rsidR="00F6348F">
        <w:t xml:space="preserve">quantified benefits </w:t>
      </w:r>
      <w:r w:rsidR="00A959B9">
        <w:t xml:space="preserve">of eradication </w:t>
      </w:r>
      <w:r w:rsidR="00F6348F">
        <w:t>in these studies</w:t>
      </w:r>
      <w:r w:rsidR="00FA704D">
        <w:t xml:space="preserve"> </w:t>
      </w:r>
      <w:r w:rsidR="00F6348F">
        <w:t>relate to the avoidance of future control expenses, rather than assessing the preserved value of environmental assets.</w:t>
      </w:r>
    </w:p>
    <w:p w:rsidR="00FA3DF7" w:rsidRDefault="00480411" w:rsidP="001E0DF0">
      <w:r>
        <w:t>The response plan for the Red Imported Fire Ant outbreak at Port Botany did not contain a separate benefit-cost analysis because the NBMG determined that the prior analyses completed for Yarwun and Brisbane Airport were sufficient.  Benefit-cost analyses are not included in the response plans for Macao Paper Wasps (</w:t>
      </w:r>
      <w:r w:rsidR="00BF0A87">
        <w:t>Cocos</w:t>
      </w:r>
      <w:r>
        <w:t xml:space="preserve"> Keeling Island) or Browsing Ants (Darwin).</w:t>
      </w:r>
    </w:p>
    <w:p w:rsidR="00480411" w:rsidRDefault="00480411" w:rsidP="001E0DF0">
      <w:r>
        <w:t>While it is positive that pre-existing benefit-cost information was available to support decision making for the Red Imported Fi</w:t>
      </w:r>
      <w:r w:rsidR="00FA704D">
        <w:t>re Ant responses</w:t>
      </w:r>
      <w:r w:rsidR="00CF5A31">
        <w:t>,</w:t>
      </w:r>
      <w:r w:rsidR="00FA704D">
        <w:t xml:space="preserve"> it is clear that such detailed information will not always be available, particularly in relation to new and emerging threats.  The lack of outbreak-specific benefit-cost analysis tends to suggest that the requirement to complete this work i</w:t>
      </w:r>
      <w:r w:rsidR="00A959B9">
        <w:t>n</w:t>
      </w:r>
      <w:r w:rsidR="00FA704D">
        <w:t xml:space="preserve"> an emergency situation is impractical.</w:t>
      </w:r>
    </w:p>
    <w:p w:rsidR="00F6348F" w:rsidRDefault="00F6348F" w:rsidP="001E0DF0">
      <w:r>
        <w:t xml:space="preserve">Furthermore, KPMG finds the South Australian submission persuasive when it states that: </w:t>
      </w:r>
    </w:p>
    <w:p w:rsidR="00F6348F" w:rsidRPr="00F6348F" w:rsidRDefault="00F6348F" w:rsidP="001E0DF0">
      <w:pPr>
        <w:rPr>
          <w:i/>
        </w:rPr>
      </w:pPr>
      <w:r w:rsidRPr="00F6348F">
        <w:rPr>
          <w:i/>
          <w:sz w:val="18"/>
        </w:rPr>
        <w:t>Generally, it would be a very rare occurrence where a proposed eradication response that is judged to be technically feasible to prevent a nationally significant impact would not have a favourable benefit:cost ratio. This is especially the case where only a tiny fraction of the potential distribution has been invaded to date.</w:t>
      </w:r>
    </w:p>
    <w:tbl>
      <w:tblPr>
        <w:tblStyle w:val="TableGrid"/>
        <w:tblW w:w="0" w:type="auto"/>
        <w:tblLook w:val="04A0" w:firstRow="1" w:lastRow="0" w:firstColumn="1" w:lastColumn="0" w:noHBand="0" w:noVBand="1"/>
      </w:tblPr>
      <w:tblGrid>
        <w:gridCol w:w="6637"/>
      </w:tblGrid>
      <w:tr w:rsidR="00F6348F" w:rsidTr="00F6348F">
        <w:tc>
          <w:tcPr>
            <w:tcW w:w="6637" w:type="dxa"/>
          </w:tcPr>
          <w:p w:rsidR="008056E3" w:rsidRDefault="008056E3" w:rsidP="008056E3">
            <w:pPr>
              <w:rPr>
                <w:b/>
              </w:rPr>
            </w:pPr>
            <w:r>
              <w:rPr>
                <w:b/>
              </w:rPr>
              <w:t>Recommendation 15</w:t>
            </w:r>
          </w:p>
          <w:p w:rsidR="000A0441" w:rsidRPr="000A0441" w:rsidRDefault="008056E3" w:rsidP="008056E3">
            <w:r>
              <w:t>Benefit-cost analysis requirements and guidance in NEBRA should be revised and simplified to accept qualitative descriptions of benefits where no pre-existing studies on the cost of an outbreak are available.</w:t>
            </w:r>
          </w:p>
        </w:tc>
      </w:tr>
    </w:tbl>
    <w:p w:rsidR="00F6348F" w:rsidRDefault="00BB7CC9" w:rsidP="00521C9B">
      <w:pPr>
        <w:pStyle w:val="Heading3"/>
        <w:spacing w:before="120"/>
      </w:pPr>
      <w:bookmarkStart w:id="95" w:name="_Ref480354367"/>
      <w:r>
        <w:t>Technical Feasibility of Eradication</w:t>
      </w:r>
      <w:bookmarkEnd w:id="95"/>
    </w:p>
    <w:p w:rsidR="00BB7CC9" w:rsidRPr="005A3EB4" w:rsidRDefault="00BB7CC9" w:rsidP="001E0DF0">
      <w:r w:rsidRPr="005A3EB4">
        <w:t>The NEBRA has been drafted to enable cost-sharing of efforts to eradicate an outbreak of a pest or disease.  The agreement specifically excludes cost-sharing for containment activities not leading to eradication</w:t>
      </w:r>
      <w:r w:rsidRPr="005A3EB4">
        <w:rPr>
          <w:rStyle w:val="FootnoteReference"/>
        </w:rPr>
        <w:footnoteReference w:id="57"/>
      </w:r>
      <w:r w:rsidRPr="005A3EB4">
        <w:t>.  Clause 4.2 of Schedule 4 outlines 17 criteria which must be addressed when assessing whether it is technically feasible to eradicate an outbreak of a pest or disease.</w:t>
      </w:r>
    </w:p>
    <w:p w:rsidR="008F0F1A" w:rsidRPr="005A3EB4" w:rsidRDefault="00BB7CC9" w:rsidP="00EE741F">
      <w:r w:rsidRPr="005A3EB4">
        <w:t xml:space="preserve">A number of concerns have been expressed in written submissions about the </w:t>
      </w:r>
      <w:r w:rsidR="00EE741F" w:rsidRPr="005A3EB4">
        <w:t xml:space="preserve">restriction of NEBRA responses to </w:t>
      </w:r>
      <w:r w:rsidR="008F0F1A" w:rsidRPr="005A3EB4">
        <w:t>eradication activities:</w:t>
      </w:r>
    </w:p>
    <w:p w:rsidR="008F0F1A" w:rsidRPr="005A3EB4" w:rsidRDefault="001A5D32" w:rsidP="008F0F1A">
      <w:pPr>
        <w:pStyle w:val="ListParagraph"/>
        <w:numPr>
          <w:ilvl w:val="0"/>
          <w:numId w:val="19"/>
        </w:numPr>
      </w:pPr>
      <w:r w:rsidRPr="005A3EB4">
        <w:t>T</w:t>
      </w:r>
      <w:r w:rsidR="008F0F1A" w:rsidRPr="005A3EB4">
        <w:t xml:space="preserve">he South Australian Government submitted that </w:t>
      </w:r>
      <w:r w:rsidR="00D64B10" w:rsidRPr="005A3EB4">
        <w:t xml:space="preserve">it would be rare for total eradication of </w:t>
      </w:r>
      <w:r w:rsidR="008F0F1A" w:rsidRPr="005A3EB4">
        <w:t>nationally significant marine pests and environmental diseases (such as myrtle rust)</w:t>
      </w:r>
      <w:r w:rsidR="00D64B10" w:rsidRPr="005A3EB4">
        <w:t xml:space="preserve"> to be technically feasible but that there </w:t>
      </w:r>
      <w:r w:rsidR="00B54767" w:rsidRPr="005A3EB4">
        <w:t xml:space="preserve">may be a </w:t>
      </w:r>
      <w:r w:rsidR="00D64B10" w:rsidRPr="005A3EB4">
        <w:t xml:space="preserve">high </w:t>
      </w:r>
      <w:r w:rsidR="00B54767" w:rsidRPr="005A3EB4">
        <w:t>level of national</w:t>
      </w:r>
      <w:r w:rsidRPr="005A3EB4">
        <w:t xml:space="preserve"> benefit to containment.</w:t>
      </w:r>
    </w:p>
    <w:p w:rsidR="00D64B10" w:rsidRPr="005A3EB4" w:rsidRDefault="00B54767" w:rsidP="00D64B10">
      <w:pPr>
        <w:pStyle w:val="ListParagraph"/>
        <w:numPr>
          <w:ilvl w:val="0"/>
          <w:numId w:val="19"/>
        </w:numPr>
      </w:pPr>
      <w:r w:rsidRPr="005A3EB4">
        <w:t>I</w:t>
      </w:r>
      <w:r w:rsidR="00D64B10" w:rsidRPr="005A3EB4">
        <w:t>n their joint submission Commonwealth DAWR and DOEE submitted that there is “a potential gap in cases where eradication is not technically feasible, but emergency containment activities would be highly beneficial for multiple jurisdictions”</w:t>
      </w:r>
      <w:r w:rsidRPr="005A3EB4">
        <w:t>.</w:t>
      </w:r>
    </w:p>
    <w:p w:rsidR="001A5D32" w:rsidRPr="005A3EB4" w:rsidRDefault="001A5D32" w:rsidP="00D64B10">
      <w:pPr>
        <w:pStyle w:val="ListParagraph"/>
        <w:numPr>
          <w:ilvl w:val="0"/>
          <w:numId w:val="19"/>
        </w:numPr>
      </w:pPr>
      <w:r w:rsidRPr="005A3EB4">
        <w:t xml:space="preserve">Wildlife Health Australia submitted that there is a gap in NEBRA relating to its exclusive focus on eradication because eradication is unlikely to be achievable in relation to wildlife disease.  </w:t>
      </w:r>
      <w:r w:rsidR="00B54767" w:rsidRPr="005A3EB4">
        <w:t>They submitted that t</w:t>
      </w:r>
      <w:r w:rsidRPr="005A3EB4">
        <w:t>he requirement for a</w:t>
      </w:r>
      <w:r w:rsidR="00B54767" w:rsidRPr="005A3EB4">
        <w:t xml:space="preserve"> NEBRA</w:t>
      </w:r>
      <w:r w:rsidRPr="005A3EB4">
        <w:t xml:space="preserve"> response to be limited to </w:t>
      </w:r>
      <w:r w:rsidR="00B54767" w:rsidRPr="005A3EB4">
        <w:t>eradication</w:t>
      </w:r>
      <w:r w:rsidRPr="005A3EB4">
        <w:t xml:space="preserve"> </w:t>
      </w:r>
      <w:r w:rsidR="00B54767" w:rsidRPr="005A3EB4">
        <w:t>could</w:t>
      </w:r>
      <w:r w:rsidRPr="005A3EB4">
        <w:t xml:space="preserve"> prevent </w:t>
      </w:r>
      <w:r w:rsidR="00B54767" w:rsidRPr="005A3EB4">
        <w:t>national action in</w:t>
      </w:r>
      <w:r w:rsidRPr="005A3EB4">
        <w:t xml:space="preserve"> relation to a disease affecting a nationally significant species.</w:t>
      </w:r>
    </w:p>
    <w:p w:rsidR="0052720F" w:rsidRPr="005A3EB4" w:rsidRDefault="0052720F" w:rsidP="00EE741F">
      <w:r w:rsidRPr="005A3EB4">
        <w:t xml:space="preserve">KPMG notes that the difficulty of eradicating diseases in the aquatic environment has been acknowledged during the development of the response deed for diseases of aquaculture.  </w:t>
      </w:r>
      <w:r w:rsidR="005A3EB4">
        <w:t>U</w:t>
      </w:r>
      <w:r w:rsidRPr="005A3EB4">
        <w:t xml:space="preserve">nder the </w:t>
      </w:r>
      <w:r w:rsidR="005A3EB4">
        <w:t xml:space="preserve">current </w:t>
      </w:r>
      <w:r w:rsidRPr="005A3EB4">
        <w:t xml:space="preserve">draft </w:t>
      </w:r>
      <w:r w:rsidR="005A3EB4">
        <w:t xml:space="preserve">of this </w:t>
      </w:r>
      <w:r w:rsidRPr="005A3EB4">
        <w:t xml:space="preserve">deed </w:t>
      </w:r>
      <w:r w:rsidR="005A3EB4">
        <w:t xml:space="preserve">it is proposed that responses </w:t>
      </w:r>
      <w:r w:rsidRPr="005A3EB4">
        <w:t>would not need to demonstrate feasibility of eradication.</w:t>
      </w:r>
    </w:p>
    <w:p w:rsidR="00BB7CC9" w:rsidRPr="005A3EB4" w:rsidRDefault="00EE741F" w:rsidP="00EE741F">
      <w:r w:rsidRPr="005A3EB4">
        <w:t>During consultation other stakeholders</w:t>
      </w:r>
      <w:r w:rsidR="0052720F" w:rsidRPr="005A3EB4">
        <w:t xml:space="preserve"> also</w:t>
      </w:r>
      <w:r w:rsidRPr="005A3EB4">
        <w:t xml:space="preserve"> advised that it is unlikely that feasibility of eradication could be demonstrated for environmental weeds given the length of time </w:t>
      </w:r>
      <w:r w:rsidR="00B54767" w:rsidRPr="005A3EB4">
        <w:t>that seed banks remain viable.</w:t>
      </w:r>
    </w:p>
    <w:p w:rsidR="0035134C" w:rsidRPr="005A3EB4" w:rsidRDefault="0035134C" w:rsidP="00EE741F">
      <w:r w:rsidRPr="005A3EB4">
        <w:t>However, other signatories, particularly New South Wales, have expressed concern about the expansion of NEBRA into cost-shared containment.  New South Wales submitted that:</w:t>
      </w:r>
    </w:p>
    <w:p w:rsidR="0035134C" w:rsidRPr="005A3EB4" w:rsidRDefault="0035134C" w:rsidP="00EE741F">
      <w:pPr>
        <w:rPr>
          <w:i/>
          <w:sz w:val="18"/>
        </w:rPr>
      </w:pPr>
      <w:r w:rsidRPr="005A3EB4">
        <w:rPr>
          <w:i/>
          <w:sz w:val="18"/>
        </w:rPr>
        <w:t>given the objective of the agreement is to provide freedom from pests or diseases of national significance eradication is the priority for effective risk management, not containment.</w:t>
      </w:r>
    </w:p>
    <w:p w:rsidR="0035134C" w:rsidRPr="005A3EB4" w:rsidRDefault="005A3EB4" w:rsidP="00EE741F">
      <w:r>
        <w:t>Any expansion of the scope of the</w:t>
      </w:r>
      <w:r w:rsidR="00B42141" w:rsidRPr="005A3EB4">
        <w:t xml:space="preserve"> NEBRA to address containment in limited circumstances would need to be </w:t>
      </w:r>
      <w:r>
        <w:t>a decision</w:t>
      </w:r>
      <w:r w:rsidR="00B42141" w:rsidRPr="005A3EB4">
        <w:t xml:space="preserve"> supported by all jurisdictions.</w:t>
      </w:r>
      <w:r w:rsidR="00B54767" w:rsidRPr="005A3EB4">
        <w:t xml:space="preserve">  </w:t>
      </w:r>
      <w:r w:rsidR="0052720F" w:rsidRPr="005A3EB4">
        <w:t xml:space="preserve">KPMG understands that if the NEBRA were expanded to address containment (even in limited circumstances) some jurisdictions may be concerned about the potential increase to financial liability under the agreement.  This could jeopardise the sustainability of NEBRA as a national agreement.  In recognition of the importance of NEBRA as a national framework for environmental biosecurity </w:t>
      </w:r>
      <w:r w:rsidR="006A4C81" w:rsidRPr="005A3EB4">
        <w:t xml:space="preserve">responses, the agreement should not be expanded in scope if the outcome of that expansion would </w:t>
      </w:r>
      <w:r w:rsidR="004D09A4" w:rsidRPr="005A3EB4">
        <w:t xml:space="preserve">see some jurisdictions withdraw their support for </w:t>
      </w:r>
      <w:r>
        <w:t>this important agreement</w:t>
      </w:r>
      <w:r w:rsidR="006A4C81" w:rsidRPr="005A3EB4">
        <w:t>.</w:t>
      </w:r>
    </w:p>
    <w:tbl>
      <w:tblPr>
        <w:tblStyle w:val="TableGrid"/>
        <w:tblW w:w="0" w:type="auto"/>
        <w:tblLook w:val="04A0" w:firstRow="1" w:lastRow="0" w:firstColumn="1" w:lastColumn="0" w:noHBand="0" w:noVBand="1"/>
      </w:tblPr>
      <w:tblGrid>
        <w:gridCol w:w="6637"/>
      </w:tblGrid>
      <w:tr w:rsidR="00B42141" w:rsidTr="00B42141">
        <w:tc>
          <w:tcPr>
            <w:tcW w:w="6637" w:type="dxa"/>
          </w:tcPr>
          <w:p w:rsidR="00ED4D3C" w:rsidRPr="005A3EB4" w:rsidRDefault="00ED4D3C" w:rsidP="00ED4D3C">
            <w:pPr>
              <w:rPr>
                <w:b/>
              </w:rPr>
            </w:pPr>
            <w:r w:rsidRPr="005A3EB4">
              <w:rPr>
                <w:b/>
              </w:rPr>
              <w:t>Recommendation 16</w:t>
            </w:r>
          </w:p>
          <w:p w:rsidR="00B42141" w:rsidRPr="00B42141" w:rsidRDefault="00ED4D3C" w:rsidP="00ED4D3C">
            <w:r w:rsidRPr="005A3EB4">
              <w:t xml:space="preserve">The National Biosecurity Committee should consider whether there is sufficient support to revise NEBRA to provide for cost-shared responses aimed at containment in some instances.  These instances may include wildlife disease or environmental weeds where it be may </w:t>
            </w:r>
            <w:r w:rsidR="00AF4EBD" w:rsidRPr="005A3EB4">
              <w:t xml:space="preserve">be </w:t>
            </w:r>
            <w:r w:rsidRPr="005A3EB4">
              <w:t>difficult to demonstrate feasibility of eradication but there are net benefits in a national, time-limited containment response.  Alternatively, a different mechanism could be developed to facilitate cost sharing arrangements where eradication is not possible, but there are joint benefits to ensuring containment.</w:t>
            </w:r>
          </w:p>
        </w:tc>
      </w:tr>
    </w:tbl>
    <w:p w:rsidR="00B42141" w:rsidRDefault="00B42141" w:rsidP="00EE741F"/>
    <w:p w:rsidR="00EE741F" w:rsidRDefault="00EE741F" w:rsidP="00EE741F"/>
    <w:p w:rsidR="005C5200" w:rsidRPr="005C5200" w:rsidRDefault="005C5200" w:rsidP="005C5200">
      <w:pPr>
        <w:sectPr w:rsidR="005C5200" w:rsidRPr="005C5200" w:rsidSect="003A5591">
          <w:pgSz w:w="16838" w:h="11906" w:orient="landscape"/>
          <w:pgMar w:top="1418" w:right="1418" w:bottom="1418" w:left="1418" w:header="709" w:footer="453" w:gutter="0"/>
          <w:cols w:num="2" w:space="708"/>
          <w:docGrid w:linePitch="360"/>
        </w:sectPr>
      </w:pPr>
    </w:p>
    <w:p w:rsidR="00464264" w:rsidRDefault="00DF41EE" w:rsidP="00EA1AF6">
      <w:pPr>
        <w:pStyle w:val="Appendixheading"/>
        <w:ind w:left="0"/>
        <w:rPr>
          <w:rStyle w:val="Heading1Char"/>
          <w:rFonts w:cs="Times New Roman"/>
          <w:szCs w:val="18"/>
        </w:rPr>
      </w:pPr>
      <w:bookmarkStart w:id="96" w:name="_Ref481053084"/>
      <w:bookmarkStart w:id="97" w:name="_Toc483482624"/>
      <w:bookmarkStart w:id="98" w:name="_Ref478047714"/>
      <w:r>
        <w:rPr>
          <w:rStyle w:val="Heading1Char"/>
          <w:rFonts w:cs="Times New Roman"/>
          <w:szCs w:val="18"/>
        </w:rPr>
        <w:t>: NEBRA Review Guiding Questions</w:t>
      </w:r>
      <w:bookmarkEnd w:id="96"/>
      <w:bookmarkEnd w:id="97"/>
    </w:p>
    <w:p w:rsidR="00464264" w:rsidRPr="00EA1AF6" w:rsidRDefault="00464264" w:rsidP="00EA1AF6">
      <w:pPr>
        <w:pStyle w:val="BodyText0"/>
        <w:rPr>
          <w:rFonts w:eastAsiaTheme="majorEastAsia"/>
          <w:sz w:val="18"/>
        </w:rPr>
      </w:pPr>
      <w:r w:rsidRPr="00EA1AF6">
        <w:rPr>
          <w:rFonts w:eastAsiaTheme="majorEastAsia"/>
          <w:sz w:val="18"/>
        </w:rPr>
        <w:t>Source: National Environmental Biosecurity Response Agreement (NEBRA) Five Year Review Discussion Paper</w:t>
      </w:r>
    </w:p>
    <w:p w:rsidR="00464264" w:rsidRPr="008C1F0A" w:rsidRDefault="00464264" w:rsidP="00464264">
      <w:pPr>
        <w:rPr>
          <w:b/>
        </w:rPr>
      </w:pPr>
      <w:r>
        <w:rPr>
          <w:b/>
        </w:rPr>
        <w:t>Purpose of the NEBRA</w:t>
      </w:r>
    </w:p>
    <w:p w:rsidR="00464264" w:rsidRDefault="00464264" w:rsidP="00EA1AF6">
      <w:pPr>
        <w:pStyle w:val="Numberbullet1stlevel"/>
        <w:numPr>
          <w:ilvl w:val="0"/>
          <w:numId w:val="0"/>
        </w:numPr>
      </w:pPr>
      <w:r>
        <w:t>1) Do you think the responses conducted under the NEBRA accurately reflect its purpose and help to achieve its outcomes?</w:t>
      </w:r>
    </w:p>
    <w:p w:rsidR="00464264" w:rsidRDefault="00464264" w:rsidP="00EA1AF6">
      <w:pPr>
        <w:pStyle w:val="Numberbullet1stlevel"/>
        <w:numPr>
          <w:ilvl w:val="0"/>
          <w:numId w:val="0"/>
        </w:numPr>
      </w:pPr>
      <w:r>
        <w:t>2) Do you think the agreement is a suitable mechanism to respond to environmental biosecurity threats in the future (i.e. 10-20 years from now)?</w:t>
      </w:r>
    </w:p>
    <w:p w:rsidR="00464264" w:rsidRDefault="00464264" w:rsidP="00EA1AF6">
      <w:pPr>
        <w:pStyle w:val="Numberbullet1stlevel"/>
        <w:numPr>
          <w:ilvl w:val="0"/>
          <w:numId w:val="0"/>
        </w:numPr>
      </w:pPr>
      <w:r>
        <w:t>3) Do you think the definitions used in the NEBRA are clear and appropriate?</w:t>
      </w:r>
    </w:p>
    <w:p w:rsidR="00464264" w:rsidRPr="008C1F0A" w:rsidRDefault="00464264" w:rsidP="00464264">
      <w:pPr>
        <w:pStyle w:val="Numberbullet1stlevel"/>
        <w:numPr>
          <w:ilvl w:val="0"/>
          <w:numId w:val="0"/>
        </w:numPr>
        <w:rPr>
          <w:b/>
        </w:rPr>
      </w:pPr>
      <w:r>
        <w:rPr>
          <w:b/>
        </w:rPr>
        <w:t>Roles and Responsibilities Under the NEBRA</w:t>
      </w:r>
    </w:p>
    <w:p w:rsidR="00464264" w:rsidRDefault="00464264" w:rsidP="00EA1AF6">
      <w:pPr>
        <w:pStyle w:val="Numberbullet1stlevel"/>
        <w:numPr>
          <w:ilvl w:val="0"/>
          <w:numId w:val="0"/>
        </w:numPr>
      </w:pPr>
      <w:r>
        <w:t>4) Do you consider the roles and responsibilities outlined in the NEBRA to be clear and appropriate?  If not, how do you think they could be improved?</w:t>
      </w:r>
    </w:p>
    <w:p w:rsidR="00464264" w:rsidRDefault="00464264" w:rsidP="00EA1AF6">
      <w:pPr>
        <w:pStyle w:val="Numberbullet1stlevel"/>
        <w:numPr>
          <w:ilvl w:val="0"/>
          <w:numId w:val="0"/>
        </w:numPr>
      </w:pPr>
      <w:r>
        <w:t>5) Are these roles and responsibilities compatible with recent changes in Australian (Commonwealth, state and territory) biosecurity legislation?</w:t>
      </w:r>
    </w:p>
    <w:p w:rsidR="00464264" w:rsidRDefault="00464264" w:rsidP="00EA1AF6">
      <w:pPr>
        <w:pStyle w:val="Numberbullet1stlevel"/>
        <w:numPr>
          <w:ilvl w:val="0"/>
          <w:numId w:val="0"/>
        </w:numPr>
      </w:pPr>
      <w:r>
        <w:t>6) How could an increased, but accountable, role for private beneficiaries and non-government stakeholders be incorporated into the NEBRA?</w:t>
      </w:r>
    </w:p>
    <w:p w:rsidR="00464264" w:rsidRPr="008C1F0A" w:rsidRDefault="00464264" w:rsidP="00464264">
      <w:pPr>
        <w:pStyle w:val="Numberbullet1stlevel"/>
        <w:numPr>
          <w:ilvl w:val="0"/>
          <w:numId w:val="0"/>
        </w:numPr>
        <w:rPr>
          <w:b/>
        </w:rPr>
      </w:pPr>
      <w:r>
        <w:rPr>
          <w:b/>
        </w:rPr>
        <w:br w:type="column"/>
        <w:t>Decision Making and Governance</w:t>
      </w:r>
    </w:p>
    <w:p w:rsidR="00464264" w:rsidRDefault="00464264" w:rsidP="00EA1AF6">
      <w:pPr>
        <w:pStyle w:val="Numberbullet1stlevel"/>
        <w:numPr>
          <w:ilvl w:val="0"/>
          <w:numId w:val="0"/>
        </w:numPr>
      </w:pPr>
      <w:r>
        <w:t>7) Do you think the NEBRA decision making framework is clear and appropriate?  Are the outcomes of these processes reflective of the criteria on which they are based?</w:t>
      </w:r>
    </w:p>
    <w:p w:rsidR="00464264" w:rsidRDefault="00464264" w:rsidP="00EA1AF6">
      <w:pPr>
        <w:pStyle w:val="Numberbullet1stlevel"/>
        <w:numPr>
          <w:ilvl w:val="0"/>
          <w:numId w:val="0"/>
        </w:numPr>
      </w:pPr>
      <w:r>
        <w:t>8) Do you think there should be an increased role for non-government stakeholders in the decision making process?  If so, how do you think this might be achieved?</w:t>
      </w:r>
    </w:p>
    <w:p w:rsidR="00464264" w:rsidRPr="008C1F0A" w:rsidRDefault="00464264" w:rsidP="00464264">
      <w:pPr>
        <w:pStyle w:val="Numberbullet1stlevel"/>
        <w:numPr>
          <w:ilvl w:val="0"/>
          <w:numId w:val="0"/>
        </w:numPr>
        <w:rPr>
          <w:b/>
        </w:rPr>
      </w:pPr>
      <w:r>
        <w:rPr>
          <w:b/>
        </w:rPr>
        <w:t>Delivery of Response Activities</w:t>
      </w:r>
    </w:p>
    <w:p w:rsidR="00464264" w:rsidRDefault="00464264" w:rsidP="00EA1AF6">
      <w:pPr>
        <w:pStyle w:val="Numberbullet1stlevel"/>
        <w:numPr>
          <w:ilvl w:val="0"/>
          <w:numId w:val="0"/>
        </w:numPr>
      </w:pPr>
      <w:r>
        <w:t>9) Do you think the pre-response requirements of the NEBRA are clear and appropriate?  Are they practical for smaller jurisdictions?</w:t>
      </w:r>
    </w:p>
    <w:p w:rsidR="00464264" w:rsidRDefault="00464264" w:rsidP="00EA1AF6">
      <w:pPr>
        <w:pStyle w:val="Numberbullet1stlevel"/>
        <w:numPr>
          <w:ilvl w:val="0"/>
          <w:numId w:val="0"/>
        </w:numPr>
      </w:pPr>
      <w:r>
        <w:t>10) Could the guidelines and criteria for the technical requirements of initiating a response be made more clear and appropriate?  If so, how?</w:t>
      </w:r>
    </w:p>
    <w:p w:rsidR="00464264" w:rsidRDefault="00464264" w:rsidP="00EA1AF6">
      <w:pPr>
        <w:pStyle w:val="Numberbullet1stlevel"/>
        <w:numPr>
          <w:ilvl w:val="0"/>
          <w:numId w:val="0"/>
        </w:numPr>
      </w:pPr>
      <w:r>
        <w:t>11) How could private beneficiaries and non-government stakeholders be engaged more effectively in response activities?</w:t>
      </w:r>
    </w:p>
    <w:p w:rsidR="00464264" w:rsidRPr="008C1F0A" w:rsidRDefault="00464264" w:rsidP="00464264">
      <w:pPr>
        <w:pStyle w:val="Numberbullet1stlevel"/>
        <w:numPr>
          <w:ilvl w:val="0"/>
          <w:numId w:val="0"/>
        </w:numPr>
        <w:ind w:left="340" w:hanging="340"/>
        <w:rPr>
          <w:b/>
        </w:rPr>
      </w:pPr>
      <w:r>
        <w:rPr>
          <w:b/>
        </w:rPr>
        <w:t xml:space="preserve">Information Sharing </w:t>
      </w:r>
    </w:p>
    <w:p w:rsidR="00464264" w:rsidRDefault="00464264" w:rsidP="00EA1AF6">
      <w:pPr>
        <w:pStyle w:val="Numberbullet1stlevel"/>
        <w:numPr>
          <w:ilvl w:val="0"/>
          <w:numId w:val="0"/>
        </w:numPr>
      </w:pPr>
      <w:r>
        <w:t>12) Do you think existing information sharing networks are utilized effectively for NEBRA-related matters?  If not, how do you think this might be addressed?</w:t>
      </w:r>
    </w:p>
    <w:p w:rsidR="00464264" w:rsidRDefault="00464264" w:rsidP="00EA1AF6">
      <w:pPr>
        <w:pStyle w:val="Numberbullet1stlevel"/>
        <w:numPr>
          <w:ilvl w:val="0"/>
          <w:numId w:val="0"/>
        </w:numPr>
      </w:pPr>
      <w:r>
        <w:t>13) What untapped sources of information may be useful in preparing for and responding to environmental biosecurity emergencies?</w:t>
      </w:r>
    </w:p>
    <w:p w:rsidR="00464264" w:rsidRPr="008C1F0A" w:rsidRDefault="00464264" w:rsidP="00464264">
      <w:pPr>
        <w:pStyle w:val="Numberbullet1stlevel"/>
        <w:numPr>
          <w:ilvl w:val="0"/>
          <w:numId w:val="0"/>
        </w:numPr>
        <w:rPr>
          <w:b/>
        </w:rPr>
      </w:pPr>
      <w:r>
        <w:rPr>
          <w:b/>
        </w:rPr>
        <w:t>Preparedness</w:t>
      </w:r>
    </w:p>
    <w:p w:rsidR="00464264" w:rsidRDefault="00464264" w:rsidP="00EA1AF6">
      <w:pPr>
        <w:pStyle w:val="Numberbullet1stlevel"/>
        <w:numPr>
          <w:ilvl w:val="0"/>
          <w:numId w:val="0"/>
        </w:numPr>
      </w:pPr>
      <w:r>
        <w:t>14) Do you think that the sharing of training and resources among jurisdictions and non-government stakeholders would help to increase preparedness for environmental biosecurity threats?  If so, how might this be achieved?</w:t>
      </w:r>
    </w:p>
    <w:p w:rsidR="00464264" w:rsidRDefault="00464264" w:rsidP="00EA1AF6">
      <w:pPr>
        <w:pStyle w:val="Numberbullet1stlevel"/>
        <w:numPr>
          <w:ilvl w:val="0"/>
          <w:numId w:val="0"/>
        </w:numPr>
      </w:pPr>
      <w:r>
        <w:t>15) What role could the non-government sector play in preparing for environmental biosecurity incidents?  How could their involvement be facilitated?</w:t>
      </w:r>
    </w:p>
    <w:p w:rsidR="00464264" w:rsidRDefault="00464264" w:rsidP="00464264">
      <w:pPr>
        <w:pStyle w:val="Numberbullet1stlevel"/>
        <w:numPr>
          <w:ilvl w:val="0"/>
          <w:numId w:val="0"/>
        </w:numPr>
        <w:rPr>
          <w:b/>
        </w:rPr>
      </w:pPr>
      <w:r>
        <w:rPr>
          <w:b/>
        </w:rPr>
        <w:br w:type="page"/>
      </w:r>
    </w:p>
    <w:p w:rsidR="00464264" w:rsidRPr="008C1F0A" w:rsidRDefault="00464264" w:rsidP="00464264">
      <w:pPr>
        <w:pStyle w:val="Numberbullet1stlevel"/>
        <w:numPr>
          <w:ilvl w:val="0"/>
          <w:numId w:val="0"/>
        </w:numPr>
        <w:rPr>
          <w:b/>
        </w:rPr>
      </w:pPr>
      <w:r>
        <w:rPr>
          <w:b/>
        </w:rPr>
        <w:t>Funding Arrangements</w:t>
      </w:r>
    </w:p>
    <w:p w:rsidR="00464264" w:rsidRDefault="00464264" w:rsidP="00EA1AF6">
      <w:pPr>
        <w:pStyle w:val="Numberbullet1stlevel"/>
        <w:numPr>
          <w:ilvl w:val="0"/>
          <w:numId w:val="0"/>
        </w:numPr>
      </w:pPr>
      <w:r>
        <w:t>16) Do you think it is feasible to develop a list of Australia’s priority environmental pests and diseases?  If so, how might this be achieved?</w:t>
      </w:r>
    </w:p>
    <w:p w:rsidR="00464264" w:rsidRDefault="00464264" w:rsidP="00EA1AF6">
      <w:pPr>
        <w:pStyle w:val="Numberbullet1stlevel"/>
        <w:numPr>
          <w:ilvl w:val="0"/>
          <w:numId w:val="0"/>
        </w:numPr>
      </w:pPr>
      <w:r>
        <w:t>17) Do you think current cost sharing arrangements under the NEBRA are appropriate and equitable?</w:t>
      </w:r>
    </w:p>
    <w:p w:rsidR="00464264" w:rsidRDefault="00464264" w:rsidP="00EA1AF6">
      <w:pPr>
        <w:pStyle w:val="Numberbullet1stlevel"/>
        <w:numPr>
          <w:ilvl w:val="0"/>
          <w:numId w:val="0"/>
        </w:numPr>
      </w:pPr>
      <w:r>
        <w:t>18) How might private beneficiaries be engaged in cost sharing arrangements?</w:t>
      </w:r>
    </w:p>
    <w:p w:rsidR="00464264" w:rsidRPr="008C1F0A" w:rsidRDefault="00464264" w:rsidP="00464264">
      <w:pPr>
        <w:pStyle w:val="Numberbullet1stlevel"/>
        <w:numPr>
          <w:ilvl w:val="0"/>
          <w:numId w:val="0"/>
        </w:numPr>
        <w:rPr>
          <w:b/>
        </w:rPr>
      </w:pPr>
      <w:r>
        <w:rPr>
          <w:b/>
        </w:rPr>
        <w:br w:type="column"/>
        <w:t>Managing the NEBRA</w:t>
      </w:r>
    </w:p>
    <w:p w:rsidR="00464264" w:rsidRDefault="00464264" w:rsidP="00EA1AF6">
      <w:pPr>
        <w:pStyle w:val="Numberbullet1stlevel"/>
        <w:numPr>
          <w:ilvl w:val="0"/>
          <w:numId w:val="0"/>
        </w:numPr>
      </w:pPr>
      <w:r>
        <w:t>19) How important is it that the NEBRA is consistent with other biosecurity response deeds and agreements?  Are there any particular inconsistencies that should be addressed?  For example, do you think that transition to management provisions should be incorporated into the NEBRA?</w:t>
      </w:r>
    </w:p>
    <w:p w:rsidR="00464264" w:rsidRDefault="00464264" w:rsidP="00EA1AF6">
      <w:pPr>
        <w:pStyle w:val="Numberbullet1stlevel"/>
        <w:numPr>
          <w:ilvl w:val="0"/>
          <w:numId w:val="0"/>
        </w:numPr>
      </w:pPr>
      <w:r>
        <w:t>20) Do you think the requirement for an ongoing NEBRA administrative group is practical?</w:t>
      </w:r>
    </w:p>
    <w:p w:rsidR="00464264" w:rsidRDefault="00464264" w:rsidP="00EA1AF6">
      <w:pPr>
        <w:pStyle w:val="Numberbullet1stlevel"/>
        <w:numPr>
          <w:ilvl w:val="0"/>
          <w:numId w:val="0"/>
        </w:numPr>
      </w:pPr>
      <w:r>
        <w:t>21) How efficient and appropriate are the NEBRA custodian processes?  How might they be improved?</w:t>
      </w:r>
    </w:p>
    <w:p w:rsidR="00464264" w:rsidRDefault="00464264" w:rsidP="00464264">
      <w:pPr>
        <w:pStyle w:val="BodyText0"/>
        <w:rPr>
          <w:rFonts w:eastAsiaTheme="majorEastAsia"/>
        </w:rPr>
        <w:sectPr w:rsidR="00464264" w:rsidSect="00EA1AF6">
          <w:pgSz w:w="16838" w:h="11906" w:orient="landscape"/>
          <w:pgMar w:top="1418" w:right="1418" w:bottom="1418" w:left="1418" w:header="709" w:footer="453" w:gutter="0"/>
          <w:cols w:num="2" w:space="708"/>
          <w:docGrid w:linePitch="360"/>
        </w:sectPr>
      </w:pPr>
    </w:p>
    <w:p w:rsidR="00860A83" w:rsidRPr="00860A83" w:rsidRDefault="00860A83" w:rsidP="00464264">
      <w:pPr>
        <w:pStyle w:val="Appendixheading"/>
        <w:ind w:left="0"/>
        <w:rPr>
          <w:rStyle w:val="Heading1Char"/>
          <w:rFonts w:cs="Times New Roman"/>
          <w:szCs w:val="18"/>
        </w:rPr>
      </w:pPr>
      <w:bookmarkStart w:id="99" w:name="_Ref481053154"/>
      <w:bookmarkStart w:id="100" w:name="_Ref481053192"/>
      <w:bookmarkStart w:id="101" w:name="_Toc483482625"/>
      <w:r w:rsidRPr="00860A83">
        <w:rPr>
          <w:rStyle w:val="Heading1Char"/>
          <w:rFonts w:cs="Times New Roman"/>
          <w:szCs w:val="18"/>
        </w:rPr>
        <w:t xml:space="preserve">: </w:t>
      </w:r>
      <w:bookmarkEnd w:id="73"/>
      <w:r w:rsidR="000E3122">
        <w:rPr>
          <w:rStyle w:val="Heading1Char"/>
          <w:rFonts w:cs="Times New Roman"/>
          <w:szCs w:val="18"/>
        </w:rPr>
        <w:t>Face-to-face</w:t>
      </w:r>
      <w:r w:rsidR="00864148">
        <w:rPr>
          <w:rStyle w:val="Heading1Char"/>
          <w:rFonts w:cs="Times New Roman"/>
          <w:szCs w:val="18"/>
        </w:rPr>
        <w:t xml:space="preserve"> Consultation Sessions – Dates and Organisations Represented</w:t>
      </w:r>
      <w:bookmarkEnd w:id="98"/>
      <w:bookmarkEnd w:id="99"/>
      <w:bookmarkEnd w:id="100"/>
      <w:bookmarkEnd w:id="101"/>
    </w:p>
    <w:tbl>
      <w:tblPr>
        <w:tblStyle w:val="GridTable4"/>
        <w:tblW w:w="0" w:type="auto"/>
        <w:tblLook w:val="04A0" w:firstRow="1" w:lastRow="0" w:firstColumn="1" w:lastColumn="0" w:noHBand="0" w:noVBand="1"/>
      </w:tblPr>
      <w:tblGrid>
        <w:gridCol w:w="2263"/>
        <w:gridCol w:w="2835"/>
        <w:gridCol w:w="8894"/>
      </w:tblGrid>
      <w:tr w:rsidR="00864148" w:rsidTr="003824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rsidR="00864148" w:rsidRDefault="00864148" w:rsidP="00864148">
            <w:pPr>
              <w:pStyle w:val="BodyText1"/>
            </w:pPr>
            <w:r>
              <w:t>Date</w:t>
            </w:r>
          </w:p>
        </w:tc>
        <w:tc>
          <w:tcPr>
            <w:tcW w:w="2835" w:type="dxa"/>
          </w:tcPr>
          <w:p w:rsidR="00864148" w:rsidRDefault="00864148" w:rsidP="00864148">
            <w:pPr>
              <w:pStyle w:val="BodyText1"/>
              <w:cnfStyle w:val="100000000000" w:firstRow="1" w:lastRow="0" w:firstColumn="0" w:lastColumn="0" w:oddVBand="0" w:evenVBand="0" w:oddHBand="0" w:evenHBand="0" w:firstRowFirstColumn="0" w:firstRowLastColumn="0" w:lastRowFirstColumn="0" w:lastRowLastColumn="0"/>
            </w:pPr>
            <w:r>
              <w:t>Location</w:t>
            </w:r>
          </w:p>
        </w:tc>
        <w:tc>
          <w:tcPr>
            <w:tcW w:w="8894" w:type="dxa"/>
          </w:tcPr>
          <w:p w:rsidR="00864148" w:rsidRDefault="00864148" w:rsidP="00864148">
            <w:pPr>
              <w:pStyle w:val="BodyText1"/>
              <w:cnfStyle w:val="100000000000" w:firstRow="1" w:lastRow="0" w:firstColumn="0" w:lastColumn="0" w:oddVBand="0" w:evenVBand="0" w:oddHBand="0" w:evenHBand="0" w:firstRowFirstColumn="0" w:firstRowLastColumn="0" w:lastRowFirstColumn="0" w:lastRowLastColumn="0"/>
            </w:pPr>
            <w:r>
              <w:t>Organisations Represented</w:t>
            </w:r>
          </w:p>
        </w:tc>
      </w:tr>
      <w:tr w:rsidR="00864148"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864148" w:rsidRPr="00864148" w:rsidRDefault="00864148" w:rsidP="00864148">
            <w:pPr>
              <w:pStyle w:val="BodyText1"/>
              <w:rPr>
                <w:b w:val="0"/>
              </w:rPr>
            </w:pPr>
            <w:r w:rsidRPr="00864148">
              <w:rPr>
                <w:b w:val="0"/>
              </w:rPr>
              <w:t>18 January 2017</w:t>
            </w:r>
          </w:p>
        </w:tc>
        <w:tc>
          <w:tcPr>
            <w:tcW w:w="2835" w:type="dxa"/>
          </w:tcPr>
          <w:p w:rsidR="00864148" w:rsidRDefault="00864148" w:rsidP="00864148">
            <w:pPr>
              <w:pStyle w:val="BodyText1"/>
              <w:cnfStyle w:val="000000100000" w:firstRow="0" w:lastRow="0" w:firstColumn="0" w:lastColumn="0" w:oddVBand="0" w:evenVBand="0" w:oddHBand="1" w:evenHBand="0" w:firstRowFirstColumn="0" w:firstRowLastColumn="0" w:lastRowFirstColumn="0" w:lastRowLastColumn="0"/>
            </w:pPr>
            <w:r>
              <w:t>Hobart</w:t>
            </w:r>
          </w:p>
        </w:tc>
        <w:tc>
          <w:tcPr>
            <w:tcW w:w="8894" w:type="dxa"/>
          </w:tcPr>
          <w:p w:rsidR="00864148" w:rsidRDefault="00864148" w:rsidP="005F2C6C">
            <w:pPr>
              <w:pStyle w:val="BodyText1"/>
              <w:cnfStyle w:val="000000100000" w:firstRow="0" w:lastRow="0" w:firstColumn="0" w:lastColumn="0" w:oddVBand="0" w:evenVBand="0" w:oddHBand="1" w:evenHBand="0" w:firstRowFirstColumn="0" w:firstRowLastColumn="0" w:lastRowFirstColumn="0" w:lastRowLastColumn="0"/>
            </w:pPr>
            <w:r>
              <w:t>Tasmanian Government Department of Primary Industries</w:t>
            </w:r>
            <w:r w:rsidR="005F2C6C">
              <w:t>, Parks, Water and Environment</w:t>
            </w:r>
          </w:p>
        </w:tc>
      </w:tr>
      <w:tr w:rsidR="00864148" w:rsidTr="00864148">
        <w:tc>
          <w:tcPr>
            <w:cnfStyle w:val="001000000000" w:firstRow="0" w:lastRow="0" w:firstColumn="1" w:lastColumn="0" w:oddVBand="0" w:evenVBand="0" w:oddHBand="0" w:evenHBand="0" w:firstRowFirstColumn="0" w:firstRowLastColumn="0" w:lastRowFirstColumn="0" w:lastRowLastColumn="0"/>
            <w:tcW w:w="2263" w:type="dxa"/>
          </w:tcPr>
          <w:p w:rsidR="00864148" w:rsidRPr="00864148" w:rsidRDefault="00864148" w:rsidP="00864148">
            <w:pPr>
              <w:pStyle w:val="BodyText1"/>
              <w:rPr>
                <w:b w:val="0"/>
              </w:rPr>
            </w:pPr>
            <w:r>
              <w:rPr>
                <w:b w:val="0"/>
              </w:rPr>
              <w:t>18 January 2017</w:t>
            </w:r>
          </w:p>
        </w:tc>
        <w:tc>
          <w:tcPr>
            <w:tcW w:w="2835" w:type="dxa"/>
          </w:tcPr>
          <w:p w:rsidR="00864148" w:rsidRDefault="00864148" w:rsidP="00864148">
            <w:pPr>
              <w:pStyle w:val="BodyText1"/>
              <w:cnfStyle w:val="000000000000" w:firstRow="0" w:lastRow="0" w:firstColumn="0" w:lastColumn="0" w:oddVBand="0" w:evenVBand="0" w:oddHBand="0" w:evenHBand="0" w:firstRowFirstColumn="0" w:firstRowLastColumn="0" w:lastRowFirstColumn="0" w:lastRowLastColumn="0"/>
            </w:pPr>
            <w:r>
              <w:t>Hobart</w:t>
            </w:r>
          </w:p>
        </w:tc>
        <w:tc>
          <w:tcPr>
            <w:tcW w:w="8894" w:type="dxa"/>
          </w:tcPr>
          <w:p w:rsidR="00864148" w:rsidRDefault="00864148" w:rsidP="00864148">
            <w:pPr>
              <w:pStyle w:val="BodyText1"/>
              <w:cnfStyle w:val="000000000000" w:firstRow="0" w:lastRow="0" w:firstColumn="0" w:lastColumn="0" w:oddVBand="0" w:evenVBand="0" w:oddHBand="0" w:evenHBand="0" w:firstRowFirstColumn="0" w:firstRowLastColumn="0" w:lastRowFirstColumn="0" w:lastRowLastColumn="0"/>
            </w:pPr>
            <w:r>
              <w:t xml:space="preserve">Tasmanian Conservation Trust </w:t>
            </w:r>
          </w:p>
        </w:tc>
      </w:tr>
      <w:tr w:rsidR="00864148"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864148" w:rsidRDefault="00864148" w:rsidP="00864148">
            <w:pPr>
              <w:pStyle w:val="BodyText1"/>
              <w:rPr>
                <w:b w:val="0"/>
              </w:rPr>
            </w:pPr>
            <w:r>
              <w:rPr>
                <w:b w:val="0"/>
              </w:rPr>
              <w:t>19 January 2017</w:t>
            </w:r>
          </w:p>
        </w:tc>
        <w:tc>
          <w:tcPr>
            <w:tcW w:w="2835" w:type="dxa"/>
          </w:tcPr>
          <w:p w:rsidR="00864148" w:rsidRDefault="00864148" w:rsidP="00864148">
            <w:pPr>
              <w:pStyle w:val="BodyText1"/>
              <w:cnfStyle w:val="000000100000" w:firstRow="0" w:lastRow="0" w:firstColumn="0" w:lastColumn="0" w:oddVBand="0" w:evenVBand="0" w:oddHBand="1" w:evenHBand="0" w:firstRowFirstColumn="0" w:firstRowLastColumn="0" w:lastRowFirstColumn="0" w:lastRowLastColumn="0"/>
            </w:pPr>
            <w:r>
              <w:t>Melbourne</w:t>
            </w:r>
          </w:p>
        </w:tc>
        <w:tc>
          <w:tcPr>
            <w:tcW w:w="8894" w:type="dxa"/>
          </w:tcPr>
          <w:p w:rsidR="00864148" w:rsidRDefault="00864148" w:rsidP="00864148">
            <w:pPr>
              <w:pStyle w:val="BodyText1"/>
              <w:cnfStyle w:val="000000100000" w:firstRow="0" w:lastRow="0" w:firstColumn="0" w:lastColumn="0" w:oddVBand="0" w:evenVBand="0" w:oddHBand="1" w:evenHBand="0" w:firstRowFirstColumn="0" w:firstRowLastColumn="0" w:lastRowFirstColumn="0" w:lastRowLastColumn="0"/>
            </w:pPr>
            <w:r>
              <w:t>Victorian Government De</w:t>
            </w:r>
            <w:r w:rsidR="005F2C6C">
              <w:t xml:space="preserve">partment of </w:t>
            </w:r>
            <w:r w:rsidR="00A959B9">
              <w:t>Economic Development, Jobs, Transport and Resources</w:t>
            </w:r>
          </w:p>
          <w:p w:rsidR="00864148" w:rsidRDefault="00864148" w:rsidP="00864148">
            <w:pPr>
              <w:pStyle w:val="BodyText1"/>
              <w:cnfStyle w:val="000000100000" w:firstRow="0" w:lastRow="0" w:firstColumn="0" w:lastColumn="0" w:oddVBand="0" w:evenVBand="0" w:oddHBand="1" w:evenHBand="0" w:firstRowFirstColumn="0" w:firstRowLastColumn="0" w:lastRowFirstColumn="0" w:lastRowLastColumn="0"/>
            </w:pPr>
            <w:r>
              <w:t>Victorian Government Department of Environment, Land, Water and Planning</w:t>
            </w:r>
          </w:p>
        </w:tc>
      </w:tr>
      <w:tr w:rsidR="00864148" w:rsidTr="00864148">
        <w:tc>
          <w:tcPr>
            <w:cnfStyle w:val="001000000000" w:firstRow="0" w:lastRow="0" w:firstColumn="1" w:lastColumn="0" w:oddVBand="0" w:evenVBand="0" w:oddHBand="0" w:evenHBand="0" w:firstRowFirstColumn="0" w:firstRowLastColumn="0" w:lastRowFirstColumn="0" w:lastRowLastColumn="0"/>
            <w:tcW w:w="2263" w:type="dxa"/>
          </w:tcPr>
          <w:p w:rsidR="00864148" w:rsidRDefault="002F2AB6" w:rsidP="00864148">
            <w:pPr>
              <w:pStyle w:val="BodyText1"/>
              <w:rPr>
                <w:b w:val="0"/>
              </w:rPr>
            </w:pPr>
            <w:r>
              <w:rPr>
                <w:b w:val="0"/>
              </w:rPr>
              <w:t>20 January 2017</w:t>
            </w:r>
          </w:p>
        </w:tc>
        <w:tc>
          <w:tcPr>
            <w:tcW w:w="2835" w:type="dxa"/>
          </w:tcPr>
          <w:p w:rsidR="00864148" w:rsidRDefault="002F2AB6" w:rsidP="00864148">
            <w:pPr>
              <w:pStyle w:val="BodyText1"/>
              <w:cnfStyle w:val="000000000000" w:firstRow="0" w:lastRow="0" w:firstColumn="0" w:lastColumn="0" w:oddVBand="0" w:evenVBand="0" w:oddHBand="0" w:evenHBand="0" w:firstRowFirstColumn="0" w:firstRowLastColumn="0" w:lastRowFirstColumn="0" w:lastRowLastColumn="0"/>
            </w:pPr>
            <w:r>
              <w:t>Melbourne</w:t>
            </w:r>
          </w:p>
        </w:tc>
        <w:tc>
          <w:tcPr>
            <w:tcW w:w="8894" w:type="dxa"/>
          </w:tcPr>
          <w:p w:rsidR="00864148" w:rsidRDefault="002F2AB6" w:rsidP="00864148">
            <w:pPr>
              <w:pStyle w:val="BodyText1"/>
              <w:cnfStyle w:val="000000000000" w:firstRow="0" w:lastRow="0" w:firstColumn="0" w:lastColumn="0" w:oddVBand="0" w:evenVBand="0" w:oddHBand="0" w:evenHBand="0" w:firstRowFirstColumn="0" w:firstRowLastColumn="0" w:lastRowFirstColumn="0" w:lastRowLastColumn="0"/>
            </w:pPr>
            <w:r>
              <w:t>Australian Prawn Farmers’ Association</w:t>
            </w:r>
          </w:p>
          <w:p w:rsidR="002F2AB6" w:rsidRDefault="002F2AB6" w:rsidP="00864148">
            <w:pPr>
              <w:pStyle w:val="BodyText1"/>
              <w:cnfStyle w:val="000000000000" w:firstRow="0" w:lastRow="0" w:firstColumn="0" w:lastColumn="0" w:oddVBand="0" w:evenVBand="0" w:oddHBand="0" w:evenHBand="0" w:firstRowFirstColumn="0" w:firstRowLastColumn="0" w:lastRowFirstColumn="0" w:lastRowLastColumn="0"/>
            </w:pPr>
            <w:r>
              <w:t>Peal Producers Australia</w:t>
            </w:r>
          </w:p>
        </w:tc>
      </w:tr>
      <w:tr w:rsidR="002F2AB6"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2F2AB6" w:rsidRDefault="00985F84" w:rsidP="00985F84">
            <w:pPr>
              <w:pStyle w:val="BodyText1"/>
              <w:rPr>
                <w:b w:val="0"/>
              </w:rPr>
            </w:pPr>
            <w:r>
              <w:rPr>
                <w:b w:val="0"/>
              </w:rPr>
              <w:t>24 January 2017</w:t>
            </w:r>
          </w:p>
        </w:tc>
        <w:tc>
          <w:tcPr>
            <w:tcW w:w="2835" w:type="dxa"/>
          </w:tcPr>
          <w:p w:rsidR="002F2AB6"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Sydney</w:t>
            </w:r>
          </w:p>
        </w:tc>
        <w:tc>
          <w:tcPr>
            <w:tcW w:w="8894" w:type="dxa"/>
          </w:tcPr>
          <w:p w:rsidR="002F2AB6"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Department of Primary Industries</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Office of Environment and Heritage</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Environment Protection Authority</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Local Land Services</w:t>
            </w:r>
          </w:p>
          <w:p w:rsidR="00985F84" w:rsidRDefault="00985F84" w:rsidP="00985F84">
            <w:pPr>
              <w:pStyle w:val="BodyText1"/>
              <w:cnfStyle w:val="000000100000" w:firstRow="0" w:lastRow="0" w:firstColumn="0" w:lastColumn="0" w:oddVBand="0" w:evenVBand="0" w:oddHBand="1" w:evenHBand="0" w:firstRowFirstColumn="0" w:firstRowLastColumn="0" w:lastRowFirstColumn="0" w:lastRowLastColumn="0"/>
            </w:pPr>
            <w:r>
              <w:t>New South Wales Government National Parks and Wildlife Service</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Department of Premier and Cabinet</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Department of Health</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Transport for New South Wales</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New South Wales Government Office of Emergency Management</w:t>
            </w:r>
          </w:p>
          <w:p w:rsidR="00985F84" w:rsidRDefault="00985F84" w:rsidP="00985F84">
            <w:pPr>
              <w:pStyle w:val="BodyText1"/>
              <w:cnfStyle w:val="000000100000" w:firstRow="0" w:lastRow="0" w:firstColumn="0" w:lastColumn="0" w:oddVBand="0" w:evenVBand="0" w:oddHBand="1" w:evenHBand="0" w:firstRowFirstColumn="0" w:firstRowLastColumn="0" w:lastRowFirstColumn="0" w:lastRowLastColumn="0"/>
            </w:pPr>
            <w:r>
              <w:t>New South Wales Health</w:t>
            </w:r>
          </w:p>
          <w:p w:rsidR="00985F84" w:rsidRDefault="00985F84" w:rsidP="00985F84">
            <w:pPr>
              <w:pStyle w:val="BodyText1"/>
              <w:cnfStyle w:val="000000100000" w:firstRow="0" w:lastRow="0" w:firstColumn="0" w:lastColumn="0" w:oddVBand="0" w:evenVBand="0" w:oddHBand="1" w:evenHBand="0" w:firstRowFirstColumn="0" w:firstRowLastColumn="0" w:lastRowFirstColumn="0" w:lastRowLastColumn="0"/>
            </w:pPr>
            <w:r>
              <w:t>New South Wales Government Rural Fire Service</w:t>
            </w:r>
          </w:p>
          <w:p w:rsidR="00985F84" w:rsidRDefault="00B42329" w:rsidP="00985F84">
            <w:pPr>
              <w:pStyle w:val="BodyText1"/>
              <w:cnfStyle w:val="000000100000" w:firstRow="0" w:lastRow="0" w:firstColumn="0" w:lastColumn="0" w:oddVBand="0" w:evenVBand="0" w:oddHBand="1" w:evenHBand="0" w:firstRowFirstColumn="0" w:firstRowLastColumn="0" w:lastRowFirstColumn="0" w:lastRowLastColumn="0"/>
            </w:pPr>
            <w:r>
              <w:t>New South Wales</w:t>
            </w:r>
            <w:r w:rsidR="00985F84">
              <w:t xml:space="preserve"> Public Works</w:t>
            </w:r>
          </w:p>
          <w:p w:rsidR="00985F84" w:rsidRDefault="00985F84" w:rsidP="00985F84">
            <w:pPr>
              <w:pStyle w:val="BodyText1"/>
              <w:cnfStyle w:val="000000100000" w:firstRow="0" w:lastRow="0" w:firstColumn="0" w:lastColumn="0" w:oddVBand="0" w:evenVBand="0" w:oddHBand="1" w:evenHBand="0" w:firstRowFirstColumn="0" w:firstRowLastColumn="0" w:lastRowFirstColumn="0" w:lastRowLastColumn="0"/>
            </w:pPr>
            <w:r>
              <w:t>New South Wales Police</w:t>
            </w:r>
          </w:p>
          <w:p w:rsidR="00985F84" w:rsidRDefault="00985F84" w:rsidP="00985F84">
            <w:pPr>
              <w:pStyle w:val="BodyText1"/>
              <w:cnfStyle w:val="000000100000" w:firstRow="0" w:lastRow="0" w:firstColumn="0" w:lastColumn="0" w:oddVBand="0" w:evenVBand="0" w:oddHBand="1" w:evenHBand="0" w:firstRowFirstColumn="0" w:firstRowLastColumn="0" w:lastRowFirstColumn="0" w:lastRowLastColumn="0"/>
            </w:pPr>
            <w:r>
              <w:t>New South Wales State Emergency Services</w:t>
            </w:r>
          </w:p>
          <w:p w:rsidR="00985F84" w:rsidRDefault="00985F84" w:rsidP="00864148">
            <w:pPr>
              <w:pStyle w:val="BodyText1"/>
              <w:cnfStyle w:val="000000100000" w:firstRow="0" w:lastRow="0" w:firstColumn="0" w:lastColumn="0" w:oddVBand="0" w:evenVBand="0" w:oddHBand="1" w:evenHBand="0" w:firstRowFirstColumn="0" w:firstRowLastColumn="0" w:lastRowFirstColumn="0" w:lastRowLastColumn="0"/>
            </w:pPr>
            <w:r>
              <w:t>Local Government New South Wales</w:t>
            </w:r>
          </w:p>
        </w:tc>
      </w:tr>
      <w:tr w:rsidR="00B42329" w:rsidTr="00864148">
        <w:tc>
          <w:tcPr>
            <w:cnfStyle w:val="001000000000" w:firstRow="0" w:lastRow="0" w:firstColumn="1" w:lastColumn="0" w:oddVBand="0" w:evenVBand="0" w:oddHBand="0" w:evenHBand="0" w:firstRowFirstColumn="0" w:firstRowLastColumn="0" w:lastRowFirstColumn="0" w:lastRowLastColumn="0"/>
            <w:tcW w:w="2263" w:type="dxa"/>
          </w:tcPr>
          <w:p w:rsidR="00B42329" w:rsidRDefault="00B42329" w:rsidP="00B42329">
            <w:pPr>
              <w:pStyle w:val="BodyText1"/>
              <w:rPr>
                <w:b w:val="0"/>
              </w:rPr>
            </w:pPr>
            <w:r>
              <w:rPr>
                <w:b w:val="0"/>
              </w:rPr>
              <w:t>24 January 2017</w:t>
            </w:r>
          </w:p>
        </w:tc>
        <w:tc>
          <w:tcPr>
            <w:tcW w:w="2835" w:type="dxa"/>
          </w:tcPr>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Sydney</w:t>
            </w:r>
          </w:p>
        </w:tc>
        <w:tc>
          <w:tcPr>
            <w:tcW w:w="8894" w:type="dxa"/>
          </w:tcPr>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Wildlife Health Australia</w:t>
            </w:r>
          </w:p>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Ports Australia</w:t>
            </w:r>
          </w:p>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OceanWatch Australia</w:t>
            </w:r>
          </w:p>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Environmental Defenders Office New South Wales</w:t>
            </w:r>
          </w:p>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New South Wales Natural Resources Commission</w:t>
            </w:r>
          </w:p>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University of New England</w:t>
            </w:r>
          </w:p>
          <w:p w:rsidR="00B42329" w:rsidRDefault="00B42329" w:rsidP="00B42329">
            <w:pPr>
              <w:pStyle w:val="BodyText1"/>
              <w:cnfStyle w:val="000000000000" w:firstRow="0" w:lastRow="0" w:firstColumn="0" w:lastColumn="0" w:oddVBand="0" w:evenVBand="0" w:oddHBand="0" w:evenHBand="0" w:firstRowFirstColumn="0" w:firstRowLastColumn="0" w:lastRowFirstColumn="0" w:lastRowLastColumn="0"/>
            </w:pPr>
            <w:r>
              <w:t>Invasive Species Council</w:t>
            </w:r>
          </w:p>
        </w:tc>
      </w:tr>
      <w:tr w:rsidR="00B42329"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B42329" w:rsidRDefault="005F2C6C" w:rsidP="00B42329">
            <w:pPr>
              <w:pStyle w:val="BodyText1"/>
              <w:rPr>
                <w:b w:val="0"/>
              </w:rPr>
            </w:pPr>
            <w:r>
              <w:rPr>
                <w:b w:val="0"/>
              </w:rPr>
              <w:t>27 January 2017</w:t>
            </w:r>
          </w:p>
        </w:tc>
        <w:tc>
          <w:tcPr>
            <w:tcW w:w="2835" w:type="dxa"/>
          </w:tcPr>
          <w:p w:rsidR="00B42329" w:rsidRDefault="005F2C6C" w:rsidP="00B42329">
            <w:pPr>
              <w:pStyle w:val="BodyText1"/>
              <w:cnfStyle w:val="000000100000" w:firstRow="0" w:lastRow="0" w:firstColumn="0" w:lastColumn="0" w:oddVBand="0" w:evenVBand="0" w:oddHBand="1" w:evenHBand="0" w:firstRowFirstColumn="0" w:firstRowLastColumn="0" w:lastRowFirstColumn="0" w:lastRowLastColumn="0"/>
            </w:pPr>
            <w:r>
              <w:t>Teleconference</w:t>
            </w:r>
          </w:p>
        </w:tc>
        <w:tc>
          <w:tcPr>
            <w:tcW w:w="8894" w:type="dxa"/>
          </w:tcPr>
          <w:p w:rsidR="00B42329" w:rsidRDefault="005F2C6C" w:rsidP="00B42329">
            <w:pPr>
              <w:pStyle w:val="BodyText1"/>
              <w:cnfStyle w:val="000000100000" w:firstRow="0" w:lastRow="0" w:firstColumn="0" w:lastColumn="0" w:oddVBand="0" w:evenVBand="0" w:oddHBand="1" w:evenHBand="0" w:firstRowFirstColumn="0" w:firstRowLastColumn="0" w:lastRowFirstColumn="0" w:lastRowLastColumn="0"/>
            </w:pPr>
            <w:r>
              <w:t>Victorian Government Department of Environment, Land, Water and Planning</w:t>
            </w:r>
          </w:p>
        </w:tc>
      </w:tr>
      <w:tr w:rsidR="007E63AB" w:rsidTr="00864148">
        <w:tc>
          <w:tcPr>
            <w:cnfStyle w:val="001000000000" w:firstRow="0" w:lastRow="0" w:firstColumn="1" w:lastColumn="0" w:oddVBand="0" w:evenVBand="0" w:oddHBand="0" w:evenHBand="0" w:firstRowFirstColumn="0" w:firstRowLastColumn="0" w:lastRowFirstColumn="0" w:lastRowLastColumn="0"/>
            <w:tcW w:w="2263" w:type="dxa"/>
          </w:tcPr>
          <w:p w:rsidR="007E63AB" w:rsidRDefault="007E63AB" w:rsidP="00B42329">
            <w:pPr>
              <w:pStyle w:val="BodyText1"/>
              <w:rPr>
                <w:b w:val="0"/>
              </w:rPr>
            </w:pPr>
            <w:r>
              <w:rPr>
                <w:b w:val="0"/>
              </w:rPr>
              <w:t>30 January 2017</w:t>
            </w:r>
          </w:p>
        </w:tc>
        <w:tc>
          <w:tcPr>
            <w:tcW w:w="2835" w:type="dxa"/>
          </w:tcPr>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Perth</w:t>
            </w:r>
          </w:p>
        </w:tc>
        <w:tc>
          <w:tcPr>
            <w:tcW w:w="8894" w:type="dxa"/>
          </w:tcPr>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Western Australia Government Department of Agriculture and Food</w:t>
            </w:r>
          </w:p>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Western Australia Government Department of Parks and Wildlife</w:t>
            </w:r>
          </w:p>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Western Australia Government Department of Fisheries</w:t>
            </w:r>
          </w:p>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Western Australia Government Department of Water</w:t>
            </w:r>
          </w:p>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Western Australia Government Forrest Products Commission</w:t>
            </w:r>
          </w:p>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Pilbara Ports Authority</w:t>
            </w:r>
          </w:p>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Biosecurity Council of Western Australia</w:t>
            </w:r>
          </w:p>
        </w:tc>
      </w:tr>
      <w:tr w:rsidR="007E63AB"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E63AB" w:rsidRDefault="007E63AB" w:rsidP="00B42329">
            <w:pPr>
              <w:pStyle w:val="BodyText1"/>
              <w:rPr>
                <w:b w:val="0"/>
              </w:rPr>
            </w:pPr>
            <w:r>
              <w:rPr>
                <w:b w:val="0"/>
              </w:rPr>
              <w:t>30 January 2017</w:t>
            </w:r>
          </w:p>
        </w:tc>
        <w:tc>
          <w:tcPr>
            <w:tcW w:w="2835" w:type="dxa"/>
          </w:tcPr>
          <w:p w:rsidR="007E63AB" w:rsidRDefault="007E63AB" w:rsidP="00B42329">
            <w:pPr>
              <w:pStyle w:val="BodyText1"/>
              <w:cnfStyle w:val="000000100000" w:firstRow="0" w:lastRow="0" w:firstColumn="0" w:lastColumn="0" w:oddVBand="0" w:evenVBand="0" w:oddHBand="1" w:evenHBand="0" w:firstRowFirstColumn="0" w:firstRowLastColumn="0" w:lastRowFirstColumn="0" w:lastRowLastColumn="0"/>
            </w:pPr>
            <w:r>
              <w:t>Perth</w:t>
            </w:r>
          </w:p>
        </w:tc>
        <w:tc>
          <w:tcPr>
            <w:tcW w:w="8894" w:type="dxa"/>
          </w:tcPr>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Wheatbelt NRM</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Western Australian Farmers Federation</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RSPCA Western Australia</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Forrest Industries Federation WA</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Warren Catchments Council</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Pastoralists and Graziers Association of WA</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Rangelands NRM</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WA Local Government Association</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Biosecurity Council of WA</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Aquaculture Council of WA</w:t>
            </w:r>
          </w:p>
          <w:p w:rsidR="007E63AB" w:rsidRDefault="007E63AB" w:rsidP="007E63AB">
            <w:pPr>
              <w:pStyle w:val="BodyText1"/>
              <w:cnfStyle w:val="000000100000" w:firstRow="0" w:lastRow="0" w:firstColumn="0" w:lastColumn="0" w:oddVBand="0" w:evenVBand="0" w:oddHBand="1" w:evenHBand="0" w:firstRowFirstColumn="0" w:firstRowLastColumn="0" w:lastRowFirstColumn="0" w:lastRowLastColumn="0"/>
            </w:pPr>
            <w:r>
              <w:t>Peel Harvey Catchment Management Authority</w:t>
            </w:r>
          </w:p>
        </w:tc>
      </w:tr>
      <w:tr w:rsidR="005F2C6C" w:rsidTr="00864148">
        <w:tc>
          <w:tcPr>
            <w:cnfStyle w:val="001000000000" w:firstRow="0" w:lastRow="0" w:firstColumn="1" w:lastColumn="0" w:oddVBand="0" w:evenVBand="0" w:oddHBand="0" w:evenHBand="0" w:firstRowFirstColumn="0" w:firstRowLastColumn="0" w:lastRowFirstColumn="0" w:lastRowLastColumn="0"/>
            <w:tcW w:w="2263" w:type="dxa"/>
          </w:tcPr>
          <w:p w:rsidR="005F2C6C" w:rsidRDefault="005F2C6C" w:rsidP="00B42329">
            <w:pPr>
              <w:pStyle w:val="BodyText1"/>
              <w:rPr>
                <w:b w:val="0"/>
              </w:rPr>
            </w:pPr>
            <w:r>
              <w:rPr>
                <w:b w:val="0"/>
              </w:rPr>
              <w:t>31 January 2017</w:t>
            </w:r>
          </w:p>
        </w:tc>
        <w:tc>
          <w:tcPr>
            <w:tcW w:w="2835" w:type="dxa"/>
          </w:tcPr>
          <w:p w:rsidR="005F2C6C" w:rsidRDefault="005F2C6C" w:rsidP="00B42329">
            <w:pPr>
              <w:pStyle w:val="BodyText1"/>
              <w:cnfStyle w:val="000000000000" w:firstRow="0" w:lastRow="0" w:firstColumn="0" w:lastColumn="0" w:oddVBand="0" w:evenVBand="0" w:oddHBand="0" w:evenHBand="0" w:firstRowFirstColumn="0" w:firstRowLastColumn="0" w:lastRowFirstColumn="0" w:lastRowLastColumn="0"/>
            </w:pPr>
            <w:r>
              <w:t>Adelaide</w:t>
            </w:r>
          </w:p>
        </w:tc>
        <w:tc>
          <w:tcPr>
            <w:tcW w:w="8894" w:type="dxa"/>
          </w:tcPr>
          <w:p w:rsidR="005F2C6C" w:rsidRDefault="005F2C6C" w:rsidP="00B42329">
            <w:pPr>
              <w:pStyle w:val="BodyText1"/>
              <w:cnfStyle w:val="000000000000" w:firstRow="0" w:lastRow="0" w:firstColumn="0" w:lastColumn="0" w:oddVBand="0" w:evenVBand="0" w:oddHBand="0" w:evenHBand="0" w:firstRowFirstColumn="0" w:firstRowLastColumn="0" w:lastRowFirstColumn="0" w:lastRowLastColumn="0"/>
            </w:pPr>
            <w:r>
              <w:t>South Australian Government Department of Primary Industries and Regions</w:t>
            </w:r>
          </w:p>
          <w:p w:rsidR="005F2C6C" w:rsidRDefault="005F2C6C" w:rsidP="00B42329">
            <w:pPr>
              <w:pStyle w:val="BodyText1"/>
              <w:cnfStyle w:val="000000000000" w:firstRow="0" w:lastRow="0" w:firstColumn="0" w:lastColumn="0" w:oddVBand="0" w:evenVBand="0" w:oddHBand="0" w:evenHBand="0" w:firstRowFirstColumn="0" w:firstRowLastColumn="0" w:lastRowFirstColumn="0" w:lastRowLastColumn="0"/>
            </w:pPr>
            <w:r>
              <w:t>South Australian Government Research and Development Institute</w:t>
            </w:r>
          </w:p>
          <w:p w:rsidR="005F2C6C" w:rsidRDefault="005F2C6C" w:rsidP="00B42329">
            <w:pPr>
              <w:pStyle w:val="BodyText1"/>
              <w:cnfStyle w:val="000000000000" w:firstRow="0" w:lastRow="0" w:firstColumn="0" w:lastColumn="0" w:oddVBand="0" w:evenVBand="0" w:oddHBand="0" w:evenHBand="0" w:firstRowFirstColumn="0" w:firstRowLastColumn="0" w:lastRowFirstColumn="0" w:lastRowLastColumn="0"/>
            </w:pPr>
            <w:r>
              <w:t>South Australian Government Department of Environment, Water and Natural Resources</w:t>
            </w:r>
          </w:p>
          <w:p w:rsidR="005F2C6C" w:rsidRDefault="005F2C6C" w:rsidP="00B42329">
            <w:pPr>
              <w:pStyle w:val="BodyText1"/>
              <w:cnfStyle w:val="000000000000" w:firstRow="0" w:lastRow="0" w:firstColumn="0" w:lastColumn="0" w:oddVBand="0" w:evenVBand="0" w:oddHBand="0" w:evenHBand="0" w:firstRowFirstColumn="0" w:firstRowLastColumn="0" w:lastRowFirstColumn="0" w:lastRowLastColumn="0"/>
            </w:pPr>
            <w:r>
              <w:t>South Australia Health</w:t>
            </w:r>
          </w:p>
        </w:tc>
      </w:tr>
      <w:tr w:rsidR="005F2C6C"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F2C6C" w:rsidRDefault="007E63AB" w:rsidP="00B42329">
            <w:pPr>
              <w:pStyle w:val="BodyText1"/>
              <w:rPr>
                <w:b w:val="0"/>
              </w:rPr>
            </w:pPr>
            <w:r>
              <w:rPr>
                <w:b w:val="0"/>
              </w:rPr>
              <w:t>1 February 2017</w:t>
            </w:r>
          </w:p>
        </w:tc>
        <w:tc>
          <w:tcPr>
            <w:tcW w:w="2835" w:type="dxa"/>
          </w:tcPr>
          <w:p w:rsidR="005F2C6C" w:rsidRDefault="007E63AB" w:rsidP="00B42329">
            <w:pPr>
              <w:pStyle w:val="BodyText1"/>
              <w:cnfStyle w:val="000000100000" w:firstRow="0" w:lastRow="0" w:firstColumn="0" w:lastColumn="0" w:oddVBand="0" w:evenVBand="0" w:oddHBand="1" w:evenHBand="0" w:firstRowFirstColumn="0" w:firstRowLastColumn="0" w:lastRowFirstColumn="0" w:lastRowLastColumn="0"/>
            </w:pPr>
            <w:r>
              <w:t>Adelaide</w:t>
            </w:r>
          </w:p>
        </w:tc>
        <w:tc>
          <w:tcPr>
            <w:tcW w:w="8894" w:type="dxa"/>
          </w:tcPr>
          <w:p w:rsidR="005F2C6C" w:rsidRDefault="007E63AB" w:rsidP="00B42329">
            <w:pPr>
              <w:pStyle w:val="BodyText1"/>
              <w:cnfStyle w:val="000000100000" w:firstRow="0" w:lastRow="0" w:firstColumn="0" w:lastColumn="0" w:oddVBand="0" w:evenVBand="0" w:oddHBand="1" w:evenHBand="0" w:firstRowFirstColumn="0" w:firstRowLastColumn="0" w:lastRowFirstColumn="0" w:lastRowLastColumn="0"/>
            </w:pPr>
            <w:r>
              <w:t>Zoos SA</w:t>
            </w:r>
          </w:p>
          <w:p w:rsidR="007E63AB" w:rsidRDefault="007E63AB" w:rsidP="00B42329">
            <w:pPr>
              <w:pStyle w:val="BodyText1"/>
              <w:cnfStyle w:val="000000100000" w:firstRow="0" w:lastRow="0" w:firstColumn="0" w:lastColumn="0" w:oddVBand="0" w:evenVBand="0" w:oddHBand="1" w:evenHBand="0" w:firstRowFirstColumn="0" w:firstRowLastColumn="0" w:lastRowFirstColumn="0" w:lastRowLastColumn="0"/>
            </w:pPr>
            <w:r>
              <w:t>Landcare Association of South Australia</w:t>
            </w:r>
          </w:p>
          <w:p w:rsidR="007E63AB" w:rsidRDefault="007E63AB" w:rsidP="00B42329">
            <w:pPr>
              <w:pStyle w:val="BodyText1"/>
              <w:cnfStyle w:val="000000100000" w:firstRow="0" w:lastRow="0" w:firstColumn="0" w:lastColumn="0" w:oddVBand="0" w:evenVBand="0" w:oddHBand="1" w:evenHBand="0" w:firstRowFirstColumn="0" w:firstRowLastColumn="0" w:lastRowFirstColumn="0" w:lastRowLastColumn="0"/>
            </w:pPr>
            <w:r>
              <w:t>Nature Conservation Society of South Australia</w:t>
            </w:r>
          </w:p>
        </w:tc>
      </w:tr>
      <w:tr w:rsidR="007E63AB" w:rsidTr="00864148">
        <w:tc>
          <w:tcPr>
            <w:cnfStyle w:val="001000000000" w:firstRow="0" w:lastRow="0" w:firstColumn="1" w:lastColumn="0" w:oddVBand="0" w:evenVBand="0" w:oddHBand="0" w:evenHBand="0" w:firstRowFirstColumn="0" w:firstRowLastColumn="0" w:lastRowFirstColumn="0" w:lastRowLastColumn="0"/>
            <w:tcW w:w="2263" w:type="dxa"/>
          </w:tcPr>
          <w:p w:rsidR="007E63AB" w:rsidRDefault="007E63AB" w:rsidP="00B42329">
            <w:pPr>
              <w:pStyle w:val="BodyText1"/>
              <w:rPr>
                <w:b w:val="0"/>
              </w:rPr>
            </w:pPr>
            <w:r>
              <w:rPr>
                <w:b w:val="0"/>
              </w:rPr>
              <w:t>3 February 2017</w:t>
            </w:r>
          </w:p>
        </w:tc>
        <w:tc>
          <w:tcPr>
            <w:tcW w:w="2835" w:type="dxa"/>
          </w:tcPr>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Teleconference</w:t>
            </w:r>
          </w:p>
        </w:tc>
        <w:tc>
          <w:tcPr>
            <w:tcW w:w="8894" w:type="dxa"/>
          </w:tcPr>
          <w:p w:rsidR="007E63AB" w:rsidRDefault="007E63AB" w:rsidP="00B42329">
            <w:pPr>
              <w:pStyle w:val="BodyText1"/>
              <w:cnfStyle w:val="000000000000" w:firstRow="0" w:lastRow="0" w:firstColumn="0" w:lastColumn="0" w:oddVBand="0" w:evenVBand="0" w:oddHBand="0" w:evenHBand="0" w:firstRowFirstColumn="0" w:firstRowLastColumn="0" w:lastRowFirstColumn="0" w:lastRowLastColumn="0"/>
            </w:pPr>
            <w:r>
              <w:t>Parks Victoria</w:t>
            </w:r>
          </w:p>
        </w:tc>
      </w:tr>
      <w:tr w:rsidR="007E63AB"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7E63AB" w:rsidRDefault="008A7ABB" w:rsidP="00B42329">
            <w:pPr>
              <w:pStyle w:val="BodyText1"/>
              <w:rPr>
                <w:b w:val="0"/>
              </w:rPr>
            </w:pPr>
            <w:r>
              <w:rPr>
                <w:b w:val="0"/>
              </w:rPr>
              <w:t>6 February 2017</w:t>
            </w:r>
          </w:p>
        </w:tc>
        <w:tc>
          <w:tcPr>
            <w:tcW w:w="2835" w:type="dxa"/>
          </w:tcPr>
          <w:p w:rsidR="007E63AB" w:rsidRDefault="008A7ABB" w:rsidP="00B42329">
            <w:pPr>
              <w:pStyle w:val="BodyText1"/>
              <w:cnfStyle w:val="000000100000" w:firstRow="0" w:lastRow="0" w:firstColumn="0" w:lastColumn="0" w:oddVBand="0" w:evenVBand="0" w:oddHBand="1" w:evenHBand="0" w:firstRowFirstColumn="0" w:firstRowLastColumn="0" w:lastRowFirstColumn="0" w:lastRowLastColumn="0"/>
            </w:pPr>
            <w:r>
              <w:t>Darwin</w:t>
            </w:r>
          </w:p>
        </w:tc>
        <w:tc>
          <w:tcPr>
            <w:tcW w:w="8894" w:type="dxa"/>
          </w:tcPr>
          <w:p w:rsidR="007E63AB" w:rsidRDefault="008A7ABB" w:rsidP="00B42329">
            <w:pPr>
              <w:pStyle w:val="BodyText1"/>
              <w:cnfStyle w:val="000000100000" w:firstRow="0" w:lastRow="0" w:firstColumn="0" w:lastColumn="0" w:oddVBand="0" w:evenVBand="0" w:oddHBand="1" w:evenHBand="0" w:firstRowFirstColumn="0" w:firstRowLastColumn="0" w:lastRowFirstColumn="0" w:lastRowLastColumn="0"/>
            </w:pPr>
            <w:r>
              <w:t>Northern Territory Government Department of Environment and Natural Resources</w:t>
            </w:r>
          </w:p>
          <w:p w:rsidR="008A7ABB" w:rsidRDefault="008A7ABB" w:rsidP="00B42329">
            <w:pPr>
              <w:pStyle w:val="BodyText1"/>
              <w:cnfStyle w:val="000000100000" w:firstRow="0" w:lastRow="0" w:firstColumn="0" w:lastColumn="0" w:oddVBand="0" w:evenVBand="0" w:oddHBand="1" w:evenHBand="0" w:firstRowFirstColumn="0" w:firstRowLastColumn="0" w:lastRowFirstColumn="0" w:lastRowLastColumn="0"/>
            </w:pPr>
            <w:r>
              <w:t xml:space="preserve">Northern Territory Government Department of Primary Industries and Resources </w:t>
            </w:r>
          </w:p>
        </w:tc>
      </w:tr>
      <w:tr w:rsidR="008A7ABB" w:rsidTr="00864148">
        <w:tc>
          <w:tcPr>
            <w:cnfStyle w:val="001000000000" w:firstRow="0" w:lastRow="0" w:firstColumn="1" w:lastColumn="0" w:oddVBand="0" w:evenVBand="0" w:oddHBand="0" w:evenHBand="0" w:firstRowFirstColumn="0" w:firstRowLastColumn="0" w:lastRowFirstColumn="0" w:lastRowLastColumn="0"/>
            <w:tcW w:w="2263" w:type="dxa"/>
          </w:tcPr>
          <w:p w:rsidR="008A7ABB" w:rsidRDefault="008A7ABB" w:rsidP="00B42329">
            <w:pPr>
              <w:pStyle w:val="BodyText1"/>
              <w:rPr>
                <w:b w:val="0"/>
              </w:rPr>
            </w:pPr>
            <w:r>
              <w:rPr>
                <w:b w:val="0"/>
              </w:rPr>
              <w:t>7 February 2017</w:t>
            </w:r>
          </w:p>
        </w:tc>
        <w:tc>
          <w:tcPr>
            <w:tcW w:w="2835" w:type="dxa"/>
          </w:tcPr>
          <w:p w:rsidR="008A7ABB" w:rsidRDefault="008A7ABB" w:rsidP="00B42329">
            <w:pPr>
              <w:pStyle w:val="BodyText1"/>
              <w:cnfStyle w:val="000000000000" w:firstRow="0" w:lastRow="0" w:firstColumn="0" w:lastColumn="0" w:oddVBand="0" w:evenVBand="0" w:oddHBand="0" w:evenHBand="0" w:firstRowFirstColumn="0" w:firstRowLastColumn="0" w:lastRowFirstColumn="0" w:lastRowLastColumn="0"/>
            </w:pPr>
            <w:r>
              <w:t>Darwin</w:t>
            </w:r>
          </w:p>
        </w:tc>
        <w:tc>
          <w:tcPr>
            <w:tcW w:w="8894" w:type="dxa"/>
          </w:tcPr>
          <w:p w:rsidR="008A7ABB" w:rsidRDefault="008A7ABB" w:rsidP="00B42329">
            <w:pPr>
              <w:pStyle w:val="BodyText1"/>
              <w:cnfStyle w:val="000000000000" w:firstRow="0" w:lastRow="0" w:firstColumn="0" w:lastColumn="0" w:oddVBand="0" w:evenVBand="0" w:oddHBand="0" w:evenHBand="0" w:firstRowFirstColumn="0" w:firstRowLastColumn="0" w:lastRowFirstColumn="0" w:lastRowLastColumn="0"/>
            </w:pPr>
            <w:r>
              <w:t>Northern Territory Government Department of Environment and Natural Resources</w:t>
            </w:r>
          </w:p>
          <w:p w:rsidR="008A7ABB" w:rsidRDefault="008A7ABB" w:rsidP="00B42329">
            <w:pPr>
              <w:pStyle w:val="BodyText1"/>
              <w:cnfStyle w:val="000000000000" w:firstRow="0" w:lastRow="0" w:firstColumn="0" w:lastColumn="0" w:oddVBand="0" w:evenVBand="0" w:oddHBand="0" w:evenHBand="0" w:firstRowFirstColumn="0" w:firstRowLastColumn="0" w:lastRowFirstColumn="0" w:lastRowLastColumn="0"/>
            </w:pPr>
            <w:r>
              <w:t>Northern Land Council</w:t>
            </w:r>
          </w:p>
          <w:p w:rsidR="008A7ABB" w:rsidRDefault="008A7ABB" w:rsidP="00B42329">
            <w:pPr>
              <w:pStyle w:val="BodyText1"/>
              <w:cnfStyle w:val="000000000000" w:firstRow="0" w:lastRow="0" w:firstColumn="0" w:lastColumn="0" w:oddVBand="0" w:evenVBand="0" w:oddHBand="0" w:evenHBand="0" w:firstRowFirstColumn="0" w:firstRowLastColumn="0" w:lastRowFirstColumn="0" w:lastRowLastColumn="0"/>
            </w:pPr>
            <w:r>
              <w:t>Northern Territory Cattleman’s Association</w:t>
            </w:r>
          </w:p>
          <w:p w:rsidR="008A7ABB" w:rsidRDefault="008A7ABB" w:rsidP="00B42329">
            <w:pPr>
              <w:pStyle w:val="BodyText1"/>
              <w:cnfStyle w:val="000000000000" w:firstRow="0" w:lastRow="0" w:firstColumn="0" w:lastColumn="0" w:oddVBand="0" w:evenVBand="0" w:oddHBand="0" w:evenHBand="0" w:firstRowFirstColumn="0" w:firstRowLastColumn="0" w:lastRowFirstColumn="0" w:lastRowLastColumn="0"/>
            </w:pPr>
            <w:r>
              <w:t>Northern Territory Seafood Council</w:t>
            </w:r>
          </w:p>
          <w:p w:rsidR="008A7ABB" w:rsidRDefault="008A7ABB" w:rsidP="00B42329">
            <w:pPr>
              <w:pStyle w:val="BodyText1"/>
              <w:cnfStyle w:val="000000000000" w:firstRow="0" w:lastRow="0" w:firstColumn="0" w:lastColumn="0" w:oddVBand="0" w:evenVBand="0" w:oddHBand="0" w:evenHBand="0" w:firstRowFirstColumn="0" w:firstRowLastColumn="0" w:lastRowFirstColumn="0" w:lastRowLastColumn="0"/>
            </w:pPr>
            <w:r>
              <w:t>Centrefarm</w:t>
            </w:r>
          </w:p>
        </w:tc>
      </w:tr>
      <w:tr w:rsidR="008A7ABB"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8A7ABB" w:rsidRDefault="003824CC" w:rsidP="00B42329">
            <w:pPr>
              <w:pStyle w:val="BodyText1"/>
              <w:rPr>
                <w:b w:val="0"/>
              </w:rPr>
            </w:pPr>
            <w:r>
              <w:rPr>
                <w:b w:val="0"/>
              </w:rPr>
              <w:t>8 February 2017</w:t>
            </w:r>
          </w:p>
        </w:tc>
        <w:tc>
          <w:tcPr>
            <w:tcW w:w="2835" w:type="dxa"/>
          </w:tcPr>
          <w:p w:rsidR="008A7ABB" w:rsidRDefault="003824CC" w:rsidP="00B42329">
            <w:pPr>
              <w:pStyle w:val="BodyText1"/>
              <w:cnfStyle w:val="000000100000" w:firstRow="0" w:lastRow="0" w:firstColumn="0" w:lastColumn="0" w:oddVBand="0" w:evenVBand="0" w:oddHBand="1" w:evenHBand="0" w:firstRowFirstColumn="0" w:firstRowLastColumn="0" w:lastRowFirstColumn="0" w:lastRowLastColumn="0"/>
            </w:pPr>
            <w:r>
              <w:t>Brisbane</w:t>
            </w:r>
          </w:p>
        </w:tc>
        <w:tc>
          <w:tcPr>
            <w:tcW w:w="8894" w:type="dxa"/>
          </w:tcPr>
          <w:p w:rsidR="008A7ABB" w:rsidRDefault="003824CC" w:rsidP="00B42329">
            <w:pPr>
              <w:pStyle w:val="BodyText1"/>
              <w:cnfStyle w:val="000000100000" w:firstRow="0" w:lastRow="0" w:firstColumn="0" w:lastColumn="0" w:oddVBand="0" w:evenVBand="0" w:oddHBand="1" w:evenHBand="0" w:firstRowFirstColumn="0" w:firstRowLastColumn="0" w:lastRowFirstColumn="0" w:lastRowLastColumn="0"/>
            </w:pPr>
            <w:r>
              <w:t>Queensland Government Biosecurity Queensland</w:t>
            </w:r>
          </w:p>
          <w:p w:rsidR="003824CC" w:rsidRDefault="003824CC" w:rsidP="00B42329">
            <w:pPr>
              <w:pStyle w:val="BodyText1"/>
              <w:cnfStyle w:val="000000100000" w:firstRow="0" w:lastRow="0" w:firstColumn="0" w:lastColumn="0" w:oddVBand="0" w:evenVBand="0" w:oddHBand="1" w:evenHBand="0" w:firstRowFirstColumn="0" w:firstRowLastColumn="0" w:lastRowFirstColumn="0" w:lastRowLastColumn="0"/>
            </w:pPr>
            <w:r>
              <w:t>Queensland Government Department of Environment and Heritage Protection</w:t>
            </w:r>
          </w:p>
          <w:p w:rsidR="003824CC" w:rsidRDefault="003824CC" w:rsidP="00B42329">
            <w:pPr>
              <w:pStyle w:val="BodyText1"/>
              <w:cnfStyle w:val="000000100000" w:firstRow="0" w:lastRow="0" w:firstColumn="0" w:lastColumn="0" w:oddVBand="0" w:evenVBand="0" w:oddHBand="1" w:evenHBand="0" w:firstRowFirstColumn="0" w:firstRowLastColumn="0" w:lastRowFirstColumn="0" w:lastRowLastColumn="0"/>
            </w:pPr>
            <w:r>
              <w:t>Queensland Government Department of Natural Resources and Mines</w:t>
            </w:r>
          </w:p>
          <w:p w:rsidR="003824CC" w:rsidRDefault="003824CC" w:rsidP="00B42329">
            <w:pPr>
              <w:pStyle w:val="BodyText1"/>
              <w:cnfStyle w:val="000000100000" w:firstRow="0" w:lastRow="0" w:firstColumn="0" w:lastColumn="0" w:oddVBand="0" w:evenVBand="0" w:oddHBand="1" w:evenHBand="0" w:firstRowFirstColumn="0" w:firstRowLastColumn="0" w:lastRowFirstColumn="0" w:lastRowLastColumn="0"/>
            </w:pPr>
            <w:r>
              <w:t>Queensland Government Department of Agriculture and Fisheries</w:t>
            </w:r>
          </w:p>
          <w:p w:rsidR="003824CC" w:rsidRPr="003824CC" w:rsidRDefault="003824CC" w:rsidP="00B42329">
            <w:pPr>
              <w:pStyle w:val="BodyText1"/>
              <w:cnfStyle w:val="000000100000" w:firstRow="0" w:lastRow="0" w:firstColumn="0" w:lastColumn="0" w:oddVBand="0" w:evenVBand="0" w:oddHBand="1" w:evenHBand="0" w:firstRowFirstColumn="0" w:firstRowLastColumn="0" w:lastRowFirstColumn="0" w:lastRowLastColumn="0"/>
            </w:pPr>
            <w:r>
              <w:t>Queensland Government Department of National Parks, Sport and Racing</w:t>
            </w:r>
          </w:p>
        </w:tc>
      </w:tr>
      <w:tr w:rsidR="008A7ABB" w:rsidTr="00864148">
        <w:tc>
          <w:tcPr>
            <w:cnfStyle w:val="001000000000" w:firstRow="0" w:lastRow="0" w:firstColumn="1" w:lastColumn="0" w:oddVBand="0" w:evenVBand="0" w:oddHBand="0" w:evenHBand="0" w:firstRowFirstColumn="0" w:firstRowLastColumn="0" w:lastRowFirstColumn="0" w:lastRowLastColumn="0"/>
            <w:tcW w:w="2263" w:type="dxa"/>
          </w:tcPr>
          <w:p w:rsidR="008A7ABB" w:rsidRDefault="003824CC" w:rsidP="00B42329">
            <w:pPr>
              <w:pStyle w:val="BodyText1"/>
              <w:rPr>
                <w:b w:val="0"/>
              </w:rPr>
            </w:pPr>
            <w:r>
              <w:rPr>
                <w:b w:val="0"/>
              </w:rPr>
              <w:t>9 February 2017</w:t>
            </w:r>
          </w:p>
        </w:tc>
        <w:tc>
          <w:tcPr>
            <w:tcW w:w="2835" w:type="dxa"/>
          </w:tcPr>
          <w:p w:rsidR="008A7ABB" w:rsidRDefault="003824CC" w:rsidP="00B42329">
            <w:pPr>
              <w:pStyle w:val="BodyText1"/>
              <w:cnfStyle w:val="000000000000" w:firstRow="0" w:lastRow="0" w:firstColumn="0" w:lastColumn="0" w:oddVBand="0" w:evenVBand="0" w:oddHBand="0" w:evenHBand="0" w:firstRowFirstColumn="0" w:firstRowLastColumn="0" w:lastRowFirstColumn="0" w:lastRowLastColumn="0"/>
            </w:pPr>
            <w:r>
              <w:t>Brisbane</w:t>
            </w:r>
          </w:p>
        </w:tc>
        <w:tc>
          <w:tcPr>
            <w:tcW w:w="8894" w:type="dxa"/>
          </w:tcPr>
          <w:p w:rsidR="008A7ABB" w:rsidRDefault="003824CC" w:rsidP="00B42329">
            <w:pPr>
              <w:pStyle w:val="BodyText1"/>
              <w:cnfStyle w:val="000000000000" w:firstRow="0" w:lastRow="0" w:firstColumn="0" w:lastColumn="0" w:oddVBand="0" w:evenVBand="0" w:oddHBand="0" w:evenHBand="0" w:firstRowFirstColumn="0" w:firstRowLastColumn="0" w:lastRowFirstColumn="0" w:lastRowLastColumn="0"/>
            </w:pPr>
            <w:r>
              <w:t>Condamine Alliance</w:t>
            </w:r>
          </w:p>
        </w:tc>
      </w:tr>
      <w:tr w:rsidR="003824CC"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3824CC" w:rsidRDefault="00FC463A" w:rsidP="00B42329">
            <w:pPr>
              <w:pStyle w:val="BodyText1"/>
              <w:rPr>
                <w:b w:val="0"/>
              </w:rPr>
            </w:pPr>
            <w:r>
              <w:rPr>
                <w:b w:val="0"/>
              </w:rPr>
              <w:t>13 February 2017</w:t>
            </w:r>
          </w:p>
        </w:tc>
        <w:tc>
          <w:tcPr>
            <w:tcW w:w="2835" w:type="dxa"/>
          </w:tcPr>
          <w:p w:rsidR="003824CC" w:rsidRDefault="00FC463A" w:rsidP="00B42329">
            <w:pPr>
              <w:pStyle w:val="BodyText1"/>
              <w:cnfStyle w:val="000000100000" w:firstRow="0" w:lastRow="0" w:firstColumn="0" w:lastColumn="0" w:oddVBand="0" w:evenVBand="0" w:oddHBand="1" w:evenHBand="0" w:firstRowFirstColumn="0" w:firstRowLastColumn="0" w:lastRowFirstColumn="0" w:lastRowLastColumn="0"/>
            </w:pPr>
            <w:r>
              <w:t>Canberra</w:t>
            </w:r>
          </w:p>
        </w:tc>
        <w:tc>
          <w:tcPr>
            <w:tcW w:w="8894" w:type="dxa"/>
          </w:tcPr>
          <w:p w:rsidR="003824CC" w:rsidRDefault="00FC463A" w:rsidP="00B42329">
            <w:pPr>
              <w:pStyle w:val="BodyText1"/>
              <w:cnfStyle w:val="000000100000" w:firstRow="0" w:lastRow="0" w:firstColumn="0" w:lastColumn="0" w:oddVBand="0" w:evenVBand="0" w:oddHBand="1" w:evenHBand="0" w:firstRowFirstColumn="0" w:firstRowLastColumn="0" w:lastRowFirstColumn="0" w:lastRowLastColumn="0"/>
            </w:pPr>
            <w:r>
              <w:t>Australian Government Department of Agriculture and Water Resources</w:t>
            </w:r>
          </w:p>
          <w:p w:rsidR="00FC463A" w:rsidRDefault="00FC463A" w:rsidP="00B42329">
            <w:pPr>
              <w:pStyle w:val="BodyText1"/>
              <w:cnfStyle w:val="000000100000" w:firstRow="0" w:lastRow="0" w:firstColumn="0" w:lastColumn="0" w:oddVBand="0" w:evenVBand="0" w:oddHBand="1" w:evenHBand="0" w:firstRowFirstColumn="0" w:firstRowLastColumn="0" w:lastRowFirstColumn="0" w:lastRowLastColumn="0"/>
            </w:pPr>
            <w:r>
              <w:t>Australian Government Department of Environment and Energy</w:t>
            </w:r>
          </w:p>
          <w:p w:rsidR="00FC463A" w:rsidRDefault="00FC463A" w:rsidP="00FC463A">
            <w:pPr>
              <w:pStyle w:val="BodyText1"/>
              <w:tabs>
                <w:tab w:val="left" w:pos="6405"/>
              </w:tabs>
              <w:cnfStyle w:val="000000100000" w:firstRow="0" w:lastRow="0" w:firstColumn="0" w:lastColumn="0" w:oddVBand="0" w:evenVBand="0" w:oddHBand="1" w:evenHBand="0" w:firstRowFirstColumn="0" w:firstRowLastColumn="0" w:lastRowFirstColumn="0" w:lastRowLastColumn="0"/>
            </w:pPr>
            <w:r>
              <w:t>Australian Government Office of the Chief Veterinary Officer</w:t>
            </w:r>
          </w:p>
          <w:p w:rsidR="00FC463A" w:rsidRDefault="00FC463A" w:rsidP="00FC463A">
            <w:pPr>
              <w:pStyle w:val="BodyText1"/>
              <w:tabs>
                <w:tab w:val="left" w:pos="6405"/>
              </w:tabs>
              <w:cnfStyle w:val="000000100000" w:firstRow="0" w:lastRow="0" w:firstColumn="0" w:lastColumn="0" w:oddVBand="0" w:evenVBand="0" w:oddHBand="1" w:evenHBand="0" w:firstRowFirstColumn="0" w:firstRowLastColumn="0" w:lastRowFirstColumn="0" w:lastRowLastColumn="0"/>
            </w:pPr>
            <w:r>
              <w:t>Australian Government Office of the Chief Plant Protection Officer</w:t>
            </w:r>
          </w:p>
          <w:p w:rsidR="00FC463A" w:rsidRDefault="00FC463A" w:rsidP="00FC463A">
            <w:pPr>
              <w:pStyle w:val="BodyText1"/>
              <w:tabs>
                <w:tab w:val="left" w:pos="6405"/>
              </w:tabs>
              <w:cnfStyle w:val="000000100000" w:firstRow="0" w:lastRow="0" w:firstColumn="0" w:lastColumn="0" w:oddVBand="0" w:evenVBand="0" w:oddHBand="1" w:evenHBand="0" w:firstRowFirstColumn="0" w:firstRowLastColumn="0" w:lastRowFirstColumn="0" w:lastRowLastColumn="0"/>
            </w:pPr>
            <w:r>
              <w:t>Australian Bureau of Agricultural and Resource Economics</w:t>
            </w:r>
            <w:r w:rsidR="00A959B9">
              <w:t xml:space="preserve"> and Sciences</w:t>
            </w:r>
          </w:p>
        </w:tc>
      </w:tr>
      <w:tr w:rsidR="003824CC" w:rsidTr="00864148">
        <w:tc>
          <w:tcPr>
            <w:cnfStyle w:val="001000000000" w:firstRow="0" w:lastRow="0" w:firstColumn="1" w:lastColumn="0" w:oddVBand="0" w:evenVBand="0" w:oddHBand="0" w:evenHBand="0" w:firstRowFirstColumn="0" w:firstRowLastColumn="0" w:lastRowFirstColumn="0" w:lastRowLastColumn="0"/>
            <w:tcW w:w="2263" w:type="dxa"/>
          </w:tcPr>
          <w:p w:rsidR="003824CC" w:rsidRDefault="00FC463A" w:rsidP="00B42329">
            <w:pPr>
              <w:pStyle w:val="BodyText1"/>
              <w:rPr>
                <w:b w:val="0"/>
              </w:rPr>
            </w:pPr>
            <w:r>
              <w:rPr>
                <w:b w:val="0"/>
              </w:rPr>
              <w:t>13 February 2017</w:t>
            </w:r>
          </w:p>
        </w:tc>
        <w:tc>
          <w:tcPr>
            <w:tcW w:w="2835" w:type="dxa"/>
          </w:tcPr>
          <w:p w:rsidR="003824CC" w:rsidRDefault="00FC463A" w:rsidP="00B42329">
            <w:pPr>
              <w:pStyle w:val="BodyText1"/>
              <w:cnfStyle w:val="000000000000" w:firstRow="0" w:lastRow="0" w:firstColumn="0" w:lastColumn="0" w:oddVBand="0" w:evenVBand="0" w:oddHBand="0" w:evenHBand="0" w:firstRowFirstColumn="0" w:firstRowLastColumn="0" w:lastRowFirstColumn="0" w:lastRowLastColumn="0"/>
            </w:pPr>
            <w:r>
              <w:t>Canberra</w:t>
            </w:r>
          </w:p>
        </w:tc>
        <w:tc>
          <w:tcPr>
            <w:tcW w:w="8894" w:type="dxa"/>
          </w:tcPr>
          <w:p w:rsidR="003824CC"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Plant Biosecurity CRC</w:t>
            </w:r>
          </w:p>
          <w:p w:rsidR="00263AE3"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CSIRO</w:t>
            </w:r>
          </w:p>
          <w:p w:rsidR="00263AE3"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Invasive Animals CRC</w:t>
            </w:r>
          </w:p>
          <w:p w:rsidR="00263AE3"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Australian Museum</w:t>
            </w:r>
          </w:p>
        </w:tc>
      </w:tr>
      <w:tr w:rsidR="00FC463A" w:rsidTr="0086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FC463A" w:rsidRDefault="00FC463A" w:rsidP="00B42329">
            <w:pPr>
              <w:pStyle w:val="BodyText1"/>
              <w:rPr>
                <w:b w:val="0"/>
              </w:rPr>
            </w:pPr>
            <w:r>
              <w:rPr>
                <w:b w:val="0"/>
              </w:rPr>
              <w:t>14 February 2017</w:t>
            </w:r>
          </w:p>
        </w:tc>
        <w:tc>
          <w:tcPr>
            <w:tcW w:w="2835" w:type="dxa"/>
          </w:tcPr>
          <w:p w:rsidR="00FC463A" w:rsidRDefault="00FC463A" w:rsidP="00B42329">
            <w:pPr>
              <w:pStyle w:val="BodyText1"/>
              <w:cnfStyle w:val="000000100000" w:firstRow="0" w:lastRow="0" w:firstColumn="0" w:lastColumn="0" w:oddVBand="0" w:evenVBand="0" w:oddHBand="1" w:evenHBand="0" w:firstRowFirstColumn="0" w:firstRowLastColumn="0" w:lastRowFirstColumn="0" w:lastRowLastColumn="0"/>
            </w:pPr>
            <w:r>
              <w:t>Canberra</w:t>
            </w:r>
          </w:p>
        </w:tc>
        <w:tc>
          <w:tcPr>
            <w:tcW w:w="8894" w:type="dxa"/>
          </w:tcPr>
          <w:p w:rsidR="00FC463A" w:rsidRDefault="00263AE3" w:rsidP="00B42329">
            <w:pPr>
              <w:pStyle w:val="BodyText1"/>
              <w:cnfStyle w:val="000000100000" w:firstRow="0" w:lastRow="0" w:firstColumn="0" w:lastColumn="0" w:oddVBand="0" w:evenVBand="0" w:oddHBand="1" w:evenHBand="0" w:firstRowFirstColumn="0" w:firstRowLastColumn="0" w:lastRowFirstColumn="0" w:lastRowLastColumn="0"/>
            </w:pPr>
            <w:r>
              <w:t>Australian Capital Territory Government Directorate of Environment, Planning and Sustainable Development</w:t>
            </w:r>
          </w:p>
        </w:tc>
      </w:tr>
      <w:tr w:rsidR="00263AE3" w:rsidTr="00864148">
        <w:tc>
          <w:tcPr>
            <w:cnfStyle w:val="001000000000" w:firstRow="0" w:lastRow="0" w:firstColumn="1" w:lastColumn="0" w:oddVBand="0" w:evenVBand="0" w:oddHBand="0" w:evenHBand="0" w:firstRowFirstColumn="0" w:firstRowLastColumn="0" w:lastRowFirstColumn="0" w:lastRowLastColumn="0"/>
            <w:tcW w:w="2263" w:type="dxa"/>
          </w:tcPr>
          <w:p w:rsidR="00263AE3" w:rsidRDefault="00263AE3" w:rsidP="00B42329">
            <w:pPr>
              <w:pStyle w:val="BodyText1"/>
              <w:rPr>
                <w:b w:val="0"/>
              </w:rPr>
            </w:pPr>
            <w:r>
              <w:rPr>
                <w:b w:val="0"/>
              </w:rPr>
              <w:t>14 February 2017</w:t>
            </w:r>
          </w:p>
        </w:tc>
        <w:tc>
          <w:tcPr>
            <w:tcW w:w="2835" w:type="dxa"/>
          </w:tcPr>
          <w:p w:rsidR="00263AE3"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Canberra</w:t>
            </w:r>
          </w:p>
        </w:tc>
        <w:tc>
          <w:tcPr>
            <w:tcW w:w="8894" w:type="dxa"/>
          </w:tcPr>
          <w:p w:rsidR="00263AE3"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NRM Regions Australia</w:t>
            </w:r>
          </w:p>
          <w:p w:rsidR="00263AE3" w:rsidRDefault="00263AE3" w:rsidP="00B42329">
            <w:pPr>
              <w:pStyle w:val="BodyText1"/>
              <w:cnfStyle w:val="000000000000" w:firstRow="0" w:lastRow="0" w:firstColumn="0" w:lastColumn="0" w:oddVBand="0" w:evenVBand="0" w:oddHBand="0" w:evenHBand="0" w:firstRowFirstColumn="0" w:firstRowLastColumn="0" w:lastRowFirstColumn="0" w:lastRowLastColumn="0"/>
            </w:pPr>
            <w:r>
              <w:t>National Farmers’ Federation</w:t>
            </w:r>
          </w:p>
        </w:tc>
      </w:tr>
    </w:tbl>
    <w:p w:rsidR="00337CF8" w:rsidRDefault="00337CF8" w:rsidP="00864148">
      <w:pPr>
        <w:pStyle w:val="BodyText1"/>
      </w:pPr>
    </w:p>
    <w:p w:rsidR="00337CF8" w:rsidRDefault="00337CF8">
      <w:pPr>
        <w:spacing w:before="0" w:after="160" w:line="259" w:lineRule="auto"/>
      </w:pPr>
      <w:r>
        <w:br w:type="page"/>
      </w:r>
    </w:p>
    <w:p w:rsidR="00E02C03" w:rsidRPr="00EA1AF6" w:rsidRDefault="00337CF8" w:rsidP="00EA1AF6">
      <w:pPr>
        <w:pStyle w:val="Appendixheading"/>
        <w:ind w:left="0"/>
        <w:rPr>
          <w:rStyle w:val="Heading1Char"/>
          <w:rFonts w:cs="Times New Roman"/>
          <w:szCs w:val="18"/>
        </w:rPr>
      </w:pPr>
      <w:bookmarkStart w:id="102" w:name="_Ref479756180"/>
      <w:bookmarkStart w:id="103" w:name="_Toc483482626"/>
      <w:r w:rsidRPr="00EA1AF6">
        <w:rPr>
          <w:rStyle w:val="Heading1Char"/>
          <w:rFonts w:cs="Times New Roman"/>
          <w:szCs w:val="18"/>
        </w:rPr>
        <w:t>: List of Other Organisations Invited to Participate in Consultation Sessions</w:t>
      </w:r>
      <w:bookmarkEnd w:id="102"/>
      <w:bookmarkEnd w:id="103"/>
    </w:p>
    <w:tbl>
      <w:tblPr>
        <w:tblStyle w:val="GridTable4"/>
        <w:tblW w:w="5000" w:type="pct"/>
        <w:tblLook w:val="04A0" w:firstRow="1" w:lastRow="0" w:firstColumn="1" w:lastColumn="0" w:noHBand="0" w:noVBand="1"/>
      </w:tblPr>
      <w:tblGrid>
        <w:gridCol w:w="2264"/>
        <w:gridCol w:w="11728"/>
      </w:tblGrid>
      <w:tr w:rsidR="00337CF8" w:rsidTr="00337C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9" w:type="pct"/>
          </w:tcPr>
          <w:p w:rsidR="00337CF8" w:rsidRDefault="00877CE0" w:rsidP="00877CE0">
            <w:pPr>
              <w:pStyle w:val="BodyText1"/>
            </w:pPr>
            <w:r>
              <w:t>Jurisdiction</w:t>
            </w:r>
          </w:p>
        </w:tc>
        <w:tc>
          <w:tcPr>
            <w:tcW w:w="4191" w:type="pct"/>
          </w:tcPr>
          <w:p w:rsidR="00337CF8" w:rsidRDefault="00337CF8" w:rsidP="00337CF8">
            <w:pPr>
              <w:pStyle w:val="BodyText1"/>
              <w:cnfStyle w:val="100000000000" w:firstRow="1" w:lastRow="0" w:firstColumn="0" w:lastColumn="0" w:oddVBand="0" w:evenVBand="0" w:oddHBand="0" w:evenHBand="0" w:firstRowFirstColumn="0" w:firstRowLastColumn="0" w:lastRowFirstColumn="0" w:lastRowLastColumn="0"/>
            </w:pPr>
            <w:r>
              <w:t>Organisations Invited</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Environment Foundation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Australian Network for Plant Conservation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Conservation Council ACT</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Defenders Office ACT</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Indigenous Land Corporation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National Parks Association of the ACT</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ACT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NRM Regions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Austrade</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Landcare Council</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Australian Marine Alliance</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Recreational Fishing Foundation (ARFF)</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 xml:space="preserve">Australian Veterinary Association </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Centre for Australian National Biodiversity Research</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Centre for Invasive Species Solutions</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Director of National Parks</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Island Conservation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Cwth</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Wildlife Disease Association Australasian Section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Australasian Bat Society Inc</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Association of Bush Regenerators</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Australian Farm Institute</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Native Plants Society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Centre for AgLaw, University of New England</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Council of Australasian Weeds Societies</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Defenders Office NSW</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Foundation for National Parks and Wildlife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Greenpeace Australia Pacific</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Keep Australia Beautiful</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 xml:space="preserve">Landcare Australia Limited </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National Parks Association of NSW</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Nature Conservation Council of NSW</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NSW Natural Resources Commission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Nursery and Garden Industry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OceanWatch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Pet Industry Association of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Shipping Australia Limited</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The Australian Plants Society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Tourism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Western Local Land Services</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World Animal Protection (formerly World Society for the Protection of Animals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World Wide Fund for Nature -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World Wildlife Fund (WWF)</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Zoo and Aquarium Association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NSW</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Zoo and Aquarium Association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Amateur Fishing Association of NT</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Central Land Council</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Department of Infrastructure, Planning and Logistics</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Environment Centre NT</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Defenders Office NT</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Northern Territory Farmer's Association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Northern Territory Field Naturalists' Club</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Northern Territory Seafood Council  </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NT</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Parks and Wildlife Commission of the Northern Territory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Australasian Wildlife Management Society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Australian Environmental Pest Managers Association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Marine Conservation Society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Defenders Office QLD</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National Parks Association of Queensland</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 xml:space="preserve">Queensland Conservation Council </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Rainforest Rescue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Southern Cross Cargo Pty Ltd</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Torres Strait Regional Authority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QLD</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Wet Tropics Management Authority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Birds SA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Conservation Council of SA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Environmental Defenders Office SA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Field Naturalists Society of SA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Foundation for Australia’s Most Endangered Species</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Landcare Association of SA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National Trust South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Natural History Society of South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Nature Conservation Society of SA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Nature Foundation SA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Trees for Life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SA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Weed Management Society of SA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Birdlife Tasmania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Cradle Coast NRM</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Environment Tasmania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Defenders Office TAS</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North East Tasmania Land Trust Inc</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NRM North</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NRM South</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Tasmanian Farmers and Graziers Association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Tasmanian Land Conservancy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Tasmanian National Parks Association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Tasmanian Salmonid Growers Association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TAS</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The Wilderness Society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Animals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 xml:space="preserve">Australian Conservation Foundation </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Banksia Environmental Foundation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Birdlife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Bush Heritage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Conservation Volunteers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Earthwatch Institute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Justice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Friends of the Earth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Greening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Indigenous Flora and Fauna Association</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Maritime Industry Australia Ltd</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Nature Conservancy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Sustainable Agriculture Initiative Platform Australia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Trust for Nature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Victorian National Parks Association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VIC</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Wild Matters Pty Ltd</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APPEA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Australian Wildlife Conservancy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BHP</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Botanical Gardens and Parks Authority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Chevron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Conservation Council of WA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CPSM Murdoch University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Department of Parks and Wildlife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Department of Water</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Dieback Working Group</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Environmental Defenders Office WA</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Environmental Weeds Action Network (may not be active?)</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Industry Plantation Management Group</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Marine Parks and Reserves Authority</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National Aquaculture Council</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Northern Agricultural Catchment Council (NACC)</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NRM WA (Primary contact to 7 regional groups)</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Nursery and Garden Industry Australia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Perth Cichlid Society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Perth Region NRM</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Perth Zoo</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PGA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Ports WA Environmental Working Group</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Recfishwest</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Rio Tinto</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Shell Development (Australia) Pty Ltd</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South Coast NRM</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South West Catchment Council</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Southern Ports Authority</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Swan River Trust (DPAW)</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Terrestrial Ecosystems</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WA Farmers</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WAFIC</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WALGA</w:t>
            </w:r>
          </w:p>
        </w:tc>
      </w:tr>
      <w:tr w:rsidR="00FA685C" w:rsidTr="00337CF8">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000000" w:firstRow="0" w:lastRow="0" w:firstColumn="0" w:lastColumn="0" w:oddVBand="0" w:evenVBand="0" w:oddHBand="0" w:evenHBand="0" w:firstRowFirstColumn="0" w:firstRowLastColumn="0" w:lastRowFirstColumn="0" w:lastRowLastColumn="0"/>
            </w:pPr>
            <w:r w:rsidRPr="00D83BE6">
              <w:t>Water Corporation</w:t>
            </w:r>
          </w:p>
        </w:tc>
      </w:tr>
      <w:tr w:rsidR="00FA685C" w:rsidTr="00337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FA685C" w:rsidRPr="00864148" w:rsidRDefault="00FA685C" w:rsidP="00FA685C">
            <w:pPr>
              <w:pStyle w:val="BodyText1"/>
              <w:rPr>
                <w:b w:val="0"/>
              </w:rPr>
            </w:pPr>
            <w:r w:rsidRPr="00D83BE6">
              <w:t>WA</w:t>
            </w:r>
          </w:p>
        </w:tc>
        <w:tc>
          <w:tcPr>
            <w:tcW w:w="4191" w:type="pct"/>
          </w:tcPr>
          <w:p w:rsidR="00FA685C" w:rsidRDefault="00FA685C" w:rsidP="00FA685C">
            <w:pPr>
              <w:pStyle w:val="BodyText1"/>
              <w:cnfStyle w:val="000000100000" w:firstRow="0" w:lastRow="0" w:firstColumn="0" w:lastColumn="0" w:oddVBand="0" w:evenVBand="0" w:oddHBand="1" w:evenHBand="0" w:firstRowFirstColumn="0" w:firstRowLastColumn="0" w:lastRowFirstColumn="0" w:lastRowLastColumn="0"/>
            </w:pPr>
            <w:r w:rsidRPr="00D83BE6">
              <w:t>Woodside</w:t>
            </w:r>
          </w:p>
        </w:tc>
      </w:tr>
    </w:tbl>
    <w:p w:rsidR="00860A83" w:rsidRPr="00C13D7A" w:rsidRDefault="006078A5" w:rsidP="00464264">
      <w:pPr>
        <w:pStyle w:val="Appendixheading"/>
        <w:ind w:left="0"/>
        <w:rPr>
          <w:rStyle w:val="Heading1Char"/>
          <w:rFonts w:cs="Times New Roman"/>
          <w:szCs w:val="18"/>
        </w:rPr>
      </w:pPr>
      <w:bookmarkStart w:id="104" w:name="_Ref478048087"/>
      <w:bookmarkStart w:id="105" w:name="_Toc483482627"/>
      <w:r w:rsidRPr="00C13D7A">
        <w:rPr>
          <w:rStyle w:val="Heading1Char"/>
          <w:rFonts w:cs="Times New Roman"/>
          <w:szCs w:val="18"/>
        </w:rPr>
        <w:t xml:space="preserve">: </w:t>
      </w:r>
      <w:r w:rsidRPr="00EA1AF6">
        <w:rPr>
          <w:rStyle w:val="Heading1Char"/>
          <w:rFonts w:cs="Times New Roman"/>
          <w:szCs w:val="18"/>
        </w:rPr>
        <w:t>Written Submissions to the Review</w:t>
      </w:r>
      <w:bookmarkEnd w:id="104"/>
      <w:bookmarkEnd w:id="105"/>
    </w:p>
    <w:tbl>
      <w:tblPr>
        <w:tblStyle w:val="GridTable4"/>
        <w:tblW w:w="0" w:type="auto"/>
        <w:tblLook w:val="04A0" w:firstRow="1" w:lastRow="0" w:firstColumn="1" w:lastColumn="0" w:noHBand="0" w:noVBand="1"/>
      </w:tblPr>
      <w:tblGrid>
        <w:gridCol w:w="6996"/>
        <w:gridCol w:w="6996"/>
      </w:tblGrid>
      <w:tr w:rsidR="006078A5" w:rsidTr="006078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96" w:type="dxa"/>
          </w:tcPr>
          <w:p w:rsidR="006078A5" w:rsidRDefault="006078A5" w:rsidP="00540263">
            <w:pPr>
              <w:pStyle w:val="BodyText1"/>
            </w:pPr>
            <w:r>
              <w:t>Government Submissions</w:t>
            </w:r>
          </w:p>
        </w:tc>
        <w:tc>
          <w:tcPr>
            <w:tcW w:w="6996" w:type="dxa"/>
          </w:tcPr>
          <w:p w:rsidR="006078A5" w:rsidRDefault="006078A5" w:rsidP="00540263">
            <w:pPr>
              <w:pStyle w:val="BodyText1"/>
              <w:cnfStyle w:val="100000000000" w:firstRow="1" w:lastRow="0" w:firstColumn="0" w:lastColumn="0" w:oddVBand="0" w:evenVBand="0" w:oddHBand="0" w:evenHBand="0" w:firstRowFirstColumn="0" w:firstRowLastColumn="0" w:lastRowFirstColumn="0" w:lastRowLastColumn="0"/>
            </w:pPr>
            <w:r>
              <w:t>Submissions from Non-Government Organisations</w:t>
            </w:r>
          </w:p>
        </w:tc>
      </w:tr>
      <w:tr w:rsidR="006078A5" w:rsidTr="006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8C3100" w:rsidRPr="008C3100" w:rsidRDefault="008C3100" w:rsidP="008C3100">
            <w:pPr>
              <w:pStyle w:val="BodyText1"/>
              <w:rPr>
                <w:b w:val="0"/>
              </w:rPr>
            </w:pPr>
            <w:r w:rsidRPr="008C3100">
              <w:rPr>
                <w:b w:val="0"/>
              </w:rPr>
              <w:t>Biosecurity Council of Western Australia</w:t>
            </w:r>
          </w:p>
          <w:p w:rsidR="008C3100" w:rsidRPr="008C3100" w:rsidRDefault="008C3100" w:rsidP="008C3100">
            <w:pPr>
              <w:pStyle w:val="BodyText1"/>
              <w:rPr>
                <w:b w:val="0"/>
              </w:rPr>
            </w:pPr>
            <w:r w:rsidRPr="008C3100">
              <w:rPr>
                <w:b w:val="0"/>
              </w:rPr>
              <w:t>Commonwealth Department of Agriculture and Water Resources and Department of the Environment and Energy (joint)</w:t>
            </w:r>
          </w:p>
          <w:p w:rsidR="008C3100" w:rsidRPr="008C3100" w:rsidRDefault="008C3100" w:rsidP="008C3100">
            <w:pPr>
              <w:pStyle w:val="BodyText1"/>
              <w:rPr>
                <w:b w:val="0"/>
              </w:rPr>
            </w:pPr>
            <w:r w:rsidRPr="008C3100">
              <w:rPr>
                <w:b w:val="0"/>
              </w:rPr>
              <w:t>N</w:t>
            </w:r>
            <w:r w:rsidR="006C2D16">
              <w:rPr>
                <w:b w:val="0"/>
              </w:rPr>
              <w:t xml:space="preserve">ew </w:t>
            </w:r>
            <w:r w:rsidRPr="008C3100">
              <w:rPr>
                <w:b w:val="0"/>
              </w:rPr>
              <w:t>S</w:t>
            </w:r>
            <w:r w:rsidR="006C2D16">
              <w:rPr>
                <w:b w:val="0"/>
              </w:rPr>
              <w:t xml:space="preserve">outh </w:t>
            </w:r>
            <w:r w:rsidRPr="008C3100">
              <w:rPr>
                <w:b w:val="0"/>
              </w:rPr>
              <w:t>W</w:t>
            </w:r>
            <w:r w:rsidR="006C2D16">
              <w:rPr>
                <w:b w:val="0"/>
              </w:rPr>
              <w:t>ales</w:t>
            </w:r>
            <w:r w:rsidRPr="008C3100">
              <w:rPr>
                <w:b w:val="0"/>
              </w:rPr>
              <w:t xml:space="preserve"> Government</w:t>
            </w:r>
          </w:p>
          <w:p w:rsidR="008C3100" w:rsidRPr="008C3100" w:rsidRDefault="008C3100" w:rsidP="008C3100">
            <w:pPr>
              <w:pStyle w:val="BodyText1"/>
              <w:rPr>
                <w:b w:val="0"/>
              </w:rPr>
            </w:pPr>
            <w:r w:rsidRPr="008C3100">
              <w:rPr>
                <w:b w:val="0"/>
              </w:rPr>
              <w:t>N</w:t>
            </w:r>
            <w:r w:rsidR="006C2D16">
              <w:rPr>
                <w:b w:val="0"/>
              </w:rPr>
              <w:t xml:space="preserve">orthern </w:t>
            </w:r>
            <w:r w:rsidRPr="008C3100">
              <w:rPr>
                <w:b w:val="0"/>
              </w:rPr>
              <w:t>T</w:t>
            </w:r>
            <w:r w:rsidR="006C2D16">
              <w:rPr>
                <w:b w:val="0"/>
              </w:rPr>
              <w:t>erritory</w:t>
            </w:r>
            <w:r w:rsidRPr="008C3100">
              <w:rPr>
                <w:b w:val="0"/>
              </w:rPr>
              <w:t xml:space="preserve"> Government</w:t>
            </w:r>
          </w:p>
          <w:p w:rsidR="008C3100" w:rsidRPr="008C3100" w:rsidRDefault="008C3100" w:rsidP="008C3100">
            <w:pPr>
              <w:pStyle w:val="BodyText1"/>
              <w:rPr>
                <w:b w:val="0"/>
              </w:rPr>
            </w:pPr>
            <w:r w:rsidRPr="008C3100">
              <w:rPr>
                <w:b w:val="0"/>
              </w:rPr>
              <w:t>Queensland Government</w:t>
            </w:r>
          </w:p>
          <w:p w:rsidR="008C3100" w:rsidRPr="008C3100" w:rsidRDefault="008C3100" w:rsidP="008C3100">
            <w:pPr>
              <w:pStyle w:val="BodyText1"/>
              <w:rPr>
                <w:b w:val="0"/>
              </w:rPr>
            </w:pPr>
            <w:r w:rsidRPr="008C3100">
              <w:rPr>
                <w:b w:val="0"/>
              </w:rPr>
              <w:t>South Australian Government</w:t>
            </w:r>
          </w:p>
          <w:p w:rsidR="008C3100" w:rsidRDefault="008C3100" w:rsidP="008C3100">
            <w:pPr>
              <w:pStyle w:val="BodyText1"/>
              <w:rPr>
                <w:b w:val="0"/>
              </w:rPr>
            </w:pPr>
            <w:r w:rsidRPr="008C3100">
              <w:rPr>
                <w:b w:val="0"/>
              </w:rPr>
              <w:t>Tasmanian Government</w:t>
            </w:r>
          </w:p>
          <w:p w:rsidR="002E1DDC" w:rsidRPr="008C3100" w:rsidRDefault="002E1DDC" w:rsidP="008C3100">
            <w:pPr>
              <w:pStyle w:val="BodyText1"/>
              <w:rPr>
                <w:b w:val="0"/>
              </w:rPr>
            </w:pPr>
            <w:r>
              <w:rPr>
                <w:b w:val="0"/>
              </w:rPr>
              <w:t>Western Australian Government</w:t>
            </w:r>
          </w:p>
          <w:p w:rsidR="008C3100" w:rsidRPr="006078A5" w:rsidRDefault="008C3100" w:rsidP="008C3100">
            <w:pPr>
              <w:pStyle w:val="BodyText1"/>
              <w:rPr>
                <w:b w:val="0"/>
              </w:rPr>
            </w:pPr>
            <w:r w:rsidRPr="008C3100">
              <w:rPr>
                <w:b w:val="0"/>
              </w:rPr>
              <w:t>Wet Tropics Management Authority</w:t>
            </w:r>
            <w:r w:rsidR="00337CF8">
              <w:rPr>
                <w:b w:val="0"/>
              </w:rPr>
              <w:t xml:space="preserve"> (Commonwealth Government)</w:t>
            </w:r>
          </w:p>
        </w:tc>
        <w:tc>
          <w:tcPr>
            <w:tcW w:w="6996" w:type="dxa"/>
          </w:tcPr>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Australian Museum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Council of Australasian Weed Societies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Friends of Belair National Park</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Invasive Species Council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National Farmers Federation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National Landcare Network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Nature Conservation Society of South Australia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Pastoralists and Graziers Association of Western Australia</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 xml:space="preserve">Ports Australia </w:t>
            </w:r>
          </w:p>
          <w:p w:rsidR="008C3100"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Western Australian Farmers Federation</w:t>
            </w:r>
          </w:p>
          <w:p w:rsidR="006078A5" w:rsidRDefault="008C3100" w:rsidP="008C3100">
            <w:pPr>
              <w:pStyle w:val="BodyText1"/>
              <w:cnfStyle w:val="000000100000" w:firstRow="0" w:lastRow="0" w:firstColumn="0" w:lastColumn="0" w:oddVBand="0" w:evenVBand="0" w:oddHBand="1" w:evenHBand="0" w:firstRowFirstColumn="0" w:firstRowLastColumn="0" w:lastRowFirstColumn="0" w:lastRowLastColumn="0"/>
            </w:pPr>
            <w:r>
              <w:t>Wildlife Health Australia</w:t>
            </w:r>
          </w:p>
        </w:tc>
      </w:tr>
    </w:tbl>
    <w:p w:rsidR="00856580" w:rsidRDefault="00856580" w:rsidP="006078A5">
      <w:pPr>
        <w:pStyle w:val="BodyText1"/>
        <w:sectPr w:rsidR="00856580" w:rsidSect="00464264">
          <w:type w:val="continuous"/>
          <w:pgSz w:w="16838" w:h="11906" w:orient="landscape"/>
          <w:pgMar w:top="1418" w:right="1418" w:bottom="1418" w:left="1418" w:header="709" w:footer="453" w:gutter="0"/>
          <w:cols w:space="708"/>
          <w:docGrid w:linePitch="360"/>
        </w:sectPr>
      </w:pPr>
    </w:p>
    <w:p w:rsidR="00860A83" w:rsidRPr="00C13D7A" w:rsidRDefault="00410470" w:rsidP="00464264">
      <w:pPr>
        <w:pStyle w:val="Appendixheading"/>
        <w:ind w:left="0"/>
        <w:rPr>
          <w:rStyle w:val="Heading1Char"/>
          <w:rFonts w:cs="Times New Roman"/>
          <w:szCs w:val="18"/>
        </w:rPr>
      </w:pPr>
      <w:bookmarkStart w:id="106" w:name="_Ref478127204"/>
      <w:bookmarkStart w:id="107" w:name="_Toc483482628"/>
      <w:r w:rsidRPr="00C13D7A">
        <w:rPr>
          <w:rStyle w:val="Heading1Char"/>
          <w:rFonts w:cs="Times New Roman"/>
          <w:szCs w:val="18"/>
        </w:rPr>
        <w:t>:</w:t>
      </w:r>
      <w:r w:rsidR="00856580" w:rsidRPr="00C13D7A">
        <w:rPr>
          <w:rStyle w:val="Heading1Char"/>
          <w:rFonts w:cs="Times New Roman"/>
          <w:szCs w:val="18"/>
        </w:rPr>
        <w:t xml:space="preserve"> Decision Flow Chart</w:t>
      </w:r>
      <w:bookmarkEnd w:id="106"/>
      <w:bookmarkEnd w:id="107"/>
    </w:p>
    <w:p w:rsidR="00464264" w:rsidRPr="00EA1AF6" w:rsidRDefault="00464264" w:rsidP="00EA1AF6">
      <w:pPr>
        <w:pStyle w:val="BodyText0"/>
        <w:rPr>
          <w:sz w:val="18"/>
        </w:rPr>
      </w:pPr>
      <w:r w:rsidRPr="00EA1AF6">
        <w:rPr>
          <w:sz w:val="18"/>
        </w:rPr>
        <w:t>Source: NEBRA, Schedule 1</w:t>
      </w:r>
    </w:p>
    <w:p w:rsidR="0016647A" w:rsidRDefault="00410470" w:rsidP="00723D3C">
      <w:pPr>
        <w:pStyle w:val="BodyText1"/>
        <w:sectPr w:rsidR="0016647A" w:rsidSect="00856580">
          <w:pgSz w:w="11906" w:h="16838"/>
          <w:pgMar w:top="1418" w:right="1418" w:bottom="1418" w:left="1418" w:header="709" w:footer="453" w:gutter="0"/>
          <w:cols w:space="708"/>
          <w:docGrid w:linePitch="360"/>
        </w:sectPr>
      </w:pPr>
      <w:r w:rsidRPr="00410470">
        <w:rPr>
          <w:noProof/>
          <w:lang w:eastAsia="en-AU"/>
        </w:rPr>
        <w:drawing>
          <wp:inline distT="0" distB="0" distL="0" distR="0" wp14:anchorId="21F670F6" wp14:editId="06584F75">
            <wp:extent cx="5613179" cy="721042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5636" cy="7213581"/>
                    </a:xfrm>
                    <a:prstGeom prst="rect">
                      <a:avLst/>
                    </a:prstGeom>
                    <a:noFill/>
                    <a:ln>
                      <a:noFill/>
                    </a:ln>
                  </pic:spPr>
                </pic:pic>
              </a:graphicData>
            </a:graphic>
          </wp:inline>
        </w:drawing>
      </w:r>
    </w:p>
    <w:p w:rsidR="0016647A" w:rsidRPr="00C13D7A" w:rsidRDefault="0016647A" w:rsidP="00464264">
      <w:pPr>
        <w:pStyle w:val="Appendixheading"/>
        <w:ind w:left="0"/>
        <w:rPr>
          <w:rStyle w:val="Heading1Char"/>
          <w:rFonts w:cs="Times New Roman"/>
          <w:szCs w:val="18"/>
        </w:rPr>
      </w:pPr>
      <w:bookmarkStart w:id="108" w:name="_Toc483482629"/>
      <w:r w:rsidRPr="00C13D7A">
        <w:rPr>
          <w:rStyle w:val="Heading1Char"/>
          <w:rFonts w:cs="Times New Roman"/>
          <w:szCs w:val="18"/>
        </w:rPr>
        <w:t>: Minor Technical and Definitional Amendments</w:t>
      </w:r>
      <w:bookmarkEnd w:id="108"/>
    </w:p>
    <w:p w:rsidR="0016647A" w:rsidRDefault="0016647A" w:rsidP="0016647A">
      <w:r>
        <w:t>This appendix details recommendations for minor technical and definitional amendments that have been identified over the course of this review.</w:t>
      </w:r>
    </w:p>
    <w:p w:rsidR="0016647A" w:rsidRDefault="006864FF" w:rsidP="006864FF">
      <w:pPr>
        <w:pStyle w:val="AppendixHeading2"/>
      </w:pPr>
      <w:r>
        <w:t>Definitions</w:t>
      </w:r>
    </w:p>
    <w:p w:rsidR="004A7402" w:rsidRPr="00D525D0" w:rsidRDefault="00D525D0" w:rsidP="006113C3">
      <w:pPr>
        <w:pStyle w:val="Numberbullet1stlevel"/>
        <w:numPr>
          <w:ilvl w:val="0"/>
          <w:numId w:val="15"/>
        </w:numPr>
      </w:pPr>
      <w:r w:rsidRPr="00D525D0">
        <w:t>T</w:t>
      </w:r>
      <w:r w:rsidR="004A7402" w:rsidRPr="00D525D0">
        <w:t xml:space="preserve">he definition of ‘primary production’ </w:t>
      </w:r>
      <w:r w:rsidRPr="00D525D0">
        <w:t xml:space="preserve">may need to </w:t>
      </w:r>
      <w:r w:rsidR="004A7402" w:rsidRPr="00D525D0">
        <w:t>be amended to include the production of fungi as well as animals and plants.</w:t>
      </w:r>
    </w:p>
    <w:p w:rsidR="003264D7" w:rsidRDefault="003264D7" w:rsidP="006113C3">
      <w:pPr>
        <w:pStyle w:val="Numberbullet1stlevel"/>
        <w:numPr>
          <w:ilvl w:val="0"/>
          <w:numId w:val="15"/>
        </w:numPr>
      </w:pPr>
      <w:r w:rsidRPr="00D525D0">
        <w:t xml:space="preserve">In some cases it may be appropriate for smaller jurisdictions to ‘outsource’ the completion of risk analyses, benefit-cost analyses, etc to a larger jurisdiction.  </w:t>
      </w:r>
      <w:r w:rsidR="00D525D0">
        <w:t>C</w:t>
      </w:r>
      <w:r w:rsidRPr="00D525D0">
        <w:t xml:space="preserve">lause 3 of schedule 5 (Eligible Costs) </w:t>
      </w:r>
      <w:r w:rsidR="00D525D0">
        <w:t xml:space="preserve">could </w:t>
      </w:r>
      <w:r w:rsidRPr="00D525D0">
        <w:t>be expanded to include provision for cost sharing expenses where one jurisdiction has paid another jurisdiction to prepare assessments to be provided to NBMCC and NBMG.</w:t>
      </w:r>
    </w:p>
    <w:p w:rsidR="00D525D0" w:rsidRPr="00D525D0" w:rsidRDefault="00BD79C1" w:rsidP="006113C3">
      <w:pPr>
        <w:pStyle w:val="Numberbullet1stlevel"/>
        <w:numPr>
          <w:ilvl w:val="0"/>
          <w:numId w:val="15"/>
        </w:numPr>
      </w:pPr>
      <w:r>
        <w:t>The definition of ‘outbreak’ in the NEBRA is somewhat circular: it describes an “outbreak’ as ‘</w:t>
      </w:r>
      <w:r w:rsidRPr="00BD79C1">
        <w:t>a recently detected outbreak of</w:t>
      </w:r>
      <w:r>
        <w:t xml:space="preserve">…’  Furthermore, KPMG interprets the definition of outbreak </w:t>
      </w:r>
      <w:r w:rsidR="00AB131B">
        <w:t>(and the related clause 6.5) as potentially including the range expansion of a pest or disease in some circumstances.  The definition (and related clause 6.5) should be redrafted to address this circularity and make clearly whether range expansion is covered by NEBRA.</w:t>
      </w:r>
    </w:p>
    <w:p w:rsidR="009633A2" w:rsidRDefault="00EE3AA6" w:rsidP="004303D1">
      <w:pPr>
        <w:pStyle w:val="Numberbullet1stlevel"/>
        <w:numPr>
          <w:ilvl w:val="0"/>
          <w:numId w:val="0"/>
        </w:numPr>
        <w:ind w:left="340" w:hanging="340"/>
        <w:sectPr w:rsidR="009633A2" w:rsidSect="0016647A">
          <w:pgSz w:w="16838" w:h="11906" w:orient="landscape"/>
          <w:pgMar w:top="1418" w:right="1418" w:bottom="1418" w:left="1418" w:header="709" w:footer="453" w:gutter="0"/>
          <w:cols w:num="2" w:space="708"/>
          <w:docGrid w:linePitch="360"/>
        </w:sectPr>
      </w:pPr>
      <w:r>
        <w:t xml:space="preserve"> </w:t>
      </w:r>
      <w:r w:rsidR="006864FF">
        <w:t xml:space="preserve">   </w:t>
      </w:r>
    </w:p>
    <w:p w:rsidR="009633A2" w:rsidRPr="00CC7A82" w:rsidRDefault="009633A2" w:rsidP="001B1D3D">
      <w:pPr>
        <w:pStyle w:val="BodyText1"/>
        <w:rPr>
          <w:b/>
        </w:rPr>
      </w:pPr>
    </w:p>
    <w:sectPr w:rsidR="009633A2" w:rsidRPr="00CC7A82" w:rsidSect="00DF6610">
      <w:headerReference w:type="default" r:id="rId18"/>
      <w:footerReference w:type="default" r:id="rId19"/>
      <w:pgSz w:w="16838" w:h="11906" w:orient="landscape" w:code="9"/>
      <w:pgMar w:top="453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31" w:rsidRDefault="00812D31" w:rsidP="004A3F32">
      <w:pPr>
        <w:spacing w:after="0"/>
      </w:pPr>
      <w:r>
        <w:separator/>
      </w:r>
    </w:p>
  </w:endnote>
  <w:endnote w:type="continuationSeparator" w:id="0">
    <w:p w:rsidR="00812D31" w:rsidRDefault="00812D31" w:rsidP="004A3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PMG Light">
    <w:altName w:val="Segoe Script"/>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49685"/>
      <w:docPartObj>
        <w:docPartGallery w:val="Page Numbers (Bottom of Page)"/>
        <w:docPartUnique/>
      </w:docPartObj>
    </w:sdtPr>
    <w:sdtEndPr/>
    <w:sdtContent>
      <w:p w:rsidR="00812D31" w:rsidRDefault="00812D31" w:rsidP="00013847">
        <w:pPr>
          <w:pStyle w:val="Footer"/>
          <w:rPr>
            <w:noProof/>
          </w:rPr>
        </w:pPr>
        <w:r>
          <w:t xml:space="preserve">KPMG  |  </w:t>
        </w:r>
        <w:r>
          <w:fldChar w:fldCharType="begin"/>
        </w:r>
        <w:r>
          <w:instrText xml:space="preserve"> PAGE   \* MERGEFORMAT </w:instrText>
        </w:r>
        <w:r>
          <w:fldChar w:fldCharType="separate"/>
        </w:r>
        <w:r w:rsidR="00125534">
          <w:rPr>
            <w:noProof/>
          </w:rPr>
          <w:t>i</w:t>
        </w:r>
        <w:r>
          <w:rPr>
            <w:noProof/>
          </w:rPr>
          <w:fldChar w:fldCharType="end"/>
        </w:r>
      </w:p>
      <w:p w:rsidR="00812D31" w:rsidRDefault="00812D31" w:rsidP="00013847">
        <w:pPr>
          <w:pStyle w:val="Footer"/>
        </w:pPr>
        <w:r w:rsidRPr="007E23D9">
          <w:t>© 201</w:t>
        </w:r>
        <w:r>
          <w:t>7</w:t>
        </w:r>
        <w:r w:rsidRPr="007E23D9">
          <w:t xml:space="preserve"> KPMG, an Australian partnership and a member firm of the KPMG network of independent member firms affiliated with KPMG International Cooperative </w:t>
        </w:r>
        <w:r>
          <w:br/>
        </w:r>
        <w:r w:rsidRPr="007E23D9">
          <w:t xml:space="preserve">(“KPMG International”), a Swiss entity. All rights reserved. The KPMG name and logo are registered trademarks or trademarks of KPMG International. </w:t>
        </w:r>
        <w:r>
          <w:br/>
        </w:r>
        <w:r w:rsidRPr="007E23D9">
          <w:t>Liability limited by a scheme approved under Professional Standards Legislation.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96844"/>
      <w:docPartObj>
        <w:docPartGallery w:val="Page Numbers (Bottom of Page)"/>
        <w:docPartUnique/>
      </w:docPartObj>
    </w:sdtPr>
    <w:sdtEndPr/>
    <w:sdtContent>
      <w:p w:rsidR="00812D31" w:rsidRDefault="00812D31" w:rsidP="007E23D9">
        <w:pPr>
          <w:pStyle w:val="Footer"/>
          <w:rPr>
            <w:noProof/>
          </w:rPr>
        </w:pPr>
        <w:r>
          <w:t xml:space="preserve">KPMG  |  </w:t>
        </w:r>
        <w:r>
          <w:fldChar w:fldCharType="begin"/>
        </w:r>
        <w:r>
          <w:instrText xml:space="preserve"> PAGE   \* MERGEFORMAT </w:instrText>
        </w:r>
        <w:r>
          <w:fldChar w:fldCharType="separate"/>
        </w:r>
        <w:r w:rsidR="005D733D">
          <w:rPr>
            <w:noProof/>
          </w:rPr>
          <w:t>36</w:t>
        </w:r>
        <w:r>
          <w:rPr>
            <w:noProof/>
          </w:rPr>
          <w:fldChar w:fldCharType="end"/>
        </w:r>
      </w:p>
      <w:p w:rsidR="00812D31" w:rsidRDefault="00812D31" w:rsidP="007E23D9">
        <w:pPr>
          <w:pStyle w:val="Footer"/>
        </w:pPr>
      </w:p>
      <w:p w:rsidR="00812D31" w:rsidRPr="007E23D9" w:rsidRDefault="00812D31" w:rsidP="007E23D9">
        <w:pPr>
          <w:pStyle w:val="Footer"/>
        </w:pPr>
        <w:r w:rsidRPr="007E23D9">
          <w:t>© 201</w:t>
        </w:r>
        <w:r>
          <w:t>7</w:t>
        </w:r>
        <w:r w:rsidRPr="007E23D9">
          <w:t xml:space="preserve"> KPMG, an Australian partnership and a member firm of the KPMG network of independent member firms affiliated with KPMG International Cooperative </w:t>
        </w:r>
        <w:r>
          <w:br/>
        </w:r>
        <w:r w:rsidRPr="007E23D9">
          <w:t xml:space="preserve">(“KPMG International”), a Swiss entity. All rights reserved. The KPMG name and logo are registered trademarks or trademarks of KPMG International. </w:t>
        </w:r>
        <w:r>
          <w:br/>
        </w:r>
        <w:r w:rsidRPr="007E23D9">
          <w:t>Liability limited by a scheme approved under Professional Standards Legislation.</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31" w:rsidRPr="00413248" w:rsidRDefault="00812D31" w:rsidP="00413248">
    <w:pPr>
      <w:ind w:left="426" w:right="2407"/>
      <w:rPr>
        <w:rStyle w:val="White"/>
        <w:rFonts w:eastAsia="Batang"/>
        <w:sz w:val="12"/>
        <w:szCs w:val="12"/>
        <w:lang w:val="en-GB" w:eastAsia="ko-KR"/>
      </w:rPr>
    </w:pPr>
    <w:r w:rsidRPr="00413248">
      <w:rPr>
        <w:rStyle w:val="White"/>
        <w:rFonts w:eastAsia="Batang"/>
        <w:sz w:val="12"/>
        <w:szCs w:val="12"/>
        <w:lang w:val="en-GB" w:eastAsia="ko-KR"/>
      </w:rPr>
      <w:t xml:space="preserve">The information contained in this document is of a general nature and is not intended to address the objectives, financial situation or needs of any particular individual or entity. It is provided for information purposes only and does not constitute, nor should it be regarded in any manner whatsoever, as advice and is not intended to influence a person in making a decision, including, if applicable, in relation to any financial product or an interest in a financial product. Although we endeavour to provide accurate and timely 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 </w:t>
    </w:r>
  </w:p>
  <w:p w:rsidR="00812D31" w:rsidRPr="00413248" w:rsidRDefault="00812D31" w:rsidP="00413248">
    <w:pPr>
      <w:ind w:left="426" w:right="2407"/>
      <w:rPr>
        <w:rStyle w:val="White"/>
        <w:rFonts w:eastAsia="Batang"/>
        <w:sz w:val="12"/>
        <w:szCs w:val="12"/>
        <w:lang w:val="en-GB" w:eastAsia="ko-KR"/>
      </w:rPr>
    </w:pPr>
    <w:r w:rsidRPr="00413248">
      <w:rPr>
        <w:rStyle w:val="White"/>
        <w:rFonts w:eastAsia="Batang"/>
        <w:sz w:val="12"/>
        <w:szCs w:val="12"/>
        <w:lang w:val="en-GB" w:eastAsia="ko-KR"/>
      </w:rPr>
      <w:t>To the extent permissible by law, KPMG and its associated entities shall not be liable for any errors, omissions, defects or misrepresentations in the information or for any loss or damage suffered by persons who use or rely on such information (including for reasons of negligence, negligent misstatement or otherwise).</w:t>
    </w:r>
  </w:p>
  <w:p w:rsidR="00812D31" w:rsidRPr="00CC7A82" w:rsidRDefault="00812D31" w:rsidP="00CC7A82">
    <w:pPr>
      <w:ind w:left="426" w:right="2407"/>
      <w:rPr>
        <w:rStyle w:val="White"/>
        <w:rFonts w:eastAsia="Batang"/>
        <w:sz w:val="12"/>
        <w:szCs w:val="12"/>
        <w:lang w:val="en-GB" w:eastAsia="ko-KR"/>
      </w:rPr>
    </w:pPr>
    <w:r>
      <w:rPr>
        <w:rStyle w:val="White"/>
        <w:rFonts w:eastAsia="Batang"/>
        <w:sz w:val="12"/>
        <w:szCs w:val="12"/>
        <w:lang w:val="en-GB" w:eastAsia="ko-KR"/>
      </w:rPr>
      <w:t>© 2016</w:t>
    </w:r>
    <w:r w:rsidRPr="00CC7A82">
      <w:rPr>
        <w:rStyle w:val="White"/>
        <w:rFonts w:eastAsia="Batang"/>
        <w:sz w:val="12"/>
        <w:szCs w:val="12"/>
        <w:lang w:val="en-GB" w:eastAsia="ko-KR"/>
      </w:rPr>
      <w:t xml:space="preserve"> KPMG, an Australian partnership and a member firm of the KPMG network of independent member firms affiliated with KPMG International Cooperative (“KPMG International”), a Swiss entity.</w:t>
    </w:r>
    <w:r>
      <w:rPr>
        <w:rStyle w:val="White"/>
        <w:rFonts w:eastAsia="Batang"/>
        <w:sz w:val="12"/>
        <w:szCs w:val="12"/>
        <w:lang w:val="en-GB" w:eastAsia="ko-KR"/>
      </w:rPr>
      <w:t xml:space="preserve"> </w:t>
    </w:r>
    <w:r w:rsidRPr="00CC7A82">
      <w:rPr>
        <w:rStyle w:val="White"/>
        <w:rFonts w:eastAsia="Batang"/>
        <w:sz w:val="12"/>
        <w:szCs w:val="12"/>
        <w:lang w:val="en-GB" w:eastAsia="ko-KR"/>
      </w:rPr>
      <w:t>All rights reserved.</w:t>
    </w:r>
  </w:p>
  <w:p w:rsidR="00812D31" w:rsidRPr="00CC7A82" w:rsidRDefault="00812D31" w:rsidP="00CC7A82">
    <w:pPr>
      <w:ind w:left="426" w:right="2407"/>
      <w:rPr>
        <w:rStyle w:val="White"/>
        <w:rFonts w:eastAsia="Batang"/>
        <w:sz w:val="12"/>
        <w:szCs w:val="12"/>
        <w:lang w:val="en-GB" w:eastAsia="ko-KR"/>
      </w:rPr>
    </w:pPr>
    <w:r w:rsidRPr="00CC7A82">
      <w:rPr>
        <w:rStyle w:val="White"/>
        <w:rFonts w:eastAsia="Batang"/>
        <w:sz w:val="12"/>
        <w:szCs w:val="12"/>
        <w:lang w:val="en-GB" w:eastAsia="ko-KR"/>
      </w:rPr>
      <w:t xml:space="preserve">The KPMG name and logo are registered trademarks or trademarks of KPMG International. </w:t>
    </w:r>
    <w:r>
      <w:rPr>
        <w:rStyle w:val="White"/>
        <w:rFonts w:eastAsia="Batang"/>
        <w:sz w:val="12"/>
        <w:szCs w:val="12"/>
        <w:lang w:val="en-GB" w:eastAsia="ko-KR"/>
      </w:rPr>
      <w:br/>
    </w:r>
    <w:r w:rsidRPr="00CC7A82">
      <w:rPr>
        <w:rStyle w:val="White"/>
        <w:rFonts w:eastAsia="Batang"/>
        <w:sz w:val="12"/>
        <w:szCs w:val="12"/>
        <w:lang w:val="en-GB" w:eastAsia="ko-KR"/>
      </w:rPr>
      <w:t>Liability limited by a scheme approved under Professional Standards Legislation.</w:t>
    </w:r>
  </w:p>
  <w:p w:rsidR="00812D31" w:rsidRPr="00CC7A82" w:rsidRDefault="00812D31" w:rsidP="00CC7A82">
    <w:pPr>
      <w:pStyle w:val="Footer"/>
      <w:ind w:left="426" w:right="2407"/>
      <w:jc w:val="left"/>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31" w:rsidRDefault="00812D31" w:rsidP="004A3F32">
      <w:pPr>
        <w:spacing w:after="0"/>
      </w:pPr>
      <w:r>
        <w:separator/>
      </w:r>
    </w:p>
  </w:footnote>
  <w:footnote w:type="continuationSeparator" w:id="0">
    <w:p w:rsidR="00812D31" w:rsidRDefault="00812D31" w:rsidP="004A3F32">
      <w:pPr>
        <w:spacing w:after="0"/>
      </w:pPr>
      <w:r>
        <w:continuationSeparator/>
      </w:r>
    </w:p>
  </w:footnote>
  <w:footnote w:id="1">
    <w:p w:rsidR="00812D31" w:rsidRDefault="00812D31">
      <w:pPr>
        <w:pStyle w:val="FootnoteText"/>
      </w:pPr>
      <w:r>
        <w:rPr>
          <w:rStyle w:val="FootnoteReference"/>
        </w:rPr>
        <w:footnoteRef/>
      </w:r>
      <w:r>
        <w:t xml:space="preserve"> This report adopts the language of the draft IGAB review of ‘system participants’ which includes the Australian Government, State and Territory Governments, Local Government, Industry, General Community and Non-Government Organisations.</w:t>
      </w:r>
    </w:p>
  </w:footnote>
  <w:footnote w:id="2">
    <w:p w:rsidR="00812D31" w:rsidRPr="006157AB" w:rsidRDefault="00812D31" w:rsidP="00D36811">
      <w:pPr>
        <w:pStyle w:val="FootnoteText"/>
      </w:pPr>
      <w:r>
        <w:rPr>
          <w:rStyle w:val="FootnoteReference"/>
        </w:rPr>
        <w:footnoteRef/>
      </w:r>
      <w:r>
        <w:t xml:space="preserve"> NEBRA Administrative Group, </w:t>
      </w:r>
      <w:r>
        <w:rPr>
          <w:i/>
        </w:rPr>
        <w:t>NEBRA Five Year Review Discussion Paper</w:t>
      </w:r>
      <w:r>
        <w:t>, December 2016</w:t>
      </w:r>
    </w:p>
  </w:footnote>
  <w:footnote w:id="3">
    <w:p w:rsidR="00812D31" w:rsidRPr="006157AB" w:rsidRDefault="00812D31" w:rsidP="00515272">
      <w:pPr>
        <w:pStyle w:val="FootnoteText"/>
      </w:pPr>
      <w:r>
        <w:rPr>
          <w:rStyle w:val="FootnoteReference"/>
        </w:rPr>
        <w:footnoteRef/>
      </w:r>
      <w:r>
        <w:t xml:space="preserve"> NEBRA Administrative Group, </w:t>
      </w:r>
      <w:r>
        <w:rPr>
          <w:i/>
        </w:rPr>
        <w:t>NEBRA Five Year Review Discussion Paper</w:t>
      </w:r>
      <w:r>
        <w:t>, December 2016</w:t>
      </w:r>
    </w:p>
  </w:footnote>
  <w:footnote w:id="4">
    <w:p w:rsidR="00812D31" w:rsidRPr="00212362" w:rsidRDefault="00812D31" w:rsidP="00515272">
      <w:pPr>
        <w:pStyle w:val="FootnoteText"/>
      </w:pPr>
      <w:r>
        <w:rPr>
          <w:rStyle w:val="FootnoteReference"/>
        </w:rPr>
        <w:footnoteRef/>
      </w:r>
      <w:r>
        <w:t xml:space="preserve"> NEBRA Administrative Group, Request for Consultancy Services NEBRA Five Year Review, October 2016</w:t>
      </w:r>
    </w:p>
  </w:footnote>
  <w:footnote w:id="5">
    <w:p w:rsidR="00812D31" w:rsidRPr="00C70CBD" w:rsidRDefault="00812D31" w:rsidP="00515272">
      <w:pPr>
        <w:pStyle w:val="FootnoteText"/>
      </w:pPr>
      <w:r>
        <w:rPr>
          <w:rStyle w:val="FootnoteReference"/>
        </w:rPr>
        <w:footnoteRef/>
      </w:r>
      <w:r>
        <w:t xml:space="preserve"> IGAB Independent Review Panel, Intergovernmental Agreement on Biosecurity Review Draft Report, December 2016</w:t>
      </w:r>
    </w:p>
  </w:footnote>
  <w:footnote w:id="6">
    <w:p w:rsidR="00812D31" w:rsidRPr="002562C9" w:rsidRDefault="00812D31" w:rsidP="00515272">
      <w:pPr>
        <w:pStyle w:val="FootnoteText"/>
      </w:pPr>
      <w:r>
        <w:rPr>
          <w:rStyle w:val="FootnoteReference"/>
        </w:rPr>
        <w:footnoteRef/>
      </w:r>
      <w:r>
        <w:t xml:space="preserve"> </w:t>
      </w:r>
      <w:r w:rsidRPr="002562C9">
        <w:t>Senate Environment and Communications References Committee</w:t>
      </w:r>
      <w:r>
        <w:t xml:space="preserve">, </w:t>
      </w:r>
      <w:r>
        <w:rPr>
          <w:i/>
        </w:rPr>
        <w:t>Environmental Biosecurity</w:t>
      </w:r>
      <w:r>
        <w:t>, May 2015</w:t>
      </w:r>
    </w:p>
  </w:footnote>
  <w:footnote w:id="7">
    <w:p w:rsidR="00812D31" w:rsidRPr="0029008C" w:rsidRDefault="00812D31" w:rsidP="00515272">
      <w:pPr>
        <w:pStyle w:val="FootnoteText"/>
      </w:pPr>
      <w:r>
        <w:rPr>
          <w:rStyle w:val="FootnoteReference"/>
        </w:rPr>
        <w:footnoteRef/>
      </w:r>
      <w:r>
        <w:t xml:space="preserve"> NEBRA, clause 1.1</w:t>
      </w:r>
    </w:p>
  </w:footnote>
  <w:footnote w:id="8">
    <w:p w:rsidR="00812D31" w:rsidRPr="0029008C" w:rsidRDefault="00812D31" w:rsidP="00515272">
      <w:pPr>
        <w:pStyle w:val="FootnoteText"/>
      </w:pPr>
      <w:r>
        <w:rPr>
          <w:rStyle w:val="FootnoteReference"/>
        </w:rPr>
        <w:footnoteRef/>
      </w:r>
      <w:r>
        <w:t xml:space="preserve"> NEBRA, clause 1.4(a)</w:t>
      </w:r>
    </w:p>
  </w:footnote>
  <w:footnote w:id="9">
    <w:p w:rsidR="00812D31" w:rsidRPr="00AF41E4" w:rsidRDefault="00812D31" w:rsidP="00515272">
      <w:pPr>
        <w:pStyle w:val="FootnoteText"/>
      </w:pPr>
      <w:r>
        <w:rPr>
          <w:rStyle w:val="FootnoteReference"/>
        </w:rPr>
        <w:footnoteRef/>
      </w:r>
      <w:r>
        <w:t xml:space="preserve"> NEBRA, clause 6.5(b)</w:t>
      </w:r>
    </w:p>
  </w:footnote>
  <w:footnote w:id="10">
    <w:p w:rsidR="00812D31" w:rsidRPr="00AF41E4" w:rsidRDefault="00812D31" w:rsidP="00515272">
      <w:pPr>
        <w:pStyle w:val="FootnoteText"/>
      </w:pPr>
      <w:r>
        <w:rPr>
          <w:rStyle w:val="FootnoteReference"/>
        </w:rPr>
        <w:footnoteRef/>
      </w:r>
      <w:r>
        <w:t xml:space="preserve"> NEBRA, clause 6.5(a)(iv)</w:t>
      </w:r>
    </w:p>
  </w:footnote>
  <w:footnote w:id="11">
    <w:p w:rsidR="00812D31" w:rsidRPr="00A62152" w:rsidRDefault="00812D31" w:rsidP="00515272">
      <w:pPr>
        <w:pStyle w:val="FootnoteText"/>
      </w:pPr>
      <w:r>
        <w:rPr>
          <w:rStyle w:val="FootnoteReference"/>
        </w:rPr>
        <w:footnoteRef/>
      </w:r>
      <w:r>
        <w:t xml:space="preserve"> NEBRA, clause 6.5(c)</w:t>
      </w:r>
    </w:p>
  </w:footnote>
  <w:footnote w:id="12">
    <w:p w:rsidR="00812D31" w:rsidRPr="00A62152" w:rsidRDefault="00812D31" w:rsidP="00515272">
      <w:pPr>
        <w:pStyle w:val="FootnoteText"/>
      </w:pPr>
      <w:r>
        <w:rPr>
          <w:rStyle w:val="FootnoteReference"/>
        </w:rPr>
        <w:footnoteRef/>
      </w:r>
      <w:r>
        <w:t xml:space="preserve"> NEBRA, clause 2.2</w:t>
      </w:r>
    </w:p>
  </w:footnote>
  <w:footnote w:id="13">
    <w:p w:rsidR="00812D31" w:rsidRPr="000D2222" w:rsidRDefault="00812D31" w:rsidP="00515272">
      <w:pPr>
        <w:pStyle w:val="FootnoteText"/>
      </w:pPr>
      <w:r>
        <w:rPr>
          <w:rStyle w:val="FootnoteReference"/>
        </w:rPr>
        <w:footnoteRef/>
      </w:r>
      <w:r>
        <w:t xml:space="preserve"> EPPRD clauses 5.4, 5.2.4(b)(ii) and 1.1</w:t>
      </w:r>
    </w:p>
  </w:footnote>
  <w:footnote w:id="14">
    <w:p w:rsidR="00812D31" w:rsidRPr="00AD5636" w:rsidRDefault="00812D31" w:rsidP="00515272">
      <w:pPr>
        <w:pStyle w:val="FootnoteText"/>
      </w:pPr>
      <w:r>
        <w:rPr>
          <w:rStyle w:val="FootnoteReference"/>
        </w:rPr>
        <w:footnoteRef/>
      </w:r>
      <w:r>
        <w:t xml:space="preserve"> EADRA, clause 6.2</w:t>
      </w:r>
    </w:p>
  </w:footnote>
  <w:footnote w:id="15">
    <w:p w:rsidR="00812D31" w:rsidRPr="00AD5636" w:rsidRDefault="00812D31" w:rsidP="00515272">
      <w:pPr>
        <w:pStyle w:val="FootnoteText"/>
      </w:pPr>
      <w:r>
        <w:rPr>
          <w:rStyle w:val="FootnoteReference"/>
        </w:rPr>
        <w:footnoteRef/>
      </w:r>
      <w:r>
        <w:t xml:space="preserve"> NEBRA, clause 7.5(a)</w:t>
      </w:r>
    </w:p>
  </w:footnote>
  <w:footnote w:id="16">
    <w:p w:rsidR="00812D31" w:rsidRPr="005201AE" w:rsidRDefault="00812D31" w:rsidP="00515272">
      <w:pPr>
        <w:pStyle w:val="FootnoteText"/>
      </w:pPr>
      <w:r>
        <w:rPr>
          <w:rStyle w:val="FootnoteReference"/>
        </w:rPr>
        <w:footnoteRef/>
      </w:r>
      <w:r>
        <w:t xml:space="preserve"> NEBRA, clause 6.1</w:t>
      </w:r>
    </w:p>
  </w:footnote>
  <w:footnote w:id="17">
    <w:p w:rsidR="00812D31" w:rsidRPr="006D0F27" w:rsidRDefault="00812D31" w:rsidP="00515272">
      <w:pPr>
        <w:pStyle w:val="FootnoteText"/>
      </w:pPr>
      <w:r>
        <w:rPr>
          <w:rStyle w:val="FootnoteReference"/>
        </w:rPr>
        <w:footnoteRef/>
      </w:r>
      <w:r>
        <w:t xml:space="preserve"> NBMGs are outbreak-specific, that is, a separate NBMG is established for each outbreak.</w:t>
      </w:r>
    </w:p>
  </w:footnote>
  <w:footnote w:id="18">
    <w:p w:rsidR="00812D31" w:rsidRPr="009D42B3" w:rsidRDefault="00812D31" w:rsidP="00515272">
      <w:pPr>
        <w:pStyle w:val="FootnoteText"/>
      </w:pPr>
      <w:r>
        <w:rPr>
          <w:rStyle w:val="FootnoteReference"/>
        </w:rPr>
        <w:footnoteRef/>
      </w:r>
      <w:r>
        <w:t xml:space="preserve"> NEBRA, Schedule 7, clause 5</w:t>
      </w:r>
    </w:p>
  </w:footnote>
  <w:footnote w:id="19">
    <w:p w:rsidR="00812D31" w:rsidRPr="00AA4B9D" w:rsidRDefault="00812D31" w:rsidP="00515272">
      <w:pPr>
        <w:pStyle w:val="FootnoteText"/>
      </w:pPr>
      <w:r>
        <w:rPr>
          <w:rStyle w:val="FootnoteReference"/>
        </w:rPr>
        <w:footnoteRef/>
      </w:r>
      <w:r>
        <w:t xml:space="preserve"> NEBRA, Schedule 7, clause 5</w:t>
      </w:r>
    </w:p>
  </w:footnote>
  <w:footnote w:id="20">
    <w:p w:rsidR="00812D31" w:rsidRPr="0016647A" w:rsidRDefault="00812D31" w:rsidP="00515272">
      <w:pPr>
        <w:pStyle w:val="FootnoteText"/>
      </w:pPr>
      <w:r>
        <w:rPr>
          <w:rStyle w:val="FootnoteReference"/>
        </w:rPr>
        <w:footnoteRef/>
      </w:r>
      <w:r>
        <w:t xml:space="preserve"> NEBRA, Schedule 8, clause 5</w:t>
      </w:r>
    </w:p>
  </w:footnote>
  <w:footnote w:id="21">
    <w:p w:rsidR="00812D31" w:rsidRPr="00684420" w:rsidRDefault="00812D31" w:rsidP="00515272">
      <w:pPr>
        <w:pStyle w:val="FootnoteText"/>
      </w:pPr>
      <w:r>
        <w:rPr>
          <w:rStyle w:val="FootnoteReference"/>
        </w:rPr>
        <w:footnoteRef/>
      </w:r>
      <w:r>
        <w:t xml:space="preserve"> Consensus is defined in the NEBRA as “</w:t>
      </w:r>
      <w:r w:rsidRPr="00684420">
        <w:t>all of the parties present support a decision. This includes not abstaining when a particular issue is considered</w:t>
      </w:r>
      <w:r>
        <w:t>”.</w:t>
      </w:r>
    </w:p>
  </w:footnote>
  <w:footnote w:id="22">
    <w:p w:rsidR="00812D31" w:rsidRPr="00F155D8" w:rsidRDefault="00812D31" w:rsidP="00515272">
      <w:pPr>
        <w:pStyle w:val="FootnoteText"/>
      </w:pPr>
      <w:r>
        <w:rPr>
          <w:rStyle w:val="FootnoteReference"/>
        </w:rPr>
        <w:footnoteRef/>
      </w:r>
      <w:r>
        <w:t xml:space="preserve"> NEBRA, Schedule 3, clause 2</w:t>
      </w:r>
    </w:p>
  </w:footnote>
  <w:footnote w:id="23">
    <w:p w:rsidR="00812D31" w:rsidRPr="00F155D8" w:rsidRDefault="00812D31" w:rsidP="00515272">
      <w:pPr>
        <w:pStyle w:val="FootnoteText"/>
      </w:pPr>
      <w:r>
        <w:rPr>
          <w:rStyle w:val="FootnoteReference"/>
        </w:rPr>
        <w:footnoteRef/>
      </w:r>
      <w:r>
        <w:t xml:space="preserve"> NEBRA, Schedule 3, clause 3</w:t>
      </w:r>
    </w:p>
  </w:footnote>
  <w:footnote w:id="24">
    <w:p w:rsidR="00812D31" w:rsidRPr="008C7371" w:rsidRDefault="00812D31" w:rsidP="00515272">
      <w:pPr>
        <w:pStyle w:val="FootnoteText"/>
      </w:pPr>
      <w:r>
        <w:rPr>
          <w:rStyle w:val="FootnoteReference"/>
        </w:rPr>
        <w:footnoteRef/>
      </w:r>
      <w:r>
        <w:t xml:space="preserve"> NEBRA, Schedule 3, clause 4</w:t>
      </w:r>
    </w:p>
  </w:footnote>
  <w:footnote w:id="25">
    <w:p w:rsidR="00812D31" w:rsidRPr="002407B8" w:rsidRDefault="00812D31" w:rsidP="00515272">
      <w:pPr>
        <w:pStyle w:val="FootnoteText"/>
      </w:pPr>
      <w:r>
        <w:rPr>
          <w:rStyle w:val="FootnoteReference"/>
        </w:rPr>
        <w:footnoteRef/>
      </w:r>
      <w:r>
        <w:t xml:space="preserve"> NEBRA, clause 6.1</w:t>
      </w:r>
    </w:p>
  </w:footnote>
  <w:footnote w:id="26">
    <w:p w:rsidR="00812D31" w:rsidRPr="002407B8" w:rsidRDefault="00812D31" w:rsidP="00515272">
      <w:pPr>
        <w:pStyle w:val="FootnoteText"/>
      </w:pPr>
      <w:r>
        <w:rPr>
          <w:rStyle w:val="FootnoteReference"/>
        </w:rPr>
        <w:footnoteRef/>
      </w:r>
      <w:r>
        <w:t xml:space="preserve"> NEBRA, Schedule 4, clause 4.2</w:t>
      </w:r>
    </w:p>
  </w:footnote>
  <w:footnote w:id="27">
    <w:p w:rsidR="00812D31" w:rsidRPr="002407B8" w:rsidRDefault="00812D31" w:rsidP="00515272">
      <w:pPr>
        <w:pStyle w:val="FootnoteText"/>
      </w:pPr>
      <w:r>
        <w:rPr>
          <w:rStyle w:val="FootnoteReference"/>
        </w:rPr>
        <w:footnoteRef/>
      </w:r>
      <w:r>
        <w:t xml:space="preserve"> NEBRA, clause 6.1</w:t>
      </w:r>
    </w:p>
  </w:footnote>
  <w:footnote w:id="28">
    <w:p w:rsidR="00812D31" w:rsidRPr="005827FC" w:rsidRDefault="00812D31" w:rsidP="00515272">
      <w:pPr>
        <w:pStyle w:val="FootnoteText"/>
      </w:pPr>
      <w:r>
        <w:rPr>
          <w:rStyle w:val="FootnoteReference"/>
        </w:rPr>
        <w:footnoteRef/>
      </w:r>
      <w:r>
        <w:t xml:space="preserve"> NEBRA, Attachment 4A</w:t>
      </w:r>
    </w:p>
  </w:footnote>
  <w:footnote w:id="29">
    <w:p w:rsidR="00812D31" w:rsidRPr="007944EC" w:rsidRDefault="00812D31" w:rsidP="00515272">
      <w:pPr>
        <w:pStyle w:val="FootnoteText"/>
      </w:pPr>
      <w:r>
        <w:rPr>
          <w:rStyle w:val="FootnoteReference"/>
        </w:rPr>
        <w:footnoteRef/>
      </w:r>
      <w:r>
        <w:t xml:space="preserve"> NEBRA, clause 7.2(d)</w:t>
      </w:r>
    </w:p>
  </w:footnote>
  <w:footnote w:id="30">
    <w:p w:rsidR="00812D31" w:rsidRPr="007944EC" w:rsidRDefault="00812D31" w:rsidP="00515272">
      <w:pPr>
        <w:pStyle w:val="FootnoteText"/>
      </w:pPr>
      <w:r>
        <w:rPr>
          <w:rStyle w:val="FootnoteReference"/>
        </w:rPr>
        <w:footnoteRef/>
      </w:r>
      <w:r>
        <w:t xml:space="preserve"> NEBRA, Attachments 5A to 5E</w:t>
      </w:r>
    </w:p>
  </w:footnote>
  <w:footnote w:id="31">
    <w:p w:rsidR="00812D31" w:rsidRPr="00453BFD" w:rsidRDefault="00812D31" w:rsidP="00515272">
      <w:pPr>
        <w:pStyle w:val="FootnoteText"/>
      </w:pPr>
      <w:r>
        <w:rPr>
          <w:rStyle w:val="FootnoteReference"/>
        </w:rPr>
        <w:footnoteRef/>
      </w:r>
      <w:r>
        <w:t xml:space="preserve"> NEBRA, Schedule 5</w:t>
      </w:r>
    </w:p>
  </w:footnote>
  <w:footnote w:id="32">
    <w:p w:rsidR="00812D31" w:rsidRPr="00F66210" w:rsidRDefault="00812D31" w:rsidP="00515272">
      <w:pPr>
        <w:pStyle w:val="FootnoteText"/>
      </w:pPr>
      <w:r>
        <w:rPr>
          <w:rStyle w:val="FootnoteReference"/>
        </w:rPr>
        <w:footnoteRef/>
      </w:r>
      <w:r>
        <w:t xml:space="preserve"> NEBRA, clause 7.8</w:t>
      </w:r>
    </w:p>
  </w:footnote>
  <w:footnote w:id="33">
    <w:p w:rsidR="00812D31" w:rsidRPr="009B1CC6" w:rsidRDefault="00812D31" w:rsidP="00515272">
      <w:pPr>
        <w:pStyle w:val="FootnoteText"/>
      </w:pPr>
      <w:r>
        <w:rPr>
          <w:rStyle w:val="FootnoteReference"/>
        </w:rPr>
        <w:footnoteRef/>
      </w:r>
      <w:r>
        <w:t xml:space="preserve"> NEBRA, clause 7.9</w:t>
      </w:r>
    </w:p>
  </w:footnote>
  <w:footnote w:id="34">
    <w:p w:rsidR="00812D31" w:rsidRPr="005F5B21" w:rsidRDefault="00812D31" w:rsidP="00515272">
      <w:pPr>
        <w:pStyle w:val="FootnoteText"/>
      </w:pPr>
      <w:r>
        <w:rPr>
          <w:rStyle w:val="FootnoteReference"/>
        </w:rPr>
        <w:footnoteRef/>
      </w:r>
      <w:r>
        <w:t xml:space="preserve"> NEBRA, Schedule 8, Clause 4.2(c)</w:t>
      </w:r>
    </w:p>
  </w:footnote>
  <w:footnote w:id="35">
    <w:p w:rsidR="00812D31" w:rsidRPr="005F5B21" w:rsidRDefault="00812D31" w:rsidP="00515272">
      <w:pPr>
        <w:pStyle w:val="FootnoteText"/>
      </w:pPr>
      <w:r>
        <w:rPr>
          <w:rStyle w:val="FootnoteReference"/>
        </w:rPr>
        <w:footnoteRef/>
      </w:r>
      <w:r>
        <w:t xml:space="preserve"> NEBRA, clause 7.9</w:t>
      </w:r>
    </w:p>
  </w:footnote>
  <w:footnote w:id="36">
    <w:p w:rsidR="00812D31" w:rsidRPr="00CB6AC4" w:rsidRDefault="00812D31" w:rsidP="00515272">
      <w:pPr>
        <w:pStyle w:val="FootnoteText"/>
      </w:pPr>
      <w:r>
        <w:rPr>
          <w:rStyle w:val="FootnoteReference"/>
        </w:rPr>
        <w:footnoteRef/>
      </w:r>
      <w:r>
        <w:t xml:space="preserve"> NEBRA, Schedule 7, Clause 4.3(b)</w:t>
      </w:r>
    </w:p>
  </w:footnote>
  <w:footnote w:id="37">
    <w:p w:rsidR="00812D31" w:rsidRPr="00821D20" w:rsidRDefault="00812D31" w:rsidP="00515272">
      <w:pPr>
        <w:pStyle w:val="FootnoteText"/>
      </w:pPr>
      <w:r>
        <w:rPr>
          <w:rStyle w:val="FootnoteReference"/>
        </w:rPr>
        <w:footnoteRef/>
      </w:r>
      <w:r>
        <w:t xml:space="preserve"> IGAB Independent Review Panel, Intergovernmental Agreement on Biosecurity Review Draft Report, December 2016, page 10</w:t>
      </w:r>
    </w:p>
  </w:footnote>
  <w:footnote w:id="38">
    <w:p w:rsidR="00812D31" w:rsidRPr="007F7E1F" w:rsidRDefault="00812D31" w:rsidP="00515272">
      <w:pPr>
        <w:pStyle w:val="FootnoteText"/>
      </w:pPr>
      <w:r>
        <w:rPr>
          <w:rStyle w:val="FootnoteReference"/>
        </w:rPr>
        <w:footnoteRef/>
      </w:r>
      <w:r>
        <w:t xml:space="preserve"> Commonwealth Department of Agriculture and Water Resources and Department of the Environment and Energy submission</w:t>
      </w:r>
    </w:p>
  </w:footnote>
  <w:footnote w:id="39">
    <w:p w:rsidR="00812D31" w:rsidRPr="00B01D5A" w:rsidRDefault="00812D31" w:rsidP="00515272">
      <w:pPr>
        <w:pStyle w:val="FootnoteText"/>
      </w:pPr>
      <w:r>
        <w:rPr>
          <w:rStyle w:val="FootnoteReference"/>
        </w:rPr>
        <w:footnoteRef/>
      </w:r>
      <w:r>
        <w:t xml:space="preserve"> Invasive Species Council submission</w:t>
      </w:r>
    </w:p>
  </w:footnote>
  <w:footnote w:id="40">
    <w:p w:rsidR="00812D31" w:rsidRDefault="00812D31">
      <w:pPr>
        <w:pStyle w:val="FootnoteText"/>
      </w:pPr>
      <w:r>
        <w:rPr>
          <w:rStyle w:val="FootnoteReference"/>
        </w:rPr>
        <w:footnoteRef/>
      </w:r>
      <w:r>
        <w:t xml:space="preserve"> </w:t>
      </w:r>
      <w:r w:rsidRPr="008D18EC">
        <w:t xml:space="preserve">The draft report of the IGAB review has recommended the establishment of </w:t>
      </w:r>
      <w:r>
        <w:t>a Chief Environmental Biosecurity Officer to sit within the Commonwealth environment department.</w:t>
      </w:r>
    </w:p>
  </w:footnote>
  <w:footnote w:id="41">
    <w:p w:rsidR="00812D31" w:rsidRPr="009310D1" w:rsidRDefault="00812D31" w:rsidP="00515272">
      <w:pPr>
        <w:pStyle w:val="FootnoteText"/>
      </w:pPr>
      <w:r>
        <w:rPr>
          <w:rStyle w:val="FootnoteReference"/>
        </w:rPr>
        <w:footnoteRef/>
      </w:r>
      <w:r>
        <w:t xml:space="preserve"> NEBRA, Schedule 5, clauses 2.1 and 2.2</w:t>
      </w:r>
    </w:p>
  </w:footnote>
  <w:footnote w:id="42">
    <w:p w:rsidR="00812D31" w:rsidRPr="009310D1" w:rsidRDefault="00812D31" w:rsidP="00515272">
      <w:pPr>
        <w:pStyle w:val="FootnoteText"/>
      </w:pPr>
      <w:r>
        <w:rPr>
          <w:rStyle w:val="FootnoteReference"/>
        </w:rPr>
        <w:footnoteRef/>
      </w:r>
      <w:r>
        <w:t xml:space="preserve"> NEBRA, Schedule 5, clause 2.3(a)</w:t>
      </w:r>
    </w:p>
  </w:footnote>
  <w:footnote w:id="43">
    <w:p w:rsidR="00812D31" w:rsidRPr="00C72CBA" w:rsidRDefault="00812D31" w:rsidP="00515272">
      <w:pPr>
        <w:pStyle w:val="FootnoteText"/>
      </w:pPr>
      <w:r>
        <w:rPr>
          <w:rStyle w:val="FootnoteReference"/>
        </w:rPr>
        <w:footnoteRef/>
      </w:r>
      <w:r>
        <w:t xml:space="preserve"> EPPRD clause 9.1 and EADRA clause 10.1</w:t>
      </w:r>
    </w:p>
  </w:footnote>
  <w:footnote w:id="44">
    <w:p w:rsidR="00812D31" w:rsidRPr="00D104E7" w:rsidRDefault="00812D31" w:rsidP="00515272">
      <w:pPr>
        <w:pStyle w:val="FootnoteText"/>
      </w:pPr>
      <w:r>
        <w:rPr>
          <w:rStyle w:val="FootnoteReference"/>
        </w:rPr>
        <w:footnoteRef/>
      </w:r>
      <w:r>
        <w:t xml:space="preserve"> </w:t>
      </w:r>
      <w:r w:rsidRPr="00515272">
        <w:t>See for example the Australian Museum’s submission to this review in which they noted that much of Australia’s biodiversity remains undescribed.  Their comment was made in relation to the difficulties of identifying threat species but the undescribed nature of Australian biodiversity also introduces difficulty to the completion of risk assessments for outbreaks.</w:t>
      </w:r>
    </w:p>
  </w:footnote>
  <w:footnote w:id="45">
    <w:p w:rsidR="00812D31" w:rsidRPr="00464CF2" w:rsidRDefault="00812D31" w:rsidP="00515272">
      <w:pPr>
        <w:pStyle w:val="FootnoteText"/>
      </w:pPr>
      <w:r>
        <w:rPr>
          <w:rStyle w:val="FootnoteReference"/>
        </w:rPr>
        <w:footnoteRef/>
      </w:r>
      <w:r>
        <w:t xml:space="preserve"> NEBRA, clause 5.3(b)</w:t>
      </w:r>
    </w:p>
  </w:footnote>
  <w:footnote w:id="46">
    <w:p w:rsidR="00812D31" w:rsidRDefault="00812D31">
      <w:pPr>
        <w:pStyle w:val="FootnoteText"/>
      </w:pPr>
      <w:r>
        <w:rPr>
          <w:rStyle w:val="FootnoteReference"/>
        </w:rPr>
        <w:footnoteRef/>
      </w:r>
      <w:r>
        <w:t xml:space="preserve"> </w:t>
      </w:r>
      <w:hyperlink r:id="rId1" w:history="1">
        <w:r w:rsidRPr="00D742C6">
          <w:rPr>
            <w:rStyle w:val="Hyperlink"/>
          </w:rPr>
          <w:t>http://www.agriculture.gov.au/biosecurity/emergency/exercises</w:t>
        </w:r>
      </w:hyperlink>
      <w:r>
        <w:t xml:space="preserve"> accessed 20 May 2017</w:t>
      </w:r>
    </w:p>
  </w:footnote>
  <w:footnote w:id="47">
    <w:p w:rsidR="00812D31" w:rsidRPr="002D1F99" w:rsidRDefault="00812D31" w:rsidP="00515272">
      <w:pPr>
        <w:pStyle w:val="FootnoteText"/>
      </w:pPr>
      <w:r>
        <w:rPr>
          <w:rStyle w:val="FootnoteReference"/>
        </w:rPr>
        <w:footnoteRef/>
      </w:r>
      <w:r>
        <w:t xml:space="preserve"> </w:t>
      </w:r>
      <w:r w:rsidRPr="007A0E20">
        <w:t xml:space="preserve">NEBRA Administrative Group, </w:t>
      </w:r>
      <w:r w:rsidRPr="002D1F99">
        <w:rPr>
          <w:i/>
        </w:rPr>
        <w:t>NEBRA Five Year Review Discussion Paper</w:t>
      </w:r>
      <w:r w:rsidRPr="007A0E20">
        <w:t>, December 2016, pages 3 and 6</w:t>
      </w:r>
    </w:p>
  </w:footnote>
  <w:footnote w:id="48">
    <w:p w:rsidR="00812D31" w:rsidRPr="002D1F99" w:rsidRDefault="00812D31" w:rsidP="00515272">
      <w:pPr>
        <w:pStyle w:val="FootnoteText"/>
      </w:pPr>
      <w:r>
        <w:rPr>
          <w:rStyle w:val="FootnoteReference"/>
        </w:rPr>
        <w:footnoteRef/>
      </w:r>
      <w:r>
        <w:t xml:space="preserve"> NEBRA, Schedule 8, clauses 4 and 5</w:t>
      </w:r>
    </w:p>
  </w:footnote>
  <w:footnote w:id="49">
    <w:p w:rsidR="00812D31" w:rsidRPr="002D1F99" w:rsidRDefault="00812D31" w:rsidP="00515272">
      <w:pPr>
        <w:pStyle w:val="FootnoteText"/>
      </w:pPr>
      <w:r>
        <w:rPr>
          <w:rStyle w:val="FootnoteReference"/>
        </w:rPr>
        <w:footnoteRef/>
      </w:r>
      <w:r>
        <w:t xml:space="preserve"> NEBRA, Schedule 8, clause 2</w:t>
      </w:r>
    </w:p>
  </w:footnote>
  <w:footnote w:id="50">
    <w:p w:rsidR="00812D31" w:rsidRPr="002D1F99" w:rsidRDefault="00812D31" w:rsidP="00515272">
      <w:pPr>
        <w:pStyle w:val="FootnoteText"/>
      </w:pPr>
      <w:r>
        <w:rPr>
          <w:rStyle w:val="FootnoteReference"/>
        </w:rPr>
        <w:footnoteRef/>
      </w:r>
      <w:r>
        <w:t xml:space="preserve"> NEBRA, Schedule 7, clause 2</w:t>
      </w:r>
    </w:p>
  </w:footnote>
  <w:footnote w:id="51">
    <w:p w:rsidR="00812D31" w:rsidRPr="002D1F99" w:rsidRDefault="00812D31" w:rsidP="00515272">
      <w:pPr>
        <w:pStyle w:val="FootnoteText"/>
      </w:pPr>
      <w:r>
        <w:rPr>
          <w:rStyle w:val="FootnoteReference"/>
        </w:rPr>
        <w:footnoteRef/>
      </w:r>
      <w:r>
        <w:t xml:space="preserve"> NEBRA, Schedule 7, clause 4.3(b), clause 5(c) and clause 5(e)</w:t>
      </w:r>
    </w:p>
  </w:footnote>
  <w:footnote w:id="52">
    <w:p w:rsidR="00812D31" w:rsidRPr="006A757C" w:rsidRDefault="00812D31" w:rsidP="00515272">
      <w:pPr>
        <w:pStyle w:val="FootnoteText"/>
      </w:pPr>
      <w:r>
        <w:rPr>
          <w:rStyle w:val="FootnoteReference"/>
        </w:rPr>
        <w:footnoteRef/>
      </w:r>
      <w:r>
        <w:t xml:space="preserve"> NEBRA, Schedule 7, clause 4.3(b)</w:t>
      </w:r>
    </w:p>
  </w:footnote>
  <w:footnote w:id="53">
    <w:p w:rsidR="00812D31" w:rsidRPr="006A757C" w:rsidRDefault="00812D31" w:rsidP="00515272">
      <w:pPr>
        <w:pStyle w:val="FootnoteText"/>
      </w:pPr>
      <w:r>
        <w:rPr>
          <w:rStyle w:val="FootnoteReference"/>
        </w:rPr>
        <w:footnoteRef/>
      </w:r>
      <w:r>
        <w:t xml:space="preserve"> NEBRA, Schedule 8, clause 4.2(c)</w:t>
      </w:r>
    </w:p>
  </w:footnote>
  <w:footnote w:id="54">
    <w:p w:rsidR="00812D31" w:rsidRPr="0003778F" w:rsidRDefault="00812D31" w:rsidP="00515272">
      <w:pPr>
        <w:pStyle w:val="FootnoteText"/>
      </w:pPr>
      <w:r>
        <w:rPr>
          <w:rStyle w:val="FootnoteReference"/>
        </w:rPr>
        <w:footnoteRef/>
      </w:r>
      <w:r>
        <w:t xml:space="preserve"> NEBRA, clause 7.9(b)</w:t>
      </w:r>
    </w:p>
  </w:footnote>
  <w:footnote w:id="55">
    <w:p w:rsidR="00812D31" w:rsidRPr="00DE632A" w:rsidRDefault="00812D31" w:rsidP="00515272">
      <w:pPr>
        <w:pStyle w:val="FootnoteText"/>
      </w:pPr>
      <w:r>
        <w:rPr>
          <w:rStyle w:val="FootnoteReference"/>
        </w:rPr>
        <w:footnoteRef/>
      </w:r>
      <w:r>
        <w:t xml:space="preserve"> IGAB Independent Review Panel, Intergovernmental Agreement on Biosecurity Review Draft Report, December 2016, page 44</w:t>
      </w:r>
    </w:p>
  </w:footnote>
  <w:footnote w:id="56">
    <w:p w:rsidR="00812D31" w:rsidRPr="001E0DF0" w:rsidRDefault="00812D31" w:rsidP="00515272">
      <w:pPr>
        <w:pStyle w:val="FootnoteText"/>
      </w:pPr>
      <w:r>
        <w:rPr>
          <w:rStyle w:val="FootnoteReference"/>
        </w:rPr>
        <w:footnoteRef/>
      </w:r>
      <w:r>
        <w:t xml:space="preserve"> IGAB Independent Review Panel, Intergovernmental Agreement on Biosecurity Review Draft Report, December 2016, page 41</w:t>
      </w:r>
    </w:p>
  </w:footnote>
  <w:footnote w:id="57">
    <w:p w:rsidR="00812D31" w:rsidRPr="00BB7CC9" w:rsidRDefault="00812D31" w:rsidP="00515272">
      <w:pPr>
        <w:pStyle w:val="FootnoteText"/>
      </w:pPr>
      <w:r>
        <w:rPr>
          <w:rStyle w:val="FootnoteReference"/>
        </w:rPr>
        <w:footnoteRef/>
      </w:r>
      <w:r>
        <w:t xml:space="preserve"> NEBRA, clause 7.5(a)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31" w:rsidRDefault="00812D31">
    <w:pPr>
      <w:pStyle w:val="Header"/>
    </w:pPr>
    <w:r>
      <w:rPr>
        <w:noProof/>
        <w:lang w:eastAsia="en-AU"/>
      </w:rPr>
      <mc:AlternateContent>
        <mc:Choice Requires="wps">
          <w:drawing>
            <wp:anchor distT="0" distB="0" distL="114300" distR="114300" simplePos="0" relativeHeight="251670528" behindDoc="0" locked="0" layoutInCell="1" allowOverlap="1" wp14:anchorId="65754572" wp14:editId="5EF60EF0">
              <wp:simplePos x="0" y="0"/>
              <wp:positionH relativeFrom="page">
                <wp:posOffset>1447800</wp:posOffset>
              </wp:positionH>
              <wp:positionV relativeFrom="paragraph">
                <wp:posOffset>-447675</wp:posOffset>
              </wp:positionV>
              <wp:extent cx="10691495" cy="7559675"/>
              <wp:effectExtent l="0" t="0" r="0" b="3175"/>
              <wp:wrapNone/>
              <wp:docPr id="5" name="Rectangle 5"/>
              <wp:cNvGraphicFramePr/>
              <a:graphic xmlns:a="http://schemas.openxmlformats.org/drawingml/2006/main">
                <a:graphicData uri="http://schemas.microsoft.com/office/word/2010/wordprocessingShape">
                  <wps:wsp>
                    <wps:cNvSpPr/>
                    <wps:spPr>
                      <a:xfrm>
                        <a:off x="0" y="0"/>
                        <a:ext cx="10691495" cy="75596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0C00" id="Rectangle 5" o:spid="_x0000_s1026" style="position:absolute;margin-left:114pt;margin-top:-35.25pt;width:841.85pt;height:595.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" fillcolor="#0091da [3205]" stroked="f" strokeweight="1pt">
              <w10:wrap anchorx="page"/>
            </v:rect>
          </w:pict>
        </mc:Fallback>
      </mc:AlternateContent>
    </w:r>
    <w:r>
      <w:rPr>
        <w:noProof/>
        <w:lang w:eastAsia="en-AU"/>
      </w:rPr>
      <mc:AlternateContent>
        <mc:Choice Requires="wps">
          <w:drawing>
            <wp:anchor distT="0" distB="0" distL="114300" distR="114300" simplePos="0" relativeHeight="251669504" behindDoc="0" locked="0" layoutInCell="1" allowOverlap="1" wp14:anchorId="20A7F5F1" wp14:editId="6692CF7A">
              <wp:simplePos x="0" y="0"/>
              <wp:positionH relativeFrom="page">
                <wp:posOffset>6350</wp:posOffset>
              </wp:positionH>
              <wp:positionV relativeFrom="paragraph">
                <wp:posOffset>-457361</wp:posOffset>
              </wp:positionV>
              <wp:extent cx="1439545" cy="10691495"/>
              <wp:effectExtent l="0" t="0" r="8255" b="0"/>
              <wp:wrapNone/>
              <wp:docPr id="4" name="Rectangle 4"/>
              <wp:cNvGraphicFramePr/>
              <a:graphic xmlns:a="http://schemas.openxmlformats.org/drawingml/2006/main">
                <a:graphicData uri="http://schemas.microsoft.com/office/word/2010/wordprocessingShape">
                  <wps:wsp>
                    <wps:cNvSpPr/>
                    <wps:spPr>
                      <a:xfrm>
                        <a:off x="0" y="0"/>
                        <a:ext cx="1439545" cy="10691495"/>
                      </a:xfrm>
                      <a:prstGeom prst="rect">
                        <a:avLst/>
                      </a:prstGeom>
                      <a:solidFill>
                        <a:srgbClr val="0033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68B2" id="Rectangle 4" o:spid="_x0000_s1026" style="position:absolute;margin-left:.5pt;margin-top:-36pt;width:113.35pt;height:84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" fillcolor="#00338d" stroked="f" strokeweight="1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31" w:rsidRDefault="00812D31" w:rsidP="00CB7EE2">
    <w:pPr>
      <w:pStyle w:val="Header"/>
      <w:jc w:val="left"/>
    </w:pPr>
  </w:p>
  <w:p w:rsidR="00812D31" w:rsidRDefault="00812D31" w:rsidP="00E80649">
    <w:pPr>
      <w:pStyle w:val="Header"/>
      <w:spacing w:line="360" w:lineRule="auto"/>
    </w:pPr>
    <w:r>
      <w:t>Review of the NEBRA</w:t>
    </w:r>
  </w:p>
  <w:p w:rsidR="00812D31" w:rsidRDefault="00812D31" w:rsidP="00E80649">
    <w:pPr>
      <w:pStyle w:val="Header"/>
      <w:spacing w:line="360" w:lineRule="auto"/>
    </w:pPr>
    <w:r>
      <w:t>May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31" w:rsidRDefault="00812D31">
    <w:pPr>
      <w:pStyle w:val="Header"/>
    </w:pPr>
    <w:r w:rsidRPr="00DF6610">
      <w:rPr>
        <w:noProof/>
        <w:lang w:eastAsia="en-AU"/>
      </w:rPr>
      <mc:AlternateContent>
        <mc:Choice Requires="wps">
          <w:drawing>
            <wp:anchor distT="0" distB="0" distL="114300" distR="114300" simplePos="0" relativeHeight="251674624" behindDoc="0" locked="0" layoutInCell="1" allowOverlap="1" wp14:anchorId="2F85D63C" wp14:editId="3C78957D">
              <wp:simplePos x="0" y="0"/>
              <wp:positionH relativeFrom="page">
                <wp:posOffset>1385570</wp:posOffset>
              </wp:positionH>
              <wp:positionV relativeFrom="paragraph">
                <wp:posOffset>-460375</wp:posOffset>
              </wp:positionV>
              <wp:extent cx="10691495" cy="7559675"/>
              <wp:effectExtent l="0" t="0" r="0" b="3175"/>
              <wp:wrapNone/>
              <wp:docPr id="10" name="Rectangle 10"/>
              <wp:cNvGraphicFramePr/>
              <a:graphic xmlns:a="http://schemas.openxmlformats.org/drawingml/2006/main">
                <a:graphicData uri="http://schemas.microsoft.com/office/word/2010/wordprocessingShape">
                  <wps:wsp>
                    <wps:cNvSpPr/>
                    <wps:spPr>
                      <a:xfrm>
                        <a:off x="0" y="0"/>
                        <a:ext cx="10691495" cy="75596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B55C2" id="Rectangle 10" o:spid="_x0000_s1026" style="position:absolute;margin-left:109.1pt;margin-top:-36.25pt;width:841.85pt;height:595.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" fillcolor="#0091da [3205]" stroked="f" strokeweight="1pt">
              <w10:wrap anchorx="page"/>
            </v:rect>
          </w:pict>
        </mc:Fallback>
      </mc:AlternateContent>
    </w:r>
    <w:r w:rsidRPr="00DF6610">
      <w:rPr>
        <w:noProof/>
        <w:lang w:eastAsia="en-AU"/>
      </w:rPr>
      <mc:AlternateContent>
        <mc:Choice Requires="wps">
          <w:drawing>
            <wp:anchor distT="0" distB="0" distL="114300" distR="114300" simplePos="0" relativeHeight="251673600" behindDoc="0" locked="0" layoutInCell="1" allowOverlap="1" wp14:anchorId="790BA024" wp14:editId="4E0B8D13">
              <wp:simplePos x="0" y="0"/>
              <wp:positionH relativeFrom="page">
                <wp:posOffset>-55359</wp:posOffset>
              </wp:positionH>
              <wp:positionV relativeFrom="paragraph">
                <wp:posOffset>-471028</wp:posOffset>
              </wp:positionV>
              <wp:extent cx="1439545" cy="10691495"/>
              <wp:effectExtent l="0" t="0" r="8255" b="0"/>
              <wp:wrapNone/>
              <wp:docPr id="8" name="Rectangle 8"/>
              <wp:cNvGraphicFramePr/>
              <a:graphic xmlns:a="http://schemas.openxmlformats.org/drawingml/2006/main">
                <a:graphicData uri="http://schemas.microsoft.com/office/word/2010/wordprocessingShape">
                  <wps:wsp>
                    <wps:cNvSpPr/>
                    <wps:spPr>
                      <a:xfrm>
                        <a:off x="0" y="0"/>
                        <a:ext cx="1439545" cy="10691495"/>
                      </a:xfrm>
                      <a:prstGeom prst="rect">
                        <a:avLst/>
                      </a:prstGeom>
                      <a:solidFill>
                        <a:srgbClr val="0033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D7C4" id="Rectangle 8" o:spid="_x0000_s1026" style="position:absolute;margin-left:-4.35pt;margin-top:-37.1pt;width:113.35pt;height:84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" fillcolor="#00338d" stroked="f" strokeweight="1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29AC8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6569B0C"/>
    <w:lvl w:ilvl="0">
      <w:start w:val="1"/>
      <w:numFmt w:val="bullet"/>
      <w:pStyle w:val="ListBullet2"/>
      <w:lvlText w:val="-"/>
      <w:lvlJc w:val="left"/>
      <w:pPr>
        <w:tabs>
          <w:tab w:val="num" w:pos="697"/>
        </w:tabs>
        <w:ind w:left="697" w:hanging="340"/>
      </w:pPr>
      <w:rPr>
        <w:rFonts w:ascii="9999999" w:hAnsi="9999999" w:cs="Courier New" w:hint="default"/>
      </w:rPr>
    </w:lvl>
  </w:abstractNum>
  <w:abstractNum w:abstractNumId="2" w15:restartNumberingAfterBreak="0">
    <w:nsid w:val="FFFFFF88"/>
    <w:multiLevelType w:val="singleLevel"/>
    <w:tmpl w:val="F5CEAAD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8FEE3B6"/>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4"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5" w15:restartNumberingAfterBreak="0">
    <w:nsid w:val="0EF0341A"/>
    <w:multiLevelType w:val="multilevel"/>
    <w:tmpl w:val="39FAB70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7" w15:restartNumberingAfterBreak="0">
    <w:nsid w:val="193D7B2A"/>
    <w:multiLevelType w:val="singleLevel"/>
    <w:tmpl w:val="3CA0321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1B3E5E98"/>
    <w:multiLevelType w:val="singleLevel"/>
    <w:tmpl w:val="6C289908"/>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1FA247C3"/>
    <w:multiLevelType w:val="singleLevel"/>
    <w:tmpl w:val="0D467B64"/>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31D03DA2"/>
    <w:multiLevelType w:val="multilevel"/>
    <w:tmpl w:val="E5DA9592"/>
    <w:lvl w:ilvl="0">
      <w:start w:val="1"/>
      <w:numFmt w:val="decimal"/>
      <w:pStyle w:val="Numberbullet1stleve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33F61997"/>
    <w:multiLevelType w:val="multilevel"/>
    <w:tmpl w:val="4EE29128"/>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964"/>
        </w:tabs>
        <w:ind w:left="964" w:hanging="964"/>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decimal"/>
      <w:pStyle w:val="Heading4"/>
      <w:lvlText w:val="%1.%2.%3.%4"/>
      <w:lvlJc w:val="left"/>
      <w:pPr>
        <w:tabs>
          <w:tab w:val="num" w:pos="964"/>
        </w:tabs>
        <w:ind w:left="964" w:hanging="9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357F166A"/>
    <w:multiLevelType w:val="multilevel"/>
    <w:tmpl w:val="768EC260"/>
    <w:lvl w:ilvl="0">
      <w:start w:val="1"/>
      <w:numFmt w:val="upperLetter"/>
      <w:pStyle w:val="Appendixheading"/>
      <w:suff w:val="nothing"/>
      <w:lvlText w:val="Appendix %1"/>
      <w:lvlJc w:val="left"/>
      <w:pPr>
        <w:ind w:left="3403" w:firstLine="0"/>
      </w:pPr>
      <w:rPr>
        <w:rFonts w:hint="default"/>
      </w:rPr>
    </w:lvl>
    <w:lvl w:ilvl="1">
      <w:start w:val="1"/>
      <w:numFmt w:val="decimal"/>
      <w:pStyle w:val="AppendixHeading2"/>
      <w:lvlText w:val="%1.%2"/>
      <w:lvlJc w:val="left"/>
      <w:pPr>
        <w:tabs>
          <w:tab w:val="num" w:pos="3555"/>
        </w:tabs>
        <w:ind w:left="3555"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E86CD4"/>
    <w:multiLevelType w:val="singleLevel"/>
    <w:tmpl w:val="74A67748"/>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3D4656A4"/>
    <w:multiLevelType w:val="singleLevel"/>
    <w:tmpl w:val="2758BD80"/>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4C830B73"/>
    <w:multiLevelType w:val="hybridMultilevel"/>
    <w:tmpl w:val="B5224CDA"/>
    <w:lvl w:ilvl="0" w:tplc="C33086E8">
      <w:start w:val="1"/>
      <w:numFmt w:val="decimal"/>
      <w:pStyle w:val="Numberbullet2ndleve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6D67EA"/>
    <w:multiLevelType w:val="multilevel"/>
    <w:tmpl w:val="98FC7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042708"/>
    <w:multiLevelType w:val="hybridMultilevel"/>
    <w:tmpl w:val="ECA2B3FE"/>
    <w:lvl w:ilvl="0" w:tplc="884A086A">
      <w:start w:val="1"/>
      <w:numFmt w:val="bullet"/>
      <w:pStyle w:val="CVbullet1"/>
      <w:lvlText w:val=""/>
      <w:lvlJc w:val="left"/>
      <w:pPr>
        <w:tabs>
          <w:tab w:val="num" w:pos="340"/>
        </w:tabs>
        <w:ind w:left="340" w:hanging="340"/>
      </w:pPr>
      <w:rPr>
        <w:rFonts w:ascii="Symbol" w:hAnsi="Symbol" w:hint="default"/>
        <w:color w:val="0091DA" w:themeColor="accen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A365BA"/>
    <w:multiLevelType w:val="hybridMultilevel"/>
    <w:tmpl w:val="61567BE2"/>
    <w:lvl w:ilvl="0" w:tplc="40BCDD4A">
      <w:start w:val="1"/>
      <w:numFmt w:val="bullet"/>
      <w:pStyle w:val="Bullet3rdlevel"/>
      <w:lvlText w:val="■"/>
      <w:lvlJc w:val="left"/>
      <w:pPr>
        <w:tabs>
          <w:tab w:val="num" w:pos="340"/>
        </w:tabs>
        <w:ind w:left="340" w:hanging="34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num>
  <w:num w:numId="4">
    <w:abstractNumId w:val="16"/>
  </w:num>
  <w:num w:numId="5">
    <w:abstractNumId w:val="18"/>
  </w:num>
  <w:num w:numId="6">
    <w:abstractNumId w:val="13"/>
  </w:num>
  <w:num w:numId="7">
    <w:abstractNumId w:val="3"/>
  </w:num>
  <w:num w:numId="8">
    <w:abstractNumId w:val="1"/>
  </w:num>
  <w:num w:numId="9">
    <w:abstractNumId w:val="0"/>
  </w:num>
  <w:num w:numId="10">
    <w:abstractNumId w:val="2"/>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4"/>
  </w:num>
  <w:num w:numId="19">
    <w:abstractNumId w:val="7"/>
  </w:num>
  <w:num w:numId="20">
    <w:abstractNumId w:val="15"/>
  </w:num>
  <w:num w:numId="21">
    <w:abstractNumId w:val="8"/>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AC65F0"/>
    <w:rsid w:val="00013847"/>
    <w:rsid w:val="00024A97"/>
    <w:rsid w:val="00027286"/>
    <w:rsid w:val="00036717"/>
    <w:rsid w:val="0003778F"/>
    <w:rsid w:val="00044853"/>
    <w:rsid w:val="00053A68"/>
    <w:rsid w:val="00054AC1"/>
    <w:rsid w:val="0006382E"/>
    <w:rsid w:val="00074698"/>
    <w:rsid w:val="000757C5"/>
    <w:rsid w:val="00076C0B"/>
    <w:rsid w:val="00081019"/>
    <w:rsid w:val="00082D8E"/>
    <w:rsid w:val="000843B7"/>
    <w:rsid w:val="00097215"/>
    <w:rsid w:val="000A0441"/>
    <w:rsid w:val="000A3293"/>
    <w:rsid w:val="000C0C20"/>
    <w:rsid w:val="000C1179"/>
    <w:rsid w:val="000C1C8C"/>
    <w:rsid w:val="000C3596"/>
    <w:rsid w:val="000D2222"/>
    <w:rsid w:val="000D5ABE"/>
    <w:rsid w:val="000D7299"/>
    <w:rsid w:val="000D7E06"/>
    <w:rsid w:val="000E3122"/>
    <w:rsid w:val="000E6274"/>
    <w:rsid w:val="000F1353"/>
    <w:rsid w:val="000F467A"/>
    <w:rsid w:val="000F5AC7"/>
    <w:rsid w:val="000F698A"/>
    <w:rsid w:val="0011212A"/>
    <w:rsid w:val="00122C00"/>
    <w:rsid w:val="00125534"/>
    <w:rsid w:val="0012610E"/>
    <w:rsid w:val="0013323D"/>
    <w:rsid w:val="0013587C"/>
    <w:rsid w:val="00147839"/>
    <w:rsid w:val="00147A30"/>
    <w:rsid w:val="00153C8B"/>
    <w:rsid w:val="00164A11"/>
    <w:rsid w:val="00165760"/>
    <w:rsid w:val="0016647A"/>
    <w:rsid w:val="00176E1B"/>
    <w:rsid w:val="0017702B"/>
    <w:rsid w:val="001978EA"/>
    <w:rsid w:val="001A5D32"/>
    <w:rsid w:val="001A621F"/>
    <w:rsid w:val="001A7318"/>
    <w:rsid w:val="001B1D3D"/>
    <w:rsid w:val="001B265F"/>
    <w:rsid w:val="001B3428"/>
    <w:rsid w:val="001B3FDC"/>
    <w:rsid w:val="001B41A0"/>
    <w:rsid w:val="001B4828"/>
    <w:rsid w:val="001C3627"/>
    <w:rsid w:val="001C42BC"/>
    <w:rsid w:val="001C5F40"/>
    <w:rsid w:val="001E0DF0"/>
    <w:rsid w:val="001E109A"/>
    <w:rsid w:val="001F5CBA"/>
    <w:rsid w:val="00201B24"/>
    <w:rsid w:val="00202AA6"/>
    <w:rsid w:val="00202D9E"/>
    <w:rsid w:val="00212362"/>
    <w:rsid w:val="00225BA4"/>
    <w:rsid w:val="00234181"/>
    <w:rsid w:val="002360FF"/>
    <w:rsid w:val="002407B8"/>
    <w:rsid w:val="0024103E"/>
    <w:rsid w:val="0024294E"/>
    <w:rsid w:val="0024699F"/>
    <w:rsid w:val="00247B14"/>
    <w:rsid w:val="00247DFE"/>
    <w:rsid w:val="002506AB"/>
    <w:rsid w:val="0025230E"/>
    <w:rsid w:val="002562C9"/>
    <w:rsid w:val="0025716B"/>
    <w:rsid w:val="00260E8B"/>
    <w:rsid w:val="00263AE3"/>
    <w:rsid w:val="00274B77"/>
    <w:rsid w:val="00276C6F"/>
    <w:rsid w:val="00287CE1"/>
    <w:rsid w:val="0029008C"/>
    <w:rsid w:val="0029177B"/>
    <w:rsid w:val="00295213"/>
    <w:rsid w:val="0029648B"/>
    <w:rsid w:val="002C7161"/>
    <w:rsid w:val="002C7E6E"/>
    <w:rsid w:val="002D014E"/>
    <w:rsid w:val="002D079F"/>
    <w:rsid w:val="002D1F99"/>
    <w:rsid w:val="002D4548"/>
    <w:rsid w:val="002E0BA8"/>
    <w:rsid w:val="002E0C80"/>
    <w:rsid w:val="002E1DDC"/>
    <w:rsid w:val="002E2ADD"/>
    <w:rsid w:val="002E5143"/>
    <w:rsid w:val="002F1D34"/>
    <w:rsid w:val="002F2AB6"/>
    <w:rsid w:val="002F40D6"/>
    <w:rsid w:val="002F438D"/>
    <w:rsid w:val="00300D58"/>
    <w:rsid w:val="00303CC6"/>
    <w:rsid w:val="00310983"/>
    <w:rsid w:val="003264D7"/>
    <w:rsid w:val="00332071"/>
    <w:rsid w:val="003348D5"/>
    <w:rsid w:val="00336714"/>
    <w:rsid w:val="00337CF8"/>
    <w:rsid w:val="00346434"/>
    <w:rsid w:val="00346A72"/>
    <w:rsid w:val="0035134C"/>
    <w:rsid w:val="00352851"/>
    <w:rsid w:val="00357FF0"/>
    <w:rsid w:val="00365F36"/>
    <w:rsid w:val="00366E93"/>
    <w:rsid w:val="003824CC"/>
    <w:rsid w:val="00385D52"/>
    <w:rsid w:val="0038698A"/>
    <w:rsid w:val="00391BBF"/>
    <w:rsid w:val="00392D0B"/>
    <w:rsid w:val="003A5591"/>
    <w:rsid w:val="003B667C"/>
    <w:rsid w:val="003D122A"/>
    <w:rsid w:val="003E305A"/>
    <w:rsid w:val="003E59AA"/>
    <w:rsid w:val="00404D78"/>
    <w:rsid w:val="00410470"/>
    <w:rsid w:val="00410551"/>
    <w:rsid w:val="00412673"/>
    <w:rsid w:val="00412BA2"/>
    <w:rsid w:val="00413248"/>
    <w:rsid w:val="00413F49"/>
    <w:rsid w:val="00423132"/>
    <w:rsid w:val="00423DA5"/>
    <w:rsid w:val="00426771"/>
    <w:rsid w:val="004303D1"/>
    <w:rsid w:val="004315E5"/>
    <w:rsid w:val="004340A6"/>
    <w:rsid w:val="004421C8"/>
    <w:rsid w:val="00447A76"/>
    <w:rsid w:val="00447CB5"/>
    <w:rsid w:val="00451E15"/>
    <w:rsid w:val="004539E6"/>
    <w:rsid w:val="00453BFD"/>
    <w:rsid w:val="004623DA"/>
    <w:rsid w:val="00464264"/>
    <w:rsid w:val="00464CF2"/>
    <w:rsid w:val="00467F47"/>
    <w:rsid w:val="004712CE"/>
    <w:rsid w:val="00480411"/>
    <w:rsid w:val="0049276F"/>
    <w:rsid w:val="00495232"/>
    <w:rsid w:val="00497599"/>
    <w:rsid w:val="004A3F32"/>
    <w:rsid w:val="004A7402"/>
    <w:rsid w:val="004B1B12"/>
    <w:rsid w:val="004C1206"/>
    <w:rsid w:val="004C3C45"/>
    <w:rsid w:val="004D0067"/>
    <w:rsid w:val="004D09A4"/>
    <w:rsid w:val="004D24DE"/>
    <w:rsid w:val="004D6B89"/>
    <w:rsid w:val="004D7EDD"/>
    <w:rsid w:val="004F1F97"/>
    <w:rsid w:val="004F253C"/>
    <w:rsid w:val="00515272"/>
    <w:rsid w:val="00515C54"/>
    <w:rsid w:val="00517FED"/>
    <w:rsid w:val="005201AE"/>
    <w:rsid w:val="00521C9B"/>
    <w:rsid w:val="00524CE9"/>
    <w:rsid w:val="00526687"/>
    <w:rsid w:val="00526D3E"/>
    <w:rsid w:val="0052720F"/>
    <w:rsid w:val="005375EC"/>
    <w:rsid w:val="00540263"/>
    <w:rsid w:val="00540582"/>
    <w:rsid w:val="00543A22"/>
    <w:rsid w:val="005456FE"/>
    <w:rsid w:val="0056267B"/>
    <w:rsid w:val="005708C3"/>
    <w:rsid w:val="00574EAE"/>
    <w:rsid w:val="005827FC"/>
    <w:rsid w:val="0058699D"/>
    <w:rsid w:val="005901CB"/>
    <w:rsid w:val="00590496"/>
    <w:rsid w:val="00590604"/>
    <w:rsid w:val="00594EC8"/>
    <w:rsid w:val="005A3EB4"/>
    <w:rsid w:val="005A47D7"/>
    <w:rsid w:val="005B0814"/>
    <w:rsid w:val="005B3D06"/>
    <w:rsid w:val="005C5200"/>
    <w:rsid w:val="005C7397"/>
    <w:rsid w:val="005D134D"/>
    <w:rsid w:val="005D733D"/>
    <w:rsid w:val="005E21F7"/>
    <w:rsid w:val="005F2C6C"/>
    <w:rsid w:val="005F4FB9"/>
    <w:rsid w:val="005F5B21"/>
    <w:rsid w:val="005F629C"/>
    <w:rsid w:val="00606168"/>
    <w:rsid w:val="006073EB"/>
    <w:rsid w:val="006078A5"/>
    <w:rsid w:val="006113C3"/>
    <w:rsid w:val="00614E67"/>
    <w:rsid w:val="006157AB"/>
    <w:rsid w:val="006165F2"/>
    <w:rsid w:val="00620D83"/>
    <w:rsid w:val="00636874"/>
    <w:rsid w:val="00640251"/>
    <w:rsid w:val="0064098A"/>
    <w:rsid w:val="006449FF"/>
    <w:rsid w:val="0064682A"/>
    <w:rsid w:val="0065352E"/>
    <w:rsid w:val="0066673E"/>
    <w:rsid w:val="00670CF5"/>
    <w:rsid w:val="00673C50"/>
    <w:rsid w:val="00680998"/>
    <w:rsid w:val="00682B27"/>
    <w:rsid w:val="00683A12"/>
    <w:rsid w:val="00684420"/>
    <w:rsid w:val="00684768"/>
    <w:rsid w:val="006864FF"/>
    <w:rsid w:val="00687F6F"/>
    <w:rsid w:val="0069701B"/>
    <w:rsid w:val="006A44E9"/>
    <w:rsid w:val="006A4C81"/>
    <w:rsid w:val="006A757C"/>
    <w:rsid w:val="006B3F81"/>
    <w:rsid w:val="006B49A4"/>
    <w:rsid w:val="006B54B0"/>
    <w:rsid w:val="006C2D16"/>
    <w:rsid w:val="006C555E"/>
    <w:rsid w:val="006D0F0F"/>
    <w:rsid w:val="006D0F27"/>
    <w:rsid w:val="006D48CC"/>
    <w:rsid w:val="006E2CE8"/>
    <w:rsid w:val="006F610E"/>
    <w:rsid w:val="00723D3C"/>
    <w:rsid w:val="007316D0"/>
    <w:rsid w:val="00735DC4"/>
    <w:rsid w:val="00740AFE"/>
    <w:rsid w:val="007634C5"/>
    <w:rsid w:val="00764EFD"/>
    <w:rsid w:val="00772DB8"/>
    <w:rsid w:val="0077569C"/>
    <w:rsid w:val="0078585C"/>
    <w:rsid w:val="007944EC"/>
    <w:rsid w:val="007B69DC"/>
    <w:rsid w:val="007C139A"/>
    <w:rsid w:val="007D41B3"/>
    <w:rsid w:val="007E0C8C"/>
    <w:rsid w:val="007E23D9"/>
    <w:rsid w:val="007E63AB"/>
    <w:rsid w:val="007F00CB"/>
    <w:rsid w:val="007F201D"/>
    <w:rsid w:val="007F7E1F"/>
    <w:rsid w:val="008010FE"/>
    <w:rsid w:val="00802C2C"/>
    <w:rsid w:val="008056E3"/>
    <w:rsid w:val="00807B1B"/>
    <w:rsid w:val="00812D31"/>
    <w:rsid w:val="008219E3"/>
    <w:rsid w:val="00821D20"/>
    <w:rsid w:val="00821FAB"/>
    <w:rsid w:val="008229A8"/>
    <w:rsid w:val="00826506"/>
    <w:rsid w:val="00827C81"/>
    <w:rsid w:val="00832BEA"/>
    <w:rsid w:val="00833ECC"/>
    <w:rsid w:val="00846C65"/>
    <w:rsid w:val="00856580"/>
    <w:rsid w:val="00860A83"/>
    <w:rsid w:val="00860F7F"/>
    <w:rsid w:val="00861326"/>
    <w:rsid w:val="0086307B"/>
    <w:rsid w:val="00864148"/>
    <w:rsid w:val="00871755"/>
    <w:rsid w:val="00877CE0"/>
    <w:rsid w:val="00882C94"/>
    <w:rsid w:val="0088573B"/>
    <w:rsid w:val="0088788E"/>
    <w:rsid w:val="008A0566"/>
    <w:rsid w:val="008A2748"/>
    <w:rsid w:val="008A7ABB"/>
    <w:rsid w:val="008B1B1E"/>
    <w:rsid w:val="008B537C"/>
    <w:rsid w:val="008C04FD"/>
    <w:rsid w:val="008C1F0A"/>
    <w:rsid w:val="008C3100"/>
    <w:rsid w:val="008C5A39"/>
    <w:rsid w:val="008C7371"/>
    <w:rsid w:val="008D18EC"/>
    <w:rsid w:val="008E2B9D"/>
    <w:rsid w:val="008F0F1A"/>
    <w:rsid w:val="0090194C"/>
    <w:rsid w:val="00903423"/>
    <w:rsid w:val="00912509"/>
    <w:rsid w:val="00926C88"/>
    <w:rsid w:val="009310D1"/>
    <w:rsid w:val="00931D80"/>
    <w:rsid w:val="00937AD5"/>
    <w:rsid w:val="0094187F"/>
    <w:rsid w:val="00943836"/>
    <w:rsid w:val="00943D20"/>
    <w:rsid w:val="00960DFA"/>
    <w:rsid w:val="009633A2"/>
    <w:rsid w:val="009650E3"/>
    <w:rsid w:val="009701D2"/>
    <w:rsid w:val="00972F05"/>
    <w:rsid w:val="00974BD3"/>
    <w:rsid w:val="00985F84"/>
    <w:rsid w:val="0099723C"/>
    <w:rsid w:val="009A49D6"/>
    <w:rsid w:val="009B02D6"/>
    <w:rsid w:val="009B0644"/>
    <w:rsid w:val="009B19A2"/>
    <w:rsid w:val="009B1CC6"/>
    <w:rsid w:val="009B5EE7"/>
    <w:rsid w:val="009B5F14"/>
    <w:rsid w:val="009B6AAB"/>
    <w:rsid w:val="009C2428"/>
    <w:rsid w:val="009D42B3"/>
    <w:rsid w:val="009D5BD3"/>
    <w:rsid w:val="009E5F31"/>
    <w:rsid w:val="009F5F42"/>
    <w:rsid w:val="00A03345"/>
    <w:rsid w:val="00A1242A"/>
    <w:rsid w:val="00A163B0"/>
    <w:rsid w:val="00A2328B"/>
    <w:rsid w:val="00A2604E"/>
    <w:rsid w:val="00A3259A"/>
    <w:rsid w:val="00A35FBC"/>
    <w:rsid w:val="00A41A7F"/>
    <w:rsid w:val="00A55223"/>
    <w:rsid w:val="00A62152"/>
    <w:rsid w:val="00A70AA7"/>
    <w:rsid w:val="00A7273D"/>
    <w:rsid w:val="00A9002E"/>
    <w:rsid w:val="00A959B9"/>
    <w:rsid w:val="00AA4B9D"/>
    <w:rsid w:val="00AA730E"/>
    <w:rsid w:val="00AA7694"/>
    <w:rsid w:val="00AB0E7C"/>
    <w:rsid w:val="00AB131B"/>
    <w:rsid w:val="00AC0EA8"/>
    <w:rsid w:val="00AC65F0"/>
    <w:rsid w:val="00AD3467"/>
    <w:rsid w:val="00AD5636"/>
    <w:rsid w:val="00AD77EF"/>
    <w:rsid w:val="00AE2225"/>
    <w:rsid w:val="00AE5C4A"/>
    <w:rsid w:val="00AF0162"/>
    <w:rsid w:val="00AF3BAB"/>
    <w:rsid w:val="00AF41E4"/>
    <w:rsid w:val="00AF4EBD"/>
    <w:rsid w:val="00B01D5A"/>
    <w:rsid w:val="00B03E55"/>
    <w:rsid w:val="00B15D0E"/>
    <w:rsid w:val="00B23924"/>
    <w:rsid w:val="00B26C2D"/>
    <w:rsid w:val="00B42141"/>
    <w:rsid w:val="00B42329"/>
    <w:rsid w:val="00B4432A"/>
    <w:rsid w:val="00B443A1"/>
    <w:rsid w:val="00B5130B"/>
    <w:rsid w:val="00B54767"/>
    <w:rsid w:val="00B55E47"/>
    <w:rsid w:val="00B633F0"/>
    <w:rsid w:val="00B65FF2"/>
    <w:rsid w:val="00B71311"/>
    <w:rsid w:val="00B73A14"/>
    <w:rsid w:val="00B75AA5"/>
    <w:rsid w:val="00B833CC"/>
    <w:rsid w:val="00B860FF"/>
    <w:rsid w:val="00B869FC"/>
    <w:rsid w:val="00B93B13"/>
    <w:rsid w:val="00B978C9"/>
    <w:rsid w:val="00BA1D66"/>
    <w:rsid w:val="00BA4108"/>
    <w:rsid w:val="00BB3C5A"/>
    <w:rsid w:val="00BB7CC9"/>
    <w:rsid w:val="00BC2112"/>
    <w:rsid w:val="00BC34EE"/>
    <w:rsid w:val="00BC469C"/>
    <w:rsid w:val="00BD79C1"/>
    <w:rsid w:val="00BF0A87"/>
    <w:rsid w:val="00BF0AC1"/>
    <w:rsid w:val="00C04F44"/>
    <w:rsid w:val="00C11EBB"/>
    <w:rsid w:val="00C13BD2"/>
    <w:rsid w:val="00C13D7A"/>
    <w:rsid w:val="00C15D8D"/>
    <w:rsid w:val="00C245FF"/>
    <w:rsid w:val="00C27B04"/>
    <w:rsid w:val="00C34580"/>
    <w:rsid w:val="00C501C3"/>
    <w:rsid w:val="00C57B50"/>
    <w:rsid w:val="00C6597F"/>
    <w:rsid w:val="00C70CBD"/>
    <w:rsid w:val="00C72CBA"/>
    <w:rsid w:val="00C87941"/>
    <w:rsid w:val="00CA1775"/>
    <w:rsid w:val="00CA78C8"/>
    <w:rsid w:val="00CB1737"/>
    <w:rsid w:val="00CB1A6E"/>
    <w:rsid w:val="00CB686F"/>
    <w:rsid w:val="00CB6AC4"/>
    <w:rsid w:val="00CB7EE2"/>
    <w:rsid w:val="00CC04BA"/>
    <w:rsid w:val="00CC0A18"/>
    <w:rsid w:val="00CC7A82"/>
    <w:rsid w:val="00CD6A94"/>
    <w:rsid w:val="00CE66EC"/>
    <w:rsid w:val="00CF5A31"/>
    <w:rsid w:val="00D03F1F"/>
    <w:rsid w:val="00D104E7"/>
    <w:rsid w:val="00D36811"/>
    <w:rsid w:val="00D45F30"/>
    <w:rsid w:val="00D525D0"/>
    <w:rsid w:val="00D54BAC"/>
    <w:rsid w:val="00D57D90"/>
    <w:rsid w:val="00D60C96"/>
    <w:rsid w:val="00D64B10"/>
    <w:rsid w:val="00D65A2D"/>
    <w:rsid w:val="00D819F7"/>
    <w:rsid w:val="00DB015C"/>
    <w:rsid w:val="00DB3600"/>
    <w:rsid w:val="00DB6910"/>
    <w:rsid w:val="00DC107B"/>
    <w:rsid w:val="00DC1CE0"/>
    <w:rsid w:val="00DC30A4"/>
    <w:rsid w:val="00DE632A"/>
    <w:rsid w:val="00DE6E64"/>
    <w:rsid w:val="00DF41EE"/>
    <w:rsid w:val="00DF6610"/>
    <w:rsid w:val="00E00D71"/>
    <w:rsid w:val="00E02C03"/>
    <w:rsid w:val="00E03047"/>
    <w:rsid w:val="00E0387A"/>
    <w:rsid w:val="00E17AC7"/>
    <w:rsid w:val="00E347A9"/>
    <w:rsid w:val="00E3493B"/>
    <w:rsid w:val="00E3673E"/>
    <w:rsid w:val="00E370BE"/>
    <w:rsid w:val="00E42AA6"/>
    <w:rsid w:val="00E42E62"/>
    <w:rsid w:val="00E55E28"/>
    <w:rsid w:val="00E70430"/>
    <w:rsid w:val="00E74659"/>
    <w:rsid w:val="00E80649"/>
    <w:rsid w:val="00E8209D"/>
    <w:rsid w:val="00E827F0"/>
    <w:rsid w:val="00E83944"/>
    <w:rsid w:val="00E86611"/>
    <w:rsid w:val="00E86CB3"/>
    <w:rsid w:val="00E97508"/>
    <w:rsid w:val="00EA0C09"/>
    <w:rsid w:val="00EA1AF6"/>
    <w:rsid w:val="00EB3FAA"/>
    <w:rsid w:val="00EC45B6"/>
    <w:rsid w:val="00EC5AEC"/>
    <w:rsid w:val="00ED4992"/>
    <w:rsid w:val="00ED4D3C"/>
    <w:rsid w:val="00EE3AA6"/>
    <w:rsid w:val="00EE741F"/>
    <w:rsid w:val="00EE7DBC"/>
    <w:rsid w:val="00F0225D"/>
    <w:rsid w:val="00F07F41"/>
    <w:rsid w:val="00F105C3"/>
    <w:rsid w:val="00F10E7B"/>
    <w:rsid w:val="00F1256D"/>
    <w:rsid w:val="00F12732"/>
    <w:rsid w:val="00F13C20"/>
    <w:rsid w:val="00F155D8"/>
    <w:rsid w:val="00F26F6E"/>
    <w:rsid w:val="00F305CE"/>
    <w:rsid w:val="00F334B5"/>
    <w:rsid w:val="00F43DD7"/>
    <w:rsid w:val="00F455AD"/>
    <w:rsid w:val="00F46CE6"/>
    <w:rsid w:val="00F54EF8"/>
    <w:rsid w:val="00F6348F"/>
    <w:rsid w:val="00F6617F"/>
    <w:rsid w:val="00F66210"/>
    <w:rsid w:val="00F84276"/>
    <w:rsid w:val="00F8684C"/>
    <w:rsid w:val="00F9323C"/>
    <w:rsid w:val="00FA3163"/>
    <w:rsid w:val="00FA3DF7"/>
    <w:rsid w:val="00FA40B0"/>
    <w:rsid w:val="00FA685C"/>
    <w:rsid w:val="00FA6B89"/>
    <w:rsid w:val="00FA704D"/>
    <w:rsid w:val="00FB5A45"/>
    <w:rsid w:val="00FC463A"/>
    <w:rsid w:val="00FD097B"/>
    <w:rsid w:val="00FD334E"/>
    <w:rsid w:val="00FF0BDA"/>
    <w:rsid w:val="00FF32B2"/>
    <w:rsid w:val="00FF4955"/>
    <w:rsid w:val="00FF5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B117EF-B070-4B1B-863C-4B192CAC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A2D"/>
    <w:pPr>
      <w:spacing w:before="120" w:after="120" w:line="240" w:lineRule="auto"/>
    </w:pPr>
    <w:rPr>
      <w:rFonts w:ascii="Univers 45 Light" w:hAnsi="Univers 45 Light"/>
      <w:sz w:val="20"/>
    </w:rPr>
  </w:style>
  <w:style w:type="paragraph" w:styleId="Heading1">
    <w:name w:val="heading 1"/>
    <w:next w:val="BodyText"/>
    <w:link w:val="Heading1Char"/>
    <w:uiPriority w:val="9"/>
    <w:qFormat/>
    <w:rsid w:val="00CB7EE2"/>
    <w:pPr>
      <w:keepNext/>
      <w:keepLines/>
      <w:pageBreakBefore/>
      <w:numPr>
        <w:numId w:val="11"/>
      </w:numPr>
      <w:spacing w:before="240" w:after="240" w:line="240" w:lineRule="auto"/>
      <w:outlineLvl w:val="0"/>
    </w:pPr>
    <w:rPr>
      <w:rFonts w:ascii="KPMG Light" w:eastAsiaTheme="majorEastAsia" w:hAnsi="KPMG Light" w:cstheme="majorBidi"/>
      <w:color w:val="00338D"/>
      <w:sz w:val="96"/>
      <w:szCs w:val="96"/>
    </w:rPr>
  </w:style>
  <w:style w:type="paragraph" w:styleId="Heading2">
    <w:name w:val="heading 2"/>
    <w:basedOn w:val="Normal"/>
    <w:next w:val="Normal"/>
    <w:link w:val="Heading2Char"/>
    <w:uiPriority w:val="9"/>
    <w:unhideWhenUsed/>
    <w:qFormat/>
    <w:rsid w:val="00F455AD"/>
    <w:pPr>
      <w:keepNext/>
      <w:keepLines/>
      <w:numPr>
        <w:ilvl w:val="1"/>
        <w:numId w:val="11"/>
      </w:numPr>
      <w:spacing w:before="240" w:after="240"/>
      <w:outlineLvl w:val="1"/>
    </w:pPr>
    <w:rPr>
      <w:rFonts w:ascii="KPMG Light" w:eastAsiaTheme="majorEastAsia" w:hAnsi="KPMG Light" w:cstheme="majorBidi"/>
      <w:color w:val="00338D"/>
      <w:sz w:val="72"/>
      <w:szCs w:val="26"/>
    </w:rPr>
  </w:style>
  <w:style w:type="paragraph" w:styleId="Heading3">
    <w:name w:val="heading 3"/>
    <w:basedOn w:val="Normal"/>
    <w:next w:val="Normal"/>
    <w:link w:val="Heading3Char"/>
    <w:uiPriority w:val="9"/>
    <w:unhideWhenUsed/>
    <w:qFormat/>
    <w:rsid w:val="00385D52"/>
    <w:pPr>
      <w:keepNext/>
      <w:keepLines/>
      <w:numPr>
        <w:ilvl w:val="2"/>
        <w:numId w:val="11"/>
      </w:numPr>
      <w:spacing w:before="40" w:after="0"/>
      <w:outlineLvl w:val="2"/>
    </w:pPr>
    <w:rPr>
      <w:rFonts w:eastAsiaTheme="majorEastAsia" w:cstheme="majorBidi"/>
      <w:color w:val="0091DA" w:themeColor="accent2"/>
      <w:sz w:val="32"/>
      <w:szCs w:val="24"/>
    </w:rPr>
  </w:style>
  <w:style w:type="paragraph" w:styleId="Heading4">
    <w:name w:val="heading 4"/>
    <w:basedOn w:val="Normal"/>
    <w:next w:val="Normal"/>
    <w:link w:val="Heading4Char"/>
    <w:uiPriority w:val="9"/>
    <w:unhideWhenUsed/>
    <w:qFormat/>
    <w:rsid w:val="00BA4108"/>
    <w:pPr>
      <w:keepNext/>
      <w:keepLines/>
      <w:numPr>
        <w:ilvl w:val="3"/>
        <w:numId w:val="11"/>
      </w:numPr>
      <w:spacing w:after="0"/>
      <w:outlineLvl w:val="3"/>
    </w:pPr>
    <w:rPr>
      <w:rFonts w:eastAsiaTheme="majorEastAsia" w:cstheme="majorBidi"/>
      <w:b/>
      <w:iCs/>
      <w:color w:val="00338D" w:themeColor="background2"/>
      <w:sz w:val="24"/>
    </w:rPr>
  </w:style>
  <w:style w:type="paragraph" w:styleId="Heading5">
    <w:name w:val="heading 5"/>
    <w:basedOn w:val="BodyText1"/>
    <w:next w:val="BodyText"/>
    <w:link w:val="Heading5Char"/>
    <w:uiPriority w:val="9"/>
    <w:unhideWhenUsed/>
    <w:qFormat/>
    <w:rsid w:val="00D65A2D"/>
    <w:pPr>
      <w:keepNext/>
      <w:numPr>
        <w:ilvl w:val="4"/>
        <w:numId w:val="11"/>
      </w:numPr>
      <w:outlineLvl w:val="4"/>
    </w:pPr>
    <w:rPr>
      <w:b/>
      <w:sz w:val="22"/>
    </w:rPr>
  </w:style>
  <w:style w:type="paragraph" w:styleId="Heading6">
    <w:name w:val="heading 6"/>
    <w:basedOn w:val="BodyText1"/>
    <w:next w:val="Normal"/>
    <w:link w:val="Heading6Char"/>
    <w:uiPriority w:val="9"/>
    <w:unhideWhenUsed/>
    <w:qFormat/>
    <w:rsid w:val="00B93B13"/>
    <w:pPr>
      <w:numPr>
        <w:ilvl w:val="5"/>
        <w:numId w:val="11"/>
      </w:numPr>
      <w:outlineLvl w:val="5"/>
    </w:pPr>
    <w:rPr>
      <w:i/>
      <w:color w:val="0091DA" w:themeColor="accent2"/>
    </w:rPr>
  </w:style>
  <w:style w:type="paragraph" w:styleId="Heading7">
    <w:name w:val="heading 7"/>
    <w:basedOn w:val="Normal"/>
    <w:next w:val="Normal"/>
    <w:link w:val="Heading7Char"/>
    <w:uiPriority w:val="9"/>
    <w:semiHidden/>
    <w:unhideWhenUsed/>
    <w:qFormat/>
    <w:rsid w:val="00AE5C4A"/>
    <w:pPr>
      <w:keepNext/>
      <w:keepLines/>
      <w:numPr>
        <w:ilvl w:val="6"/>
        <w:numId w:val="11"/>
      </w:numPr>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AE5C4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C4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08pt">
    <w:name w:val="Cover title 1_108pt"/>
    <w:qFormat/>
    <w:rsid w:val="001B41A0"/>
    <w:pPr>
      <w:spacing w:after="0" w:line="240" w:lineRule="auto"/>
    </w:pPr>
    <w:rPr>
      <w:rFonts w:ascii="KPMG Light" w:hAnsi="KPMG Light"/>
      <w:noProof/>
      <w:color w:val="FFFFFF" w:themeColor="background1"/>
      <w:sz w:val="216"/>
      <w:lang w:eastAsia="en-AU"/>
    </w:rPr>
  </w:style>
  <w:style w:type="paragraph" w:customStyle="1" w:styleId="Covertitle216ptB">
    <w:name w:val="Cover title 2_16pt_B"/>
    <w:qFormat/>
    <w:rsid w:val="009B5EE7"/>
    <w:pPr>
      <w:spacing w:after="0" w:line="240" w:lineRule="auto"/>
    </w:pPr>
    <w:rPr>
      <w:rFonts w:ascii="Univers 45 Light" w:hAnsi="Univers 45 Light"/>
      <w:b/>
      <w:color w:val="FFFFFF" w:themeColor="background1"/>
      <w:sz w:val="32"/>
    </w:rPr>
  </w:style>
  <w:style w:type="paragraph" w:customStyle="1" w:styleId="Covertitle316ptNB">
    <w:name w:val="Cover title 3_16pt_NB"/>
    <w:qFormat/>
    <w:rsid w:val="001B41A0"/>
    <w:pPr>
      <w:spacing w:after="0" w:line="240" w:lineRule="auto"/>
    </w:pPr>
    <w:rPr>
      <w:rFonts w:ascii="Univers 45 Light" w:hAnsi="Univers 45 Light"/>
      <w:color w:val="FFFFFF" w:themeColor="background1"/>
      <w:sz w:val="32"/>
    </w:rPr>
  </w:style>
  <w:style w:type="paragraph" w:customStyle="1" w:styleId="Covertitle412pt">
    <w:name w:val="Cover title 4_12pt"/>
    <w:qFormat/>
    <w:rsid w:val="009B5EE7"/>
    <w:pPr>
      <w:spacing w:before="3000" w:after="120" w:line="240" w:lineRule="auto"/>
    </w:pPr>
    <w:rPr>
      <w:rFonts w:ascii="Univers 45 Light" w:hAnsi="Univers 45 Light"/>
      <w:color w:val="FFFFFF" w:themeColor="background1"/>
      <w:sz w:val="24"/>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D65A2D"/>
    <w:pPr>
      <w:spacing w:before="120" w:after="120" w:line="240" w:lineRule="auto"/>
    </w:pPr>
    <w:rPr>
      <w:rFonts w:ascii="KPMG Light" w:hAnsi="KPMG Light"/>
      <w:color w:val="00338D"/>
      <w:sz w:val="20"/>
    </w:rPr>
  </w:style>
  <w:style w:type="paragraph" w:customStyle="1" w:styleId="Tabletext">
    <w:name w:val="Table text"/>
    <w:qFormat/>
    <w:rsid w:val="00D65A2D"/>
    <w:pPr>
      <w:spacing w:before="40" w:after="40" w:line="240" w:lineRule="auto"/>
    </w:pPr>
    <w:rPr>
      <w:rFonts w:ascii="Univers 45 Light" w:hAnsi="Univers 45 Light"/>
      <w:sz w:val="20"/>
    </w:rPr>
  </w:style>
  <w:style w:type="character" w:customStyle="1" w:styleId="Heading1Char">
    <w:name w:val="Heading 1 Char"/>
    <w:basedOn w:val="DefaultParagraphFont"/>
    <w:link w:val="Heading1"/>
    <w:uiPriority w:val="9"/>
    <w:rsid w:val="00CB7EE2"/>
    <w:rPr>
      <w:rFonts w:ascii="KPMG Light" w:eastAsiaTheme="majorEastAsia" w:hAnsi="KPMG Light" w:cstheme="majorBidi"/>
      <w:color w:val="00338D"/>
      <w:sz w:val="96"/>
      <w:szCs w:val="96"/>
    </w:rPr>
  </w:style>
  <w:style w:type="paragraph" w:customStyle="1" w:styleId="BodyText1">
    <w:name w:val="Body Text1"/>
    <w:qFormat/>
    <w:rsid w:val="00D65A2D"/>
    <w:pPr>
      <w:spacing w:before="120" w:after="120" w:line="240" w:lineRule="auto"/>
    </w:pPr>
    <w:rPr>
      <w:rFonts w:ascii="Univers 45 Light" w:hAnsi="Univers 45 Light"/>
      <w:sz w:val="20"/>
    </w:rPr>
  </w:style>
  <w:style w:type="paragraph" w:styleId="BodyText">
    <w:name w:val="Body Text"/>
    <w:basedOn w:val="Normal"/>
    <w:link w:val="BodyTextChar"/>
    <w:uiPriority w:val="99"/>
    <w:unhideWhenUsed/>
    <w:rsid w:val="00287CE1"/>
  </w:style>
  <w:style w:type="character" w:customStyle="1" w:styleId="BodyTextChar">
    <w:name w:val="Body Text Char"/>
    <w:basedOn w:val="DefaultParagraphFont"/>
    <w:link w:val="BodyText"/>
    <w:uiPriority w:val="99"/>
    <w:rsid w:val="00287CE1"/>
  </w:style>
  <w:style w:type="paragraph" w:customStyle="1" w:styleId="Heading1Noshow">
    <w:name w:val="Heading 1_No show"/>
    <w:qFormat/>
    <w:rsid w:val="00860A83"/>
    <w:pPr>
      <w:spacing w:before="240" w:after="240" w:line="240" w:lineRule="auto"/>
    </w:pPr>
    <w:rPr>
      <w:rFonts w:ascii="KPMG Light" w:eastAsiaTheme="majorEastAsia" w:hAnsi="KPMG Light" w:cstheme="majorBidi"/>
      <w:color w:val="00338D"/>
      <w:sz w:val="108"/>
      <w:szCs w:val="32"/>
    </w:rPr>
  </w:style>
  <w:style w:type="character" w:customStyle="1" w:styleId="Heading2Char">
    <w:name w:val="Heading 2 Char"/>
    <w:basedOn w:val="DefaultParagraphFont"/>
    <w:link w:val="Heading2"/>
    <w:uiPriority w:val="9"/>
    <w:rsid w:val="00F455AD"/>
    <w:rPr>
      <w:rFonts w:ascii="KPMG Light" w:eastAsiaTheme="majorEastAsia" w:hAnsi="KPMG Light" w:cstheme="majorBidi"/>
      <w:color w:val="00338D"/>
      <w:sz w:val="72"/>
      <w:szCs w:val="26"/>
    </w:rPr>
  </w:style>
  <w:style w:type="paragraph" w:styleId="TOC1">
    <w:name w:val="toc 1"/>
    <w:basedOn w:val="Normal"/>
    <w:next w:val="Normal"/>
    <w:autoRedefine/>
    <w:uiPriority w:val="39"/>
    <w:unhideWhenUsed/>
    <w:rsid w:val="00C13D7A"/>
    <w:pPr>
      <w:tabs>
        <w:tab w:val="right" w:pos="13041"/>
      </w:tabs>
      <w:ind w:left="567" w:hanging="425"/>
    </w:pPr>
    <w:rPr>
      <w:rFonts w:ascii="KPMG Light" w:hAnsi="KPMG Light"/>
      <w:noProof/>
      <w:sz w:val="32"/>
    </w:rPr>
  </w:style>
  <w:style w:type="character" w:customStyle="1" w:styleId="Heading3Char">
    <w:name w:val="Heading 3 Char"/>
    <w:basedOn w:val="DefaultParagraphFont"/>
    <w:link w:val="Heading3"/>
    <w:uiPriority w:val="9"/>
    <w:rsid w:val="00385D52"/>
    <w:rPr>
      <w:rFonts w:ascii="Univers 45 Light" w:eastAsiaTheme="majorEastAsia" w:hAnsi="Univers 45 Light" w:cstheme="majorBidi"/>
      <w:color w:val="0091DA" w:themeColor="accent2"/>
      <w:sz w:val="32"/>
      <w:szCs w:val="24"/>
    </w:rPr>
  </w:style>
  <w:style w:type="character" w:styleId="Hyperlink">
    <w:name w:val="Hyperlink"/>
    <w:basedOn w:val="DefaultParagraphFont"/>
    <w:uiPriority w:val="99"/>
    <w:unhideWhenUsed/>
    <w:rsid w:val="00BA4108"/>
    <w:rPr>
      <w:rFonts w:ascii="Univers 45 Light" w:hAnsi="Univers 45 Light"/>
      <w:color w:val="470A68" w:themeColor="hyperlink"/>
      <w:sz w:val="18"/>
      <w:u w:val="single"/>
    </w:rPr>
  </w:style>
  <w:style w:type="paragraph" w:styleId="Header">
    <w:name w:val="header"/>
    <w:basedOn w:val="Normal"/>
    <w:link w:val="HeaderChar"/>
    <w:uiPriority w:val="99"/>
    <w:unhideWhenUsed/>
    <w:rsid w:val="00CB7EE2"/>
    <w:pPr>
      <w:tabs>
        <w:tab w:val="center" w:pos="4513"/>
        <w:tab w:val="right" w:pos="9026"/>
      </w:tabs>
      <w:spacing w:before="0" w:after="0"/>
      <w:jc w:val="right"/>
    </w:pPr>
    <w:rPr>
      <w:i/>
    </w:rPr>
  </w:style>
  <w:style w:type="character" w:customStyle="1" w:styleId="HeaderChar">
    <w:name w:val="Header Char"/>
    <w:basedOn w:val="DefaultParagraphFont"/>
    <w:link w:val="Header"/>
    <w:uiPriority w:val="99"/>
    <w:rsid w:val="00CB7EE2"/>
    <w:rPr>
      <w:rFonts w:ascii="Univers 45 Light" w:hAnsi="Univers 45 Light"/>
      <w:i/>
      <w:sz w:val="20"/>
    </w:rPr>
  </w:style>
  <w:style w:type="paragraph" w:styleId="Footer">
    <w:name w:val="footer"/>
    <w:basedOn w:val="Normal"/>
    <w:link w:val="FooterChar"/>
    <w:uiPriority w:val="99"/>
    <w:unhideWhenUsed/>
    <w:rsid w:val="007E23D9"/>
    <w:pPr>
      <w:tabs>
        <w:tab w:val="center" w:pos="4513"/>
        <w:tab w:val="right" w:pos="9026"/>
      </w:tabs>
      <w:spacing w:after="0"/>
      <w:jc w:val="center"/>
    </w:pPr>
    <w:rPr>
      <w:color w:val="808080" w:themeColor="background1" w:themeShade="80"/>
      <w:sz w:val="12"/>
    </w:rPr>
  </w:style>
  <w:style w:type="character" w:customStyle="1" w:styleId="FooterChar">
    <w:name w:val="Footer Char"/>
    <w:basedOn w:val="DefaultParagraphFont"/>
    <w:link w:val="Footer"/>
    <w:uiPriority w:val="99"/>
    <w:rsid w:val="007E23D9"/>
    <w:rPr>
      <w:rFonts w:ascii="Univers 45 Light" w:hAnsi="Univers 45 Light"/>
      <w:color w:val="808080" w:themeColor="background1" w:themeShade="80"/>
      <w:sz w:val="12"/>
    </w:rPr>
  </w:style>
  <w:style w:type="paragraph" w:customStyle="1" w:styleId="CVname">
    <w:name w:val="CV name"/>
    <w:qFormat/>
    <w:rsid w:val="008B1B1E"/>
    <w:pPr>
      <w:spacing w:after="80" w:line="240" w:lineRule="auto"/>
    </w:pPr>
    <w:rPr>
      <w:rFonts w:ascii="Univers 45 Light" w:hAnsi="Univers 45 Light"/>
      <w:color w:val="00338D"/>
      <w:sz w:val="28"/>
    </w:rPr>
  </w:style>
  <w:style w:type="paragraph" w:customStyle="1" w:styleId="CVtitle">
    <w:name w:val="CV title"/>
    <w:qFormat/>
    <w:rsid w:val="0024699F"/>
    <w:pPr>
      <w:spacing w:line="240" w:lineRule="auto"/>
    </w:pPr>
    <w:rPr>
      <w:rFonts w:ascii="Univers 45 Light" w:hAnsi="Univers 45 Light"/>
      <w:color w:val="0091DA" w:themeColor="accent2"/>
      <w:sz w:val="24"/>
    </w:rPr>
  </w:style>
  <w:style w:type="paragraph" w:customStyle="1" w:styleId="CVdetail">
    <w:name w:val="CV detail"/>
    <w:qFormat/>
    <w:rsid w:val="008B1B1E"/>
    <w:pPr>
      <w:spacing w:before="120" w:after="0" w:line="240" w:lineRule="auto"/>
    </w:pPr>
    <w:rPr>
      <w:rFonts w:ascii="Univers 45 Light" w:hAnsi="Univers 45 Light"/>
      <w:color w:val="00338D"/>
      <w:sz w:val="20"/>
    </w:rPr>
  </w:style>
  <w:style w:type="paragraph" w:customStyle="1" w:styleId="CVheader">
    <w:name w:val="CV header"/>
    <w:qFormat/>
    <w:rsid w:val="004D0067"/>
    <w:pPr>
      <w:spacing w:before="240" w:after="120" w:line="240" w:lineRule="auto"/>
    </w:pPr>
    <w:rPr>
      <w:rFonts w:ascii="Univers 45 Light" w:hAnsi="Univers 45 Light"/>
      <w:b/>
      <w:color w:val="00338D"/>
      <w:sz w:val="20"/>
    </w:rPr>
  </w:style>
  <w:style w:type="paragraph" w:customStyle="1" w:styleId="CVtext">
    <w:name w:val="CV text"/>
    <w:qFormat/>
    <w:rsid w:val="0024699F"/>
    <w:pPr>
      <w:spacing w:before="120" w:after="120" w:line="280" w:lineRule="exact"/>
    </w:pPr>
    <w:rPr>
      <w:rFonts w:ascii="Univers 45 Light" w:hAnsi="Univers 45 Light"/>
      <w:sz w:val="20"/>
    </w:rPr>
  </w:style>
  <w:style w:type="character" w:customStyle="1" w:styleId="Heading4Char">
    <w:name w:val="Heading 4 Char"/>
    <w:basedOn w:val="DefaultParagraphFont"/>
    <w:link w:val="Heading4"/>
    <w:uiPriority w:val="9"/>
    <w:rsid w:val="00BA4108"/>
    <w:rPr>
      <w:rFonts w:ascii="Univers 45 Light" w:eastAsiaTheme="majorEastAsia" w:hAnsi="Univers 45 Light" w:cstheme="majorBidi"/>
      <w:b/>
      <w:iCs/>
      <w:color w:val="00338D" w:themeColor="background2"/>
      <w:sz w:val="24"/>
    </w:rPr>
  </w:style>
  <w:style w:type="character" w:customStyle="1" w:styleId="Heading5Char">
    <w:name w:val="Heading 5 Char"/>
    <w:basedOn w:val="DefaultParagraphFont"/>
    <w:link w:val="Heading5"/>
    <w:uiPriority w:val="9"/>
    <w:rsid w:val="00D65A2D"/>
    <w:rPr>
      <w:rFonts w:ascii="Univers 45 Light" w:hAnsi="Univers 45 Light"/>
      <w:b/>
    </w:rPr>
  </w:style>
  <w:style w:type="character" w:customStyle="1" w:styleId="Heading6Char">
    <w:name w:val="Heading 6 Char"/>
    <w:basedOn w:val="DefaultParagraphFont"/>
    <w:link w:val="Heading6"/>
    <w:uiPriority w:val="9"/>
    <w:rsid w:val="00B93B13"/>
    <w:rPr>
      <w:rFonts w:ascii="Univers 45 Light" w:hAnsi="Univers 45 Light"/>
      <w:i/>
      <w:color w:val="0091DA" w:themeColor="accent2"/>
      <w:sz w:val="20"/>
    </w:rPr>
  </w:style>
  <w:style w:type="paragraph" w:customStyle="1" w:styleId="Bullet1stlevel">
    <w:name w:val="Bullet 1st level"/>
    <w:basedOn w:val="BodyText1"/>
    <w:qFormat/>
    <w:rsid w:val="007316D0"/>
    <w:pPr>
      <w:numPr>
        <w:numId w:val="1"/>
      </w:numPr>
    </w:pPr>
  </w:style>
  <w:style w:type="paragraph" w:customStyle="1" w:styleId="Bullet2ndlevel">
    <w:name w:val="Bullet 2nd level"/>
    <w:basedOn w:val="BodyText1"/>
    <w:qFormat/>
    <w:rsid w:val="007316D0"/>
    <w:pPr>
      <w:numPr>
        <w:numId w:val="2"/>
      </w:numPr>
      <w:tabs>
        <w:tab w:val="clear" w:pos="340"/>
      </w:tabs>
      <w:spacing w:after="60"/>
      <w:ind w:left="709" w:hanging="284"/>
    </w:pPr>
  </w:style>
  <w:style w:type="paragraph" w:customStyle="1" w:styleId="Bullet3rdlevel">
    <w:name w:val="Bullet 3rd level"/>
    <w:basedOn w:val="BodyText1"/>
    <w:qFormat/>
    <w:rsid w:val="007316D0"/>
    <w:pPr>
      <w:numPr>
        <w:numId w:val="3"/>
      </w:numPr>
      <w:spacing w:before="40"/>
    </w:pPr>
  </w:style>
  <w:style w:type="paragraph" w:customStyle="1" w:styleId="Numberbullet1stlevel">
    <w:name w:val="Number bullet 1st level"/>
    <w:basedOn w:val="BodyText1"/>
    <w:qFormat/>
    <w:rsid w:val="00D65A2D"/>
    <w:pPr>
      <w:numPr>
        <w:numId w:val="13"/>
      </w:numPr>
    </w:pPr>
  </w:style>
  <w:style w:type="paragraph" w:customStyle="1" w:styleId="Numberbullet2ndlevel">
    <w:name w:val="Number bullet 2nd level"/>
    <w:basedOn w:val="BodyText1"/>
    <w:qFormat/>
    <w:rsid w:val="00D65A2D"/>
    <w:pPr>
      <w:numPr>
        <w:numId w:val="4"/>
      </w:numPr>
      <w:tabs>
        <w:tab w:val="left" w:pos="714"/>
      </w:tabs>
      <w:ind w:left="714" w:hanging="357"/>
    </w:pPr>
  </w:style>
  <w:style w:type="paragraph" w:customStyle="1" w:styleId="CVbullet1">
    <w:name w:val="CV bullet 1"/>
    <w:basedOn w:val="BodyText1"/>
    <w:qFormat/>
    <w:rsid w:val="0024699F"/>
    <w:pPr>
      <w:numPr>
        <w:numId w:val="5"/>
      </w:numPr>
    </w:pPr>
  </w:style>
  <w:style w:type="paragraph" w:customStyle="1" w:styleId="CVbullet2">
    <w:name w:val="CV bullet 2"/>
    <w:basedOn w:val="BodyText1"/>
    <w:qFormat/>
    <w:rsid w:val="002360FF"/>
    <w:pPr>
      <w:numPr>
        <w:numId w:val="6"/>
      </w:numPr>
      <w:spacing w:before="40"/>
      <w:ind w:left="714" w:hanging="357"/>
    </w:pPr>
  </w:style>
  <w:style w:type="paragraph" w:customStyle="1" w:styleId="Heading2option2">
    <w:name w:val="Heading 2_option 2"/>
    <w:basedOn w:val="Heading2"/>
    <w:qFormat/>
    <w:rsid w:val="0024699F"/>
    <w:pPr>
      <w:spacing w:before="0" w:after="360"/>
    </w:pPr>
  </w:style>
  <w:style w:type="paragraph" w:customStyle="1" w:styleId="Heading1Option2">
    <w:name w:val="Heading 1_Option 2"/>
    <w:basedOn w:val="Heading1"/>
    <w:qFormat/>
    <w:rsid w:val="0024699F"/>
    <w:pPr>
      <w:spacing w:after="360"/>
    </w:pPr>
  </w:style>
  <w:style w:type="character" w:customStyle="1" w:styleId="White">
    <w:name w:val="White"/>
    <w:basedOn w:val="DefaultParagraphFont"/>
    <w:uiPriority w:val="1"/>
    <w:qFormat/>
    <w:rsid w:val="002D014E"/>
    <w:rPr>
      <w:color w:val="FFFFFF" w:themeColor="background1"/>
    </w:rPr>
  </w:style>
  <w:style w:type="paragraph" w:styleId="Quote">
    <w:name w:val="Quote"/>
    <w:basedOn w:val="Normal"/>
    <w:next w:val="Normal"/>
    <w:link w:val="QuoteChar"/>
    <w:uiPriority w:val="29"/>
    <w:qFormat/>
    <w:rsid w:val="00821FAB"/>
    <w:pPr>
      <w:spacing w:after="360" w:line="520" w:lineRule="exact"/>
    </w:pPr>
    <w:rPr>
      <w:rFonts w:ascii="KPMG Light" w:hAnsi="KPMG Light"/>
      <w:iCs/>
      <w:color w:val="005EB8" w:themeColor="accent1"/>
      <w:sz w:val="44"/>
    </w:rPr>
  </w:style>
  <w:style w:type="character" w:customStyle="1" w:styleId="QuoteChar">
    <w:name w:val="Quote Char"/>
    <w:basedOn w:val="DefaultParagraphFont"/>
    <w:link w:val="Quote"/>
    <w:uiPriority w:val="29"/>
    <w:rsid w:val="00821FAB"/>
    <w:rPr>
      <w:rFonts w:ascii="KPMG Light" w:hAnsi="KPMG Light"/>
      <w:iCs/>
      <w:color w:val="005EB8" w:themeColor="accent1"/>
      <w:sz w:val="44"/>
    </w:rPr>
  </w:style>
  <w:style w:type="paragraph" w:customStyle="1" w:styleId="Introduction">
    <w:name w:val="Introduction"/>
    <w:basedOn w:val="Quote"/>
    <w:qFormat/>
    <w:rsid w:val="00F455AD"/>
  </w:style>
  <w:style w:type="paragraph" w:customStyle="1" w:styleId="Letterhead">
    <w:name w:val="Letterhead"/>
    <w:rsid w:val="00826506"/>
    <w:pPr>
      <w:spacing w:after="0" w:line="160" w:lineRule="atLeast"/>
    </w:pPr>
    <w:rPr>
      <w:rFonts w:eastAsia="Batang" w:cs="Arial"/>
      <w:sz w:val="12"/>
      <w:szCs w:val="12"/>
      <w:lang w:val="en-GB" w:eastAsia="ko-KR"/>
    </w:rPr>
  </w:style>
  <w:style w:type="paragraph" w:customStyle="1" w:styleId="Letterheadaddress">
    <w:name w:val="Letterhead address"/>
    <w:basedOn w:val="BodyText1"/>
    <w:qFormat/>
    <w:rsid w:val="00903423"/>
    <w:pPr>
      <w:spacing w:before="20" w:after="20"/>
      <w:ind w:left="142"/>
    </w:pPr>
  </w:style>
  <w:style w:type="paragraph" w:customStyle="1" w:styleId="Contactus">
    <w:name w:val="Contact us"/>
    <w:basedOn w:val="BodyText1"/>
    <w:qFormat/>
    <w:rsid w:val="00CC7A82"/>
    <w:pPr>
      <w:ind w:left="426"/>
    </w:pPr>
    <w:rPr>
      <w:b/>
      <w:color w:val="FFFFFF" w:themeColor="background1"/>
      <w:sz w:val="24"/>
    </w:rPr>
  </w:style>
  <w:style w:type="paragraph" w:customStyle="1" w:styleId="backcoverdetails">
    <w:name w:val="back cover details"/>
    <w:basedOn w:val="BodyText1"/>
    <w:qFormat/>
    <w:rsid w:val="00CC7A82"/>
    <w:pPr>
      <w:spacing w:before="40" w:after="40"/>
      <w:ind w:left="425"/>
    </w:pPr>
    <w:rPr>
      <w:color w:val="FFFFFF" w:themeColor="background1"/>
    </w:rPr>
  </w:style>
  <w:style w:type="paragraph" w:styleId="IntenseQuote">
    <w:name w:val="Intense Quote"/>
    <w:basedOn w:val="Normal"/>
    <w:next w:val="Normal"/>
    <w:link w:val="IntenseQuoteChar"/>
    <w:uiPriority w:val="30"/>
    <w:qFormat/>
    <w:rsid w:val="00BA4108"/>
    <w:pPr>
      <w:pBdr>
        <w:top w:val="single" w:sz="4" w:space="10" w:color="005EB8" w:themeColor="accent1"/>
        <w:bottom w:val="single" w:sz="4" w:space="10" w:color="005EB8" w:themeColor="accent1"/>
      </w:pBdr>
      <w:spacing w:before="360" w:after="360"/>
    </w:pPr>
    <w:rPr>
      <w:i/>
      <w:iCs/>
      <w:color w:val="005EB8" w:themeColor="accent1"/>
    </w:rPr>
  </w:style>
  <w:style w:type="character" w:customStyle="1" w:styleId="IntenseQuoteChar">
    <w:name w:val="Intense Quote Char"/>
    <w:basedOn w:val="DefaultParagraphFont"/>
    <w:link w:val="IntenseQuote"/>
    <w:uiPriority w:val="30"/>
    <w:rsid w:val="00BA4108"/>
    <w:rPr>
      <w:rFonts w:ascii="Univers 45 Light" w:hAnsi="Univers 45 Light"/>
      <w:i/>
      <w:iCs/>
      <w:color w:val="005EB8" w:themeColor="accent1"/>
    </w:rPr>
  </w:style>
  <w:style w:type="character" w:styleId="SubtleReference">
    <w:name w:val="Subtle Reference"/>
    <w:basedOn w:val="DefaultParagraphFont"/>
    <w:uiPriority w:val="31"/>
    <w:qFormat/>
    <w:rsid w:val="00BA4108"/>
    <w:rPr>
      <w:rFonts w:ascii="KPMG Light" w:hAnsi="KPMG Light"/>
      <w:smallCaps/>
      <w:color w:val="5A5A5A" w:themeColor="text1" w:themeTint="A5"/>
      <w:sz w:val="44"/>
    </w:rPr>
  </w:style>
  <w:style w:type="character" w:styleId="IntenseReference">
    <w:name w:val="Intense Reference"/>
    <w:basedOn w:val="DefaultParagraphFont"/>
    <w:uiPriority w:val="32"/>
    <w:qFormat/>
    <w:rsid w:val="00BA4108"/>
    <w:rPr>
      <w:rFonts w:ascii="KPMG Light" w:hAnsi="KPMG Light"/>
      <w:b/>
      <w:bCs/>
      <w:smallCaps/>
      <w:color w:val="005EB8" w:themeColor="accent1"/>
      <w:spacing w:val="5"/>
      <w:sz w:val="44"/>
    </w:rPr>
  </w:style>
  <w:style w:type="paragraph" w:customStyle="1" w:styleId="Default">
    <w:name w:val="Default"/>
    <w:rsid w:val="0041324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ntroPara">
    <w:name w:val="IntroPara"/>
    <w:basedOn w:val="Heading2"/>
    <w:qFormat/>
    <w:rsid w:val="00AE5C4A"/>
    <w:pPr>
      <w:numPr>
        <w:ilvl w:val="0"/>
        <w:numId w:val="0"/>
      </w:numPr>
    </w:pPr>
    <w:rPr>
      <w:rFonts w:eastAsiaTheme="minorHAnsi"/>
    </w:rPr>
  </w:style>
  <w:style w:type="character" w:customStyle="1" w:styleId="Heading7Char">
    <w:name w:val="Heading 7 Char"/>
    <w:basedOn w:val="DefaultParagraphFont"/>
    <w:link w:val="Heading7"/>
    <w:uiPriority w:val="9"/>
    <w:semiHidden/>
    <w:rsid w:val="00AE5C4A"/>
    <w:rPr>
      <w:rFonts w:asciiTheme="majorHAnsi" w:eastAsiaTheme="majorEastAsia" w:hAnsiTheme="majorHAnsi" w:cstheme="majorBidi"/>
      <w:i/>
      <w:iCs/>
      <w:color w:val="002E5B" w:themeColor="accent1" w:themeShade="7F"/>
      <w:sz w:val="20"/>
    </w:rPr>
  </w:style>
  <w:style w:type="character" w:customStyle="1" w:styleId="Heading9Char">
    <w:name w:val="Heading 9 Char"/>
    <w:basedOn w:val="DefaultParagraphFont"/>
    <w:link w:val="Heading9"/>
    <w:uiPriority w:val="9"/>
    <w:semiHidden/>
    <w:rsid w:val="00AE5C4A"/>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AE5C4A"/>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AE5C4A"/>
    <w:rPr>
      <w:sz w:val="16"/>
      <w:szCs w:val="16"/>
    </w:rPr>
  </w:style>
  <w:style w:type="paragraph" w:styleId="CommentText">
    <w:name w:val="annotation text"/>
    <w:basedOn w:val="Normal"/>
    <w:link w:val="CommentTextChar"/>
    <w:uiPriority w:val="99"/>
    <w:semiHidden/>
    <w:unhideWhenUsed/>
    <w:rsid w:val="00AE5C4A"/>
    <w:rPr>
      <w:szCs w:val="20"/>
    </w:rPr>
  </w:style>
  <w:style w:type="character" w:customStyle="1" w:styleId="CommentTextChar">
    <w:name w:val="Comment Text Char"/>
    <w:basedOn w:val="DefaultParagraphFont"/>
    <w:link w:val="CommentText"/>
    <w:uiPriority w:val="99"/>
    <w:semiHidden/>
    <w:rsid w:val="00AE5C4A"/>
    <w:rPr>
      <w:sz w:val="20"/>
      <w:szCs w:val="20"/>
    </w:rPr>
  </w:style>
  <w:style w:type="paragraph" w:styleId="CommentSubject">
    <w:name w:val="annotation subject"/>
    <w:basedOn w:val="CommentText"/>
    <w:next w:val="CommentText"/>
    <w:link w:val="CommentSubjectChar"/>
    <w:uiPriority w:val="99"/>
    <w:semiHidden/>
    <w:unhideWhenUsed/>
    <w:rsid w:val="00AE5C4A"/>
    <w:rPr>
      <w:b/>
      <w:bCs/>
    </w:rPr>
  </w:style>
  <w:style w:type="character" w:customStyle="1" w:styleId="CommentSubjectChar">
    <w:name w:val="Comment Subject Char"/>
    <w:basedOn w:val="CommentTextChar"/>
    <w:link w:val="CommentSubject"/>
    <w:uiPriority w:val="99"/>
    <w:semiHidden/>
    <w:rsid w:val="00AE5C4A"/>
    <w:rPr>
      <w:b/>
      <w:bCs/>
      <w:sz w:val="20"/>
      <w:szCs w:val="20"/>
    </w:rPr>
  </w:style>
  <w:style w:type="paragraph" w:styleId="BalloonText">
    <w:name w:val="Balloon Text"/>
    <w:basedOn w:val="Normal"/>
    <w:link w:val="BalloonTextChar"/>
    <w:uiPriority w:val="99"/>
    <w:semiHidden/>
    <w:unhideWhenUsed/>
    <w:rsid w:val="00AE5C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4A"/>
    <w:rPr>
      <w:rFonts w:ascii="Segoe UI" w:hAnsi="Segoe UI" w:cs="Segoe UI"/>
      <w:sz w:val="18"/>
      <w:szCs w:val="18"/>
    </w:rPr>
  </w:style>
  <w:style w:type="paragraph" w:customStyle="1" w:styleId="HeadingLevel1NoNumber">
    <w:name w:val="HeadingLevel1NoNumber"/>
    <w:basedOn w:val="Heading1"/>
    <w:next w:val="BodyText"/>
    <w:qFormat/>
    <w:rsid w:val="00AE5C4A"/>
    <w:pPr>
      <w:numPr>
        <w:numId w:val="0"/>
      </w:numPr>
    </w:pPr>
  </w:style>
  <w:style w:type="paragraph" w:customStyle="1" w:styleId="HeadingLevel2NoNumber">
    <w:name w:val="HeadingLevel2NoNumber"/>
    <w:basedOn w:val="Heading2"/>
    <w:next w:val="BodyText"/>
    <w:qFormat/>
    <w:rsid w:val="00AE5C4A"/>
    <w:pPr>
      <w:numPr>
        <w:ilvl w:val="0"/>
        <w:numId w:val="0"/>
      </w:numPr>
    </w:pPr>
  </w:style>
  <w:style w:type="paragraph" w:customStyle="1" w:styleId="HeadingLevel3NoNumber">
    <w:name w:val="HeadingLevel3NoNumber"/>
    <w:basedOn w:val="Heading3"/>
    <w:next w:val="BodyText"/>
    <w:qFormat/>
    <w:rsid w:val="00AE5C4A"/>
    <w:pPr>
      <w:numPr>
        <w:ilvl w:val="0"/>
        <w:numId w:val="0"/>
      </w:numPr>
    </w:pPr>
  </w:style>
  <w:style w:type="paragraph" w:customStyle="1" w:styleId="HeadingLevel4NoNumber">
    <w:name w:val="HeadingLevel4NoNumber"/>
    <w:basedOn w:val="Heading4"/>
    <w:next w:val="BodyText"/>
    <w:qFormat/>
    <w:rsid w:val="00AE5C4A"/>
    <w:pPr>
      <w:numPr>
        <w:ilvl w:val="0"/>
        <w:numId w:val="0"/>
      </w:numPr>
    </w:pPr>
  </w:style>
  <w:style w:type="paragraph" w:styleId="ListBullet">
    <w:name w:val="List Bullet"/>
    <w:basedOn w:val="Normal"/>
    <w:uiPriority w:val="99"/>
    <w:unhideWhenUsed/>
    <w:rsid w:val="00AE5C4A"/>
    <w:pPr>
      <w:numPr>
        <w:numId w:val="7"/>
      </w:numPr>
      <w:tabs>
        <w:tab w:val="clear" w:pos="340"/>
        <w:tab w:val="left" w:pos="357"/>
      </w:tabs>
      <w:ind w:left="357" w:hanging="357"/>
      <w:contextualSpacing/>
    </w:pPr>
  </w:style>
  <w:style w:type="paragraph" w:styleId="ListBullet2">
    <w:name w:val="List Bullet 2"/>
    <w:basedOn w:val="Normal"/>
    <w:uiPriority w:val="99"/>
    <w:unhideWhenUsed/>
    <w:rsid w:val="00D65A2D"/>
    <w:pPr>
      <w:numPr>
        <w:numId w:val="8"/>
      </w:numPr>
      <w:tabs>
        <w:tab w:val="clear" w:pos="697"/>
        <w:tab w:val="left" w:pos="714"/>
      </w:tabs>
      <w:contextualSpacing/>
    </w:pPr>
  </w:style>
  <w:style w:type="paragraph" w:styleId="ListBullet3">
    <w:name w:val="List Bullet 3"/>
    <w:basedOn w:val="Normal"/>
    <w:uiPriority w:val="99"/>
    <w:unhideWhenUsed/>
    <w:rsid w:val="00D65A2D"/>
    <w:pPr>
      <w:numPr>
        <w:numId w:val="9"/>
      </w:numPr>
      <w:tabs>
        <w:tab w:val="clear" w:pos="926"/>
        <w:tab w:val="num" w:pos="1072"/>
      </w:tabs>
      <w:ind w:left="1071" w:hanging="357"/>
      <w:contextualSpacing/>
    </w:pPr>
  </w:style>
  <w:style w:type="paragraph" w:customStyle="1" w:styleId="TableBullet1">
    <w:name w:val="TableBullet1"/>
    <w:basedOn w:val="ListBullet"/>
    <w:qFormat/>
    <w:rsid w:val="00D65A2D"/>
    <w:pPr>
      <w:spacing w:before="40" w:after="40"/>
    </w:pPr>
  </w:style>
  <w:style w:type="paragraph" w:customStyle="1" w:styleId="Tablebullet2">
    <w:name w:val="Tablebullet2"/>
    <w:basedOn w:val="ListBullet2"/>
    <w:qFormat/>
    <w:rsid w:val="00D65A2D"/>
    <w:pPr>
      <w:spacing w:before="40" w:after="40"/>
    </w:pPr>
  </w:style>
  <w:style w:type="paragraph" w:customStyle="1" w:styleId="Appendixheading">
    <w:name w:val="Appendix heading"/>
    <w:next w:val="BodyText0"/>
    <w:uiPriority w:val="2"/>
    <w:qFormat/>
    <w:rsid w:val="00860A83"/>
    <w:pPr>
      <w:keepNext/>
      <w:keepLines/>
      <w:pageBreakBefore/>
      <w:numPr>
        <w:numId w:val="12"/>
      </w:numPr>
      <w:spacing w:before="240" w:after="240" w:line="240" w:lineRule="auto"/>
    </w:pPr>
    <w:rPr>
      <w:rFonts w:ascii="KPMG Light" w:eastAsia="Times New Roman" w:hAnsi="KPMG Light" w:cs="Times New Roman"/>
      <w:color w:val="00338D"/>
      <w:sz w:val="96"/>
      <w:szCs w:val="18"/>
    </w:rPr>
  </w:style>
  <w:style w:type="paragraph" w:customStyle="1" w:styleId="AppendixHeading2">
    <w:name w:val="Appendix Heading 2"/>
    <w:basedOn w:val="Heading2"/>
    <w:next w:val="BodyText"/>
    <w:rsid w:val="00860A83"/>
    <w:pPr>
      <w:keepLines w:val="0"/>
      <w:numPr>
        <w:numId w:val="12"/>
      </w:numPr>
      <w:tabs>
        <w:tab w:val="clear" w:pos="3555"/>
        <w:tab w:val="num" w:pos="720"/>
        <w:tab w:val="left" w:pos="964"/>
      </w:tabs>
      <w:spacing w:after="120"/>
      <w:ind w:left="720"/>
      <w:jc w:val="both"/>
      <w:outlineLvl w:val="9"/>
    </w:pPr>
    <w:rPr>
      <w:rFonts w:ascii="Univers 45 Light" w:eastAsia="Times New Roman" w:hAnsi="Univers 45 Light" w:cs="Times New Roman"/>
      <w:b/>
      <w:sz w:val="28"/>
      <w:szCs w:val="20"/>
    </w:rPr>
  </w:style>
  <w:style w:type="paragraph" w:customStyle="1" w:styleId="AppendixHeading3">
    <w:name w:val="Appendix Heading 3"/>
    <w:basedOn w:val="Heading3"/>
    <w:next w:val="BodyText"/>
    <w:rsid w:val="00860A83"/>
    <w:pPr>
      <w:keepLines w:val="0"/>
      <w:numPr>
        <w:numId w:val="12"/>
      </w:numPr>
      <w:tabs>
        <w:tab w:val="left" w:pos="357"/>
      </w:tabs>
      <w:spacing w:before="240" w:after="120"/>
      <w:jc w:val="both"/>
      <w:outlineLvl w:val="9"/>
    </w:pPr>
    <w:rPr>
      <w:rFonts w:eastAsia="Times New Roman" w:cs="Times New Roman"/>
      <w:b/>
      <w:color w:val="00338D"/>
      <w:sz w:val="24"/>
      <w:szCs w:val="20"/>
    </w:rPr>
  </w:style>
  <w:style w:type="paragraph" w:customStyle="1" w:styleId="AppendixHeading4">
    <w:name w:val="Appendix Heading 4"/>
    <w:basedOn w:val="Heading4"/>
    <w:next w:val="BodyText"/>
    <w:rsid w:val="00860A83"/>
    <w:pPr>
      <w:keepLines w:val="0"/>
      <w:numPr>
        <w:numId w:val="12"/>
      </w:numPr>
      <w:tabs>
        <w:tab w:val="left" w:pos="964"/>
      </w:tabs>
      <w:spacing w:before="240" w:after="120"/>
      <w:jc w:val="both"/>
      <w:outlineLvl w:val="9"/>
    </w:pPr>
    <w:rPr>
      <w:rFonts w:eastAsia="Times New Roman" w:cs="Times New Roman"/>
      <w:iCs w:val="0"/>
      <w:color w:val="00338D"/>
      <w:sz w:val="22"/>
      <w:szCs w:val="20"/>
    </w:rPr>
  </w:style>
  <w:style w:type="paragraph" w:styleId="TOC2">
    <w:name w:val="toc 2"/>
    <w:basedOn w:val="Normal"/>
    <w:next w:val="Normal"/>
    <w:autoRedefine/>
    <w:uiPriority w:val="39"/>
    <w:unhideWhenUsed/>
    <w:rsid w:val="00C13D7A"/>
    <w:pPr>
      <w:tabs>
        <w:tab w:val="right" w:pos="13041"/>
      </w:tabs>
      <w:spacing w:after="100"/>
      <w:ind w:left="993" w:hanging="426"/>
    </w:pPr>
    <w:rPr>
      <w:noProof/>
    </w:rPr>
  </w:style>
  <w:style w:type="paragraph" w:customStyle="1" w:styleId="BodyText0">
    <w:name w:val="BodyText"/>
    <w:basedOn w:val="Normal"/>
    <w:link w:val="BodyTextChar0"/>
    <w:rsid w:val="00860A83"/>
    <w:pPr>
      <w:spacing w:before="0" w:after="130"/>
    </w:pPr>
    <w:rPr>
      <w:rFonts w:eastAsia="Times New Roman" w:cs="Times New Roman"/>
      <w:sz w:val="22"/>
      <w:szCs w:val="20"/>
    </w:rPr>
  </w:style>
  <w:style w:type="character" w:customStyle="1" w:styleId="BodyTextChar0">
    <w:name w:val="BodyText Char"/>
    <w:basedOn w:val="DefaultParagraphFont"/>
    <w:link w:val="BodyText0"/>
    <w:rsid w:val="00860A83"/>
    <w:rPr>
      <w:rFonts w:ascii="Univers 45 Light" w:eastAsia="Times New Roman" w:hAnsi="Univers 45 Light" w:cs="Times New Roman"/>
      <w:szCs w:val="20"/>
    </w:rPr>
  </w:style>
  <w:style w:type="table" w:styleId="GridTable5Dark">
    <w:name w:val="Grid Table 5 Dark"/>
    <w:basedOn w:val="TableNormal"/>
    <w:uiPriority w:val="50"/>
    <w:rsid w:val="008641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8641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641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515272"/>
    <w:pPr>
      <w:spacing w:before="0" w:after="0"/>
    </w:pPr>
    <w:rPr>
      <w:sz w:val="18"/>
      <w:szCs w:val="20"/>
      <w:lang w:val="en-US"/>
    </w:rPr>
  </w:style>
  <w:style w:type="character" w:customStyle="1" w:styleId="FootnoteTextChar">
    <w:name w:val="Footnote Text Char"/>
    <w:basedOn w:val="DefaultParagraphFont"/>
    <w:link w:val="FootnoteText"/>
    <w:uiPriority w:val="99"/>
    <w:rsid w:val="00515272"/>
    <w:rPr>
      <w:rFonts w:ascii="Univers 45 Light" w:hAnsi="Univers 45 Light"/>
      <w:sz w:val="18"/>
      <w:szCs w:val="20"/>
      <w:lang w:val="en-US"/>
    </w:rPr>
  </w:style>
  <w:style w:type="character" w:styleId="FootnoteReference">
    <w:name w:val="footnote reference"/>
    <w:basedOn w:val="DefaultParagraphFont"/>
    <w:uiPriority w:val="99"/>
    <w:semiHidden/>
    <w:unhideWhenUsed/>
    <w:rsid w:val="006157AB"/>
    <w:rPr>
      <w:vertAlign w:val="superscript"/>
    </w:rPr>
  </w:style>
  <w:style w:type="paragraph" w:styleId="ListParagraph">
    <w:name w:val="List Paragraph"/>
    <w:basedOn w:val="Normal"/>
    <w:uiPriority w:val="34"/>
    <w:qFormat/>
    <w:rsid w:val="00212362"/>
    <w:pPr>
      <w:ind w:left="720"/>
      <w:contextualSpacing/>
    </w:pPr>
  </w:style>
  <w:style w:type="paragraph" w:styleId="ListNumber">
    <w:name w:val="List Number"/>
    <w:basedOn w:val="Normal"/>
    <w:uiPriority w:val="99"/>
    <w:unhideWhenUsed/>
    <w:rsid w:val="005201AE"/>
    <w:pPr>
      <w:numPr>
        <w:numId w:val="10"/>
      </w:numPr>
      <w:contextualSpacing/>
    </w:pPr>
  </w:style>
  <w:style w:type="paragraph" w:styleId="TOCHeading">
    <w:name w:val="TOC Heading"/>
    <w:basedOn w:val="Heading1"/>
    <w:next w:val="Normal"/>
    <w:uiPriority w:val="39"/>
    <w:unhideWhenUsed/>
    <w:qFormat/>
    <w:rsid w:val="0064682A"/>
    <w:pPr>
      <w:pageBreakBefore w:val="0"/>
      <w:numPr>
        <w:numId w:val="0"/>
      </w:numPr>
      <w:spacing w:after="0" w:line="259" w:lineRule="auto"/>
      <w:outlineLvl w:val="9"/>
    </w:pPr>
    <w:rPr>
      <w:rFonts w:asciiTheme="majorHAnsi" w:hAnsiTheme="majorHAnsi"/>
      <w:color w:val="004689" w:themeColor="accent1" w:themeShade="BF"/>
      <w:sz w:val="32"/>
      <w:szCs w:val="32"/>
      <w:lang w:val="en-US"/>
    </w:rPr>
  </w:style>
  <w:style w:type="paragraph" w:styleId="TOC3">
    <w:name w:val="toc 3"/>
    <w:basedOn w:val="Normal"/>
    <w:next w:val="Normal"/>
    <w:autoRedefine/>
    <w:uiPriority w:val="39"/>
    <w:unhideWhenUsed/>
    <w:rsid w:val="0064682A"/>
    <w:pPr>
      <w:spacing w:after="100"/>
      <w:ind w:left="400"/>
    </w:pPr>
  </w:style>
  <w:style w:type="paragraph" w:styleId="Revision">
    <w:name w:val="Revision"/>
    <w:hidden/>
    <w:uiPriority w:val="99"/>
    <w:semiHidden/>
    <w:rsid w:val="004C1206"/>
    <w:pPr>
      <w:spacing w:after="0" w:line="240" w:lineRule="auto"/>
    </w:pPr>
    <w:rPr>
      <w:rFonts w:ascii="Univers 45 Light" w:hAnsi="Univers 45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96185">
      <w:bodyDiv w:val="1"/>
      <w:marLeft w:val="0"/>
      <w:marRight w:val="0"/>
      <w:marTop w:val="0"/>
      <w:marBottom w:val="0"/>
      <w:divBdr>
        <w:top w:val="none" w:sz="0" w:space="0" w:color="auto"/>
        <w:left w:val="none" w:sz="0" w:space="0" w:color="auto"/>
        <w:bottom w:val="none" w:sz="0" w:space="0" w:color="auto"/>
        <w:right w:val="none" w:sz="0" w:space="0" w:color="auto"/>
      </w:divBdr>
    </w:div>
    <w:div w:id="1366977024">
      <w:bodyDiv w:val="1"/>
      <w:marLeft w:val="0"/>
      <w:marRight w:val="0"/>
      <w:marTop w:val="0"/>
      <w:marBottom w:val="0"/>
      <w:divBdr>
        <w:top w:val="none" w:sz="0" w:space="0" w:color="auto"/>
        <w:left w:val="none" w:sz="0" w:space="0" w:color="auto"/>
        <w:bottom w:val="none" w:sz="0" w:space="0" w:color="auto"/>
        <w:right w:val="none" w:sz="0" w:space="0" w:color="auto"/>
      </w:divBdr>
    </w:div>
    <w:div w:id="18285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footer" Target="footer1.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griculture.gov.au/biosecurity/emergency/exercises"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GlobalDocumentLibraryForm</Display>
  <Edit>GlobalDocumentLibraryForm</Edit>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2FBA4-BB82-4B56-BE80-DCDFA19CA7A8}"/>
</file>

<file path=customXml/itemProps2.xml><?xml version="1.0" encoding="utf-8"?>
<ds:datastoreItem xmlns:ds="http://schemas.openxmlformats.org/officeDocument/2006/customXml" ds:itemID="{FA28AED3-C4D3-46F9-BF3D-C12F1528C108}"/>
</file>

<file path=customXml/itemProps3.xml><?xml version="1.0" encoding="utf-8"?>
<ds:datastoreItem xmlns:ds="http://schemas.openxmlformats.org/officeDocument/2006/customXml" ds:itemID="{223C8F6A-D513-410D-8D21-A9AEA5240034}"/>
</file>

<file path=customXml/itemProps4.xml><?xml version="1.0" encoding="utf-8"?>
<ds:datastoreItem xmlns:ds="http://schemas.openxmlformats.org/officeDocument/2006/customXml" ds:itemID="{E09BDE5F-1BF1-4273-B8CB-9EC538706428}">
  <ds:schemaRefs>
    <ds:schemaRef ds:uri="http://schemas.microsoft.com/sharepoint/v3/contenttype/forms"/>
  </ds:schemaRefs>
</ds:datastoreItem>
</file>

<file path=customXml/itemProps5.xml><?xml version="1.0" encoding="utf-8"?>
<ds:datastoreItem xmlns:ds="http://schemas.openxmlformats.org/officeDocument/2006/customXml" ds:itemID="{1CC32935-BACD-4283-9A9B-EEC2BFE2ED34}"/>
</file>

<file path=docProps/app.xml><?xml version="1.0" encoding="utf-8"?>
<Properties xmlns="http://schemas.openxmlformats.org/officeDocument/2006/extended-properties" xmlns:vt="http://schemas.openxmlformats.org/officeDocument/2006/docPropsVTypes">
  <Template>Normal</Template>
  <TotalTime>2</TotalTime>
  <Pages>63</Pages>
  <Words>13285</Words>
  <Characters>75728</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KPMG Portrait Report Word Template Option 2</vt:lpstr>
    </vt:vector>
  </TitlesOfParts>
  <Company>KPMG</Company>
  <LinksUpToDate>false</LinksUpToDate>
  <CharactersWithSpaces>88836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Portrait Report Word Template Option 2</dc:title>
  <dc:subject/>
  <dc:creator>Wright, Doug</dc:creator>
  <cp:keywords>KPMG Portrait Report Word Template Option 2; New brand template; word template;</cp:keywords>
  <dc:description>-</dc:description>
  <cp:lastModifiedBy>Ross-Taylor, Brigid</cp:lastModifiedBy>
  <cp:revision>2</cp:revision>
  <cp:lastPrinted>2017-04-12T01:11:00Z</cp:lastPrinted>
  <dcterms:created xsi:type="dcterms:W3CDTF">2017-08-17T01:03:00Z</dcterms:created>
  <dcterms:modified xsi:type="dcterms:W3CDTF">2017-08-17T01:03:00Z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