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CBC" w:rsidRPr="000822F3" w:rsidRDefault="004D5CBC" w:rsidP="000822F3">
      <w:pPr>
        <w:pStyle w:val="Heading1"/>
      </w:pPr>
      <w:r>
        <w:t>Final</w:t>
      </w:r>
      <w:r w:rsidRPr="000822F3">
        <w:t xml:space="preserve"> report for the review of biosecurity import requirements for fresh dragon fruit from Indonesia</w:t>
      </w:r>
    </w:p>
    <w:p w:rsidR="004D5CBC" w:rsidRDefault="004D5CBC">
      <w:pPr>
        <w:jc w:val="right"/>
      </w:pPr>
      <w:r>
        <w:t>August</w:t>
      </w:r>
      <w:r w:rsidRPr="008D2573">
        <w:t xml:space="preserve"> </w:t>
      </w:r>
      <w:r>
        <w:t>2018</w:t>
      </w:r>
    </w:p>
    <w:p w:rsidR="004D5CBC" w:rsidRDefault="004D5CBC">
      <w:pPr>
        <w:pStyle w:val="Picture"/>
      </w:pPr>
      <w:r>
        <w:drawing>
          <wp:inline distT="0" distB="0" distL="0" distR="0" wp14:anchorId="46078D79" wp14:editId="46078D7A">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rsidR="004D5CBC" w:rsidRDefault="004D5CBC">
      <w:pPr>
        <w:pStyle w:val="Picture"/>
      </w:pPr>
    </w:p>
    <w:p w:rsidR="004D5CBC" w:rsidRDefault="004D5CBC">
      <w:pPr>
        <w:pStyle w:val="Picture"/>
        <w:rPr>
          <w:noProof w:val="0"/>
          <w:sz w:val="18"/>
          <w:lang w:eastAsia="en-US"/>
        </w:rPr>
        <w:sectPr w:rsidR="004D5CBC" w:rsidSect="00ED4852">
          <w:footerReference w:type="default" r:id="rId8"/>
          <w:headerReference w:type="first" r:id="rId9"/>
          <w:pgSz w:w="11906" w:h="16838"/>
          <w:pgMar w:top="1440" w:right="1440" w:bottom="1440" w:left="1440" w:header="708" w:footer="708" w:gutter="0"/>
          <w:cols w:space="708"/>
          <w:titlePg/>
          <w:docGrid w:linePitch="360"/>
        </w:sectPr>
      </w:pPr>
    </w:p>
    <w:p w:rsidR="004D5CBC" w:rsidRPr="00971908" w:rsidRDefault="004D5CBC">
      <w:pPr>
        <w:pStyle w:val="Picture"/>
        <w:rPr>
          <w:noProof w:val="0"/>
          <w:sz w:val="18"/>
          <w:lang w:eastAsia="en-US"/>
        </w:rPr>
      </w:pPr>
      <w:r>
        <w:rPr>
          <w:noProof w:val="0"/>
          <w:sz w:val="18"/>
          <w:lang w:eastAsia="en-US"/>
        </w:rPr>
        <w:lastRenderedPageBreak/>
        <w:t xml:space="preserve">© Commonwealth of </w:t>
      </w:r>
      <w:r w:rsidRPr="00971908">
        <w:rPr>
          <w:noProof w:val="0"/>
          <w:sz w:val="18"/>
          <w:lang w:eastAsia="en-US"/>
        </w:rPr>
        <w:t>Australia 201</w:t>
      </w:r>
      <w:r>
        <w:rPr>
          <w:noProof w:val="0"/>
          <w:sz w:val="18"/>
          <w:lang w:eastAsia="en-US"/>
        </w:rPr>
        <w:t>8</w:t>
      </w:r>
    </w:p>
    <w:p w:rsidR="004D5CBC" w:rsidRDefault="004D5CBC">
      <w:pPr>
        <w:pStyle w:val="TableText"/>
        <w:rPr>
          <w:rFonts w:ascii="Calibri" w:hAnsi="Calibri"/>
          <w:b/>
        </w:rPr>
      </w:pPr>
      <w:r w:rsidRPr="00971908">
        <w:rPr>
          <w:rFonts w:ascii="Calibri" w:hAnsi="Calibri"/>
          <w:b/>
        </w:rPr>
        <w:t xml:space="preserve">Ownership of intellectual </w:t>
      </w:r>
      <w:r>
        <w:rPr>
          <w:rFonts w:ascii="Calibri" w:hAnsi="Calibri"/>
          <w:b/>
        </w:rPr>
        <w:t>property rights</w:t>
      </w:r>
    </w:p>
    <w:p w:rsidR="004D5CBC" w:rsidRDefault="004D5CBC">
      <w:pPr>
        <w:pStyle w:val="TableText"/>
        <w:spacing w:after="240"/>
      </w:pPr>
      <w:r>
        <w:t>Unless otherwise noted, copyright (and any other intellectual property rights, if any) in this publication is owned by the Commonwealth of Australia (referred to as the Commonwealth).</w:t>
      </w:r>
    </w:p>
    <w:p w:rsidR="004D5CBC" w:rsidRDefault="004D5CBC">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rsidR="004D5CBC" w:rsidRDefault="004D5CBC" w:rsidP="004B25C6">
      <w:pPr>
        <w:pStyle w:val="TableText"/>
        <w:spacing w:after="240"/>
      </w:pPr>
      <w:r w:rsidRPr="006926E9">
        <w:t>All material in this publication is licensed under a Creative Commons Attribution 3.0 Australia Licence, save for content supplied by third parties, photographic images, logos and the Commonwealth Coat of Arms.</w:t>
      </w:r>
    </w:p>
    <w:p w:rsidR="004D5CBC" w:rsidRDefault="004D5CBC">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4D5CBC" w:rsidRPr="006926E9" w:rsidRDefault="004D5CBC" w:rsidP="006926E9">
      <w:pPr>
        <w:pStyle w:val="TableText"/>
        <w:spacing w:after="240"/>
      </w:pPr>
      <w:r w:rsidRPr="006926E9">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1" w:history="1">
        <w:r w:rsidRPr="006926E9">
          <w:rPr>
            <w:rStyle w:val="Hyperlink"/>
            <w:rFonts w:eastAsia="Calibri" w:cs="Times New Roman"/>
          </w:rPr>
          <w:t>creativecommons.org/licenses/by/3.0/au/deed.en</w:t>
        </w:r>
      </w:hyperlink>
      <w:r w:rsidRPr="006926E9">
        <w:t xml:space="preserve">. The full licence terms are available from </w:t>
      </w:r>
      <w:hyperlink r:id="rId12" w:history="1">
        <w:r w:rsidRPr="006926E9">
          <w:rPr>
            <w:rStyle w:val="Hyperlink"/>
            <w:rFonts w:eastAsia="Calibri" w:cs="Times New Roman"/>
          </w:rPr>
          <w:t>creativecommons.org/licenses/by/3.0/au/legalcode</w:t>
        </w:r>
      </w:hyperlink>
      <w:r w:rsidRPr="006926E9">
        <w:t>.</w:t>
      </w:r>
    </w:p>
    <w:p w:rsidR="004D5CBC" w:rsidRPr="006926E9" w:rsidRDefault="004D5CBC" w:rsidP="006926E9">
      <w:pPr>
        <w:pStyle w:val="TableText"/>
        <w:spacing w:after="240"/>
      </w:pPr>
      <w:r w:rsidRPr="006926E9">
        <w:t xml:space="preserve">Inquiries about the licence and any use of this document should be sent to </w:t>
      </w:r>
      <w:hyperlink r:id="rId13" w:history="1">
        <w:r w:rsidRPr="000B4A3F">
          <w:rPr>
            <w:rStyle w:val="Hyperlink"/>
          </w:rPr>
          <w:t>copyright@agriculture.gov.au</w:t>
        </w:r>
      </w:hyperlink>
      <w:r w:rsidRPr="006926E9">
        <w:t>.</w:t>
      </w:r>
    </w:p>
    <w:p w:rsidR="004D5CBC" w:rsidRPr="006926E9" w:rsidRDefault="004D5CBC" w:rsidP="006926E9">
      <w:pPr>
        <w:pStyle w:val="TableText"/>
        <w:spacing w:after="240"/>
      </w:pPr>
      <w:r w:rsidRPr="006926E9">
        <w:t xml:space="preserve">This publication (and any material sourced from it) should be attributed as: Australian </w:t>
      </w:r>
      <w:r>
        <w:t xml:space="preserve">Government </w:t>
      </w:r>
      <w:r w:rsidRPr="006926E9">
        <w:t xml:space="preserve">Department of Agriculture and Water Resources and Water </w:t>
      </w:r>
      <w:r w:rsidRPr="00B96D48">
        <w:t>Resources 201</w:t>
      </w:r>
      <w:r>
        <w:t>8</w:t>
      </w:r>
      <w:r w:rsidRPr="00B96D48">
        <w:t xml:space="preserve">, </w:t>
      </w:r>
      <w:r>
        <w:rPr>
          <w:i/>
        </w:rPr>
        <w:t>Final</w:t>
      </w:r>
      <w:r w:rsidRPr="00B96D48">
        <w:rPr>
          <w:i/>
        </w:rPr>
        <w:t xml:space="preserve"> report for the review of biosecurity import requirements for fresh dragon fruit from Indonesia</w:t>
      </w:r>
      <w:r w:rsidRPr="00B96D48">
        <w:t>. CC B</w:t>
      </w:r>
      <w:r w:rsidRPr="006926E9">
        <w:t>Y 3.0.</w:t>
      </w:r>
    </w:p>
    <w:p w:rsidR="004D5CBC" w:rsidRDefault="004D5CBC">
      <w:pPr>
        <w:pStyle w:val="TableText"/>
        <w:rPr>
          <w:rFonts w:ascii="Calibri" w:hAnsi="Calibri"/>
          <w:b/>
        </w:rPr>
      </w:pPr>
      <w:r>
        <w:rPr>
          <w:rFonts w:ascii="Calibri" w:hAnsi="Calibri"/>
          <w:b/>
        </w:rPr>
        <w:t>Cataloguing data</w:t>
      </w:r>
    </w:p>
    <w:p w:rsidR="004D5CBC" w:rsidRDefault="004D5CBC" w:rsidP="00072E0A">
      <w:pPr>
        <w:pStyle w:val="TableText"/>
        <w:spacing w:after="240"/>
      </w:pPr>
      <w:r>
        <w:t xml:space="preserve">Australian Government Department of Agriculture and Water Resources </w:t>
      </w:r>
      <w:r w:rsidRPr="00B96D48">
        <w:t>201</w:t>
      </w:r>
      <w:r>
        <w:t>8</w:t>
      </w:r>
      <w:r w:rsidRPr="00B96D48">
        <w:t xml:space="preserve">, </w:t>
      </w:r>
      <w:r>
        <w:rPr>
          <w:i/>
        </w:rPr>
        <w:t>Final</w:t>
      </w:r>
      <w:r w:rsidRPr="00B96D48">
        <w:rPr>
          <w:i/>
        </w:rPr>
        <w:t xml:space="preserve"> report for the review of biosecurity import requirements for fresh dragon fruit from Indonesia</w:t>
      </w:r>
      <w:r w:rsidRPr="004B25C6">
        <w:t xml:space="preserve">, </w:t>
      </w:r>
      <w:r>
        <w:t>Department of Agriculture and Water Resources, Canberra.</w:t>
      </w:r>
    </w:p>
    <w:p w:rsidR="004D5CBC" w:rsidRDefault="004D5CBC">
      <w:pPr>
        <w:pStyle w:val="TableText"/>
        <w:spacing w:after="240"/>
      </w:pPr>
      <w:r>
        <w:t xml:space="preserve">This publication is available at </w:t>
      </w:r>
      <w:hyperlink r:id="rId14" w:history="1">
        <w:r>
          <w:rPr>
            <w:rStyle w:val="Hyperlink"/>
          </w:rPr>
          <w:t>agriculture.gov.au</w:t>
        </w:r>
      </w:hyperlink>
      <w:r>
        <w:t>.</w:t>
      </w:r>
    </w:p>
    <w:p w:rsidR="004D5CBC" w:rsidRDefault="004D5CBC">
      <w:pPr>
        <w:pStyle w:val="TableText"/>
      </w:pPr>
      <w:r>
        <w:t>Australian Government Department of Agriculture and Water Resources</w:t>
      </w:r>
      <w:r>
        <w:br/>
        <w:t>GPO Box 858 Canberra ACT 2601</w:t>
      </w:r>
    </w:p>
    <w:p w:rsidR="004D5CBC" w:rsidRDefault="004D5CBC">
      <w:pPr>
        <w:pStyle w:val="TableText"/>
        <w:tabs>
          <w:tab w:val="left" w:pos="1134"/>
        </w:tabs>
      </w:pPr>
      <w:r>
        <w:t xml:space="preserve">Switchboard: </w:t>
      </w:r>
      <w:r>
        <w:tab/>
        <w:t>+61 2 6272 3933 or 1800 900 090</w:t>
      </w:r>
    </w:p>
    <w:p w:rsidR="004D5CBC" w:rsidRDefault="004D5CBC">
      <w:pPr>
        <w:pStyle w:val="TableText"/>
        <w:tabs>
          <w:tab w:val="left" w:pos="1134"/>
        </w:tabs>
      </w:pPr>
      <w:r>
        <w:t xml:space="preserve">Facsimile: </w:t>
      </w:r>
      <w:r>
        <w:tab/>
        <w:t>+61 2 6272 3307</w:t>
      </w:r>
    </w:p>
    <w:p w:rsidR="004D5CBC" w:rsidRDefault="004D5CBC">
      <w:pPr>
        <w:pStyle w:val="TableText"/>
        <w:tabs>
          <w:tab w:val="left" w:pos="1134"/>
        </w:tabs>
        <w:spacing w:after="240"/>
      </w:pPr>
      <w:r>
        <w:t>Email:</w:t>
      </w:r>
      <w:r>
        <w:tab/>
      </w:r>
      <w:hyperlink r:id="rId15" w:history="1">
        <w:r>
          <w:rPr>
            <w:rStyle w:val="Hyperlink"/>
          </w:rPr>
          <w:t>plant@agriculture.gov.au</w:t>
        </w:r>
      </w:hyperlink>
    </w:p>
    <w:p w:rsidR="004D5CBC" w:rsidRDefault="004D5CBC">
      <w:pPr>
        <w:pStyle w:val="TableText"/>
        <w:rPr>
          <w:rFonts w:ascii="Calibri" w:hAnsi="Calibri"/>
          <w:b/>
        </w:rPr>
      </w:pPr>
      <w:r>
        <w:rPr>
          <w:rFonts w:ascii="Calibri" w:hAnsi="Calibri"/>
          <w:b/>
        </w:rPr>
        <w:t>Liability</w:t>
      </w:r>
    </w:p>
    <w:p w:rsidR="004D5CBC" w:rsidRDefault="004D5CBC" w:rsidP="00E871EE">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4D5CBC" w:rsidRPr="00411A10" w:rsidRDefault="004D5CBC" w:rsidP="007945EC">
      <w:pPr>
        <w:pStyle w:val="TOCHeading"/>
        <w:rPr>
          <w:b w:val="0"/>
        </w:rPr>
        <w:sectPr w:rsidR="004D5CBC" w:rsidRPr="00411A10" w:rsidSect="00E310DC">
          <w:pgSz w:w="11906" w:h="16838"/>
          <w:pgMar w:top="1418" w:right="1418" w:bottom="1418" w:left="1418" w:header="567" w:footer="283" w:gutter="0"/>
          <w:pgNumType w:fmt="lowerRoman"/>
          <w:cols w:space="708"/>
          <w:docGrid w:linePitch="360"/>
        </w:sectPr>
      </w:pPr>
    </w:p>
    <w:p w:rsidR="004D5CBC" w:rsidRPr="007945EC" w:rsidRDefault="004D5CBC" w:rsidP="007945EC">
      <w:pPr>
        <w:pStyle w:val="TOCHeading"/>
      </w:pPr>
      <w:r>
        <w:lastRenderedPageBreak/>
        <w:t>Contents</w:t>
      </w:r>
    </w:p>
    <w:p w:rsidR="00114261" w:rsidRDefault="004D5CBC">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114261">
        <w:t>Acronyms and abbreviations</w:t>
      </w:r>
      <w:r w:rsidR="00114261">
        <w:tab/>
      </w:r>
      <w:r w:rsidR="00114261">
        <w:fldChar w:fldCharType="begin"/>
      </w:r>
      <w:r w:rsidR="00114261">
        <w:instrText xml:space="preserve"> PAGEREF _Toc520996410 \h </w:instrText>
      </w:r>
      <w:r w:rsidR="00114261">
        <w:fldChar w:fldCharType="separate"/>
      </w:r>
      <w:r w:rsidR="00502BAD">
        <w:t>v</w:t>
      </w:r>
      <w:r w:rsidR="00114261">
        <w:fldChar w:fldCharType="end"/>
      </w:r>
    </w:p>
    <w:p w:rsidR="00114261" w:rsidRDefault="00114261">
      <w:pPr>
        <w:pStyle w:val="TOC1"/>
        <w:rPr>
          <w:rFonts w:eastAsiaTheme="minorEastAsia"/>
          <w:b w:val="0"/>
          <w:lang w:eastAsia="en-AU"/>
        </w:rPr>
      </w:pPr>
      <w:r>
        <w:t>Summary</w:t>
      </w:r>
      <w:r>
        <w:tab/>
      </w:r>
      <w:r>
        <w:fldChar w:fldCharType="begin"/>
      </w:r>
      <w:r>
        <w:instrText xml:space="preserve"> PAGEREF _Toc520996411 \h </w:instrText>
      </w:r>
      <w:r>
        <w:fldChar w:fldCharType="separate"/>
      </w:r>
      <w:r w:rsidR="00502BAD">
        <w:t>1</w:t>
      </w:r>
      <w:r>
        <w:fldChar w:fldCharType="end"/>
      </w:r>
    </w:p>
    <w:p w:rsidR="00114261" w:rsidRDefault="00114261">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_Toc520996412 \h </w:instrText>
      </w:r>
      <w:r>
        <w:fldChar w:fldCharType="separate"/>
      </w:r>
      <w:r w:rsidR="00502BAD">
        <w:t>3</w:t>
      </w:r>
      <w:r>
        <w:fldChar w:fldCharType="end"/>
      </w:r>
    </w:p>
    <w:p w:rsidR="00114261" w:rsidRDefault="00114261">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_Toc520996413 \h </w:instrText>
      </w:r>
      <w:r>
        <w:fldChar w:fldCharType="separate"/>
      </w:r>
      <w:r w:rsidR="00502BAD">
        <w:t>3</w:t>
      </w:r>
      <w:r>
        <w:fldChar w:fldCharType="end"/>
      </w:r>
    </w:p>
    <w:p w:rsidR="00114261" w:rsidRDefault="00114261">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_Toc520996414 \h </w:instrText>
      </w:r>
      <w:r>
        <w:fldChar w:fldCharType="separate"/>
      </w:r>
      <w:r w:rsidR="00502BAD">
        <w:t>3</w:t>
      </w:r>
      <w:r>
        <w:fldChar w:fldCharType="end"/>
      </w:r>
    </w:p>
    <w:p w:rsidR="00114261" w:rsidRDefault="00114261">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_Toc520996415 \h </w:instrText>
      </w:r>
      <w:r>
        <w:fldChar w:fldCharType="separate"/>
      </w:r>
      <w:r w:rsidR="00502BAD">
        <w:t>7</w:t>
      </w:r>
      <w:r>
        <w:fldChar w:fldCharType="end"/>
      </w:r>
    </w:p>
    <w:p w:rsidR="00114261" w:rsidRDefault="00114261">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_Toc520996416 \h </w:instrText>
      </w:r>
      <w:r>
        <w:fldChar w:fldCharType="separate"/>
      </w:r>
      <w:r w:rsidR="00502BAD">
        <w:t>7</w:t>
      </w:r>
      <w:r>
        <w:fldChar w:fldCharType="end"/>
      </w:r>
    </w:p>
    <w:p w:rsidR="00114261" w:rsidRDefault="00114261">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_Toc520996417 \h </w:instrText>
      </w:r>
      <w:r>
        <w:fldChar w:fldCharType="separate"/>
      </w:r>
      <w:r w:rsidR="00502BAD">
        <w:t>8</w:t>
      </w:r>
      <w:r>
        <w:fldChar w:fldCharType="end"/>
      </w:r>
    </w:p>
    <w:p w:rsidR="00114261" w:rsidRDefault="00114261">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_Toc520996418 \h </w:instrText>
      </w:r>
      <w:r>
        <w:fldChar w:fldCharType="separate"/>
      </w:r>
      <w:r w:rsidR="00502BAD">
        <w:t>15</w:t>
      </w:r>
      <w:r>
        <w:fldChar w:fldCharType="end"/>
      </w:r>
    </w:p>
    <w:p w:rsidR="00114261" w:rsidRDefault="00114261">
      <w:pPr>
        <w:pStyle w:val="TOC1"/>
        <w:rPr>
          <w:rFonts w:eastAsiaTheme="minorEastAsia"/>
          <w:b w:val="0"/>
          <w:lang w:eastAsia="en-AU"/>
        </w:rPr>
      </w:pPr>
      <w:r>
        <w:t>3</w:t>
      </w:r>
      <w:r>
        <w:rPr>
          <w:rFonts w:eastAsiaTheme="minorEastAsia"/>
          <w:b w:val="0"/>
          <w:lang w:eastAsia="en-AU"/>
        </w:rPr>
        <w:tab/>
      </w:r>
      <w:r>
        <w:t>Indonesia’s commercial production practices for dragon fruit</w:t>
      </w:r>
      <w:r>
        <w:tab/>
      </w:r>
      <w:r>
        <w:fldChar w:fldCharType="begin"/>
      </w:r>
      <w:r>
        <w:instrText xml:space="preserve"> PAGEREF _Toc520996419 \h </w:instrText>
      </w:r>
      <w:r>
        <w:fldChar w:fldCharType="separate"/>
      </w:r>
      <w:r w:rsidR="00502BAD">
        <w:t>17</w:t>
      </w:r>
      <w:r>
        <w:fldChar w:fldCharType="end"/>
      </w:r>
    </w:p>
    <w:p w:rsidR="00114261" w:rsidRDefault="00114261">
      <w:pPr>
        <w:pStyle w:val="TOC2"/>
        <w:tabs>
          <w:tab w:val="left" w:pos="1100"/>
        </w:tabs>
        <w:rPr>
          <w:rFonts w:eastAsiaTheme="minorEastAsia"/>
          <w:lang w:eastAsia="en-AU"/>
        </w:rPr>
      </w:pPr>
      <w:r>
        <w:t>3.1</w:t>
      </w:r>
      <w:r>
        <w:rPr>
          <w:rFonts w:eastAsiaTheme="minorEastAsia"/>
          <w:lang w:eastAsia="en-AU"/>
        </w:rPr>
        <w:tab/>
      </w:r>
      <w:r>
        <w:t>Assumptions used in estimating unrestricted risk</w:t>
      </w:r>
      <w:r>
        <w:tab/>
      </w:r>
      <w:r>
        <w:fldChar w:fldCharType="begin"/>
      </w:r>
      <w:r>
        <w:instrText xml:space="preserve"> PAGEREF _Toc520996420 \h </w:instrText>
      </w:r>
      <w:r>
        <w:fldChar w:fldCharType="separate"/>
      </w:r>
      <w:r w:rsidR="00502BAD">
        <w:t>17</w:t>
      </w:r>
      <w:r>
        <w:fldChar w:fldCharType="end"/>
      </w:r>
    </w:p>
    <w:p w:rsidR="00114261" w:rsidRDefault="00114261">
      <w:pPr>
        <w:pStyle w:val="TOC2"/>
        <w:tabs>
          <w:tab w:val="left" w:pos="1100"/>
        </w:tabs>
        <w:rPr>
          <w:rFonts w:eastAsiaTheme="minorEastAsia"/>
          <w:lang w:eastAsia="en-AU"/>
        </w:rPr>
      </w:pPr>
      <w:r>
        <w:t>3.2</w:t>
      </w:r>
      <w:r>
        <w:rPr>
          <w:rFonts w:eastAsiaTheme="minorEastAsia"/>
          <w:lang w:eastAsia="en-AU"/>
        </w:rPr>
        <w:tab/>
      </w:r>
      <w:r>
        <w:t>Dragon fruit production areas</w:t>
      </w:r>
      <w:r>
        <w:tab/>
      </w:r>
      <w:r>
        <w:fldChar w:fldCharType="begin"/>
      </w:r>
      <w:r>
        <w:instrText xml:space="preserve"> PAGEREF _Toc520996421 \h </w:instrText>
      </w:r>
      <w:r>
        <w:fldChar w:fldCharType="separate"/>
      </w:r>
      <w:r w:rsidR="00502BAD">
        <w:t>17</w:t>
      </w:r>
      <w:r>
        <w:fldChar w:fldCharType="end"/>
      </w:r>
    </w:p>
    <w:p w:rsidR="00114261" w:rsidRDefault="00114261">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_Toc520996422 \h </w:instrText>
      </w:r>
      <w:r>
        <w:fldChar w:fldCharType="separate"/>
      </w:r>
      <w:r w:rsidR="00502BAD">
        <w:t>19</w:t>
      </w:r>
      <w:r>
        <w:fldChar w:fldCharType="end"/>
      </w:r>
    </w:p>
    <w:p w:rsidR="00114261" w:rsidRDefault="00114261">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_Toc520996423 \h </w:instrText>
      </w:r>
      <w:r>
        <w:fldChar w:fldCharType="separate"/>
      </w:r>
      <w:r w:rsidR="00502BAD">
        <w:t>21</w:t>
      </w:r>
      <w:r>
        <w:fldChar w:fldCharType="end"/>
      </w:r>
    </w:p>
    <w:p w:rsidR="00114261" w:rsidRDefault="00114261">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_Toc520996424 \h </w:instrText>
      </w:r>
      <w:r>
        <w:fldChar w:fldCharType="separate"/>
      </w:r>
      <w:r w:rsidR="00502BAD">
        <w:t>26</w:t>
      </w:r>
      <w:r>
        <w:fldChar w:fldCharType="end"/>
      </w:r>
    </w:p>
    <w:p w:rsidR="00114261" w:rsidRDefault="00114261">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_Toc520996425 \h </w:instrText>
      </w:r>
      <w:r>
        <w:fldChar w:fldCharType="separate"/>
      </w:r>
      <w:r w:rsidR="00502BAD">
        <w:t>26</w:t>
      </w:r>
      <w:r>
        <w:fldChar w:fldCharType="end"/>
      </w:r>
    </w:p>
    <w:p w:rsidR="00114261" w:rsidRDefault="00114261">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_Toc520996426 \h </w:instrText>
      </w:r>
      <w:r>
        <w:fldChar w:fldCharType="separate"/>
      </w:r>
      <w:r w:rsidR="00502BAD">
        <w:t>29</w:t>
      </w:r>
      <w:r>
        <w:fldChar w:fldCharType="end"/>
      </w:r>
    </w:p>
    <w:p w:rsidR="00114261" w:rsidRDefault="00114261">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_Toc520996427 \h </w:instrText>
      </w:r>
      <w:r>
        <w:fldChar w:fldCharType="separate"/>
      </w:r>
      <w:r w:rsidR="00502BAD">
        <w:t>30</w:t>
      </w:r>
      <w:r>
        <w:fldChar w:fldCharType="end"/>
      </w:r>
    </w:p>
    <w:p w:rsidR="00114261" w:rsidRDefault="00114261">
      <w:pPr>
        <w:pStyle w:val="TOC2"/>
        <w:tabs>
          <w:tab w:val="left" w:pos="1100"/>
        </w:tabs>
        <w:rPr>
          <w:rFonts w:eastAsiaTheme="minorEastAsia"/>
          <w:lang w:eastAsia="en-AU"/>
        </w:rPr>
      </w:pPr>
      <w:r>
        <w:t>4.1</w:t>
      </w:r>
      <w:r>
        <w:rPr>
          <w:rFonts w:eastAsiaTheme="minorEastAsia"/>
          <w:lang w:eastAsia="en-AU"/>
        </w:rPr>
        <w:tab/>
      </w:r>
      <w:r>
        <w:t>Fruit flies</w:t>
      </w:r>
      <w:r>
        <w:tab/>
      </w:r>
      <w:r>
        <w:fldChar w:fldCharType="begin"/>
      </w:r>
      <w:r>
        <w:instrText xml:space="preserve"> PAGEREF _Toc520996428 \h </w:instrText>
      </w:r>
      <w:r>
        <w:fldChar w:fldCharType="separate"/>
      </w:r>
      <w:r w:rsidR="00502BAD">
        <w:t>31</w:t>
      </w:r>
      <w:r>
        <w:fldChar w:fldCharType="end"/>
      </w:r>
    </w:p>
    <w:p w:rsidR="00114261" w:rsidRDefault="00114261">
      <w:pPr>
        <w:pStyle w:val="TOC2"/>
        <w:tabs>
          <w:tab w:val="left" w:pos="1100"/>
        </w:tabs>
        <w:rPr>
          <w:rFonts w:eastAsiaTheme="minorEastAsia"/>
          <w:lang w:eastAsia="en-AU"/>
        </w:rPr>
      </w:pPr>
      <w:r>
        <w:t>4.2</w:t>
      </w:r>
      <w:r>
        <w:rPr>
          <w:rFonts w:eastAsiaTheme="minorEastAsia"/>
          <w:lang w:eastAsia="en-AU"/>
        </w:rPr>
        <w:tab/>
      </w:r>
      <w:r>
        <w:t>Mealybugs</w:t>
      </w:r>
      <w:r>
        <w:tab/>
      </w:r>
      <w:r>
        <w:fldChar w:fldCharType="begin"/>
      </w:r>
      <w:r>
        <w:instrText xml:space="preserve"> PAGEREF _Toc520996429 \h </w:instrText>
      </w:r>
      <w:r>
        <w:fldChar w:fldCharType="separate"/>
      </w:r>
      <w:r w:rsidR="00502BAD">
        <w:t>32</w:t>
      </w:r>
      <w:r>
        <w:fldChar w:fldCharType="end"/>
      </w:r>
    </w:p>
    <w:p w:rsidR="00114261" w:rsidRDefault="00114261">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_Toc520996430 \h </w:instrText>
      </w:r>
      <w:r>
        <w:fldChar w:fldCharType="separate"/>
      </w:r>
      <w:r w:rsidR="00502BAD">
        <w:t>34</w:t>
      </w:r>
      <w:r>
        <w:fldChar w:fldCharType="end"/>
      </w:r>
    </w:p>
    <w:p w:rsidR="00114261" w:rsidRDefault="00114261">
      <w:pPr>
        <w:pStyle w:val="TOC2"/>
        <w:tabs>
          <w:tab w:val="left" w:pos="1100"/>
        </w:tabs>
        <w:rPr>
          <w:rFonts w:eastAsiaTheme="minorEastAsia"/>
          <w:lang w:eastAsia="en-AU"/>
        </w:rPr>
      </w:pPr>
      <w:r>
        <w:t>5.1</w:t>
      </w:r>
      <w:r>
        <w:rPr>
          <w:rFonts w:eastAsiaTheme="minorEastAsia"/>
          <w:lang w:eastAsia="en-AU"/>
        </w:rPr>
        <w:tab/>
      </w:r>
      <w:r>
        <w:t>Pest risk management measures and phytosanitary procedures</w:t>
      </w:r>
      <w:r>
        <w:tab/>
      </w:r>
      <w:r>
        <w:fldChar w:fldCharType="begin"/>
      </w:r>
      <w:r>
        <w:instrText xml:space="preserve"> PAGEREF _Toc520996431 \h </w:instrText>
      </w:r>
      <w:r>
        <w:fldChar w:fldCharType="separate"/>
      </w:r>
      <w:r w:rsidR="00502BAD">
        <w:t>34</w:t>
      </w:r>
      <w:r>
        <w:fldChar w:fldCharType="end"/>
      </w:r>
    </w:p>
    <w:p w:rsidR="00114261" w:rsidRDefault="00114261">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_Toc520996432 \h </w:instrText>
      </w:r>
      <w:r>
        <w:fldChar w:fldCharType="separate"/>
      </w:r>
      <w:r w:rsidR="00502BAD">
        <w:t>37</w:t>
      </w:r>
      <w:r>
        <w:fldChar w:fldCharType="end"/>
      </w:r>
    </w:p>
    <w:p w:rsidR="00114261" w:rsidRDefault="00114261">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_Toc520996433 \h </w:instrText>
      </w:r>
      <w:r>
        <w:fldChar w:fldCharType="separate"/>
      </w:r>
      <w:r w:rsidR="00502BAD">
        <w:t>40</w:t>
      </w:r>
      <w:r>
        <w:fldChar w:fldCharType="end"/>
      </w:r>
    </w:p>
    <w:p w:rsidR="00114261" w:rsidRDefault="00114261">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_Toc520996434 \h </w:instrText>
      </w:r>
      <w:r>
        <w:fldChar w:fldCharType="separate"/>
      </w:r>
      <w:r w:rsidR="00502BAD">
        <w:t>40</w:t>
      </w:r>
      <w:r>
        <w:fldChar w:fldCharType="end"/>
      </w:r>
    </w:p>
    <w:p w:rsidR="00114261" w:rsidRDefault="00114261">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_Toc520996435 \h </w:instrText>
      </w:r>
      <w:r>
        <w:fldChar w:fldCharType="separate"/>
      </w:r>
      <w:r w:rsidR="00502BAD">
        <w:t>40</w:t>
      </w:r>
      <w:r>
        <w:fldChar w:fldCharType="end"/>
      </w:r>
    </w:p>
    <w:p w:rsidR="00114261" w:rsidRDefault="00114261">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_Toc520996436 \h </w:instrText>
      </w:r>
      <w:r>
        <w:fldChar w:fldCharType="separate"/>
      </w:r>
      <w:r w:rsidR="00502BAD">
        <w:t>42</w:t>
      </w:r>
      <w:r>
        <w:fldChar w:fldCharType="end"/>
      </w:r>
    </w:p>
    <w:p w:rsidR="00114261" w:rsidRDefault="00114261">
      <w:pPr>
        <w:pStyle w:val="TOC1"/>
        <w:rPr>
          <w:rFonts w:eastAsiaTheme="minorEastAsia"/>
          <w:b w:val="0"/>
          <w:lang w:eastAsia="en-AU"/>
        </w:rPr>
      </w:pPr>
      <w:r>
        <w:t>Appendix A: Categorisation of pests of fresh dragon fruit from Indonesia</w:t>
      </w:r>
      <w:r>
        <w:tab/>
      </w:r>
      <w:r>
        <w:fldChar w:fldCharType="begin"/>
      </w:r>
      <w:r>
        <w:instrText xml:space="preserve"> PAGEREF _Toc520996437 \h </w:instrText>
      </w:r>
      <w:r>
        <w:fldChar w:fldCharType="separate"/>
      </w:r>
      <w:r w:rsidR="00502BAD">
        <w:t>43</w:t>
      </w:r>
      <w:r>
        <w:fldChar w:fldCharType="end"/>
      </w:r>
    </w:p>
    <w:p w:rsidR="00114261" w:rsidRDefault="00114261">
      <w:pPr>
        <w:pStyle w:val="TOC1"/>
        <w:rPr>
          <w:rFonts w:eastAsiaTheme="minorEastAsia"/>
          <w:b w:val="0"/>
          <w:lang w:eastAsia="en-AU"/>
        </w:rPr>
      </w:pPr>
      <w:r>
        <w:t>Appendix B: Issues raised in stakeholder comments</w:t>
      </w:r>
      <w:r>
        <w:tab/>
      </w:r>
      <w:r>
        <w:fldChar w:fldCharType="begin"/>
      </w:r>
      <w:r>
        <w:instrText xml:space="preserve"> PAGEREF _Toc520996438 \h </w:instrText>
      </w:r>
      <w:r>
        <w:fldChar w:fldCharType="separate"/>
      </w:r>
      <w:r w:rsidR="00502BAD">
        <w:t>61</w:t>
      </w:r>
      <w:r>
        <w:fldChar w:fldCharType="end"/>
      </w:r>
    </w:p>
    <w:p w:rsidR="00114261" w:rsidRDefault="00114261">
      <w:pPr>
        <w:pStyle w:val="TOC1"/>
        <w:rPr>
          <w:rFonts w:eastAsiaTheme="minorEastAsia"/>
          <w:b w:val="0"/>
          <w:lang w:eastAsia="en-AU"/>
        </w:rPr>
      </w:pPr>
      <w:r>
        <w:t>Glossary</w:t>
      </w:r>
      <w:r>
        <w:tab/>
      </w:r>
      <w:r>
        <w:fldChar w:fldCharType="begin"/>
      </w:r>
      <w:r>
        <w:instrText xml:space="preserve"> PAGEREF _Toc520996439 \h </w:instrText>
      </w:r>
      <w:r>
        <w:fldChar w:fldCharType="separate"/>
      </w:r>
      <w:r w:rsidR="00502BAD">
        <w:t>63</w:t>
      </w:r>
      <w:r>
        <w:fldChar w:fldCharType="end"/>
      </w:r>
    </w:p>
    <w:p w:rsidR="00114261" w:rsidRDefault="00114261">
      <w:pPr>
        <w:pStyle w:val="TOC1"/>
        <w:rPr>
          <w:rFonts w:eastAsiaTheme="minorEastAsia"/>
          <w:b w:val="0"/>
          <w:lang w:eastAsia="en-AU"/>
        </w:rPr>
      </w:pPr>
      <w:r>
        <w:t>References</w:t>
      </w:r>
      <w:r>
        <w:tab/>
      </w:r>
      <w:r>
        <w:fldChar w:fldCharType="begin"/>
      </w:r>
      <w:r>
        <w:instrText xml:space="preserve"> PAGEREF _Toc520996440 \h </w:instrText>
      </w:r>
      <w:r>
        <w:fldChar w:fldCharType="separate"/>
      </w:r>
      <w:r w:rsidR="00502BAD">
        <w:t>67</w:t>
      </w:r>
      <w:r>
        <w:fldChar w:fldCharType="end"/>
      </w:r>
    </w:p>
    <w:p w:rsidR="004D5CBC" w:rsidRPr="007F3A08" w:rsidRDefault="004D5CBC" w:rsidP="007F3A08">
      <w:pPr>
        <w:pStyle w:val="TOCHeading"/>
        <w:keepNext/>
        <w:tabs>
          <w:tab w:val="left" w:pos="6186"/>
        </w:tabs>
        <w:rPr>
          <w:rFonts w:asciiTheme="minorHAnsi" w:hAnsiTheme="minorHAnsi"/>
          <w:b w:val="0"/>
          <w:noProof/>
          <w:szCs w:val="24"/>
        </w:rPr>
      </w:pPr>
      <w:r>
        <w:rPr>
          <w:rFonts w:asciiTheme="minorHAnsi" w:eastAsiaTheme="minorHAnsi" w:hAnsiTheme="minorHAnsi" w:cstheme="minorBidi"/>
          <w:bCs w:val="0"/>
          <w:noProof/>
          <w:color w:val="auto"/>
          <w:sz w:val="22"/>
          <w:szCs w:val="24"/>
          <w:lang w:val="en-AU"/>
        </w:rPr>
        <w:fldChar w:fldCharType="end"/>
      </w:r>
      <w:r w:rsidRPr="007F3A08">
        <w:rPr>
          <w:rFonts w:asciiTheme="minorHAnsi" w:hAnsiTheme="minorHAnsi"/>
          <w:b w:val="0"/>
          <w:noProof/>
          <w:szCs w:val="24"/>
        </w:rPr>
        <w:br w:type="page"/>
      </w:r>
    </w:p>
    <w:p w:rsidR="004D5CBC" w:rsidRDefault="004D5CBC" w:rsidP="00FB30CE">
      <w:pPr>
        <w:pStyle w:val="TOCHeading"/>
        <w:keepNext/>
        <w:tabs>
          <w:tab w:val="left" w:pos="6186"/>
        </w:tabs>
      </w:pPr>
      <w:r>
        <w:lastRenderedPageBreak/>
        <w:t>Figures</w:t>
      </w:r>
    </w:p>
    <w:p w:rsidR="00114261" w:rsidRDefault="004D5CBC" w:rsidP="00114261">
      <w:pPr>
        <w:pStyle w:val="TableofFigures"/>
        <w:tabs>
          <w:tab w:val="right" w:leader="dot" w:pos="9060"/>
        </w:tabs>
        <w:ind w:left="777" w:hanging="777"/>
        <w:rPr>
          <w:rFonts w:eastAsiaTheme="minorEastAsia"/>
          <w:noProof/>
          <w:lang w:eastAsia="en-AU"/>
        </w:rPr>
      </w:pPr>
      <w:r>
        <w:fldChar w:fldCharType="begin"/>
      </w:r>
      <w:r>
        <w:instrText xml:space="preserve"> TOC \c "Figure" </w:instrText>
      </w:r>
      <w:r>
        <w:fldChar w:fldCharType="separate"/>
      </w:r>
      <w:r w:rsidR="00114261">
        <w:rPr>
          <w:noProof/>
        </w:rPr>
        <w:t>Figure 1 Cross section of a dragon fruit showing key parts of the fruit</w:t>
      </w:r>
      <w:r w:rsidR="00114261">
        <w:rPr>
          <w:noProof/>
        </w:rPr>
        <w:tab/>
      </w:r>
      <w:r w:rsidR="00114261">
        <w:rPr>
          <w:noProof/>
        </w:rPr>
        <w:fldChar w:fldCharType="begin"/>
      </w:r>
      <w:r w:rsidR="00114261">
        <w:rPr>
          <w:noProof/>
        </w:rPr>
        <w:instrText xml:space="preserve"> PAGEREF _Toc520996441 \h </w:instrText>
      </w:r>
      <w:r w:rsidR="00114261">
        <w:rPr>
          <w:noProof/>
        </w:rPr>
      </w:r>
      <w:r w:rsidR="00114261">
        <w:rPr>
          <w:noProof/>
        </w:rPr>
        <w:fldChar w:fldCharType="separate"/>
      </w:r>
      <w:r w:rsidR="00502BAD">
        <w:rPr>
          <w:noProof/>
        </w:rPr>
        <w:t>4</w:t>
      </w:r>
      <w:r w:rsidR="00114261">
        <w:rPr>
          <w:noProof/>
        </w:rPr>
        <w:fldChar w:fldCharType="end"/>
      </w:r>
    </w:p>
    <w:p w:rsidR="00114261" w:rsidRDefault="00114261" w:rsidP="00114261">
      <w:pPr>
        <w:pStyle w:val="TableofFigures"/>
        <w:tabs>
          <w:tab w:val="right" w:leader="dot" w:pos="9060"/>
        </w:tabs>
        <w:ind w:left="777" w:hanging="777"/>
        <w:rPr>
          <w:rFonts w:eastAsiaTheme="minorEastAsia"/>
          <w:noProof/>
          <w:lang w:eastAsia="en-AU"/>
        </w:rPr>
      </w:pPr>
      <w:r>
        <w:rPr>
          <w:noProof/>
        </w:rPr>
        <w:t>Figure 2 Mean monthly maximum and minimum temperatures and mean monthly rainfall in main dragon fruit production districts</w:t>
      </w:r>
      <w:r>
        <w:rPr>
          <w:noProof/>
        </w:rPr>
        <w:tab/>
      </w:r>
      <w:r>
        <w:rPr>
          <w:noProof/>
        </w:rPr>
        <w:fldChar w:fldCharType="begin"/>
      </w:r>
      <w:r>
        <w:rPr>
          <w:noProof/>
        </w:rPr>
        <w:instrText xml:space="preserve"> PAGEREF _Toc520996442 \h </w:instrText>
      </w:r>
      <w:r>
        <w:rPr>
          <w:noProof/>
        </w:rPr>
      </w:r>
      <w:r>
        <w:rPr>
          <w:noProof/>
        </w:rPr>
        <w:fldChar w:fldCharType="separate"/>
      </w:r>
      <w:r w:rsidR="00502BAD">
        <w:rPr>
          <w:noProof/>
        </w:rPr>
        <w:t>20</w:t>
      </w:r>
      <w:r>
        <w:rPr>
          <w:noProof/>
        </w:rPr>
        <w:fldChar w:fldCharType="end"/>
      </w:r>
    </w:p>
    <w:p w:rsidR="00114261" w:rsidRDefault="00114261" w:rsidP="00114261">
      <w:pPr>
        <w:pStyle w:val="TableofFigures"/>
        <w:tabs>
          <w:tab w:val="right" w:leader="dot" w:pos="9060"/>
        </w:tabs>
        <w:ind w:left="777" w:hanging="777"/>
        <w:rPr>
          <w:rFonts w:eastAsiaTheme="minorEastAsia"/>
          <w:noProof/>
          <w:lang w:eastAsia="en-AU"/>
        </w:rPr>
      </w:pPr>
      <w:r>
        <w:rPr>
          <w:noProof/>
        </w:rPr>
        <w:t>Figure 3 Typical placement of cuttings against support post</w:t>
      </w:r>
      <w:r>
        <w:rPr>
          <w:noProof/>
        </w:rPr>
        <w:tab/>
      </w:r>
      <w:r>
        <w:rPr>
          <w:noProof/>
        </w:rPr>
        <w:fldChar w:fldCharType="begin"/>
      </w:r>
      <w:r>
        <w:rPr>
          <w:noProof/>
        </w:rPr>
        <w:instrText xml:space="preserve"> PAGEREF _Toc520996443 \h </w:instrText>
      </w:r>
      <w:r>
        <w:rPr>
          <w:noProof/>
        </w:rPr>
      </w:r>
      <w:r>
        <w:rPr>
          <w:noProof/>
        </w:rPr>
        <w:fldChar w:fldCharType="separate"/>
      </w:r>
      <w:r w:rsidR="00502BAD">
        <w:rPr>
          <w:noProof/>
        </w:rPr>
        <w:t>22</w:t>
      </w:r>
      <w:r>
        <w:rPr>
          <w:noProof/>
        </w:rPr>
        <w:fldChar w:fldCharType="end"/>
      </w:r>
    </w:p>
    <w:p w:rsidR="00114261" w:rsidRDefault="00114261" w:rsidP="00114261">
      <w:pPr>
        <w:pStyle w:val="TableofFigures"/>
        <w:tabs>
          <w:tab w:val="right" w:leader="dot" w:pos="9060"/>
        </w:tabs>
        <w:ind w:left="777" w:hanging="777"/>
        <w:rPr>
          <w:rFonts w:eastAsiaTheme="minorEastAsia"/>
          <w:noProof/>
          <w:lang w:eastAsia="en-AU"/>
        </w:rPr>
      </w:pPr>
      <w:r>
        <w:rPr>
          <w:noProof/>
        </w:rPr>
        <w:t xml:space="preserve">Figure 4 Dragon fruit planting layout with live </w:t>
      </w:r>
      <w:r w:rsidRPr="00AF2FD8">
        <w:rPr>
          <w:i/>
          <w:noProof/>
        </w:rPr>
        <w:t>Ceiba petandra</w:t>
      </w:r>
      <w:r>
        <w:rPr>
          <w:noProof/>
        </w:rPr>
        <w:t xml:space="preserve"> (Kapok) trees and artificial lighting system.</w:t>
      </w:r>
      <w:r>
        <w:rPr>
          <w:noProof/>
        </w:rPr>
        <w:tab/>
      </w:r>
      <w:r>
        <w:rPr>
          <w:noProof/>
        </w:rPr>
        <w:fldChar w:fldCharType="begin"/>
      </w:r>
      <w:r>
        <w:rPr>
          <w:noProof/>
        </w:rPr>
        <w:instrText xml:space="preserve"> PAGEREF _Toc520996444 \h </w:instrText>
      </w:r>
      <w:r>
        <w:rPr>
          <w:noProof/>
        </w:rPr>
      </w:r>
      <w:r>
        <w:rPr>
          <w:noProof/>
        </w:rPr>
        <w:fldChar w:fldCharType="separate"/>
      </w:r>
      <w:r w:rsidR="00502BAD">
        <w:rPr>
          <w:noProof/>
        </w:rPr>
        <w:t>23</w:t>
      </w:r>
      <w:r>
        <w:rPr>
          <w:noProof/>
        </w:rPr>
        <w:fldChar w:fldCharType="end"/>
      </w:r>
    </w:p>
    <w:p w:rsidR="00114261" w:rsidRDefault="00114261" w:rsidP="00114261">
      <w:pPr>
        <w:pStyle w:val="TableofFigures"/>
        <w:tabs>
          <w:tab w:val="right" w:leader="dot" w:pos="9060"/>
        </w:tabs>
        <w:ind w:left="777" w:hanging="777"/>
        <w:rPr>
          <w:rFonts w:eastAsiaTheme="minorEastAsia"/>
          <w:noProof/>
          <w:lang w:eastAsia="en-AU"/>
        </w:rPr>
      </w:pPr>
      <w:r>
        <w:rPr>
          <w:noProof/>
        </w:rPr>
        <w:t>Figure 5 Dragon fruit farm using concrete borders around each planting site to conserve water because of low water availability and sandy soils.</w:t>
      </w:r>
      <w:r>
        <w:rPr>
          <w:noProof/>
        </w:rPr>
        <w:tab/>
      </w:r>
      <w:r>
        <w:rPr>
          <w:noProof/>
        </w:rPr>
        <w:fldChar w:fldCharType="begin"/>
      </w:r>
      <w:r>
        <w:rPr>
          <w:noProof/>
        </w:rPr>
        <w:instrText xml:space="preserve"> PAGEREF _Toc520996445 \h </w:instrText>
      </w:r>
      <w:r>
        <w:rPr>
          <w:noProof/>
        </w:rPr>
      </w:r>
      <w:r>
        <w:rPr>
          <w:noProof/>
        </w:rPr>
        <w:fldChar w:fldCharType="separate"/>
      </w:r>
      <w:r w:rsidR="00502BAD">
        <w:rPr>
          <w:noProof/>
        </w:rPr>
        <w:t>24</w:t>
      </w:r>
      <w:r>
        <w:rPr>
          <w:noProof/>
        </w:rPr>
        <w:fldChar w:fldCharType="end"/>
      </w:r>
    </w:p>
    <w:p w:rsidR="00114261" w:rsidRDefault="00114261" w:rsidP="00114261">
      <w:pPr>
        <w:pStyle w:val="TableofFigures"/>
        <w:tabs>
          <w:tab w:val="right" w:leader="dot" w:pos="9060"/>
        </w:tabs>
        <w:ind w:left="777" w:hanging="777"/>
        <w:rPr>
          <w:rFonts w:eastAsiaTheme="minorEastAsia"/>
          <w:noProof/>
          <w:lang w:eastAsia="en-AU"/>
        </w:rPr>
      </w:pPr>
      <w:r>
        <w:rPr>
          <w:noProof/>
        </w:rPr>
        <w:t>Figure 6 Fruit growing on the plant protected in a mesh bag tied off with twine</w:t>
      </w:r>
      <w:r>
        <w:rPr>
          <w:noProof/>
        </w:rPr>
        <w:tab/>
      </w:r>
      <w:r>
        <w:rPr>
          <w:noProof/>
        </w:rPr>
        <w:fldChar w:fldCharType="begin"/>
      </w:r>
      <w:r>
        <w:rPr>
          <w:noProof/>
        </w:rPr>
        <w:instrText xml:space="preserve"> PAGEREF _Toc520996446 \h </w:instrText>
      </w:r>
      <w:r>
        <w:rPr>
          <w:noProof/>
        </w:rPr>
      </w:r>
      <w:r>
        <w:rPr>
          <w:noProof/>
        </w:rPr>
        <w:fldChar w:fldCharType="separate"/>
      </w:r>
      <w:r w:rsidR="00502BAD">
        <w:rPr>
          <w:noProof/>
        </w:rPr>
        <w:t>25</w:t>
      </w:r>
      <w:r>
        <w:rPr>
          <w:noProof/>
        </w:rPr>
        <w:fldChar w:fldCharType="end"/>
      </w:r>
    </w:p>
    <w:p w:rsidR="00114261" w:rsidRDefault="00114261" w:rsidP="00114261">
      <w:pPr>
        <w:pStyle w:val="TableofFigures"/>
        <w:tabs>
          <w:tab w:val="right" w:leader="dot" w:pos="9060"/>
        </w:tabs>
        <w:ind w:left="777" w:hanging="777"/>
        <w:rPr>
          <w:rFonts w:eastAsiaTheme="minorEastAsia"/>
          <w:noProof/>
          <w:lang w:eastAsia="en-AU"/>
        </w:rPr>
      </w:pPr>
      <w:r>
        <w:rPr>
          <w:noProof/>
        </w:rPr>
        <w:t>Figure 7 Fruit fly lure on a farm growing dragon fruit and other fruit crops.</w:t>
      </w:r>
      <w:r>
        <w:rPr>
          <w:noProof/>
        </w:rPr>
        <w:tab/>
      </w:r>
      <w:r>
        <w:rPr>
          <w:noProof/>
        </w:rPr>
        <w:fldChar w:fldCharType="begin"/>
      </w:r>
      <w:r>
        <w:rPr>
          <w:noProof/>
        </w:rPr>
        <w:instrText xml:space="preserve"> PAGEREF _Toc520996447 \h </w:instrText>
      </w:r>
      <w:r>
        <w:rPr>
          <w:noProof/>
        </w:rPr>
      </w:r>
      <w:r>
        <w:rPr>
          <w:noProof/>
        </w:rPr>
        <w:fldChar w:fldCharType="separate"/>
      </w:r>
      <w:r w:rsidR="00502BAD">
        <w:rPr>
          <w:noProof/>
        </w:rPr>
        <w:t>26</w:t>
      </w:r>
      <w:r>
        <w:rPr>
          <w:noProof/>
        </w:rPr>
        <w:fldChar w:fldCharType="end"/>
      </w:r>
    </w:p>
    <w:p w:rsidR="00114261" w:rsidRDefault="00114261" w:rsidP="00114261">
      <w:pPr>
        <w:pStyle w:val="TableofFigures"/>
        <w:tabs>
          <w:tab w:val="right" w:leader="dot" w:pos="9060"/>
        </w:tabs>
        <w:ind w:left="777" w:hanging="777"/>
        <w:rPr>
          <w:rFonts w:eastAsiaTheme="minorEastAsia"/>
          <w:noProof/>
          <w:lang w:eastAsia="en-AU"/>
        </w:rPr>
      </w:pPr>
      <w:r>
        <w:rPr>
          <w:noProof/>
        </w:rPr>
        <w:t>Figure 8 Fruit grading procedure in a packing house</w:t>
      </w:r>
      <w:r>
        <w:rPr>
          <w:noProof/>
        </w:rPr>
        <w:tab/>
      </w:r>
      <w:r>
        <w:rPr>
          <w:noProof/>
        </w:rPr>
        <w:fldChar w:fldCharType="begin"/>
      </w:r>
      <w:r>
        <w:rPr>
          <w:noProof/>
        </w:rPr>
        <w:instrText xml:space="preserve"> PAGEREF _Toc520996448 \h </w:instrText>
      </w:r>
      <w:r>
        <w:rPr>
          <w:noProof/>
        </w:rPr>
      </w:r>
      <w:r>
        <w:rPr>
          <w:noProof/>
        </w:rPr>
        <w:fldChar w:fldCharType="separate"/>
      </w:r>
      <w:r w:rsidR="00502BAD">
        <w:rPr>
          <w:noProof/>
        </w:rPr>
        <w:t>27</w:t>
      </w:r>
      <w:r>
        <w:rPr>
          <w:noProof/>
        </w:rPr>
        <w:fldChar w:fldCharType="end"/>
      </w:r>
    </w:p>
    <w:p w:rsidR="00114261" w:rsidRDefault="00114261" w:rsidP="00114261">
      <w:pPr>
        <w:pStyle w:val="TableofFigures"/>
        <w:tabs>
          <w:tab w:val="right" w:leader="dot" w:pos="9060"/>
        </w:tabs>
        <w:ind w:left="777" w:hanging="777"/>
        <w:rPr>
          <w:rFonts w:eastAsiaTheme="minorEastAsia"/>
          <w:noProof/>
          <w:lang w:eastAsia="en-AU"/>
        </w:rPr>
      </w:pPr>
      <w:r>
        <w:rPr>
          <w:noProof/>
        </w:rPr>
        <w:t xml:space="preserve">Figure 9 Summary of operational steps from harvesting to export for dragon fruit grown in </w:t>
      </w:r>
      <w:r>
        <w:rPr>
          <w:noProof/>
        </w:rPr>
        <w:br/>
        <w:t>Indonesia</w:t>
      </w:r>
      <w:r>
        <w:rPr>
          <w:noProof/>
        </w:rPr>
        <w:tab/>
      </w:r>
      <w:r>
        <w:rPr>
          <w:noProof/>
        </w:rPr>
        <w:fldChar w:fldCharType="begin"/>
      </w:r>
      <w:r>
        <w:rPr>
          <w:noProof/>
        </w:rPr>
        <w:instrText xml:space="preserve"> PAGEREF _Toc520996449 \h </w:instrText>
      </w:r>
      <w:r>
        <w:rPr>
          <w:noProof/>
        </w:rPr>
      </w:r>
      <w:r>
        <w:rPr>
          <w:noProof/>
        </w:rPr>
        <w:fldChar w:fldCharType="separate"/>
      </w:r>
      <w:r w:rsidR="00502BAD">
        <w:rPr>
          <w:noProof/>
        </w:rPr>
        <w:t>28</w:t>
      </w:r>
      <w:r>
        <w:rPr>
          <w:noProof/>
        </w:rPr>
        <w:fldChar w:fldCharType="end"/>
      </w:r>
    </w:p>
    <w:p w:rsidR="004D5CBC" w:rsidRDefault="004D5CBC">
      <w:pPr>
        <w:pStyle w:val="TOCHeading"/>
      </w:pPr>
      <w:r>
        <w:rPr>
          <w:rFonts w:ascii="Cambria" w:hAnsi="Cambria"/>
          <w:color w:val="auto"/>
          <w:sz w:val="22"/>
          <w:szCs w:val="24"/>
        </w:rPr>
        <w:fldChar w:fldCharType="end"/>
      </w:r>
      <w:r>
        <w:t>Tables</w:t>
      </w:r>
    </w:p>
    <w:p w:rsidR="00114261" w:rsidRDefault="004D5CBC" w:rsidP="00114261">
      <w:pPr>
        <w:pStyle w:val="TableofFigures"/>
        <w:tabs>
          <w:tab w:val="right" w:leader="dot" w:pos="9060"/>
        </w:tabs>
        <w:ind w:left="879" w:hanging="879"/>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114261">
        <w:rPr>
          <w:noProof/>
        </w:rPr>
        <w:t>Table 2.1 Nomenclature of likelihoods</w:t>
      </w:r>
      <w:r w:rsidR="00114261">
        <w:rPr>
          <w:noProof/>
        </w:rPr>
        <w:tab/>
      </w:r>
      <w:r w:rsidR="00114261">
        <w:rPr>
          <w:noProof/>
        </w:rPr>
        <w:fldChar w:fldCharType="begin"/>
      </w:r>
      <w:r w:rsidR="00114261">
        <w:rPr>
          <w:noProof/>
        </w:rPr>
        <w:instrText xml:space="preserve"> PAGEREF _Toc520996450 \h </w:instrText>
      </w:r>
      <w:r w:rsidR="00114261">
        <w:rPr>
          <w:noProof/>
        </w:rPr>
      </w:r>
      <w:r w:rsidR="00114261">
        <w:rPr>
          <w:noProof/>
        </w:rPr>
        <w:fldChar w:fldCharType="separate"/>
      </w:r>
      <w:r w:rsidR="00502BAD">
        <w:rPr>
          <w:noProof/>
        </w:rPr>
        <w:t>11</w:t>
      </w:r>
      <w:r w:rsidR="00114261">
        <w:rPr>
          <w:noProof/>
        </w:rPr>
        <w:fldChar w:fldCharType="end"/>
      </w:r>
    </w:p>
    <w:p w:rsidR="00114261" w:rsidRDefault="00114261" w:rsidP="00114261">
      <w:pPr>
        <w:pStyle w:val="TableofFigures"/>
        <w:tabs>
          <w:tab w:val="right" w:leader="dot" w:pos="9060"/>
        </w:tabs>
        <w:ind w:left="879" w:hanging="879"/>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_Toc520996451 \h </w:instrText>
      </w:r>
      <w:r>
        <w:rPr>
          <w:noProof/>
        </w:rPr>
      </w:r>
      <w:r>
        <w:rPr>
          <w:noProof/>
        </w:rPr>
        <w:fldChar w:fldCharType="separate"/>
      </w:r>
      <w:r w:rsidR="00502BAD">
        <w:rPr>
          <w:noProof/>
        </w:rPr>
        <w:t>12</w:t>
      </w:r>
      <w:r>
        <w:rPr>
          <w:noProof/>
        </w:rPr>
        <w:fldChar w:fldCharType="end"/>
      </w:r>
    </w:p>
    <w:p w:rsidR="00114261" w:rsidRDefault="00114261" w:rsidP="00114261">
      <w:pPr>
        <w:pStyle w:val="TableofFigures"/>
        <w:tabs>
          <w:tab w:val="right" w:leader="dot" w:pos="9060"/>
        </w:tabs>
        <w:ind w:left="879" w:hanging="879"/>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_Toc520996452 \h </w:instrText>
      </w:r>
      <w:r>
        <w:rPr>
          <w:noProof/>
        </w:rPr>
      </w:r>
      <w:r>
        <w:rPr>
          <w:noProof/>
        </w:rPr>
        <w:fldChar w:fldCharType="separate"/>
      </w:r>
      <w:r w:rsidR="00502BAD">
        <w:rPr>
          <w:noProof/>
        </w:rPr>
        <w:t>14</w:t>
      </w:r>
      <w:r>
        <w:rPr>
          <w:noProof/>
        </w:rPr>
        <w:fldChar w:fldCharType="end"/>
      </w:r>
    </w:p>
    <w:p w:rsidR="00114261" w:rsidRDefault="00114261" w:rsidP="00114261">
      <w:pPr>
        <w:pStyle w:val="TableofFigures"/>
        <w:tabs>
          <w:tab w:val="right" w:leader="dot" w:pos="9060"/>
        </w:tabs>
        <w:ind w:left="879" w:hanging="879"/>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_Toc520996453 \h </w:instrText>
      </w:r>
      <w:r>
        <w:rPr>
          <w:noProof/>
        </w:rPr>
      </w:r>
      <w:r>
        <w:rPr>
          <w:noProof/>
        </w:rPr>
        <w:fldChar w:fldCharType="separate"/>
      </w:r>
      <w:r w:rsidR="00502BAD">
        <w:rPr>
          <w:noProof/>
        </w:rPr>
        <w:t>14</w:t>
      </w:r>
      <w:r>
        <w:rPr>
          <w:noProof/>
        </w:rPr>
        <w:fldChar w:fldCharType="end"/>
      </w:r>
    </w:p>
    <w:p w:rsidR="00114261" w:rsidRDefault="00114261" w:rsidP="00114261">
      <w:pPr>
        <w:pStyle w:val="TableofFigures"/>
        <w:tabs>
          <w:tab w:val="right" w:leader="dot" w:pos="9060"/>
        </w:tabs>
        <w:ind w:left="879" w:hanging="879"/>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_Toc520996454 \h </w:instrText>
      </w:r>
      <w:r>
        <w:rPr>
          <w:noProof/>
        </w:rPr>
      </w:r>
      <w:r>
        <w:rPr>
          <w:noProof/>
        </w:rPr>
        <w:fldChar w:fldCharType="separate"/>
      </w:r>
      <w:r w:rsidR="00502BAD">
        <w:rPr>
          <w:noProof/>
        </w:rPr>
        <w:t>15</w:t>
      </w:r>
      <w:r>
        <w:rPr>
          <w:noProof/>
        </w:rPr>
        <w:fldChar w:fldCharType="end"/>
      </w:r>
    </w:p>
    <w:p w:rsidR="00114261" w:rsidRDefault="00114261" w:rsidP="00114261">
      <w:pPr>
        <w:pStyle w:val="TableofFigures"/>
        <w:tabs>
          <w:tab w:val="right" w:leader="dot" w:pos="9060"/>
        </w:tabs>
        <w:ind w:left="879" w:hanging="879"/>
        <w:rPr>
          <w:rFonts w:eastAsiaTheme="minorEastAsia"/>
          <w:noProof/>
          <w:lang w:eastAsia="en-AU"/>
        </w:rPr>
      </w:pPr>
      <w:r>
        <w:rPr>
          <w:noProof/>
        </w:rPr>
        <w:t>Table 3.1 Major Indonesian provinces where dragon fruit is grown</w:t>
      </w:r>
      <w:r>
        <w:rPr>
          <w:noProof/>
        </w:rPr>
        <w:tab/>
      </w:r>
      <w:r>
        <w:rPr>
          <w:noProof/>
        </w:rPr>
        <w:fldChar w:fldCharType="begin"/>
      </w:r>
      <w:r>
        <w:rPr>
          <w:noProof/>
        </w:rPr>
        <w:instrText xml:space="preserve"> PAGEREF _Toc520996455 \h </w:instrText>
      </w:r>
      <w:r>
        <w:rPr>
          <w:noProof/>
        </w:rPr>
      </w:r>
      <w:r>
        <w:rPr>
          <w:noProof/>
        </w:rPr>
        <w:fldChar w:fldCharType="separate"/>
      </w:r>
      <w:r w:rsidR="00502BAD">
        <w:rPr>
          <w:noProof/>
        </w:rPr>
        <w:t>18</w:t>
      </w:r>
      <w:r>
        <w:rPr>
          <w:noProof/>
        </w:rPr>
        <w:fldChar w:fldCharType="end"/>
      </w:r>
    </w:p>
    <w:p w:rsidR="00114261" w:rsidRDefault="00114261" w:rsidP="00114261">
      <w:pPr>
        <w:pStyle w:val="TableofFigures"/>
        <w:tabs>
          <w:tab w:val="right" w:leader="dot" w:pos="9060"/>
        </w:tabs>
        <w:ind w:left="879" w:hanging="879"/>
        <w:rPr>
          <w:rFonts w:eastAsiaTheme="minorEastAsia"/>
          <w:noProof/>
          <w:lang w:eastAsia="en-AU"/>
        </w:rPr>
      </w:pPr>
      <w:r>
        <w:rPr>
          <w:noProof/>
        </w:rPr>
        <w:t>Table 3.2 Summary of Indonesian Dragon fruit exports between 2013 and 2015 (all values in kilograms)</w:t>
      </w:r>
      <w:r>
        <w:rPr>
          <w:noProof/>
        </w:rPr>
        <w:tab/>
      </w:r>
      <w:r>
        <w:rPr>
          <w:noProof/>
        </w:rPr>
        <w:fldChar w:fldCharType="begin"/>
      </w:r>
      <w:r>
        <w:rPr>
          <w:noProof/>
        </w:rPr>
        <w:instrText xml:space="preserve"> PAGEREF _Toc520996456 \h </w:instrText>
      </w:r>
      <w:r>
        <w:rPr>
          <w:noProof/>
        </w:rPr>
      </w:r>
      <w:r>
        <w:rPr>
          <w:noProof/>
        </w:rPr>
        <w:fldChar w:fldCharType="separate"/>
      </w:r>
      <w:r w:rsidR="00502BAD">
        <w:rPr>
          <w:noProof/>
        </w:rPr>
        <w:t>29</w:t>
      </w:r>
      <w:r>
        <w:rPr>
          <w:noProof/>
        </w:rPr>
        <w:fldChar w:fldCharType="end"/>
      </w:r>
    </w:p>
    <w:p w:rsidR="00114261" w:rsidRDefault="00114261" w:rsidP="00114261">
      <w:pPr>
        <w:pStyle w:val="TableofFigures"/>
        <w:tabs>
          <w:tab w:val="right" w:leader="dot" w:pos="9060"/>
        </w:tabs>
        <w:ind w:left="879" w:hanging="879"/>
        <w:rPr>
          <w:rFonts w:eastAsiaTheme="minorEastAsia"/>
          <w:noProof/>
          <w:lang w:eastAsia="en-AU"/>
        </w:rPr>
      </w:pPr>
      <w:r>
        <w:rPr>
          <w:noProof/>
        </w:rPr>
        <w:t>Table 4.1 Quarantine pests of dragon fruit from Indonesia for which the URE outcome is adopted from previous assessments</w:t>
      </w:r>
      <w:r>
        <w:rPr>
          <w:noProof/>
        </w:rPr>
        <w:tab/>
      </w:r>
      <w:r>
        <w:rPr>
          <w:noProof/>
        </w:rPr>
        <w:fldChar w:fldCharType="begin"/>
      </w:r>
      <w:r>
        <w:rPr>
          <w:noProof/>
        </w:rPr>
        <w:instrText xml:space="preserve"> PAGEREF _Toc520996457 \h </w:instrText>
      </w:r>
      <w:r>
        <w:rPr>
          <w:noProof/>
        </w:rPr>
      </w:r>
      <w:r>
        <w:rPr>
          <w:noProof/>
        </w:rPr>
        <w:fldChar w:fldCharType="separate"/>
      </w:r>
      <w:r w:rsidR="00502BAD">
        <w:rPr>
          <w:noProof/>
        </w:rPr>
        <w:t>31</w:t>
      </w:r>
      <w:r>
        <w:rPr>
          <w:noProof/>
        </w:rPr>
        <w:fldChar w:fldCharType="end"/>
      </w:r>
    </w:p>
    <w:p w:rsidR="00114261" w:rsidRDefault="00114261" w:rsidP="00114261">
      <w:pPr>
        <w:pStyle w:val="TableofFigures"/>
        <w:tabs>
          <w:tab w:val="right" w:leader="dot" w:pos="9060"/>
        </w:tabs>
        <w:ind w:left="879" w:hanging="879"/>
        <w:rPr>
          <w:rFonts w:eastAsiaTheme="minorEastAsia"/>
          <w:noProof/>
          <w:lang w:eastAsia="en-AU"/>
        </w:rPr>
      </w:pPr>
      <w:r>
        <w:rPr>
          <w:noProof/>
        </w:rPr>
        <w:t>Table 4.2 Summary of unrestricted risk estimates for quarantine pests associated with dragon fruit from Indonesia</w:t>
      </w:r>
      <w:r>
        <w:rPr>
          <w:noProof/>
        </w:rPr>
        <w:tab/>
      </w:r>
      <w:r>
        <w:rPr>
          <w:noProof/>
        </w:rPr>
        <w:fldChar w:fldCharType="begin"/>
      </w:r>
      <w:r>
        <w:rPr>
          <w:noProof/>
        </w:rPr>
        <w:instrText xml:space="preserve"> PAGEREF _Toc520996458 \h </w:instrText>
      </w:r>
      <w:r>
        <w:rPr>
          <w:noProof/>
        </w:rPr>
      </w:r>
      <w:r>
        <w:rPr>
          <w:noProof/>
        </w:rPr>
        <w:fldChar w:fldCharType="separate"/>
      </w:r>
      <w:r w:rsidR="00502BAD">
        <w:rPr>
          <w:noProof/>
        </w:rPr>
        <w:t>33</w:t>
      </w:r>
      <w:r>
        <w:rPr>
          <w:noProof/>
        </w:rPr>
        <w:fldChar w:fldCharType="end"/>
      </w:r>
    </w:p>
    <w:p w:rsidR="00114261" w:rsidRDefault="00114261" w:rsidP="00114261">
      <w:pPr>
        <w:pStyle w:val="TableofFigures"/>
        <w:tabs>
          <w:tab w:val="right" w:leader="dot" w:pos="9060"/>
        </w:tabs>
        <w:ind w:left="879" w:hanging="879"/>
        <w:rPr>
          <w:rFonts w:eastAsiaTheme="minorEastAsia"/>
          <w:noProof/>
          <w:lang w:eastAsia="en-AU"/>
        </w:rPr>
      </w:pPr>
      <w:r>
        <w:rPr>
          <w:noProof/>
        </w:rPr>
        <w:t>Table 5.1 Risk management measures recommended for quarantine pests of dragon fruit from Indonesia</w:t>
      </w:r>
      <w:r>
        <w:rPr>
          <w:noProof/>
        </w:rPr>
        <w:tab/>
      </w:r>
      <w:r>
        <w:rPr>
          <w:noProof/>
        </w:rPr>
        <w:fldChar w:fldCharType="begin"/>
      </w:r>
      <w:r>
        <w:rPr>
          <w:noProof/>
        </w:rPr>
        <w:instrText xml:space="preserve"> PAGEREF _Toc520996459 \h </w:instrText>
      </w:r>
      <w:r>
        <w:rPr>
          <w:noProof/>
        </w:rPr>
      </w:r>
      <w:r>
        <w:rPr>
          <w:noProof/>
        </w:rPr>
        <w:fldChar w:fldCharType="separate"/>
      </w:r>
      <w:r w:rsidR="00502BAD">
        <w:rPr>
          <w:noProof/>
        </w:rPr>
        <w:t>34</w:t>
      </w:r>
      <w:r>
        <w:rPr>
          <w:noProof/>
        </w:rPr>
        <w:fldChar w:fldCharType="end"/>
      </w:r>
    </w:p>
    <w:p w:rsidR="004D5CBC" w:rsidRDefault="004D5CBC">
      <w:pPr>
        <w:pStyle w:val="TOCHeading"/>
      </w:pPr>
      <w:r>
        <w:fldChar w:fldCharType="end"/>
      </w:r>
      <w:r>
        <w:t>Maps</w:t>
      </w:r>
    </w:p>
    <w:p w:rsidR="00114261" w:rsidRDefault="004D5CBC">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114261">
        <w:rPr>
          <w:noProof/>
        </w:rPr>
        <w:t>Map 1 Main dragon fruit production areas in Indonesia (shown in green)</w:t>
      </w:r>
      <w:r w:rsidR="00114261">
        <w:rPr>
          <w:noProof/>
        </w:rPr>
        <w:tab/>
      </w:r>
      <w:r w:rsidR="00114261">
        <w:rPr>
          <w:noProof/>
        </w:rPr>
        <w:fldChar w:fldCharType="begin"/>
      </w:r>
      <w:r w:rsidR="00114261">
        <w:rPr>
          <w:noProof/>
        </w:rPr>
        <w:instrText xml:space="preserve"> PAGEREF _Toc520996460 \h </w:instrText>
      </w:r>
      <w:r w:rsidR="00114261">
        <w:rPr>
          <w:noProof/>
        </w:rPr>
      </w:r>
      <w:r w:rsidR="00114261">
        <w:rPr>
          <w:noProof/>
        </w:rPr>
        <w:fldChar w:fldCharType="separate"/>
      </w:r>
      <w:r w:rsidR="00502BAD">
        <w:rPr>
          <w:noProof/>
        </w:rPr>
        <w:t>19</w:t>
      </w:r>
      <w:r w:rsidR="00114261">
        <w:rPr>
          <w:noProof/>
        </w:rPr>
        <w:fldChar w:fldCharType="end"/>
      </w:r>
    </w:p>
    <w:p w:rsidR="004D5CBC" w:rsidRDefault="004D5CBC">
      <w:r>
        <w:fldChar w:fldCharType="end"/>
      </w:r>
    </w:p>
    <w:p w:rsidR="004D5CBC" w:rsidRPr="007F3A08" w:rsidRDefault="004D5CBC">
      <w:pPr>
        <w:pStyle w:val="Caption"/>
        <w:rPr>
          <w:b w:val="0"/>
        </w:rPr>
        <w:sectPr w:rsidR="004D5CBC" w:rsidRPr="007F3A08" w:rsidSect="00E310DC">
          <w:headerReference w:type="default" r:id="rId16"/>
          <w:pgSz w:w="11906" w:h="16838"/>
          <w:pgMar w:top="1418" w:right="1418" w:bottom="1418" w:left="1418" w:header="567" w:footer="283" w:gutter="0"/>
          <w:pgNumType w:fmt="lowerRoman"/>
          <w:cols w:space="708"/>
          <w:docGrid w:linePitch="360"/>
        </w:sectPr>
      </w:pPr>
      <w:bookmarkStart w:id="0" w:name="_Ref457826879"/>
    </w:p>
    <w:p w:rsidR="004D5CBC" w:rsidRDefault="004D5CBC" w:rsidP="00947C54">
      <w:pPr>
        <w:pStyle w:val="Heading2"/>
        <w:tabs>
          <w:tab w:val="clear" w:pos="794"/>
        </w:tabs>
        <w:ind w:left="0" w:firstLine="0"/>
      </w:pPr>
      <w:bookmarkStart w:id="1" w:name="_Toc520996410"/>
      <w:bookmarkEnd w:id="0"/>
      <w:r>
        <w:lastRenderedPageBreak/>
        <w:t>Acronyms and abbreviations</w:t>
      </w:r>
      <w:bookmarkEnd w:id="1"/>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4D5CBC" w:rsidTr="0071700D">
        <w:trPr>
          <w:trHeight w:val="414"/>
          <w:tblHeader/>
        </w:trPr>
        <w:tc>
          <w:tcPr>
            <w:tcW w:w="1335" w:type="pct"/>
          </w:tcPr>
          <w:p w:rsidR="004D5CBC" w:rsidRDefault="004D5CBC" w:rsidP="0071700D">
            <w:pPr>
              <w:pStyle w:val="TableHeading"/>
            </w:pPr>
            <w:r>
              <w:t>Term or abbreviation</w:t>
            </w:r>
          </w:p>
        </w:tc>
        <w:tc>
          <w:tcPr>
            <w:tcW w:w="3665" w:type="pct"/>
          </w:tcPr>
          <w:p w:rsidR="004D5CBC" w:rsidRDefault="004D5CBC" w:rsidP="0071700D">
            <w:pPr>
              <w:pStyle w:val="TableHeading"/>
            </w:pPr>
            <w:r>
              <w:t>Definition</w:t>
            </w:r>
          </w:p>
        </w:tc>
      </w:tr>
      <w:tr w:rsidR="004D5CBC" w:rsidTr="0071700D">
        <w:trPr>
          <w:trHeight w:val="414"/>
        </w:trPr>
        <w:tc>
          <w:tcPr>
            <w:tcW w:w="1335" w:type="pct"/>
          </w:tcPr>
          <w:p w:rsidR="004D5CBC" w:rsidRDefault="004D5CBC" w:rsidP="0071700D">
            <w:pPr>
              <w:pStyle w:val="TableText"/>
            </w:pPr>
            <w:r>
              <w:t>ACT</w:t>
            </w:r>
          </w:p>
        </w:tc>
        <w:tc>
          <w:tcPr>
            <w:tcW w:w="3665" w:type="pct"/>
          </w:tcPr>
          <w:p w:rsidR="004D5CBC" w:rsidRDefault="004D5CBC" w:rsidP="0071700D">
            <w:pPr>
              <w:pStyle w:val="TableText"/>
            </w:pPr>
            <w:r>
              <w:t>Australian Capital Territory</w:t>
            </w:r>
          </w:p>
        </w:tc>
      </w:tr>
      <w:tr w:rsidR="004D5CBC" w:rsidTr="0071700D">
        <w:trPr>
          <w:trHeight w:val="414"/>
        </w:trPr>
        <w:tc>
          <w:tcPr>
            <w:tcW w:w="1335" w:type="pct"/>
          </w:tcPr>
          <w:p w:rsidR="004D5CBC" w:rsidRDefault="004D5CBC" w:rsidP="0071700D">
            <w:pPr>
              <w:pStyle w:val="TableText"/>
            </w:pPr>
            <w:r>
              <w:t>ALOP</w:t>
            </w:r>
          </w:p>
        </w:tc>
        <w:tc>
          <w:tcPr>
            <w:tcW w:w="3665" w:type="pct"/>
          </w:tcPr>
          <w:p w:rsidR="004D5CBC" w:rsidRDefault="004D5CBC" w:rsidP="0071700D">
            <w:pPr>
              <w:pStyle w:val="TableText"/>
            </w:pPr>
            <w:r>
              <w:t>Appropriate level of protection</w:t>
            </w:r>
          </w:p>
        </w:tc>
      </w:tr>
      <w:tr w:rsidR="004D5CBC" w:rsidTr="0071700D">
        <w:trPr>
          <w:trHeight w:val="414"/>
        </w:trPr>
        <w:tc>
          <w:tcPr>
            <w:tcW w:w="1335" w:type="pct"/>
          </w:tcPr>
          <w:p w:rsidR="004D5CBC" w:rsidRDefault="004D5CBC" w:rsidP="0071700D">
            <w:pPr>
              <w:pStyle w:val="TableText"/>
            </w:pPr>
            <w:r>
              <w:t>BICON</w:t>
            </w:r>
          </w:p>
        </w:tc>
        <w:tc>
          <w:tcPr>
            <w:tcW w:w="3665" w:type="pct"/>
          </w:tcPr>
          <w:p w:rsidR="004D5CBC" w:rsidRDefault="004D5CBC" w:rsidP="0071700D">
            <w:pPr>
              <w:pStyle w:val="TableText"/>
            </w:pPr>
            <w:r>
              <w:t>Australia’s Biosecurity Import Conditions System</w:t>
            </w:r>
          </w:p>
        </w:tc>
      </w:tr>
      <w:tr w:rsidR="004D5CBC" w:rsidTr="0071700D">
        <w:trPr>
          <w:trHeight w:val="414"/>
        </w:trPr>
        <w:tc>
          <w:tcPr>
            <w:tcW w:w="1335" w:type="pct"/>
          </w:tcPr>
          <w:p w:rsidR="004D5CBC" w:rsidRDefault="004D5CBC" w:rsidP="0071700D">
            <w:pPr>
              <w:pStyle w:val="TableText"/>
            </w:pPr>
            <w:r>
              <w:t>BIRA</w:t>
            </w:r>
          </w:p>
        </w:tc>
        <w:tc>
          <w:tcPr>
            <w:tcW w:w="3665" w:type="pct"/>
          </w:tcPr>
          <w:p w:rsidR="004D5CBC" w:rsidRDefault="004D5CBC" w:rsidP="0071700D">
            <w:pPr>
              <w:pStyle w:val="TableText"/>
            </w:pPr>
            <w:r>
              <w:t>Biosecurity Import Risk Analysis</w:t>
            </w:r>
          </w:p>
        </w:tc>
      </w:tr>
      <w:tr w:rsidR="004D5CBC" w:rsidTr="0071700D">
        <w:trPr>
          <w:trHeight w:val="414"/>
        </w:trPr>
        <w:tc>
          <w:tcPr>
            <w:tcW w:w="1335" w:type="pct"/>
          </w:tcPr>
          <w:p w:rsidR="004D5CBC" w:rsidRDefault="004D5CBC" w:rsidP="0071700D">
            <w:pPr>
              <w:pStyle w:val="TableText"/>
            </w:pPr>
            <w:r>
              <w:t>CSIRO</w:t>
            </w:r>
          </w:p>
        </w:tc>
        <w:tc>
          <w:tcPr>
            <w:tcW w:w="3665" w:type="pct"/>
          </w:tcPr>
          <w:p w:rsidR="004D5CBC" w:rsidRDefault="004D5CBC" w:rsidP="0071700D">
            <w:pPr>
              <w:pStyle w:val="TableText"/>
            </w:pPr>
            <w:r>
              <w:t>Commonwealth Scientific and Industrial Research Organisation</w:t>
            </w:r>
          </w:p>
        </w:tc>
      </w:tr>
      <w:tr w:rsidR="004D5CBC" w:rsidTr="0071700D">
        <w:trPr>
          <w:trHeight w:val="414"/>
        </w:trPr>
        <w:tc>
          <w:tcPr>
            <w:tcW w:w="1335" w:type="pct"/>
          </w:tcPr>
          <w:p w:rsidR="004D5CBC" w:rsidRDefault="004D5CBC" w:rsidP="0071700D">
            <w:pPr>
              <w:pStyle w:val="TableText"/>
            </w:pPr>
            <w:r>
              <w:t>DAFF</w:t>
            </w:r>
          </w:p>
        </w:tc>
        <w:tc>
          <w:tcPr>
            <w:tcW w:w="3665" w:type="pct"/>
          </w:tcPr>
          <w:p w:rsidR="004D5CBC" w:rsidRDefault="004D5CBC" w:rsidP="0071700D">
            <w:pPr>
              <w:pStyle w:val="TableText"/>
            </w:pPr>
            <w:r>
              <w:t>The former Department of Agriculture , Fisheries and Forestry, which is now the Australian Government Department of Agriculture and Water Resources</w:t>
            </w:r>
          </w:p>
        </w:tc>
      </w:tr>
      <w:tr w:rsidR="004D5CBC" w:rsidTr="0071700D">
        <w:trPr>
          <w:trHeight w:val="414"/>
        </w:trPr>
        <w:tc>
          <w:tcPr>
            <w:tcW w:w="1335" w:type="pct"/>
          </w:tcPr>
          <w:p w:rsidR="004D5CBC" w:rsidRDefault="004D5CBC" w:rsidP="0071700D">
            <w:pPr>
              <w:pStyle w:val="TableText"/>
            </w:pPr>
            <w:r>
              <w:t>The department</w:t>
            </w:r>
          </w:p>
        </w:tc>
        <w:tc>
          <w:tcPr>
            <w:tcW w:w="3665" w:type="pct"/>
          </w:tcPr>
          <w:p w:rsidR="004D5CBC" w:rsidRDefault="004D5CBC" w:rsidP="0071700D">
            <w:pPr>
              <w:pStyle w:val="TableText"/>
            </w:pPr>
            <w:r>
              <w:t>The Australian Government Department of Agriculture and Water Resources</w:t>
            </w:r>
          </w:p>
        </w:tc>
      </w:tr>
      <w:tr w:rsidR="004D5CBC" w:rsidTr="0071700D">
        <w:trPr>
          <w:trHeight w:val="414"/>
        </w:trPr>
        <w:tc>
          <w:tcPr>
            <w:tcW w:w="1335" w:type="pct"/>
          </w:tcPr>
          <w:p w:rsidR="004D5CBC" w:rsidRDefault="004D5CBC" w:rsidP="0071700D">
            <w:pPr>
              <w:pStyle w:val="TableText"/>
            </w:pPr>
            <w:r>
              <w:t>EP</w:t>
            </w:r>
          </w:p>
        </w:tc>
        <w:tc>
          <w:tcPr>
            <w:tcW w:w="3665" w:type="pct"/>
          </w:tcPr>
          <w:p w:rsidR="004D5CBC" w:rsidRDefault="004D5CBC" w:rsidP="0071700D">
            <w:pPr>
              <w:pStyle w:val="TableText"/>
            </w:pPr>
            <w:r>
              <w:t>Existing policy</w:t>
            </w:r>
          </w:p>
        </w:tc>
      </w:tr>
      <w:tr w:rsidR="004D5CBC" w:rsidTr="0071700D">
        <w:trPr>
          <w:trHeight w:val="414"/>
        </w:trPr>
        <w:tc>
          <w:tcPr>
            <w:tcW w:w="1335" w:type="pct"/>
          </w:tcPr>
          <w:p w:rsidR="004D5CBC" w:rsidRDefault="004D5CBC" w:rsidP="0071700D">
            <w:pPr>
              <w:pStyle w:val="TableText"/>
            </w:pPr>
            <w:r>
              <w:t>FAO</w:t>
            </w:r>
          </w:p>
        </w:tc>
        <w:tc>
          <w:tcPr>
            <w:tcW w:w="3665" w:type="pct"/>
          </w:tcPr>
          <w:p w:rsidR="004D5CBC" w:rsidRDefault="004D5CBC" w:rsidP="0071700D">
            <w:pPr>
              <w:pStyle w:val="TableText"/>
            </w:pPr>
            <w:r>
              <w:t>Food and Agriculture Organization of the United Nations</w:t>
            </w:r>
          </w:p>
        </w:tc>
      </w:tr>
      <w:tr w:rsidR="004D5CBC" w:rsidTr="0071700D">
        <w:trPr>
          <w:trHeight w:val="414"/>
        </w:trPr>
        <w:tc>
          <w:tcPr>
            <w:tcW w:w="1335" w:type="pct"/>
          </w:tcPr>
          <w:p w:rsidR="004D5CBC" w:rsidRDefault="004D5CBC" w:rsidP="0071700D">
            <w:pPr>
              <w:pStyle w:val="TableText"/>
            </w:pPr>
            <w:r>
              <w:t>FSANZ</w:t>
            </w:r>
          </w:p>
        </w:tc>
        <w:tc>
          <w:tcPr>
            <w:tcW w:w="3665" w:type="pct"/>
          </w:tcPr>
          <w:p w:rsidR="004D5CBC" w:rsidRDefault="004D5CBC" w:rsidP="0071700D">
            <w:pPr>
              <w:pStyle w:val="TableText"/>
            </w:pPr>
            <w:r>
              <w:t>Food Standards Australia New Zealand</w:t>
            </w:r>
          </w:p>
        </w:tc>
      </w:tr>
      <w:tr w:rsidR="004D5CBC" w:rsidTr="0071700D">
        <w:trPr>
          <w:trHeight w:val="414"/>
        </w:trPr>
        <w:tc>
          <w:tcPr>
            <w:tcW w:w="1335" w:type="pct"/>
          </w:tcPr>
          <w:p w:rsidR="004D5CBC" w:rsidRDefault="004D5CBC" w:rsidP="0071700D">
            <w:pPr>
              <w:pStyle w:val="TableText"/>
            </w:pPr>
            <w:r>
              <w:t>IAQA</w:t>
            </w:r>
          </w:p>
        </w:tc>
        <w:tc>
          <w:tcPr>
            <w:tcW w:w="3665" w:type="pct"/>
          </w:tcPr>
          <w:p w:rsidR="004D5CBC" w:rsidRDefault="004D5CBC" w:rsidP="0071700D">
            <w:pPr>
              <w:pStyle w:val="TableText"/>
            </w:pPr>
            <w:r>
              <w:t xml:space="preserve">Agency for Agricultural Quarantine of Indonesia </w:t>
            </w:r>
          </w:p>
        </w:tc>
      </w:tr>
      <w:tr w:rsidR="004D5CBC" w:rsidTr="0071700D">
        <w:trPr>
          <w:trHeight w:val="414"/>
        </w:trPr>
        <w:tc>
          <w:tcPr>
            <w:tcW w:w="1335" w:type="pct"/>
          </w:tcPr>
          <w:p w:rsidR="004D5CBC" w:rsidRDefault="004D5CBC" w:rsidP="0071700D">
            <w:pPr>
              <w:pStyle w:val="TableText"/>
            </w:pPr>
            <w:r>
              <w:t>IPC</w:t>
            </w:r>
          </w:p>
        </w:tc>
        <w:tc>
          <w:tcPr>
            <w:tcW w:w="3665" w:type="pct"/>
          </w:tcPr>
          <w:p w:rsidR="004D5CBC" w:rsidRDefault="004D5CBC" w:rsidP="0071700D">
            <w:pPr>
              <w:pStyle w:val="TableText"/>
            </w:pPr>
            <w:r>
              <w:t>International Phytosanitary Certificate</w:t>
            </w:r>
          </w:p>
        </w:tc>
      </w:tr>
      <w:tr w:rsidR="004D5CBC" w:rsidTr="0071700D">
        <w:trPr>
          <w:trHeight w:val="414"/>
        </w:trPr>
        <w:tc>
          <w:tcPr>
            <w:tcW w:w="1335" w:type="pct"/>
          </w:tcPr>
          <w:p w:rsidR="004D5CBC" w:rsidRDefault="004D5CBC" w:rsidP="0071700D">
            <w:pPr>
              <w:pStyle w:val="TableText"/>
            </w:pPr>
            <w:r>
              <w:t>IPPC</w:t>
            </w:r>
          </w:p>
        </w:tc>
        <w:tc>
          <w:tcPr>
            <w:tcW w:w="3665" w:type="pct"/>
          </w:tcPr>
          <w:p w:rsidR="004D5CBC" w:rsidRDefault="004D5CBC" w:rsidP="0071700D">
            <w:pPr>
              <w:pStyle w:val="TableText"/>
            </w:pPr>
            <w:r>
              <w:t>International Plant Protection Convention</w:t>
            </w:r>
          </w:p>
        </w:tc>
      </w:tr>
      <w:tr w:rsidR="004D5CBC" w:rsidTr="0071700D">
        <w:trPr>
          <w:trHeight w:val="414"/>
        </w:trPr>
        <w:tc>
          <w:tcPr>
            <w:tcW w:w="1335" w:type="pct"/>
          </w:tcPr>
          <w:p w:rsidR="004D5CBC" w:rsidRDefault="004D5CBC" w:rsidP="0071700D">
            <w:pPr>
              <w:pStyle w:val="TableText"/>
            </w:pPr>
            <w:r>
              <w:t>ISPM</w:t>
            </w:r>
          </w:p>
        </w:tc>
        <w:tc>
          <w:tcPr>
            <w:tcW w:w="3665" w:type="pct"/>
          </w:tcPr>
          <w:p w:rsidR="004D5CBC" w:rsidRDefault="004D5CBC" w:rsidP="0071700D">
            <w:pPr>
              <w:pStyle w:val="TableText"/>
            </w:pPr>
            <w:r>
              <w:t>International Standard for Phytosanitary Measures</w:t>
            </w:r>
          </w:p>
        </w:tc>
      </w:tr>
      <w:tr w:rsidR="004D5CBC" w:rsidTr="0071700D">
        <w:trPr>
          <w:trHeight w:val="414"/>
        </w:trPr>
        <w:tc>
          <w:tcPr>
            <w:tcW w:w="1335" w:type="pct"/>
          </w:tcPr>
          <w:p w:rsidR="004D5CBC" w:rsidRDefault="004D5CBC" w:rsidP="0071700D">
            <w:pPr>
              <w:pStyle w:val="TableText"/>
            </w:pPr>
            <w:r>
              <w:t>NSW</w:t>
            </w:r>
          </w:p>
        </w:tc>
        <w:tc>
          <w:tcPr>
            <w:tcW w:w="3665" w:type="pct"/>
          </w:tcPr>
          <w:p w:rsidR="004D5CBC" w:rsidRDefault="004D5CBC" w:rsidP="0071700D">
            <w:pPr>
              <w:pStyle w:val="TableText"/>
            </w:pPr>
            <w:r>
              <w:t>New South Wales</w:t>
            </w:r>
          </w:p>
        </w:tc>
      </w:tr>
      <w:tr w:rsidR="004D5CBC" w:rsidTr="0071700D">
        <w:trPr>
          <w:trHeight w:val="414"/>
        </w:trPr>
        <w:tc>
          <w:tcPr>
            <w:tcW w:w="1335" w:type="pct"/>
          </w:tcPr>
          <w:p w:rsidR="004D5CBC" w:rsidRDefault="004D5CBC" w:rsidP="0071700D">
            <w:pPr>
              <w:pStyle w:val="TableText"/>
            </w:pPr>
            <w:r>
              <w:t>NPPO</w:t>
            </w:r>
          </w:p>
        </w:tc>
        <w:tc>
          <w:tcPr>
            <w:tcW w:w="3665" w:type="pct"/>
          </w:tcPr>
          <w:p w:rsidR="004D5CBC" w:rsidRDefault="004D5CBC" w:rsidP="0071700D">
            <w:pPr>
              <w:pStyle w:val="TableText"/>
            </w:pPr>
            <w:r>
              <w:t>National Plant Protection Organisation</w:t>
            </w:r>
          </w:p>
        </w:tc>
      </w:tr>
      <w:tr w:rsidR="004D5CBC" w:rsidTr="0071700D">
        <w:trPr>
          <w:trHeight w:val="414"/>
        </w:trPr>
        <w:tc>
          <w:tcPr>
            <w:tcW w:w="1335" w:type="pct"/>
          </w:tcPr>
          <w:p w:rsidR="004D5CBC" w:rsidRDefault="004D5CBC" w:rsidP="0071700D">
            <w:pPr>
              <w:pStyle w:val="TableText"/>
            </w:pPr>
            <w:r>
              <w:t>NT</w:t>
            </w:r>
          </w:p>
        </w:tc>
        <w:tc>
          <w:tcPr>
            <w:tcW w:w="3665" w:type="pct"/>
          </w:tcPr>
          <w:p w:rsidR="004D5CBC" w:rsidRDefault="004D5CBC" w:rsidP="0071700D">
            <w:pPr>
              <w:pStyle w:val="TableText"/>
            </w:pPr>
            <w:r>
              <w:t>Northern Territory</w:t>
            </w:r>
          </w:p>
        </w:tc>
      </w:tr>
      <w:tr w:rsidR="004D5CBC" w:rsidTr="0071700D">
        <w:trPr>
          <w:trHeight w:val="414"/>
        </w:trPr>
        <w:tc>
          <w:tcPr>
            <w:tcW w:w="1335" w:type="pct"/>
          </w:tcPr>
          <w:p w:rsidR="004D5CBC" w:rsidRDefault="004D5CBC" w:rsidP="0071700D">
            <w:pPr>
              <w:pStyle w:val="TableText"/>
            </w:pPr>
            <w:r>
              <w:t>PRA</w:t>
            </w:r>
          </w:p>
        </w:tc>
        <w:tc>
          <w:tcPr>
            <w:tcW w:w="3665" w:type="pct"/>
          </w:tcPr>
          <w:p w:rsidR="004D5CBC" w:rsidRDefault="004D5CBC" w:rsidP="0071700D">
            <w:pPr>
              <w:pStyle w:val="TableText"/>
            </w:pPr>
            <w:r>
              <w:t>Pest risk analysis</w:t>
            </w:r>
          </w:p>
        </w:tc>
      </w:tr>
      <w:tr w:rsidR="004D5CBC" w:rsidTr="0071700D">
        <w:trPr>
          <w:trHeight w:val="414"/>
        </w:trPr>
        <w:tc>
          <w:tcPr>
            <w:tcW w:w="1335" w:type="pct"/>
          </w:tcPr>
          <w:p w:rsidR="004D5CBC" w:rsidRDefault="004D5CBC" w:rsidP="0071700D">
            <w:pPr>
              <w:pStyle w:val="TableText"/>
            </w:pPr>
            <w:r>
              <w:t>Qld</w:t>
            </w:r>
          </w:p>
        </w:tc>
        <w:tc>
          <w:tcPr>
            <w:tcW w:w="3665" w:type="pct"/>
          </w:tcPr>
          <w:p w:rsidR="004D5CBC" w:rsidRDefault="004D5CBC" w:rsidP="0071700D">
            <w:pPr>
              <w:pStyle w:val="TableText"/>
            </w:pPr>
            <w:r>
              <w:t>Queensland</w:t>
            </w:r>
          </w:p>
        </w:tc>
      </w:tr>
      <w:tr w:rsidR="004D5CBC" w:rsidTr="0071700D">
        <w:trPr>
          <w:trHeight w:val="414"/>
        </w:trPr>
        <w:tc>
          <w:tcPr>
            <w:tcW w:w="1335" w:type="pct"/>
          </w:tcPr>
          <w:p w:rsidR="004D5CBC" w:rsidRDefault="004D5CBC" w:rsidP="0071700D">
            <w:pPr>
              <w:pStyle w:val="TableText"/>
            </w:pPr>
            <w:r>
              <w:t>SA</w:t>
            </w:r>
          </w:p>
        </w:tc>
        <w:tc>
          <w:tcPr>
            <w:tcW w:w="3665" w:type="pct"/>
          </w:tcPr>
          <w:p w:rsidR="004D5CBC" w:rsidRDefault="004D5CBC" w:rsidP="0071700D">
            <w:pPr>
              <w:pStyle w:val="TableText"/>
            </w:pPr>
            <w:r>
              <w:t>South Australia</w:t>
            </w:r>
          </w:p>
        </w:tc>
      </w:tr>
      <w:tr w:rsidR="004D5CBC" w:rsidTr="0071700D">
        <w:trPr>
          <w:trHeight w:val="414"/>
        </w:trPr>
        <w:tc>
          <w:tcPr>
            <w:tcW w:w="1335" w:type="pct"/>
          </w:tcPr>
          <w:p w:rsidR="004D5CBC" w:rsidRDefault="004D5CBC" w:rsidP="0071700D">
            <w:pPr>
              <w:pStyle w:val="TableText"/>
            </w:pPr>
            <w:r>
              <w:t>SPS Agreement</w:t>
            </w:r>
          </w:p>
        </w:tc>
        <w:tc>
          <w:tcPr>
            <w:tcW w:w="3665" w:type="pct"/>
          </w:tcPr>
          <w:p w:rsidR="004D5CBC" w:rsidRDefault="004D5CBC" w:rsidP="0071700D">
            <w:pPr>
              <w:pStyle w:val="TableText"/>
            </w:pPr>
            <w:r>
              <w:t>WTO agreement on the Application of Sanitary and Phytosanitary Measures</w:t>
            </w:r>
          </w:p>
        </w:tc>
      </w:tr>
      <w:tr w:rsidR="004D5CBC" w:rsidTr="0071700D">
        <w:trPr>
          <w:trHeight w:val="414"/>
        </w:trPr>
        <w:tc>
          <w:tcPr>
            <w:tcW w:w="1335" w:type="pct"/>
          </w:tcPr>
          <w:p w:rsidR="004D5CBC" w:rsidRDefault="004D5CBC" w:rsidP="0071700D">
            <w:pPr>
              <w:pStyle w:val="TableText"/>
            </w:pPr>
            <w:r>
              <w:t>Tas.</w:t>
            </w:r>
          </w:p>
        </w:tc>
        <w:tc>
          <w:tcPr>
            <w:tcW w:w="3665" w:type="pct"/>
          </w:tcPr>
          <w:p w:rsidR="004D5CBC" w:rsidRDefault="004D5CBC" w:rsidP="0071700D">
            <w:pPr>
              <w:pStyle w:val="TableText"/>
            </w:pPr>
            <w:r>
              <w:t>Tasmania</w:t>
            </w:r>
          </w:p>
        </w:tc>
      </w:tr>
      <w:tr w:rsidR="004D5CBC" w:rsidTr="0071700D">
        <w:trPr>
          <w:trHeight w:val="414"/>
        </w:trPr>
        <w:tc>
          <w:tcPr>
            <w:tcW w:w="1335" w:type="pct"/>
          </w:tcPr>
          <w:p w:rsidR="004D5CBC" w:rsidRDefault="004D5CBC" w:rsidP="0071700D">
            <w:pPr>
              <w:pStyle w:val="TableText"/>
            </w:pPr>
            <w:r>
              <w:t>t</w:t>
            </w:r>
            <w:r w:rsidRPr="00A11F8D">
              <w:t>he department</w:t>
            </w:r>
          </w:p>
        </w:tc>
        <w:tc>
          <w:tcPr>
            <w:tcW w:w="3665" w:type="pct"/>
          </w:tcPr>
          <w:p w:rsidR="004D5CBC" w:rsidRDefault="004D5CBC" w:rsidP="0071700D">
            <w:pPr>
              <w:pStyle w:val="TableText"/>
            </w:pPr>
            <w:r w:rsidRPr="00A11F8D">
              <w:t>The Australian Government Department of Agriculture and Water Resou</w:t>
            </w:r>
            <w:r>
              <w:t>rces</w:t>
            </w:r>
          </w:p>
        </w:tc>
      </w:tr>
      <w:tr w:rsidR="004D5CBC" w:rsidTr="0071700D">
        <w:trPr>
          <w:trHeight w:val="414"/>
        </w:trPr>
        <w:tc>
          <w:tcPr>
            <w:tcW w:w="1335" w:type="pct"/>
          </w:tcPr>
          <w:p w:rsidR="004D5CBC" w:rsidRDefault="004D5CBC" w:rsidP="0071700D">
            <w:pPr>
              <w:pStyle w:val="TableText"/>
            </w:pPr>
            <w:r>
              <w:t>Vic.</w:t>
            </w:r>
          </w:p>
        </w:tc>
        <w:tc>
          <w:tcPr>
            <w:tcW w:w="3665" w:type="pct"/>
          </w:tcPr>
          <w:p w:rsidR="004D5CBC" w:rsidRDefault="004D5CBC" w:rsidP="0071700D">
            <w:pPr>
              <w:pStyle w:val="TableText"/>
            </w:pPr>
            <w:r>
              <w:t>Victoria</w:t>
            </w:r>
          </w:p>
        </w:tc>
      </w:tr>
      <w:tr w:rsidR="004D5CBC" w:rsidTr="0071700D">
        <w:trPr>
          <w:trHeight w:val="414"/>
        </w:trPr>
        <w:tc>
          <w:tcPr>
            <w:tcW w:w="1335" w:type="pct"/>
          </w:tcPr>
          <w:p w:rsidR="004D5CBC" w:rsidRDefault="004D5CBC" w:rsidP="0071700D">
            <w:pPr>
              <w:pStyle w:val="TableText"/>
            </w:pPr>
            <w:r>
              <w:t>WA</w:t>
            </w:r>
          </w:p>
        </w:tc>
        <w:tc>
          <w:tcPr>
            <w:tcW w:w="3665" w:type="pct"/>
          </w:tcPr>
          <w:p w:rsidR="004D5CBC" w:rsidRDefault="004D5CBC" w:rsidP="0071700D">
            <w:pPr>
              <w:pStyle w:val="TableText"/>
            </w:pPr>
            <w:r>
              <w:t>Western Australia</w:t>
            </w:r>
          </w:p>
        </w:tc>
      </w:tr>
      <w:tr w:rsidR="004D5CBC" w:rsidTr="0071700D">
        <w:trPr>
          <w:trHeight w:val="414"/>
        </w:trPr>
        <w:tc>
          <w:tcPr>
            <w:tcW w:w="1335" w:type="pct"/>
          </w:tcPr>
          <w:p w:rsidR="004D5CBC" w:rsidRDefault="004D5CBC" w:rsidP="0071700D">
            <w:pPr>
              <w:pStyle w:val="TableText"/>
            </w:pPr>
            <w:r>
              <w:t>WTO</w:t>
            </w:r>
          </w:p>
        </w:tc>
        <w:tc>
          <w:tcPr>
            <w:tcW w:w="3665" w:type="pct"/>
          </w:tcPr>
          <w:p w:rsidR="004D5CBC" w:rsidRDefault="004D5CBC" w:rsidP="0071700D">
            <w:pPr>
              <w:pStyle w:val="TableText"/>
            </w:pPr>
            <w:r>
              <w:t>World Trade Organization</w:t>
            </w:r>
          </w:p>
        </w:tc>
      </w:tr>
    </w:tbl>
    <w:p w:rsidR="004D5CBC" w:rsidRDefault="004D5CBC" w:rsidP="007971DD"/>
    <w:p w:rsidR="004D5CBC" w:rsidRPr="007971DD" w:rsidRDefault="004D5CBC" w:rsidP="007971DD">
      <w:pPr>
        <w:sectPr w:rsidR="004D5CBC" w:rsidRPr="007971DD" w:rsidSect="00E310DC">
          <w:headerReference w:type="default" r:id="rId17"/>
          <w:pgSz w:w="11906" w:h="16838"/>
          <w:pgMar w:top="1418" w:right="1418" w:bottom="1418" w:left="1418" w:header="567" w:footer="283" w:gutter="0"/>
          <w:pgNumType w:fmt="lowerRoman"/>
          <w:cols w:space="708"/>
          <w:docGrid w:linePitch="360"/>
        </w:sectPr>
      </w:pPr>
    </w:p>
    <w:p w:rsidR="004D5CBC" w:rsidRDefault="004D5CBC" w:rsidP="00707829">
      <w:pPr>
        <w:pStyle w:val="Heading2"/>
        <w:tabs>
          <w:tab w:val="clear" w:pos="794"/>
        </w:tabs>
        <w:ind w:left="0" w:firstLine="0"/>
      </w:pPr>
      <w:bookmarkStart w:id="2" w:name="_Toc520996411"/>
      <w:r>
        <w:lastRenderedPageBreak/>
        <w:t>Summary</w:t>
      </w:r>
      <w:bookmarkEnd w:id="2"/>
    </w:p>
    <w:p w:rsidR="004D5CBC" w:rsidRPr="00CF26FF" w:rsidRDefault="004D5CBC" w:rsidP="009B6A56">
      <w:r>
        <w:t xml:space="preserve">The Australian Government Department of Agriculture and Water Resources has </w:t>
      </w:r>
      <w:r w:rsidRPr="00CF26FF">
        <w:t xml:space="preserve">prepared this </w:t>
      </w:r>
      <w:r>
        <w:t xml:space="preserve">review of biosecurity import requirements </w:t>
      </w:r>
      <w:r w:rsidRPr="00CF26FF">
        <w:t xml:space="preserve">to assess the proposal by </w:t>
      </w:r>
      <w:r>
        <w:t>Indonesia</w:t>
      </w:r>
      <w:r w:rsidRPr="00CF26FF">
        <w:t xml:space="preserve"> for market access to Australia for </w:t>
      </w:r>
      <w:r>
        <w:t xml:space="preserve">fresh </w:t>
      </w:r>
      <w:r w:rsidRPr="00CF26FF">
        <w:t>dragon fruit.</w:t>
      </w:r>
    </w:p>
    <w:p w:rsidR="004D5CBC" w:rsidRPr="004712F6" w:rsidRDefault="004D5CBC" w:rsidP="009B6A56">
      <w:pPr>
        <w:autoSpaceDE w:val="0"/>
        <w:autoSpaceDN w:val="0"/>
        <w:adjustRightInd w:val="0"/>
        <w:spacing w:line="240" w:lineRule="auto"/>
        <w:rPr>
          <w:rFonts w:eastAsia="TimesNewRoman" w:cs="TimesNewRoman"/>
          <w:color w:val="010101"/>
        </w:rPr>
      </w:pPr>
      <w:r w:rsidRPr="007D38A7">
        <w:t xml:space="preserve">Australia has </w:t>
      </w:r>
      <w:r>
        <w:t xml:space="preserve">recently </w:t>
      </w:r>
      <w:r w:rsidRPr="0081763D">
        <w:t>permitted</w:t>
      </w:r>
      <w:r w:rsidRPr="007D38A7">
        <w:t xml:space="preserve"> the importation of dragon fruit for human consumption</w:t>
      </w:r>
      <w:r>
        <w:t xml:space="preserve"> from Vietnam</w:t>
      </w:r>
      <w:r w:rsidRPr="007D38A7">
        <w:t>.</w:t>
      </w:r>
      <w:r w:rsidRPr="004712F6">
        <w:rPr>
          <w:rFonts w:eastAsia="TimesNewRoman" w:cs="TimesNewRoman"/>
          <w:color w:val="010101"/>
        </w:rPr>
        <w:t xml:space="preserve"> Pests considered in th</w:t>
      </w:r>
      <w:r>
        <w:rPr>
          <w:rFonts w:eastAsia="TimesNewRoman" w:cs="TimesNewRoman"/>
          <w:color w:val="010101"/>
        </w:rPr>
        <w:t>e</w:t>
      </w:r>
      <w:r w:rsidRPr="004712F6">
        <w:rPr>
          <w:rFonts w:eastAsia="TimesNewRoman" w:cs="TimesNewRoman"/>
          <w:color w:val="010101"/>
        </w:rPr>
        <w:t xml:space="preserve"> policy</w:t>
      </w:r>
      <w:r>
        <w:rPr>
          <w:rFonts w:eastAsia="TimesNewRoman" w:cs="TimesNewRoman"/>
          <w:color w:val="010101"/>
        </w:rPr>
        <w:t xml:space="preserve"> for Vietnamese dragon fruit</w:t>
      </w:r>
      <w:r w:rsidRPr="004712F6">
        <w:rPr>
          <w:rFonts w:eastAsia="TimesNewRoman" w:cs="TimesNewRoman"/>
          <w:color w:val="010101"/>
        </w:rPr>
        <w:t xml:space="preserve"> and other </w:t>
      </w:r>
      <w:r>
        <w:rPr>
          <w:rFonts w:eastAsia="TimesNewRoman" w:cs="TimesNewRoman"/>
          <w:color w:val="010101"/>
        </w:rPr>
        <w:t>import</w:t>
      </w:r>
      <w:r w:rsidRPr="004712F6">
        <w:rPr>
          <w:rFonts w:eastAsia="TimesNewRoman" w:cs="TimesNewRoman"/>
          <w:color w:val="010101"/>
        </w:rPr>
        <w:t xml:space="preserve"> policies were taken into consideration and included in this </w:t>
      </w:r>
      <w:r>
        <w:t>review of biosecurity import requirements</w:t>
      </w:r>
      <w:r w:rsidRPr="004712F6">
        <w:rPr>
          <w:rFonts w:eastAsia="TimesNewRoman" w:cs="TimesNewRoman"/>
          <w:color w:val="010101"/>
        </w:rPr>
        <w:t>, where appropriate.</w:t>
      </w:r>
    </w:p>
    <w:p w:rsidR="004D5CBC" w:rsidRDefault="004D5CBC" w:rsidP="009B6A56">
      <w:pPr>
        <w:spacing w:after="160" w:line="259" w:lineRule="auto"/>
      </w:pPr>
      <w:r>
        <w:t>This final report recommends that importation of fresh dragon fruit to Australia from commercial production areas in Indonesia be permitted, subject to a range of biosecurity requirements.</w:t>
      </w:r>
    </w:p>
    <w:p w:rsidR="004D5CBC" w:rsidRDefault="004D5CBC" w:rsidP="009B6A56">
      <w:pPr>
        <w:spacing w:after="160" w:line="259" w:lineRule="auto"/>
      </w:pPr>
      <w:r>
        <w:t>This report contains details of pests that are of quarantine concern to Australia and are potentially associated with the importation of fresh dragon fruit from Indonesia, the risk assessments for the identified quarantine pests and the recommended risk management measures to reduce the biosecurity risk to an acceptable level.</w:t>
      </w:r>
    </w:p>
    <w:p w:rsidR="004D5CBC" w:rsidRDefault="004D5CBC" w:rsidP="009B6A56">
      <w:pPr>
        <w:spacing w:after="160" w:line="259" w:lineRule="auto"/>
      </w:pPr>
      <w:r>
        <w:t>Seven pests have been identified as requiring risk management measures. These pests are melon fly (</w:t>
      </w:r>
      <w:r w:rsidRPr="009418DF">
        <w:rPr>
          <w:i/>
        </w:rPr>
        <w:t>Bact</w:t>
      </w:r>
      <w:r>
        <w:rPr>
          <w:i/>
        </w:rPr>
        <w:t>r</w:t>
      </w:r>
      <w:r w:rsidRPr="009418DF">
        <w:rPr>
          <w:i/>
        </w:rPr>
        <w:t>ocera cucurbitae</w:t>
      </w:r>
      <w:r>
        <w:t>), oriental fruit fly (</w:t>
      </w:r>
      <w:r w:rsidRPr="009418DF">
        <w:rPr>
          <w:i/>
        </w:rPr>
        <w:t>Bact</w:t>
      </w:r>
      <w:r>
        <w:rPr>
          <w:i/>
        </w:rPr>
        <w:t>r</w:t>
      </w:r>
      <w:r w:rsidRPr="009418DF">
        <w:rPr>
          <w:i/>
        </w:rPr>
        <w:t>ocera dorsalis</w:t>
      </w:r>
      <w:r>
        <w:t>), grey pineapple mealybug (</w:t>
      </w:r>
      <w:r w:rsidRPr="009418DF">
        <w:rPr>
          <w:i/>
        </w:rPr>
        <w:t>Dysmicoccus neobrevipes</w:t>
      </w:r>
      <w:r>
        <w:t>), papaya mealybug (</w:t>
      </w:r>
      <w:r w:rsidRPr="009418DF">
        <w:rPr>
          <w:i/>
        </w:rPr>
        <w:t>Paracoccus marginatus</w:t>
      </w:r>
      <w:r>
        <w:t>), coffee mealybug (</w:t>
      </w:r>
      <w:r w:rsidRPr="009418DF">
        <w:rPr>
          <w:i/>
        </w:rPr>
        <w:t>Planococcus lilacinus</w:t>
      </w:r>
      <w:r>
        <w:t>), Pacific mealybug (</w:t>
      </w:r>
      <w:r w:rsidRPr="009418DF">
        <w:rPr>
          <w:i/>
        </w:rPr>
        <w:t>Planococcus minor</w:t>
      </w:r>
      <w:r>
        <w:t>) and Jack Beardsley mealybug (</w:t>
      </w:r>
      <w:r w:rsidRPr="009418DF">
        <w:rPr>
          <w:i/>
        </w:rPr>
        <w:t>Pseudococcus jackbeardsleyi</w:t>
      </w:r>
      <w:r>
        <w:t>). These pests have been assessed previously by the department and risk management measures for these pests already exist to meet the appropriate level of protection (ALOP) for Australia on the fresh dragon fruit pathway.</w:t>
      </w:r>
    </w:p>
    <w:p w:rsidR="004D5CBC" w:rsidRDefault="004D5CBC" w:rsidP="009B6A56">
      <w:r w:rsidRPr="00006C5F">
        <w:t xml:space="preserve">The </w:t>
      </w:r>
      <w:r>
        <w:t>recommended</w:t>
      </w:r>
      <w:r w:rsidRPr="00006C5F">
        <w:t xml:space="preserve"> </w:t>
      </w:r>
      <w:r>
        <w:t>risk management measures take account of regional differences in pest distribution within Australia. O</w:t>
      </w:r>
      <w:r>
        <w:rPr>
          <w:color w:val="000000" w:themeColor="text1"/>
        </w:rPr>
        <w:t xml:space="preserve">ne </w:t>
      </w:r>
      <w:r w:rsidRPr="007D38A7">
        <w:rPr>
          <w:color w:val="000000" w:themeColor="text1"/>
        </w:rPr>
        <w:t>pest</w:t>
      </w:r>
      <w:r w:rsidRPr="007D38A7">
        <w:t xml:space="preserve"> requiring risk </w:t>
      </w:r>
      <w:r>
        <w:t>management measures</w:t>
      </w:r>
      <w:r w:rsidRPr="007D38A7">
        <w:t xml:space="preserve">, </w:t>
      </w:r>
      <w:r w:rsidRPr="007D38A7">
        <w:rPr>
          <w:i/>
          <w:iCs/>
        </w:rPr>
        <w:t>Planococcus m</w:t>
      </w:r>
      <w:r>
        <w:rPr>
          <w:i/>
          <w:iCs/>
        </w:rPr>
        <w:t>i</w:t>
      </w:r>
      <w:r w:rsidRPr="007D38A7">
        <w:rPr>
          <w:i/>
          <w:iCs/>
        </w:rPr>
        <w:t>nor</w:t>
      </w:r>
      <w:r>
        <w:rPr>
          <w:iCs/>
        </w:rPr>
        <w:t>,</w:t>
      </w:r>
      <w:r>
        <w:t xml:space="preserve"> has</w:t>
      </w:r>
      <w:r w:rsidRPr="007D38A7">
        <w:t xml:space="preserve"> been identified as a regional quarantine pest for Western Australia</w:t>
      </w:r>
      <w:r>
        <w:t xml:space="preserve"> because interstate quarantine regulations and enforcement are in place for this pest</w:t>
      </w:r>
      <w:r w:rsidRPr="007D38A7">
        <w:t>.</w:t>
      </w:r>
    </w:p>
    <w:p w:rsidR="004D5CBC" w:rsidRPr="004D5862" w:rsidRDefault="004D5CBC" w:rsidP="009B6A56">
      <w:r w:rsidRPr="00006C5F">
        <w:t xml:space="preserve">This </w:t>
      </w:r>
      <w:r>
        <w:rPr>
          <w:color w:val="000000" w:themeColor="text1"/>
        </w:rPr>
        <w:t>final report</w:t>
      </w:r>
      <w:r w:rsidRPr="00006C5F">
        <w:t xml:space="preserve"> </w:t>
      </w:r>
      <w:r>
        <w:rPr>
          <w:color w:val="000000" w:themeColor="text1"/>
        </w:rPr>
        <w:t>recommends</w:t>
      </w:r>
      <w:r w:rsidRPr="00006C5F">
        <w:rPr>
          <w:color w:val="000000" w:themeColor="text1"/>
        </w:rPr>
        <w:t xml:space="preserve"> </w:t>
      </w:r>
      <w:r w:rsidRPr="00006C5F">
        <w:t>a range of risk management</w:t>
      </w:r>
      <w:r>
        <w:t xml:space="preserve"> measures, combined with operational systems to reduce the risks posed by </w:t>
      </w:r>
      <w:r w:rsidRPr="004D5862">
        <w:t>the seven quarantine pests</w:t>
      </w:r>
      <w:r>
        <w:t xml:space="preserve"> to</w:t>
      </w:r>
      <w:r w:rsidRPr="004D5862">
        <w:t xml:space="preserve"> achieve </w:t>
      </w:r>
      <w:r>
        <w:t>the ALOP for Australia</w:t>
      </w:r>
      <w:r w:rsidRPr="004D5862">
        <w:t>. These measures include:</w:t>
      </w:r>
    </w:p>
    <w:p w:rsidR="004D5CBC" w:rsidRPr="004D5862" w:rsidRDefault="004D5CBC" w:rsidP="009B6A56">
      <w:pPr>
        <w:pStyle w:val="ListBullet"/>
        <w:numPr>
          <w:ilvl w:val="0"/>
          <w:numId w:val="14"/>
        </w:numPr>
      </w:pPr>
      <w:r w:rsidRPr="004D5862">
        <w:t>area freedom</w:t>
      </w:r>
      <w:r>
        <w:t>, irradiation (subject to FSANZ approval) or vapour heat treatment</w:t>
      </w:r>
      <w:r w:rsidRPr="004D5862">
        <w:t xml:space="preserve"> for fruit flies</w:t>
      </w:r>
    </w:p>
    <w:p w:rsidR="004D5CBC" w:rsidRDefault="004D5CBC" w:rsidP="009B6A56">
      <w:pPr>
        <w:pStyle w:val="ListBullet"/>
        <w:numPr>
          <w:ilvl w:val="0"/>
          <w:numId w:val="14"/>
        </w:numPr>
      </w:pPr>
      <w:proofErr w:type="gramStart"/>
      <w:r>
        <w:t>consignment</w:t>
      </w:r>
      <w:proofErr w:type="gramEnd"/>
      <w:r>
        <w:t xml:space="preserve"> freedom for mealybugs verified by </w:t>
      </w:r>
      <w:r w:rsidRPr="004D5862">
        <w:t>visual inspection and</w:t>
      </w:r>
      <w:r>
        <w:t>, if detected, remedial action for mealybugs.</w:t>
      </w:r>
    </w:p>
    <w:p w:rsidR="004D5CBC" w:rsidRPr="008C0E4A" w:rsidRDefault="004D5CBC" w:rsidP="003A2296">
      <w:r w:rsidRPr="000F4B7D">
        <w:t xml:space="preserve">Written submissions on the draft report were received from </w:t>
      </w:r>
      <w:r>
        <w:t>three</w:t>
      </w:r>
      <w:r w:rsidRPr="000F4B7D">
        <w:t xml:space="preserve"> stakeholders. The final report takes into account stakeholder comments on the draft report. The department has made </w:t>
      </w:r>
      <w:r w:rsidRPr="008C0E4A">
        <w:t>changes to the risk analysis following consideration of stakeholder comments on the draft report and subsequent review of the literature. These changes include:</w:t>
      </w:r>
    </w:p>
    <w:p w:rsidR="004D5CBC" w:rsidRDefault="004D5CBC" w:rsidP="004D5CBC">
      <w:pPr>
        <w:pStyle w:val="ListBullet"/>
        <w:numPr>
          <w:ilvl w:val="0"/>
          <w:numId w:val="7"/>
        </w:numPr>
      </w:pPr>
      <w:r>
        <w:t>incorporation of i</w:t>
      </w:r>
      <w:r w:rsidRPr="008C0E4A">
        <w:t>nformation about fruit inspection in Figure 9</w:t>
      </w:r>
    </w:p>
    <w:p w:rsidR="004D5CBC" w:rsidRDefault="004D5CBC" w:rsidP="004D5CBC">
      <w:pPr>
        <w:pStyle w:val="ListBullet"/>
        <w:numPr>
          <w:ilvl w:val="0"/>
          <w:numId w:val="7"/>
        </w:numPr>
      </w:pPr>
      <w:r>
        <w:t>clarification of the inspection requirements all export dragon fruit consignments will undergo and how they relate to remedial treatments that may sometimes be required</w:t>
      </w:r>
    </w:p>
    <w:p w:rsidR="004D5CBC" w:rsidRPr="008C0E4A" w:rsidRDefault="004D5CBC" w:rsidP="004D5CBC">
      <w:pPr>
        <w:pStyle w:val="ListBullet"/>
        <w:numPr>
          <w:ilvl w:val="0"/>
          <w:numId w:val="7"/>
        </w:numPr>
      </w:pPr>
      <w:proofErr w:type="gramStart"/>
      <w:r>
        <w:t>updates</w:t>
      </w:r>
      <w:proofErr w:type="gramEnd"/>
      <w:r>
        <w:t xml:space="preserve"> to some entries in Appendix A due to new information on pest identities.</w:t>
      </w:r>
    </w:p>
    <w:p w:rsidR="004D5CBC" w:rsidRPr="00707829" w:rsidRDefault="004D5CBC" w:rsidP="00707829">
      <w:r>
        <w:lastRenderedPageBreak/>
        <w:t xml:space="preserve">These changes are </w:t>
      </w:r>
      <w:r w:rsidRPr="00D32338">
        <w:t>explained</w:t>
      </w:r>
      <w:r>
        <w:t xml:space="preserve"> in greater detail in Appendix B.</w:t>
      </w:r>
    </w:p>
    <w:p w:rsidR="004D5CBC" w:rsidRPr="007F3A08" w:rsidRDefault="004D5CBC" w:rsidP="004D5CBC">
      <w:pPr>
        <w:pStyle w:val="Heading2"/>
        <w:numPr>
          <w:ilvl w:val="0"/>
          <w:numId w:val="11"/>
        </w:numPr>
        <w:rPr>
          <w:b w:val="0"/>
        </w:rPr>
        <w:sectPr w:rsidR="004D5CBC" w:rsidRPr="007F3A08" w:rsidSect="004423EE">
          <w:headerReference w:type="default" r:id="rId18"/>
          <w:pgSz w:w="11906" w:h="16838"/>
          <w:pgMar w:top="1418" w:right="1418" w:bottom="1418" w:left="1418" w:header="567" w:footer="283" w:gutter="0"/>
          <w:pgNumType w:start="1"/>
          <w:cols w:space="708"/>
          <w:docGrid w:linePitch="360"/>
        </w:sectPr>
      </w:pPr>
    </w:p>
    <w:p w:rsidR="004D5CBC" w:rsidRDefault="004D5CBC" w:rsidP="004D5CBC">
      <w:pPr>
        <w:pStyle w:val="Heading2"/>
        <w:numPr>
          <w:ilvl w:val="0"/>
          <w:numId w:val="11"/>
        </w:numPr>
      </w:pPr>
      <w:bookmarkStart w:id="3" w:name="_Toc520996412"/>
      <w:r>
        <w:lastRenderedPageBreak/>
        <w:t>Introduction</w:t>
      </w:r>
      <w:bookmarkEnd w:id="3"/>
    </w:p>
    <w:p w:rsidR="004D5CBC" w:rsidRDefault="004D5CBC" w:rsidP="004D5CBC">
      <w:pPr>
        <w:pStyle w:val="Heading3"/>
        <w:numPr>
          <w:ilvl w:val="1"/>
          <w:numId w:val="11"/>
        </w:numPr>
      </w:pPr>
      <w:bookmarkStart w:id="4" w:name="_Toc520996413"/>
      <w:r>
        <w:t>Australia’s biosecurity policy framework</w:t>
      </w:r>
      <w:bookmarkEnd w:id="4"/>
    </w:p>
    <w:p w:rsidR="004D5CBC" w:rsidRDefault="004D5CBC" w:rsidP="0070782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4D5CBC" w:rsidRDefault="004D5CBC" w:rsidP="00707829">
      <w:r>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proposed to reduce the risks to an acceptable level. If the risks cannot be reduced to an acceptable level, the goods will not be imported into Australia until suitable measures are identified.</w:t>
      </w:r>
    </w:p>
    <w:p w:rsidR="004D5CBC" w:rsidRDefault="004D5CBC" w:rsidP="00707829">
      <w:r>
        <w:t xml:space="preserve">Successive Australian governments have maintained a stringent, but not a zero risk, approach to the management of biosecurity risks. This approach is expressed in terms of the ALOP for Australia, which is defined in the </w:t>
      </w:r>
      <w:r>
        <w:rPr>
          <w:i/>
        </w:rPr>
        <w:t>Biosecurity Act 2015</w:t>
      </w:r>
      <w:r>
        <w:t xml:space="preserve"> as providing a high level of protection aimed at reducing risk to a very low level, but not to zero.</w:t>
      </w:r>
    </w:p>
    <w:p w:rsidR="004D5CBC" w:rsidRDefault="004D5CBC" w:rsidP="00707829">
      <w:r>
        <w:t>Australia’s risk analyses are undertaken by the Australian Government Department of Agriculture and Water Resources using technical and scientific experts in relevant fields. These analyses also involve consultation with stakeholders at various stages during the process.</w:t>
      </w:r>
    </w:p>
    <w:p w:rsidR="004D5CBC" w:rsidRDefault="004D5CBC" w:rsidP="0093500F">
      <w:r>
        <w:t xml:space="preserve">Risk analyses may take the form of a biosecurity import risk analysis (BIRA) or a non-regulated risk </w:t>
      </w:r>
      <w:r w:rsidRPr="00CF362C">
        <w:rPr>
          <w:color w:val="000000" w:themeColor="text1"/>
        </w:rPr>
        <w:t>analysis (such as scientific review of existing policy and import conditions, pest-specific assessments, weed risk assessments, biological control agent assessments or scientific advice</w:t>
      </w:r>
      <w:r>
        <w:t>).</w:t>
      </w:r>
    </w:p>
    <w:p w:rsidR="004D5CBC" w:rsidRDefault="004D5CBC" w:rsidP="0093500F">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hyperlink r:id="rId19" w:history="1">
        <w:r w:rsidRPr="00680B9F">
          <w:rPr>
            <w:rStyle w:val="Hyperlink"/>
          </w:rPr>
          <w:t>Australian Government Department of Agriculture and Water Resources website</w:t>
        </w:r>
      </w:hyperlink>
      <w:r>
        <w:t>.</w:t>
      </w:r>
    </w:p>
    <w:p w:rsidR="004D5CBC" w:rsidRDefault="004D5CBC" w:rsidP="004D5CBC">
      <w:pPr>
        <w:pStyle w:val="Heading3"/>
        <w:numPr>
          <w:ilvl w:val="1"/>
          <w:numId w:val="11"/>
        </w:numPr>
      </w:pPr>
      <w:bookmarkStart w:id="5" w:name="_Toc520996414"/>
      <w:r>
        <w:t>This risk analysis</w:t>
      </w:r>
      <w:bookmarkEnd w:id="5"/>
    </w:p>
    <w:p w:rsidR="004D5CBC" w:rsidRDefault="004D5CBC" w:rsidP="004D5CBC">
      <w:pPr>
        <w:pStyle w:val="Heading4"/>
        <w:numPr>
          <w:ilvl w:val="2"/>
          <w:numId w:val="11"/>
        </w:numPr>
      </w:pPr>
      <w:r>
        <w:t>Background</w:t>
      </w:r>
    </w:p>
    <w:p w:rsidR="004D5CBC" w:rsidRDefault="004D5CBC" w:rsidP="00850049">
      <w:r w:rsidRPr="002E1353">
        <w:t xml:space="preserve">The Indonesian Agricultural Quarantine Agency (IAQA) formally requested market access </w:t>
      </w:r>
      <w:r>
        <w:t xml:space="preserve">to Australia </w:t>
      </w:r>
      <w:r w:rsidRPr="002E1353">
        <w:t xml:space="preserve">for dragon fruit in a submission received in July 2016. This submission </w:t>
      </w:r>
      <w:r>
        <w:t>contained</w:t>
      </w:r>
      <w:r w:rsidRPr="002E1353">
        <w:t xml:space="preserve"> information on the pests associated with dragon fruit in Indonesia, including the plant part</w:t>
      </w:r>
      <w:r>
        <w:t>s</w:t>
      </w:r>
      <w:r w:rsidRPr="002E1353">
        <w:t xml:space="preserve"> affected, and the standard commercial production practices</w:t>
      </w:r>
      <w:r>
        <w:t xml:space="preserve"> for dragon fruit in Indonesia.</w:t>
      </w:r>
    </w:p>
    <w:p w:rsidR="004D5CBC" w:rsidRPr="002E1353" w:rsidRDefault="004D5CBC" w:rsidP="00850049">
      <w:r>
        <w:t>The preliminary pest categorisation for dragon fruit from Indonesia indicated that the pest species of quarantine concern are the same as, or similar to, those assessed previously by the department. For this reason the department is conducting a review of biosecurity import requirements, previously referred to as a non-regulated analysis of existing policy, to consider this market access request from Indonesia.</w:t>
      </w:r>
    </w:p>
    <w:p w:rsidR="004D5CBC" w:rsidRPr="00E860C5" w:rsidRDefault="00260E15" w:rsidP="00435203">
      <w:r w:rsidRPr="00260E15">
        <w:t>In April 2017, officers from the department visited dragon fruit production areas in Indonesia. The objectives of the visit were to observe commercial production, pest management and other export practices.</w:t>
      </w:r>
    </w:p>
    <w:p w:rsidR="004D5CBC" w:rsidRDefault="004D5CBC" w:rsidP="00850049">
      <w:r w:rsidRPr="00D27916">
        <w:lastRenderedPageBreak/>
        <w:t>On 14 December 2017, the department formally announced the commencement of this risk an</w:t>
      </w:r>
      <w:r>
        <w:t>alysis, advising that it would be progressed as a review of biosecurity import requirements.</w:t>
      </w:r>
    </w:p>
    <w:p w:rsidR="004D5CBC" w:rsidRDefault="004D5CBC" w:rsidP="004D5CBC">
      <w:pPr>
        <w:pStyle w:val="Heading4"/>
        <w:numPr>
          <w:ilvl w:val="2"/>
          <w:numId w:val="11"/>
        </w:numPr>
      </w:pPr>
      <w:r>
        <w:t>Scope</w:t>
      </w:r>
    </w:p>
    <w:p w:rsidR="004D5CBC" w:rsidRDefault="004D5CBC" w:rsidP="00850049">
      <w:r>
        <w:t xml:space="preserve">The scope of this review of biosecurity import requirements is to consider the biosecurity risk that may be associated with the importation of commercially </w:t>
      </w:r>
      <w:r w:rsidRPr="009039BF">
        <w:t xml:space="preserve">produced fresh </w:t>
      </w:r>
      <w:r>
        <w:t>dragon</w:t>
      </w:r>
      <w:r w:rsidRPr="009039BF">
        <w:t xml:space="preserve"> </w:t>
      </w:r>
      <w:r w:rsidRPr="006B5C85">
        <w:t>fruit (</w:t>
      </w:r>
      <w:r w:rsidRPr="006B5C85">
        <w:rPr>
          <w:i/>
        </w:rPr>
        <w:t xml:space="preserve">Hylocereus </w:t>
      </w:r>
      <w:r w:rsidRPr="006B5C85">
        <w:t>spp.)</w:t>
      </w:r>
      <w:r>
        <w:t xml:space="preserve"> (</w:t>
      </w:r>
      <w:proofErr w:type="gramStart"/>
      <w:r>
        <w:t>henceforth</w:t>
      </w:r>
      <w:proofErr w:type="gramEnd"/>
      <w:r>
        <w:t xml:space="preserve"> dragon fruit),</w:t>
      </w:r>
      <w:r w:rsidRPr="006B5C85">
        <w:t xml:space="preserve"> </w:t>
      </w:r>
      <w:r w:rsidRPr="009039BF">
        <w:t>from</w:t>
      </w:r>
      <w:r>
        <w:t xml:space="preserve"> Indonesia, for human consumption in Australia.</w:t>
      </w:r>
    </w:p>
    <w:p w:rsidR="004D5CBC" w:rsidRDefault="004D5CBC" w:rsidP="00850049">
      <w:r>
        <w:t>In this review of biosecurity import requirements</w:t>
      </w:r>
      <w:r w:rsidRPr="00335C85">
        <w:t xml:space="preserve">, dragon fruit </w:t>
      </w:r>
      <w:r>
        <w:t>is</w:t>
      </w:r>
      <w:r w:rsidRPr="00335C85">
        <w:t xml:space="preserve"> defined </w:t>
      </w:r>
      <w:r>
        <w:t xml:space="preserve">as the entire fruit with flesh, seeds, skin including full </w:t>
      </w:r>
      <w:r w:rsidRPr="00820A01">
        <w:t>bracts</w:t>
      </w:r>
      <w:r>
        <w:t xml:space="preserve"> and a small portion (0.5–1 centimetre) of attached areole (</w:t>
      </w:r>
      <w:r>
        <w:fldChar w:fldCharType="begin"/>
      </w:r>
      <w:r>
        <w:instrText xml:space="preserve"> REF _Ref494871854 \h </w:instrText>
      </w:r>
      <w:r>
        <w:fldChar w:fldCharType="separate"/>
      </w:r>
      <w:r w:rsidR="00502BAD">
        <w:t xml:space="preserve">Figure </w:t>
      </w:r>
      <w:r w:rsidR="00502BAD">
        <w:rPr>
          <w:noProof/>
        </w:rPr>
        <w:t>1</w:t>
      </w:r>
      <w:r>
        <w:fldChar w:fldCharType="end"/>
      </w:r>
      <w:r>
        <w:t xml:space="preserve">). This review of biosecurity import requirements covers all commercial </w:t>
      </w:r>
      <w:r w:rsidRPr="0025568C">
        <w:t xml:space="preserve">dragon fruit </w:t>
      </w:r>
      <w:r>
        <w:t xml:space="preserve">cultivars </w:t>
      </w:r>
      <w:r w:rsidRPr="0025568C">
        <w:t xml:space="preserve">of the genus </w:t>
      </w:r>
      <w:r w:rsidRPr="0025568C">
        <w:rPr>
          <w:i/>
        </w:rPr>
        <w:t>Hylocereus</w:t>
      </w:r>
      <w:r w:rsidRPr="0025568C">
        <w:t xml:space="preserve"> </w:t>
      </w:r>
      <w:r>
        <w:t xml:space="preserve">produced </w:t>
      </w:r>
      <w:r w:rsidRPr="0025568C">
        <w:t xml:space="preserve">for </w:t>
      </w:r>
      <w:r>
        <w:t>export in all Indonesian dragon fruit production regions.</w:t>
      </w:r>
    </w:p>
    <w:p w:rsidR="004D5CBC" w:rsidRPr="00A32496" w:rsidRDefault="004D5CBC" w:rsidP="00503E37">
      <w:pPr>
        <w:pStyle w:val="Caption"/>
      </w:pPr>
      <w:bookmarkStart w:id="6" w:name="_Ref494871854"/>
      <w:bookmarkStart w:id="7" w:name="_Toc520996441"/>
      <w:r>
        <w:t xml:space="preserve">Figure </w:t>
      </w:r>
      <w:r>
        <w:rPr>
          <w:noProof/>
        </w:rPr>
        <w:fldChar w:fldCharType="begin"/>
      </w:r>
      <w:r>
        <w:rPr>
          <w:noProof/>
        </w:rPr>
        <w:instrText xml:space="preserve"> SEQ Figure \* ARABIC </w:instrText>
      </w:r>
      <w:r>
        <w:rPr>
          <w:noProof/>
        </w:rPr>
        <w:fldChar w:fldCharType="separate"/>
      </w:r>
      <w:r w:rsidR="00502BAD">
        <w:rPr>
          <w:noProof/>
        </w:rPr>
        <w:t>1</w:t>
      </w:r>
      <w:r>
        <w:rPr>
          <w:noProof/>
        </w:rPr>
        <w:fldChar w:fldCharType="end"/>
      </w:r>
      <w:bookmarkEnd w:id="6"/>
      <w:r>
        <w:t xml:space="preserve"> Cross section of a </w:t>
      </w:r>
      <w:r w:rsidRPr="00A32496">
        <w:t>dragon fruit</w:t>
      </w:r>
      <w:r>
        <w:t xml:space="preserve"> showing key parts of the fruit</w:t>
      </w:r>
      <w:bookmarkEnd w:id="7"/>
    </w:p>
    <w:p w:rsidR="004D5CBC" w:rsidRPr="00047A16" w:rsidRDefault="004D5CBC" w:rsidP="00503E37">
      <w:r>
        <w:rPr>
          <w:noProof/>
          <w:lang w:eastAsia="en-AU"/>
        </w:rPr>
        <w:drawing>
          <wp:inline distT="0" distB="0" distL="0" distR="0" wp14:anchorId="7545E80B" wp14:editId="407F0083">
            <wp:extent cx="3445200" cy="4302000"/>
            <wp:effectExtent l="0" t="0" r="3175" b="3810"/>
            <wp:docPr id="2" name="Picture 2" descr="Diagram of a dragon fruit showing the Flower end pit, Bracts, Flesh, Skin, Seeds, and Areole" title="Dragon fruit cross se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5200" cy="4302000"/>
                    </a:xfrm>
                    <a:prstGeom prst="rect">
                      <a:avLst/>
                    </a:prstGeom>
                    <a:noFill/>
                    <a:ln>
                      <a:noFill/>
                    </a:ln>
                  </pic:spPr>
                </pic:pic>
              </a:graphicData>
            </a:graphic>
          </wp:inline>
        </w:drawing>
      </w:r>
    </w:p>
    <w:p w:rsidR="004D5CBC" w:rsidRDefault="004D5CBC" w:rsidP="004D5CBC">
      <w:pPr>
        <w:pStyle w:val="Heading4"/>
        <w:numPr>
          <w:ilvl w:val="2"/>
          <w:numId w:val="11"/>
        </w:numPr>
      </w:pPr>
      <w:r>
        <w:t>Existing policy</w:t>
      </w:r>
    </w:p>
    <w:p w:rsidR="004D5CBC" w:rsidRDefault="004D5CBC" w:rsidP="00591D87">
      <w:pPr>
        <w:pStyle w:val="Heading5"/>
      </w:pPr>
      <w:r>
        <w:t>International policy</w:t>
      </w:r>
    </w:p>
    <w:p w:rsidR="004D5CBC" w:rsidRPr="003368FC" w:rsidRDefault="004D5CBC" w:rsidP="005F4942">
      <w:pPr>
        <w:rPr>
          <w:shd w:val="clear" w:color="auto" w:fill="DEEAF6" w:themeFill="accent1" w:themeFillTint="33"/>
        </w:rPr>
      </w:pPr>
      <w:r>
        <w:t xml:space="preserve">Import policy </w:t>
      </w:r>
      <w:r w:rsidRPr="00277263">
        <w:t>exists for dragon fruit from Vietnam</w:t>
      </w:r>
      <w:r>
        <w:t xml:space="preserve"> </w:t>
      </w:r>
      <w:r>
        <w:rPr>
          <w:noProof/>
        </w:rPr>
        <w:t>(Department of Agriculture and Water Resources 2017a)</w:t>
      </w:r>
      <w:r w:rsidRPr="00277263">
        <w:t>.</w:t>
      </w:r>
      <w:r>
        <w:t xml:space="preserve"> For Indonesia, import policy exists for mangosteen </w:t>
      </w:r>
      <w:r>
        <w:rPr>
          <w:noProof/>
        </w:rPr>
        <w:t>(DAFF 2012)</w:t>
      </w:r>
      <w:r>
        <w:t xml:space="preserve">, salacca </w:t>
      </w:r>
      <w:r>
        <w:rPr>
          <w:noProof/>
        </w:rPr>
        <w:t>(Australian Department of Agriculture 2014)</w:t>
      </w:r>
      <w:r>
        <w:t xml:space="preserve"> and mango </w:t>
      </w:r>
      <w:r>
        <w:rPr>
          <w:noProof/>
        </w:rPr>
        <w:t>(Department of Agriculture and Water Resources 2015)</w:t>
      </w:r>
      <w:r w:rsidRPr="003368FC">
        <w:t>.</w:t>
      </w:r>
    </w:p>
    <w:p w:rsidR="004D5CBC" w:rsidRDefault="004D5CBC" w:rsidP="005F4942">
      <w:r w:rsidRPr="003368FC">
        <w:lastRenderedPageBreak/>
        <w:t xml:space="preserve">The import </w:t>
      </w:r>
      <w:r>
        <w:t>requirements for these commodity</w:t>
      </w:r>
      <w:r w:rsidRPr="0059072D">
        <w:t xml:space="preserve"> pathways</w:t>
      </w:r>
      <w:r>
        <w:t xml:space="preserve"> can be found at the Biosecurity Import Conditions (BICON) system on the </w:t>
      </w:r>
      <w:hyperlink r:id="rId21" w:history="1">
        <w:r>
          <w:rPr>
            <w:rStyle w:val="Hyperlink"/>
          </w:rPr>
          <w:t>department's website</w:t>
        </w:r>
      </w:hyperlink>
      <w:r>
        <w:t>.</w:t>
      </w:r>
    </w:p>
    <w:p w:rsidR="004D5CBC" w:rsidRDefault="004D5CBC" w:rsidP="005F4942">
      <w:r>
        <w:t xml:space="preserve">The department has considered all the pests previously identified in </w:t>
      </w:r>
      <w:r w:rsidRPr="007A454E">
        <w:t>existing policies</w:t>
      </w:r>
      <w:r>
        <w:t xml:space="preserve"> and, where relevant, the information in those assessments has been taken into account in this risk analysis. The department has also reviewed the latest literature up to May 2018 to ensure that information in previous assessments is still valid. The department has determined that</w:t>
      </w:r>
      <w:r w:rsidRPr="003368FC">
        <w:t xml:space="preserve"> the information in those assessments </w:t>
      </w:r>
      <w:r>
        <w:t>can be adopted for the species under consideration in this risk analysis.</w:t>
      </w:r>
    </w:p>
    <w:p w:rsidR="004D5CBC" w:rsidRDefault="004D5CBC" w:rsidP="00591D87">
      <w:pPr>
        <w:pStyle w:val="Heading5"/>
      </w:pPr>
      <w:r>
        <w:t>Domestic arrangements</w:t>
      </w:r>
    </w:p>
    <w:p w:rsidR="004D5CBC" w:rsidRDefault="004D5CBC">
      <w:r>
        <w:t>The Australian Government is responsible for regulating the movement of goods such as plants and plant products into and out of Australia. However, the state and territory governments are responsible for plant health controls applied to their individual jurisdictions. Legislation relating to resource management or plant health may be used by state and territory government agencies to control interstate movement of plants and plant products. Once plant and plant products have been cleared by Australian Government biosecurity officers, they may be subject to interstate movement regulations/arrangements. It is the importer’s responsibility to identify and ensure compliance with all requirements.</w:t>
      </w:r>
    </w:p>
    <w:p w:rsidR="004D5CBC" w:rsidRDefault="004D5CBC" w:rsidP="004D5CBC">
      <w:pPr>
        <w:pStyle w:val="Heading4"/>
        <w:numPr>
          <w:ilvl w:val="2"/>
          <w:numId w:val="11"/>
        </w:numPr>
      </w:pPr>
      <w:r>
        <w:t>Contaminating pests</w:t>
      </w:r>
    </w:p>
    <w:p w:rsidR="004D5CBC" w:rsidRDefault="004D5CBC" w:rsidP="005F4942">
      <w:r>
        <w:t xml:space="preserve">In addition to the </w:t>
      </w:r>
      <w:r w:rsidRPr="00335C85">
        <w:t xml:space="preserve">pests of dragon fruit from </w:t>
      </w:r>
      <w:r>
        <w:t>Indonesia</w:t>
      </w:r>
      <w:r w:rsidRPr="00335C85">
        <w:t xml:space="preserve"> that are assessed </w:t>
      </w:r>
      <w:r>
        <w:t>in this risk analysis, there are other organisms that may arrive with the imported commodity. These organisms could include pests of other crops, or predators and parasitoids of other arthropods. The department considers these organisms to be contaminating pests that could pose sanitary or phytosanitary risks. These risks are identified and addressed using existing operational procedures that require a 600 unit inspection of all consignments, or equivalent. The department will investigate whether any pest identified through these processes may be of quarantine concern to Australia, and thus may require remedial action.</w:t>
      </w:r>
    </w:p>
    <w:p w:rsidR="004D5CBC" w:rsidRDefault="004D5CBC" w:rsidP="004D5CBC">
      <w:pPr>
        <w:pStyle w:val="Heading4"/>
        <w:numPr>
          <w:ilvl w:val="2"/>
          <w:numId w:val="11"/>
        </w:numPr>
      </w:pPr>
      <w:r>
        <w:t>Consultation</w:t>
      </w:r>
    </w:p>
    <w:p w:rsidR="004D5CBC" w:rsidRDefault="004D5CBC" w:rsidP="005F4942">
      <w:r w:rsidRPr="00C802B5">
        <w:t xml:space="preserve">On 14 December 2017 the department notified stakeholders, in Biosecurity Advice 2017/28, of the </w:t>
      </w:r>
      <w:r>
        <w:t>formal commencement of a review of biosecurity import requirements for fresh dragon fruit from Indonesia.</w:t>
      </w:r>
    </w:p>
    <w:p w:rsidR="004D5CBC" w:rsidRDefault="004D5CBC" w:rsidP="005F4942">
      <w:r>
        <w:t>Prior to the release of the draft report the department communicated with Australian dragon fruit growers regarding this risk analysis process.</w:t>
      </w:r>
    </w:p>
    <w:p w:rsidR="004D5CBC" w:rsidRDefault="004D5CBC" w:rsidP="005F4942">
      <w:r>
        <w:t>The department consulted with the Indonesian and Australian state and territory governments during the preparation of the draft report.</w:t>
      </w:r>
    </w:p>
    <w:p w:rsidR="004D5CBC" w:rsidRDefault="004D5CBC" w:rsidP="00820508">
      <w:r>
        <w:t xml:space="preserve">The draft report was released on 17 January 2018 (Biosecurity Advice 2018/01) for comment by </w:t>
      </w:r>
      <w:r w:rsidRPr="00E771BA">
        <w:t xml:space="preserve">stakeholders, for a period of 60 days that concluded on 19 March 2018. The department received </w:t>
      </w:r>
      <w:r>
        <w:t>three</w:t>
      </w:r>
      <w:r w:rsidRPr="00E771BA">
        <w:t xml:space="preserve"> submissions </w:t>
      </w:r>
      <w:r>
        <w:t>on the draft report. All submissions were carefully considered by the department and, where relevant, changes were made to the final report. A summary of major stakeholder comments and how they were considered is provided in Appendix B.</w:t>
      </w:r>
    </w:p>
    <w:p w:rsidR="004D5CBC" w:rsidRDefault="004D5CBC" w:rsidP="00820508">
      <w:r>
        <w:lastRenderedPageBreak/>
        <w:t>Further consultation with Australian state and territory governments was undertaken during and after close of the stakeholder comment period.</w:t>
      </w:r>
    </w:p>
    <w:p w:rsidR="004D5CBC" w:rsidRPr="007F3A08" w:rsidRDefault="004D5CBC" w:rsidP="004D5CBC">
      <w:pPr>
        <w:pStyle w:val="Heading2"/>
        <w:numPr>
          <w:ilvl w:val="0"/>
          <w:numId w:val="11"/>
        </w:numPr>
        <w:rPr>
          <w:b w:val="0"/>
        </w:rPr>
        <w:sectPr w:rsidR="004D5CBC" w:rsidRPr="007F3A08" w:rsidSect="00E310DC">
          <w:headerReference w:type="default" r:id="rId22"/>
          <w:pgSz w:w="11906" w:h="16838"/>
          <w:pgMar w:top="1418" w:right="1418" w:bottom="1418" w:left="1418" w:header="567" w:footer="283" w:gutter="0"/>
          <w:cols w:space="708"/>
          <w:docGrid w:linePitch="360"/>
        </w:sectPr>
      </w:pPr>
    </w:p>
    <w:p w:rsidR="004D5CBC" w:rsidRDefault="004D5CBC" w:rsidP="004D5CBC">
      <w:pPr>
        <w:pStyle w:val="Heading2"/>
        <w:numPr>
          <w:ilvl w:val="0"/>
          <w:numId w:val="11"/>
        </w:numPr>
      </w:pPr>
      <w:bookmarkStart w:id="8" w:name="_Toc520996415"/>
      <w:r>
        <w:lastRenderedPageBreak/>
        <w:t>Method for pest risk analysis</w:t>
      </w:r>
      <w:bookmarkEnd w:id="8"/>
    </w:p>
    <w:p w:rsidR="004D5CBC" w:rsidRDefault="004D5CBC">
      <w:r>
        <w:t xml:space="preserve">This chapter sets out the method used for the pest risk analysis (PRA) in this report. The Australian Government Department of Agriculture and Water Resources has conducted this PRA in accordance with the International Standards for Phytosanitary Measures (ISPMs), including ISPM 2: </w:t>
      </w:r>
      <w:r>
        <w:rPr>
          <w:i/>
        </w:rPr>
        <w:t>Framework for pest risk analysis</w:t>
      </w:r>
      <w:r>
        <w:t xml:space="preserve"> </w:t>
      </w:r>
      <w:r>
        <w:rPr>
          <w:noProof/>
        </w:rPr>
        <w:t>(FAO 2016a)</w:t>
      </w:r>
      <w:r>
        <w:t xml:space="preserve"> and ISPM 11: </w:t>
      </w:r>
      <w:r>
        <w:rPr>
          <w:i/>
        </w:rPr>
        <w:t>Pest risk analysis for quarantine pests</w:t>
      </w:r>
      <w:r>
        <w:t xml:space="preserve"> </w:t>
      </w:r>
      <w:r>
        <w:rPr>
          <w:noProof/>
        </w:rPr>
        <w:t>(FAO 2017b)</w:t>
      </w:r>
      <w:r>
        <w:t xml:space="preserve"> that have been developed under the SPS Agreement </w:t>
      </w:r>
      <w:r>
        <w:rPr>
          <w:noProof/>
        </w:rPr>
        <w:t>(WTO 1995)</w:t>
      </w:r>
      <w:r>
        <w:t>.</w:t>
      </w:r>
    </w:p>
    <w:p w:rsidR="004D5CBC" w:rsidRDefault="004D5CBC">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2017a)</w:t>
      </w:r>
      <w:r>
        <w:t xml:space="preserve">. A pest is ‘any species, strain or biotype of plant, animal, or pathogenic agent injurious to plants or plant products’ </w:t>
      </w:r>
      <w:r>
        <w:rPr>
          <w:noProof/>
        </w:rPr>
        <w:t>(FAO 2017a)</w:t>
      </w:r>
      <w:r>
        <w:t xml:space="preserve">. This definition is also applied in the </w:t>
      </w:r>
      <w:r>
        <w:rPr>
          <w:i/>
        </w:rPr>
        <w:t>Biosecurity Act 2015</w:t>
      </w:r>
      <w:r>
        <w:t>.</w:t>
      </w:r>
    </w:p>
    <w:p w:rsidR="004D5CBC" w:rsidRDefault="004D5CBC">
      <w:r>
        <w:t>Biosecurity risk consists of two major components: the likelihood of a pest entering, establishing and spreading in Australia from imports; and the consequences should this happen. These two components are combined to give an overall estimate of the risk.</w:t>
      </w:r>
    </w:p>
    <w:p w:rsidR="004D5CBC" w:rsidRDefault="004D5CBC">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rsidR="004D5CBC" w:rsidRDefault="004D5CBC">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Pr>
          <w:noProof/>
        </w:rPr>
        <w:t>(FAO 2017a)</w:t>
      </w:r>
      <w:r>
        <w:t>.</w:t>
      </w:r>
    </w:p>
    <w:p w:rsidR="004D5CBC" w:rsidRDefault="004D5CBC">
      <w:r>
        <w:t>A glossary of the terms used in the risk analysis is provided at the end of this report.</w:t>
      </w:r>
    </w:p>
    <w:p w:rsidR="004D5CBC" w:rsidRDefault="004D5CBC">
      <w:r>
        <w:t>The PRAs are conducted in the following three consecutive stages: initiation, pest risk assessment and pest risk management.</w:t>
      </w:r>
    </w:p>
    <w:p w:rsidR="004D5CBC" w:rsidRDefault="004D5CBC">
      <w:r>
        <w:t xml:space="preserve">The </w:t>
      </w:r>
      <w:r w:rsidRPr="0005181C">
        <w:rPr>
          <w:i/>
        </w:rPr>
        <w:t>Final group pest risk analysis for thrips and orthotospoviruses on fresh fruit, vegetable, cut-flower and foliage imports</w:t>
      </w:r>
      <w:r>
        <w:t xml:space="preserve"> </w:t>
      </w:r>
      <w:r>
        <w:rPr>
          <w:noProof/>
        </w:rPr>
        <w:t>(Australian Government Department of Agriculture and Water Resources 2017)</w:t>
      </w:r>
      <w:r>
        <w:t xml:space="preserve"> has been applied in this risk analysis.</w:t>
      </w:r>
    </w:p>
    <w:p w:rsidR="004D5CBC" w:rsidRDefault="004D5CBC" w:rsidP="004D5CBC">
      <w:pPr>
        <w:pStyle w:val="Heading3"/>
        <w:numPr>
          <w:ilvl w:val="1"/>
          <w:numId w:val="11"/>
        </w:numPr>
      </w:pPr>
      <w:bookmarkStart w:id="9" w:name="_Toc520996416"/>
      <w:r>
        <w:t>Stage 1 Initiation</w:t>
      </w:r>
      <w:bookmarkEnd w:id="9"/>
    </w:p>
    <w:p w:rsidR="004D5CBC" w:rsidRDefault="004D5CBC" w:rsidP="0054650E">
      <w:r>
        <w:t xml:space="preserve">Initiation identifies the pest(s) and pathway(s) that are of quarantine concern and should be considered for risk analysis in relation to the identified </w:t>
      </w:r>
      <w:r w:rsidRPr="003555F0">
        <w:t>PRA area</w:t>
      </w:r>
      <w:r>
        <w:t>, which is defined as Australia for this risk analysis.</w:t>
      </w:r>
    </w:p>
    <w:p w:rsidR="004D5CBC" w:rsidRDefault="004D5CBC" w:rsidP="0054650E">
      <w:r>
        <w:t>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w:t>
      </w:r>
    </w:p>
    <w:p w:rsidR="004D5CBC" w:rsidRDefault="004D5CBC" w:rsidP="0054650E">
      <w:r>
        <w:lastRenderedPageBreak/>
        <w:t>The identity of the pests is given in Appendix 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rsidR="004D5CBC" w:rsidRDefault="004D5CBC" w:rsidP="0054650E">
      <w:r>
        <w:t>For this risk analysis, the ‘</w:t>
      </w:r>
      <w:r w:rsidRPr="003555F0">
        <w:t>PRA area’</w:t>
      </w:r>
      <w:r>
        <w:t xml:space="preserve"> is defined as Australia for pests that are absent, or of limited distribution and under official control. For areas with regional freedom from a pest, the ‘</w:t>
      </w:r>
      <w:r w:rsidRPr="003555F0">
        <w:t>PRA area</w:t>
      </w:r>
      <w:r>
        <w:t>’ may be defined on the basis of a state or territory of Australia or may be defined as a region of Australia consisting of parts of a state or territory or several states or territories.</w:t>
      </w:r>
    </w:p>
    <w:p w:rsidR="004D5CBC" w:rsidRDefault="004D5CBC" w:rsidP="0054650E">
      <w:r>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previous risk assessments were taken into consideration in this risk analysis. The department will continue to review the literature and monitor changes in pest risk, and may amend this policy accordingly.</w:t>
      </w:r>
    </w:p>
    <w:p w:rsidR="004D5CBC" w:rsidRDefault="004D5CBC" w:rsidP="004D5CBC">
      <w:pPr>
        <w:pStyle w:val="Heading3"/>
        <w:numPr>
          <w:ilvl w:val="1"/>
          <w:numId w:val="11"/>
        </w:numPr>
      </w:pPr>
      <w:bookmarkStart w:id="10" w:name="_Toc520996417"/>
      <w:r>
        <w:t>Stage 2 Pest risk assessment</w:t>
      </w:r>
      <w:bookmarkEnd w:id="10"/>
    </w:p>
    <w:p w:rsidR="004D5CBC" w:rsidRDefault="004D5CBC">
      <w:r>
        <w:t xml:space="preserve">A pest risk assessment (for quarantine pests) is the ‘evaluation of the probability of the introduction and spread of a pest and of the magnitude of the associated potential economic consequences’ </w:t>
      </w:r>
      <w:r>
        <w:rPr>
          <w:noProof/>
        </w:rPr>
        <w:t>(FAO 2017a)</w:t>
      </w:r>
      <w:r>
        <w:t>.</w:t>
      </w:r>
    </w:p>
    <w:p w:rsidR="004D5CBC" w:rsidRDefault="004D5CBC">
      <w:r>
        <w:t>The following three, consecutive steps were used in pest risk assessment:</w:t>
      </w:r>
    </w:p>
    <w:p w:rsidR="004D5CBC" w:rsidRDefault="004D5CBC" w:rsidP="004D5CBC">
      <w:pPr>
        <w:pStyle w:val="Heading4"/>
        <w:numPr>
          <w:ilvl w:val="2"/>
          <w:numId w:val="11"/>
        </w:numPr>
      </w:pPr>
      <w:r>
        <w:t>Pest categorisation</w:t>
      </w:r>
    </w:p>
    <w:p w:rsidR="004D5CBC" w:rsidRDefault="004D5CBC" w:rsidP="0054650E">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2017a)</w:t>
      </w:r>
      <w:r>
        <w:t>.</w:t>
      </w:r>
    </w:p>
    <w:p w:rsidR="004D5CBC" w:rsidRDefault="004D5CBC" w:rsidP="0054650E">
      <w:r>
        <w:t>The pests identified in Stage 1 were categorised using the following primary elements to identify the quarantine pests for the commodity being assessed:</w:t>
      </w:r>
    </w:p>
    <w:p w:rsidR="004D5CBC" w:rsidRDefault="004D5CBC" w:rsidP="004D5CBC">
      <w:pPr>
        <w:pStyle w:val="ListBullet"/>
        <w:numPr>
          <w:ilvl w:val="0"/>
          <w:numId w:val="7"/>
        </w:numPr>
      </w:pPr>
      <w:r>
        <w:t>identity of the pest</w:t>
      </w:r>
    </w:p>
    <w:p w:rsidR="004D5CBC" w:rsidRDefault="004D5CBC" w:rsidP="004D5CBC">
      <w:pPr>
        <w:pStyle w:val="ListBullet"/>
        <w:numPr>
          <w:ilvl w:val="0"/>
          <w:numId w:val="7"/>
        </w:numPr>
      </w:pPr>
      <w:r>
        <w:t xml:space="preserve">presence or absence in the </w:t>
      </w:r>
      <w:r w:rsidRPr="003555F0">
        <w:t>PRA area</w:t>
      </w:r>
      <w:r>
        <w:t xml:space="preserve"> </w:t>
      </w:r>
    </w:p>
    <w:p w:rsidR="004D5CBC" w:rsidRDefault="004D5CBC" w:rsidP="004D5CBC">
      <w:pPr>
        <w:pStyle w:val="ListBullet"/>
        <w:numPr>
          <w:ilvl w:val="0"/>
          <w:numId w:val="7"/>
        </w:numPr>
      </w:pPr>
      <w:r>
        <w:t xml:space="preserve">regulatory status </w:t>
      </w:r>
    </w:p>
    <w:p w:rsidR="004D5CBC" w:rsidRDefault="004D5CBC" w:rsidP="004D5CBC">
      <w:pPr>
        <w:pStyle w:val="ListBullet"/>
        <w:numPr>
          <w:ilvl w:val="0"/>
          <w:numId w:val="7"/>
        </w:numPr>
      </w:pPr>
      <w:r>
        <w:t xml:space="preserve">potential for establishment and spread in the </w:t>
      </w:r>
      <w:r w:rsidRPr="003555F0">
        <w:t>PRA area</w:t>
      </w:r>
      <w:r>
        <w:t xml:space="preserve"> </w:t>
      </w:r>
    </w:p>
    <w:p w:rsidR="004D5CBC" w:rsidRDefault="004D5CBC" w:rsidP="004D5CBC">
      <w:pPr>
        <w:pStyle w:val="ListBullet"/>
        <w:numPr>
          <w:ilvl w:val="0"/>
          <w:numId w:val="7"/>
        </w:numPr>
      </w:pPr>
      <w:proofErr w:type="gramStart"/>
      <w:r>
        <w:t>potential</w:t>
      </w:r>
      <w:proofErr w:type="gramEnd"/>
      <w:r>
        <w:t xml:space="preserve"> for economic consequences (including environmental consequences) in the </w:t>
      </w:r>
      <w:r w:rsidRPr="003555F0">
        <w:t>PRA area</w:t>
      </w:r>
      <w:r>
        <w:t>.</w:t>
      </w:r>
    </w:p>
    <w:p w:rsidR="004D5CBC" w:rsidRPr="00503E37" w:rsidRDefault="004D5CBC" w:rsidP="00322397">
      <w:r>
        <w:t xml:space="preserve">The results of pest categorisation are set out in Appendix A. The quarantine pests identified during categorisation were carried forward for pest risk assessment and are listed in </w:t>
      </w:r>
      <w:r>
        <w:fldChar w:fldCharType="begin"/>
      </w:r>
      <w:r>
        <w:instrText xml:space="preserve"> REF _Ref511294631 \h </w:instrText>
      </w:r>
      <w:r>
        <w:fldChar w:fldCharType="separate"/>
      </w:r>
      <w:r w:rsidR="00502BAD">
        <w:t xml:space="preserve">Table </w:t>
      </w:r>
      <w:r w:rsidR="00502BAD">
        <w:rPr>
          <w:noProof/>
        </w:rPr>
        <w:t>4</w:t>
      </w:r>
      <w:r w:rsidR="00502BAD">
        <w:t>.</w:t>
      </w:r>
      <w:r w:rsidR="00502BAD">
        <w:rPr>
          <w:noProof/>
        </w:rPr>
        <w:t>1</w:t>
      </w:r>
      <w:r>
        <w:fldChar w:fldCharType="end"/>
      </w:r>
      <w:r>
        <w:t>.</w:t>
      </w:r>
    </w:p>
    <w:p w:rsidR="004D5CBC" w:rsidRDefault="004D5CBC" w:rsidP="004D5CBC">
      <w:pPr>
        <w:pStyle w:val="Heading4"/>
        <w:numPr>
          <w:ilvl w:val="2"/>
          <w:numId w:val="11"/>
        </w:numPr>
      </w:pPr>
      <w:r>
        <w:t>Assessment of the probability of entry, establishment and spread</w:t>
      </w:r>
    </w:p>
    <w:p w:rsidR="004D5CBC" w:rsidRDefault="004D5CBC">
      <w:r>
        <w:t xml:space="preserve">Details of how to assess the ‘probability of entry’, ‘probability of establishment’ and ‘probability of spread’ of a pest are given in ISPM 11 </w:t>
      </w:r>
      <w:r>
        <w:rPr>
          <w:noProof/>
        </w:rPr>
        <w:t>(FAO 2017b)</w:t>
      </w:r>
      <w:r>
        <w:t xml:space="preserve">. The SPS Agreement (WTO 1995) uses the term ‘likelihood’ rather than ‘probability’ for these estimates. In qualitative PRAs, the department uses the term ‘likelihood’ for the descriptors it uses for its estimates of likelihood of </w:t>
      </w:r>
      <w:r>
        <w:lastRenderedPageBreak/>
        <w:t>entry, establishment and spread. The use of the term ‘probability’ is limited to the direct quotation of ISPM definitions.</w:t>
      </w:r>
    </w:p>
    <w:p w:rsidR="004D5CBC" w:rsidRDefault="004D5CBC">
      <w:r>
        <w:t>A summary of this process is given here, followed by a description of the qualitative methodology used in this risk analysis.</w:t>
      </w:r>
    </w:p>
    <w:p w:rsidR="004D5CBC" w:rsidRDefault="004D5CBC" w:rsidP="002B0C91">
      <w:pPr>
        <w:pStyle w:val="Heading5"/>
      </w:pPr>
      <w:r>
        <w:t>Likelihood of entry</w:t>
      </w:r>
    </w:p>
    <w:p w:rsidR="004D5CBC" w:rsidRDefault="004D5CBC" w:rsidP="00901A6E">
      <w:r>
        <w:t xml:space="preserve">The likelihood of entry describes the likelihood that a quarantine pest will enter Australia as a result of trade in a given commodity, be distributed in a viable state in the </w:t>
      </w:r>
      <w:r w:rsidRPr="003555F0">
        <w:t>PRA area</w:t>
      </w:r>
      <w:r>
        <w:t xml:space="preserve">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rsidR="004D5CBC" w:rsidRDefault="004D5CBC" w:rsidP="00901A6E">
      <w:r>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department when estimating the likelihood of entry.</w:t>
      </w:r>
    </w:p>
    <w:p w:rsidR="004D5CBC" w:rsidRDefault="004D5CBC" w:rsidP="00901A6E">
      <w:r>
        <w:t>For the purpose of considering the likelihood of entry, the department divides this step into two components:</w:t>
      </w:r>
    </w:p>
    <w:p w:rsidR="004D5CBC" w:rsidRDefault="004D5CBC" w:rsidP="004D5CBC">
      <w:pPr>
        <w:pStyle w:val="ListBullet"/>
        <w:numPr>
          <w:ilvl w:val="0"/>
          <w:numId w:val="7"/>
        </w:numPr>
      </w:pPr>
      <w:r w:rsidRPr="00901A6E">
        <w:rPr>
          <w:rStyle w:val="Strong"/>
        </w:rPr>
        <w:t>Likelihood of importation</w:t>
      </w:r>
      <w:r>
        <w:t>—the likelihood that a pest will arrive in Australia when a given commodity is imported.</w:t>
      </w:r>
    </w:p>
    <w:p w:rsidR="004D5CBC" w:rsidRDefault="004D5CBC" w:rsidP="004D5CBC">
      <w:pPr>
        <w:pStyle w:val="ListBullet"/>
        <w:numPr>
          <w:ilvl w:val="0"/>
          <w:numId w:val="7"/>
        </w:numPr>
      </w:pPr>
      <w:r w:rsidRPr="00901A6E">
        <w:rPr>
          <w:rStyle w:val="Strong"/>
        </w:rPr>
        <w:t>Likelihood of distribution</w:t>
      </w:r>
      <w:r>
        <w:t xml:space="preserve">— the likelihood that the pest will be distributed, as a result of the processing, sale or disposal of the commodity, in the </w:t>
      </w:r>
      <w:r w:rsidRPr="003555F0">
        <w:t>PRA area</w:t>
      </w:r>
      <w:r>
        <w:t xml:space="preserve"> and subsequently transfer to a susceptible part of a host.</w:t>
      </w:r>
    </w:p>
    <w:p w:rsidR="004D5CBC" w:rsidRDefault="004D5CBC" w:rsidP="00901A6E">
      <w:r>
        <w:t>Factors to be considered in the likelihood of importation may include:</w:t>
      </w:r>
    </w:p>
    <w:p w:rsidR="004D5CBC" w:rsidRDefault="004D5CBC" w:rsidP="004D5CBC">
      <w:pPr>
        <w:pStyle w:val="ListBullet"/>
        <w:numPr>
          <w:ilvl w:val="0"/>
          <w:numId w:val="7"/>
        </w:numPr>
      </w:pPr>
      <w:r>
        <w:t>distribution and incidence of the pest in the source area</w:t>
      </w:r>
    </w:p>
    <w:p w:rsidR="004D5CBC" w:rsidRDefault="004D5CBC" w:rsidP="004D5CBC">
      <w:pPr>
        <w:pStyle w:val="ListBullet"/>
        <w:numPr>
          <w:ilvl w:val="0"/>
          <w:numId w:val="7"/>
        </w:numPr>
      </w:pPr>
      <w:r>
        <w:t>occurrence of the pest in a life-stage that would be associated with the commodity</w:t>
      </w:r>
    </w:p>
    <w:p w:rsidR="004D5CBC" w:rsidRDefault="004D5CBC" w:rsidP="004D5CBC">
      <w:pPr>
        <w:pStyle w:val="ListBullet"/>
        <w:numPr>
          <w:ilvl w:val="0"/>
          <w:numId w:val="7"/>
        </w:numPr>
      </w:pPr>
      <w:r>
        <w:t>mode of trade (for example, bulk, packed)</w:t>
      </w:r>
    </w:p>
    <w:p w:rsidR="004D5CBC" w:rsidRDefault="004D5CBC" w:rsidP="004D5CBC">
      <w:pPr>
        <w:pStyle w:val="ListBullet"/>
        <w:numPr>
          <w:ilvl w:val="0"/>
          <w:numId w:val="7"/>
        </w:numPr>
      </w:pPr>
      <w:r>
        <w:t>volume and frequency of movement of the commodity along each pathway</w:t>
      </w:r>
    </w:p>
    <w:p w:rsidR="004D5CBC" w:rsidRDefault="004D5CBC" w:rsidP="004D5CBC">
      <w:pPr>
        <w:pStyle w:val="ListBullet"/>
        <w:numPr>
          <w:ilvl w:val="0"/>
          <w:numId w:val="7"/>
        </w:numPr>
      </w:pPr>
      <w:r>
        <w:t>seasonal timing of imports</w:t>
      </w:r>
    </w:p>
    <w:p w:rsidR="004D5CBC" w:rsidRDefault="004D5CBC" w:rsidP="004D5CBC">
      <w:pPr>
        <w:pStyle w:val="ListBullet"/>
        <w:numPr>
          <w:ilvl w:val="0"/>
          <w:numId w:val="7"/>
        </w:numPr>
      </w:pPr>
      <w:r>
        <w:t>pest management, cultural and commercial procedures applied at the place of origin</w:t>
      </w:r>
    </w:p>
    <w:p w:rsidR="004D5CBC" w:rsidRDefault="004D5CBC" w:rsidP="004D5CBC">
      <w:pPr>
        <w:pStyle w:val="ListBullet"/>
        <w:numPr>
          <w:ilvl w:val="0"/>
          <w:numId w:val="7"/>
        </w:numPr>
      </w:pPr>
      <w:r>
        <w:t>speed of transport and conditions of storage compared with the duration of the lifecycle of the pest</w:t>
      </w:r>
    </w:p>
    <w:p w:rsidR="004D5CBC" w:rsidRDefault="004D5CBC" w:rsidP="004D5CBC">
      <w:pPr>
        <w:pStyle w:val="ListBullet"/>
        <w:numPr>
          <w:ilvl w:val="0"/>
          <w:numId w:val="7"/>
        </w:numPr>
      </w:pPr>
      <w:r>
        <w:t>vulnerability of the life-stages of the pest during transport or storage</w:t>
      </w:r>
    </w:p>
    <w:p w:rsidR="004D5CBC" w:rsidRDefault="004D5CBC" w:rsidP="004D5CBC">
      <w:pPr>
        <w:pStyle w:val="ListBullet"/>
        <w:numPr>
          <w:ilvl w:val="0"/>
          <w:numId w:val="7"/>
        </w:numPr>
      </w:pPr>
      <w:r>
        <w:t>incidence of the pest likely to be associated with a consignment</w:t>
      </w:r>
    </w:p>
    <w:p w:rsidR="004D5CBC" w:rsidRDefault="004D5CBC" w:rsidP="004D5CBC">
      <w:pPr>
        <w:pStyle w:val="ListBullet"/>
        <w:numPr>
          <w:ilvl w:val="0"/>
          <w:numId w:val="7"/>
        </w:numPr>
      </w:pPr>
      <w:proofErr w:type="gramStart"/>
      <w:r>
        <w:t>commercial</w:t>
      </w:r>
      <w:proofErr w:type="gramEnd"/>
      <w:r>
        <w:t xml:space="preserve"> procedures (for example, refrigeration) applied to consignments during transport and storage in the country of origin, and during transport to Australia.</w:t>
      </w:r>
    </w:p>
    <w:p w:rsidR="004D5CBC" w:rsidRDefault="004D5CBC" w:rsidP="00901A6E">
      <w:r>
        <w:t>Factors to be considered in the likelihood of distribution may include:</w:t>
      </w:r>
    </w:p>
    <w:p w:rsidR="004D5CBC" w:rsidRDefault="004D5CBC" w:rsidP="004D5CBC">
      <w:pPr>
        <w:pStyle w:val="ListBullet"/>
        <w:numPr>
          <w:ilvl w:val="0"/>
          <w:numId w:val="7"/>
        </w:numPr>
      </w:pPr>
      <w:r>
        <w:t>commercial procedures (for example, refrigeration) applied to consignments during distribution in Australia</w:t>
      </w:r>
    </w:p>
    <w:p w:rsidR="004D5CBC" w:rsidRDefault="004D5CBC" w:rsidP="004D5CBC">
      <w:pPr>
        <w:pStyle w:val="ListBullet"/>
        <w:numPr>
          <w:ilvl w:val="0"/>
          <w:numId w:val="7"/>
        </w:numPr>
      </w:pPr>
      <w:r>
        <w:lastRenderedPageBreak/>
        <w:t>dispersal mechanisms of the pest, including vectors, to allow movement from the pathway to a host</w:t>
      </w:r>
    </w:p>
    <w:p w:rsidR="004D5CBC" w:rsidRPr="003555F0" w:rsidRDefault="004D5CBC" w:rsidP="004D5CBC">
      <w:pPr>
        <w:pStyle w:val="ListBullet"/>
        <w:numPr>
          <w:ilvl w:val="0"/>
          <w:numId w:val="7"/>
        </w:numPr>
      </w:pPr>
      <w:r>
        <w:t xml:space="preserve">whether the imported commodity is to be sent to a few or many destination points in the </w:t>
      </w:r>
      <w:r w:rsidRPr="003555F0">
        <w:t>PRA area</w:t>
      </w:r>
    </w:p>
    <w:p w:rsidR="004D5CBC" w:rsidRDefault="004D5CBC" w:rsidP="004D5CBC">
      <w:pPr>
        <w:pStyle w:val="ListBullet"/>
        <w:numPr>
          <w:ilvl w:val="0"/>
          <w:numId w:val="7"/>
        </w:numPr>
      </w:pPr>
      <w:r>
        <w:t>proximity of entry, transit and destination points to hosts</w:t>
      </w:r>
    </w:p>
    <w:p w:rsidR="004D5CBC" w:rsidRDefault="004D5CBC" w:rsidP="004D5CBC">
      <w:pPr>
        <w:pStyle w:val="ListBullet"/>
        <w:numPr>
          <w:ilvl w:val="0"/>
          <w:numId w:val="7"/>
        </w:numPr>
      </w:pPr>
      <w:r>
        <w:t>time of year at which import takes place</w:t>
      </w:r>
    </w:p>
    <w:p w:rsidR="004D5CBC" w:rsidRDefault="004D5CBC" w:rsidP="004D5CBC">
      <w:pPr>
        <w:pStyle w:val="ListBullet"/>
        <w:numPr>
          <w:ilvl w:val="0"/>
          <w:numId w:val="7"/>
        </w:numPr>
      </w:pPr>
      <w:r>
        <w:t>intended use of the commodity (for example, for planting, processing or consumption)</w:t>
      </w:r>
    </w:p>
    <w:p w:rsidR="004D5CBC" w:rsidRDefault="004D5CBC" w:rsidP="004D5CBC">
      <w:pPr>
        <w:pStyle w:val="ListBullet"/>
        <w:numPr>
          <w:ilvl w:val="0"/>
          <w:numId w:val="7"/>
        </w:numPr>
      </w:pPr>
      <w:proofErr w:type="gramStart"/>
      <w:r>
        <w:t>risks</w:t>
      </w:r>
      <w:proofErr w:type="gramEnd"/>
      <w:r>
        <w:t xml:space="preserve"> from by-products and waste.</w:t>
      </w:r>
    </w:p>
    <w:p w:rsidR="004D5CBC" w:rsidRDefault="004D5CBC" w:rsidP="00901A6E">
      <w:pPr>
        <w:pStyle w:val="Heading5"/>
      </w:pPr>
      <w:r>
        <w:t>Likelihood of establishment</w:t>
      </w:r>
    </w:p>
    <w:p w:rsidR="004D5CBC" w:rsidRDefault="004D5CBC" w:rsidP="00901A6E">
      <w:r>
        <w:t xml:space="preserve">Establishment is defined as the ‘perpetuation for the foreseeable future, of a pest within an area after entry’ </w:t>
      </w:r>
      <w:r>
        <w:rPr>
          <w:noProof/>
        </w:rPr>
        <w:t>(FAO 2017a)</w:t>
      </w:r>
      <w:r>
        <w:t xml:space="preserve">. In order to estimate the likelihood of establishment of a pest, reliable biological information (for example, lifecycle, host range, epidemiology and survival) is obtained from the areas where the pest currently occurs. The situation in the </w:t>
      </w:r>
      <w:r w:rsidRPr="003555F0">
        <w:t>PRA area</w:t>
      </w:r>
      <w:r>
        <w:t xml:space="preserve"> can then be compared with that in the areas where it currently occurs and expert judgement used to assess the likelihood of establishment.</w:t>
      </w:r>
    </w:p>
    <w:p w:rsidR="004D5CBC" w:rsidRDefault="004D5CBC" w:rsidP="00901A6E">
      <w:r>
        <w:t xml:space="preserve">Factors to be considered in the likelihood of establishment in </w:t>
      </w:r>
      <w:r w:rsidRPr="003555F0">
        <w:t>the PRA area</w:t>
      </w:r>
      <w:r>
        <w:t xml:space="preserve"> may include:</w:t>
      </w:r>
    </w:p>
    <w:p w:rsidR="004D5CBC" w:rsidRDefault="004D5CBC" w:rsidP="004D5CBC">
      <w:pPr>
        <w:pStyle w:val="ListBullet"/>
        <w:numPr>
          <w:ilvl w:val="0"/>
          <w:numId w:val="7"/>
        </w:numPr>
      </w:pPr>
      <w:r>
        <w:t>availability of hosts, alternative hosts and vectors</w:t>
      </w:r>
    </w:p>
    <w:p w:rsidR="004D5CBC" w:rsidRDefault="004D5CBC" w:rsidP="004D5CBC">
      <w:pPr>
        <w:pStyle w:val="ListBullet"/>
        <w:numPr>
          <w:ilvl w:val="0"/>
          <w:numId w:val="7"/>
        </w:numPr>
      </w:pPr>
      <w:r>
        <w:t>suitability of the environment</w:t>
      </w:r>
    </w:p>
    <w:p w:rsidR="004D5CBC" w:rsidRDefault="004D5CBC" w:rsidP="004D5CBC">
      <w:pPr>
        <w:pStyle w:val="ListBullet"/>
        <w:numPr>
          <w:ilvl w:val="0"/>
          <w:numId w:val="7"/>
        </w:numPr>
      </w:pPr>
      <w:r>
        <w:t>reproductive strategy and potential for adaptation</w:t>
      </w:r>
    </w:p>
    <w:p w:rsidR="004D5CBC" w:rsidRDefault="004D5CBC" w:rsidP="004D5CBC">
      <w:pPr>
        <w:pStyle w:val="ListBullet"/>
        <w:numPr>
          <w:ilvl w:val="0"/>
          <w:numId w:val="7"/>
        </w:numPr>
      </w:pPr>
      <w:r>
        <w:t>minimum population needed for establishment</w:t>
      </w:r>
    </w:p>
    <w:p w:rsidR="004D5CBC" w:rsidRDefault="004D5CBC" w:rsidP="004D5CBC">
      <w:pPr>
        <w:pStyle w:val="ListBullet"/>
        <w:numPr>
          <w:ilvl w:val="0"/>
          <w:numId w:val="7"/>
        </w:numPr>
      </w:pPr>
      <w:proofErr w:type="gramStart"/>
      <w:r>
        <w:t>cultural</w:t>
      </w:r>
      <w:proofErr w:type="gramEnd"/>
      <w:r>
        <w:t xml:space="preserve"> practices and control measures.</w:t>
      </w:r>
    </w:p>
    <w:p w:rsidR="004D5CBC" w:rsidRDefault="004D5CBC" w:rsidP="00591D87">
      <w:pPr>
        <w:pStyle w:val="Heading5"/>
      </w:pPr>
      <w:r>
        <w:t>Likelihood of spread</w:t>
      </w:r>
    </w:p>
    <w:p w:rsidR="004D5CBC" w:rsidRDefault="004D5CBC" w:rsidP="00901A6E">
      <w:r>
        <w:t xml:space="preserve">Spread is defined as ‘the expansion of the geographical distribution of a pest within an area’ </w:t>
      </w:r>
      <w:r>
        <w:rPr>
          <w:noProof/>
        </w:rPr>
        <w:t>(FAO 2017a)</w:t>
      </w:r>
      <w:r>
        <w:t xml:space="preserve">.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w:t>
      </w:r>
      <w:r w:rsidRPr="003555F0">
        <w:t>PRA area</w:t>
      </w:r>
      <w:r>
        <w:t xml:space="preserve"> is then carefully compared with that in the areas where the pest currently occurs and expert judgement used to assess the likelihood of spread.</w:t>
      </w:r>
    </w:p>
    <w:p w:rsidR="004D5CBC" w:rsidRDefault="004D5CBC" w:rsidP="00901A6E">
      <w:r>
        <w:t>Factors to be considered in the likelihood of spread may include:</w:t>
      </w:r>
    </w:p>
    <w:p w:rsidR="004D5CBC" w:rsidRDefault="004D5CBC" w:rsidP="004D5CBC">
      <w:pPr>
        <w:pStyle w:val="ListBullet"/>
        <w:numPr>
          <w:ilvl w:val="0"/>
          <w:numId w:val="7"/>
        </w:numPr>
      </w:pPr>
      <w:r>
        <w:t>suitability of the natural and/or managed environment for natural spread of the pest</w:t>
      </w:r>
    </w:p>
    <w:p w:rsidR="004D5CBC" w:rsidRDefault="004D5CBC" w:rsidP="004D5CBC">
      <w:pPr>
        <w:pStyle w:val="ListBullet"/>
        <w:numPr>
          <w:ilvl w:val="0"/>
          <w:numId w:val="7"/>
        </w:numPr>
      </w:pPr>
      <w:r>
        <w:t>presence of natural barriers</w:t>
      </w:r>
    </w:p>
    <w:p w:rsidR="004D5CBC" w:rsidRDefault="004D5CBC" w:rsidP="004D5CBC">
      <w:pPr>
        <w:pStyle w:val="ListBullet"/>
        <w:numPr>
          <w:ilvl w:val="0"/>
          <w:numId w:val="7"/>
        </w:numPr>
      </w:pPr>
      <w:r>
        <w:t>potential for movement with commodities, conveyances or by vectors</w:t>
      </w:r>
    </w:p>
    <w:p w:rsidR="004D5CBC" w:rsidRDefault="004D5CBC" w:rsidP="004D5CBC">
      <w:pPr>
        <w:pStyle w:val="ListBullet"/>
        <w:numPr>
          <w:ilvl w:val="0"/>
          <w:numId w:val="7"/>
        </w:numPr>
      </w:pPr>
      <w:r>
        <w:t>intended use of the commodity</w:t>
      </w:r>
    </w:p>
    <w:p w:rsidR="004D5CBC" w:rsidRPr="003555F0" w:rsidRDefault="004D5CBC" w:rsidP="004D5CBC">
      <w:pPr>
        <w:pStyle w:val="ListBullet"/>
        <w:numPr>
          <w:ilvl w:val="0"/>
          <w:numId w:val="7"/>
        </w:numPr>
      </w:pPr>
      <w:r>
        <w:t xml:space="preserve">potential vectors of the pest in the </w:t>
      </w:r>
      <w:r w:rsidRPr="003555F0">
        <w:t>PRA area</w:t>
      </w:r>
    </w:p>
    <w:p w:rsidR="004D5CBC" w:rsidRDefault="004D5CBC" w:rsidP="004D5CBC">
      <w:pPr>
        <w:pStyle w:val="ListBullet"/>
        <w:numPr>
          <w:ilvl w:val="0"/>
          <w:numId w:val="7"/>
        </w:numPr>
      </w:pPr>
      <w:proofErr w:type="gramStart"/>
      <w:r w:rsidRPr="003555F0">
        <w:t>potential</w:t>
      </w:r>
      <w:proofErr w:type="gramEnd"/>
      <w:r w:rsidRPr="003555F0">
        <w:t xml:space="preserve"> natural enemies of the pest in the PRA area</w:t>
      </w:r>
      <w:r>
        <w:t>.</w:t>
      </w:r>
    </w:p>
    <w:p w:rsidR="004D5CBC" w:rsidRDefault="004D5CBC" w:rsidP="00591D87">
      <w:pPr>
        <w:pStyle w:val="Heading5"/>
      </w:pPr>
      <w:r>
        <w:lastRenderedPageBreak/>
        <w:t>Assigning likelihoods for entry, establishment and spread</w:t>
      </w:r>
    </w:p>
    <w:p w:rsidR="004D5CBC" w:rsidRDefault="004D5CBC" w:rsidP="00901A6E">
      <w:r>
        <w:t>Likelihoods are assigned to each step of entry, establishment and spread. Six descriptors are used: high; moderate; low; very low; extremely low; and negligible (</w:t>
      </w:r>
      <w:r>
        <w:fldChar w:fldCharType="begin"/>
      </w:r>
      <w:r>
        <w:instrText xml:space="preserve"> REF _Ref457826303 \h </w:instrText>
      </w:r>
      <w:r>
        <w:fldChar w:fldCharType="separate"/>
      </w:r>
      <w:r w:rsidR="00502BAD">
        <w:t xml:space="preserve">Table </w:t>
      </w:r>
      <w:r w:rsidR="00502BAD">
        <w:rPr>
          <w:noProof/>
        </w:rPr>
        <w:t>2</w:t>
      </w:r>
      <w:r w:rsidR="00502BAD">
        <w:t>.</w:t>
      </w:r>
      <w:r w:rsidR="00502BAD">
        <w:rPr>
          <w:noProof/>
        </w:rPr>
        <w:t>1</w:t>
      </w:r>
      <w:r>
        <w:fldChar w:fldCharType="end"/>
      </w:r>
      <w:r>
        <w:t xml:space="preserve">). Definitions for these descriptors and their indicative probability ranges are given in </w:t>
      </w:r>
      <w:r>
        <w:fldChar w:fldCharType="begin"/>
      </w:r>
      <w:r>
        <w:instrText xml:space="preserve"> REF _Ref457826303 \h </w:instrText>
      </w:r>
      <w:r>
        <w:fldChar w:fldCharType="separate"/>
      </w:r>
      <w:r w:rsidR="00502BAD">
        <w:t xml:space="preserve">Table </w:t>
      </w:r>
      <w:r w:rsidR="00502BAD">
        <w:rPr>
          <w:noProof/>
        </w:rPr>
        <w:t>2</w:t>
      </w:r>
      <w:r w:rsidR="00502BAD">
        <w:t>.</w:t>
      </w:r>
      <w:r w:rsidR="00502BAD">
        <w:rPr>
          <w:noProof/>
        </w:rPr>
        <w:t>1</w:t>
      </w:r>
      <w:r>
        <w:fldChar w:fldCharType="end"/>
      </w:r>
      <w:r>
        <w:t>.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rsidR="004D5CBC" w:rsidRDefault="004D5CBC" w:rsidP="00906B72">
      <w:pPr>
        <w:pStyle w:val="Caption"/>
      </w:pPr>
      <w:bookmarkStart w:id="11" w:name="_Ref457826303"/>
      <w:bookmarkStart w:id="12" w:name="_Toc520996450"/>
      <w:r>
        <w:t xml:space="preserve">Table </w:t>
      </w:r>
      <w:r>
        <w:rPr>
          <w:noProof/>
        </w:rPr>
        <w:fldChar w:fldCharType="begin"/>
      </w:r>
      <w:r>
        <w:rPr>
          <w:noProof/>
        </w:rPr>
        <w:instrText xml:space="preserve"> STYLEREF 2 \s </w:instrText>
      </w:r>
      <w:r>
        <w:rPr>
          <w:noProof/>
        </w:rPr>
        <w:fldChar w:fldCharType="separate"/>
      </w:r>
      <w:r w:rsidR="00502BAD">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1</w:t>
      </w:r>
      <w:r>
        <w:rPr>
          <w:noProof/>
        </w:rPr>
        <w:fldChar w:fldCharType="end"/>
      </w:r>
      <w:bookmarkEnd w:id="11"/>
      <w:r>
        <w:t xml:space="preserve"> </w:t>
      </w:r>
      <w:r w:rsidRPr="00A7299B">
        <w:t>Nomenclature of likelihoods</w:t>
      </w:r>
      <w:bookmarkEnd w:id="12"/>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4D5CBC">
        <w:tc>
          <w:tcPr>
            <w:tcW w:w="1051" w:type="pct"/>
          </w:tcPr>
          <w:p w:rsidR="004D5CBC" w:rsidRDefault="004D5CBC" w:rsidP="004255F5">
            <w:pPr>
              <w:pStyle w:val="TableHeading"/>
            </w:pPr>
            <w:r>
              <w:t>Likelihood</w:t>
            </w:r>
          </w:p>
        </w:tc>
        <w:tc>
          <w:tcPr>
            <w:tcW w:w="2282" w:type="pct"/>
          </w:tcPr>
          <w:p w:rsidR="004D5CBC" w:rsidRDefault="004D5CBC" w:rsidP="004255F5">
            <w:pPr>
              <w:pStyle w:val="TableHeading"/>
            </w:pPr>
            <w:r>
              <w:t>Descriptive definition</w:t>
            </w:r>
          </w:p>
        </w:tc>
        <w:tc>
          <w:tcPr>
            <w:tcW w:w="1667" w:type="pct"/>
          </w:tcPr>
          <w:p w:rsidR="004D5CBC" w:rsidRDefault="004D5CBC" w:rsidP="004255F5">
            <w:pPr>
              <w:pStyle w:val="TableHeading"/>
            </w:pPr>
            <w:r>
              <w:t>Indicative probability range</w:t>
            </w:r>
          </w:p>
        </w:tc>
      </w:tr>
      <w:tr w:rsidR="004D5CBC">
        <w:tc>
          <w:tcPr>
            <w:tcW w:w="1051" w:type="pct"/>
          </w:tcPr>
          <w:p w:rsidR="004D5CBC" w:rsidRDefault="004D5CBC" w:rsidP="00901A6E">
            <w:pPr>
              <w:pStyle w:val="TableText"/>
            </w:pPr>
            <w:r>
              <w:t>High</w:t>
            </w:r>
          </w:p>
        </w:tc>
        <w:tc>
          <w:tcPr>
            <w:tcW w:w="2282" w:type="pct"/>
          </w:tcPr>
          <w:p w:rsidR="004D5CBC" w:rsidRDefault="004D5CBC" w:rsidP="00901A6E">
            <w:pPr>
              <w:pStyle w:val="TableText"/>
            </w:pPr>
            <w:r>
              <w:t>The event would be very likely to occur</w:t>
            </w:r>
          </w:p>
        </w:tc>
        <w:tc>
          <w:tcPr>
            <w:tcW w:w="1667" w:type="pct"/>
          </w:tcPr>
          <w:p w:rsidR="004D5CBC" w:rsidRDefault="004D5CBC" w:rsidP="00901A6E">
            <w:pPr>
              <w:pStyle w:val="TableText"/>
            </w:pPr>
            <w:r>
              <w:t>0.7 &lt; to ≤ 1</w:t>
            </w:r>
          </w:p>
        </w:tc>
      </w:tr>
      <w:tr w:rsidR="004D5CBC">
        <w:tc>
          <w:tcPr>
            <w:tcW w:w="1051" w:type="pct"/>
          </w:tcPr>
          <w:p w:rsidR="004D5CBC" w:rsidRDefault="004D5CBC" w:rsidP="00901A6E">
            <w:pPr>
              <w:pStyle w:val="TableText"/>
            </w:pPr>
            <w:r>
              <w:t>Moderate</w:t>
            </w:r>
          </w:p>
        </w:tc>
        <w:tc>
          <w:tcPr>
            <w:tcW w:w="2282" w:type="pct"/>
          </w:tcPr>
          <w:p w:rsidR="004D5CBC" w:rsidRDefault="004D5CBC" w:rsidP="00901A6E">
            <w:pPr>
              <w:pStyle w:val="TableText"/>
            </w:pPr>
            <w:r>
              <w:t>The event would occur with an even likelihood</w:t>
            </w:r>
          </w:p>
        </w:tc>
        <w:tc>
          <w:tcPr>
            <w:tcW w:w="1667" w:type="pct"/>
          </w:tcPr>
          <w:p w:rsidR="004D5CBC" w:rsidRDefault="004D5CBC" w:rsidP="00901A6E">
            <w:pPr>
              <w:pStyle w:val="TableText"/>
            </w:pPr>
            <w:r>
              <w:t>0.3 &lt; to ≤ 0.7</w:t>
            </w:r>
          </w:p>
        </w:tc>
      </w:tr>
      <w:tr w:rsidR="004D5CBC">
        <w:tc>
          <w:tcPr>
            <w:tcW w:w="1051" w:type="pct"/>
          </w:tcPr>
          <w:p w:rsidR="004D5CBC" w:rsidRDefault="004D5CBC" w:rsidP="00901A6E">
            <w:pPr>
              <w:pStyle w:val="TableText"/>
            </w:pPr>
            <w:r>
              <w:t>Low</w:t>
            </w:r>
          </w:p>
        </w:tc>
        <w:tc>
          <w:tcPr>
            <w:tcW w:w="2282" w:type="pct"/>
          </w:tcPr>
          <w:p w:rsidR="004D5CBC" w:rsidRDefault="004D5CBC" w:rsidP="00901A6E">
            <w:pPr>
              <w:pStyle w:val="TableText"/>
            </w:pPr>
            <w:r>
              <w:t>The event would be unlikely to occur</w:t>
            </w:r>
          </w:p>
        </w:tc>
        <w:tc>
          <w:tcPr>
            <w:tcW w:w="1667" w:type="pct"/>
          </w:tcPr>
          <w:p w:rsidR="004D5CBC" w:rsidRDefault="004D5CBC" w:rsidP="00901A6E">
            <w:pPr>
              <w:pStyle w:val="TableText"/>
            </w:pPr>
            <w:r>
              <w:t>0.05 &lt; to ≤ 0.3</w:t>
            </w:r>
          </w:p>
        </w:tc>
      </w:tr>
      <w:tr w:rsidR="004D5CBC">
        <w:tc>
          <w:tcPr>
            <w:tcW w:w="1051" w:type="pct"/>
          </w:tcPr>
          <w:p w:rsidR="004D5CBC" w:rsidRDefault="004D5CBC" w:rsidP="00901A6E">
            <w:pPr>
              <w:pStyle w:val="TableText"/>
            </w:pPr>
            <w:r>
              <w:t>Very low</w:t>
            </w:r>
          </w:p>
        </w:tc>
        <w:tc>
          <w:tcPr>
            <w:tcW w:w="2282" w:type="pct"/>
          </w:tcPr>
          <w:p w:rsidR="004D5CBC" w:rsidRDefault="004D5CBC" w:rsidP="00901A6E">
            <w:pPr>
              <w:pStyle w:val="TableText"/>
            </w:pPr>
            <w:r>
              <w:t>The event would be very unlikely to occur</w:t>
            </w:r>
          </w:p>
        </w:tc>
        <w:tc>
          <w:tcPr>
            <w:tcW w:w="1667" w:type="pct"/>
          </w:tcPr>
          <w:p w:rsidR="004D5CBC" w:rsidRDefault="004D5CBC" w:rsidP="00901A6E">
            <w:pPr>
              <w:pStyle w:val="TableText"/>
            </w:pPr>
            <w:r>
              <w:t>0.001 &lt; to ≤ 0.05</w:t>
            </w:r>
          </w:p>
        </w:tc>
      </w:tr>
      <w:tr w:rsidR="004D5CBC">
        <w:tc>
          <w:tcPr>
            <w:tcW w:w="1051" w:type="pct"/>
          </w:tcPr>
          <w:p w:rsidR="004D5CBC" w:rsidRDefault="004D5CBC" w:rsidP="00901A6E">
            <w:pPr>
              <w:pStyle w:val="TableText"/>
            </w:pPr>
            <w:r>
              <w:t>Extremely low</w:t>
            </w:r>
          </w:p>
        </w:tc>
        <w:tc>
          <w:tcPr>
            <w:tcW w:w="2282" w:type="pct"/>
          </w:tcPr>
          <w:p w:rsidR="004D5CBC" w:rsidRDefault="004D5CBC" w:rsidP="00901A6E">
            <w:pPr>
              <w:pStyle w:val="TableText"/>
            </w:pPr>
            <w:r>
              <w:t>The event would be extremely unlikely to occur</w:t>
            </w:r>
          </w:p>
        </w:tc>
        <w:tc>
          <w:tcPr>
            <w:tcW w:w="1667" w:type="pct"/>
          </w:tcPr>
          <w:p w:rsidR="004D5CBC" w:rsidRDefault="004D5CBC" w:rsidP="00901A6E">
            <w:pPr>
              <w:pStyle w:val="TableText"/>
            </w:pPr>
            <w:r>
              <w:t>0.000001 &lt; to ≤ 0.001</w:t>
            </w:r>
          </w:p>
        </w:tc>
      </w:tr>
      <w:tr w:rsidR="004D5CBC">
        <w:tc>
          <w:tcPr>
            <w:tcW w:w="1051" w:type="pct"/>
          </w:tcPr>
          <w:p w:rsidR="004D5CBC" w:rsidRDefault="004D5CBC" w:rsidP="00901A6E">
            <w:pPr>
              <w:pStyle w:val="TableText"/>
            </w:pPr>
            <w:r>
              <w:t>Negligible</w:t>
            </w:r>
          </w:p>
        </w:tc>
        <w:tc>
          <w:tcPr>
            <w:tcW w:w="2282" w:type="pct"/>
          </w:tcPr>
          <w:p w:rsidR="004D5CBC" w:rsidRDefault="004D5CBC" w:rsidP="00901A6E">
            <w:pPr>
              <w:pStyle w:val="TableText"/>
            </w:pPr>
            <w:r>
              <w:t>The event would almost certainly not occur</w:t>
            </w:r>
          </w:p>
        </w:tc>
        <w:tc>
          <w:tcPr>
            <w:tcW w:w="1667" w:type="pct"/>
          </w:tcPr>
          <w:p w:rsidR="004D5CBC" w:rsidRDefault="004D5CBC" w:rsidP="00901A6E">
            <w:pPr>
              <w:pStyle w:val="TableText"/>
            </w:pPr>
            <w:r>
              <w:t>0 &lt; to ≤ 0.000001</w:t>
            </w:r>
          </w:p>
        </w:tc>
      </w:tr>
    </w:tbl>
    <w:p w:rsidR="004D5CBC" w:rsidRDefault="004D5CBC" w:rsidP="00591D87">
      <w:pPr>
        <w:pStyle w:val="Heading5"/>
      </w:pPr>
      <w:r>
        <w:t>Combining likelihoods</w:t>
      </w:r>
    </w:p>
    <w:p w:rsidR="004D5CBC" w:rsidRDefault="004D5CBC" w:rsidP="00901A6E">
      <w:r>
        <w:t xml:space="preserve">The likelihood of entry is determined by combining the likelihood that the pest will be imported into the </w:t>
      </w:r>
      <w:r w:rsidRPr="003555F0">
        <w:t>PRA area</w:t>
      </w:r>
      <w:r>
        <w:t xml:space="preserve"> and the likelihood that the pest will be distributed within the </w:t>
      </w:r>
      <w:r w:rsidRPr="003555F0">
        <w:t>PRA area</w:t>
      </w:r>
      <w:r>
        <w:t>, using a matrix of rules (</w:t>
      </w:r>
      <w:r>
        <w:fldChar w:fldCharType="begin"/>
      </w:r>
      <w:r>
        <w:instrText xml:space="preserve"> REF _Ref457826328 \h </w:instrText>
      </w:r>
      <w:r>
        <w:fldChar w:fldCharType="separate"/>
      </w:r>
      <w:r w:rsidR="00502BAD">
        <w:t xml:space="preserve">Table </w:t>
      </w:r>
      <w:r w:rsidR="00502BAD">
        <w:rPr>
          <w:noProof/>
        </w:rPr>
        <w:t>2</w:t>
      </w:r>
      <w:r w:rsidR="00502BAD">
        <w:t>.</w:t>
      </w:r>
      <w:r w:rsidR="00502BAD">
        <w:rPr>
          <w:noProof/>
        </w:rPr>
        <w:t>2</w:t>
      </w:r>
      <w:r>
        <w:fldChar w:fldCharType="end"/>
      </w:r>
      <w:r>
        <w:t>). This matrix is then used to combine the likelihood of entry and the likelihood of establishment, and the likelihood of entry and establishment is then combined with the likelihood of spread to determine the overall likelihood of entry, establishment and spread.</w:t>
      </w:r>
    </w:p>
    <w:p w:rsidR="004D5CBC" w:rsidRDefault="004D5CBC" w:rsidP="00901A6E">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4D5CBC" w:rsidRDefault="004D5CBC" w:rsidP="00901A6E">
      <w:pPr>
        <w:tabs>
          <w:tab w:val="left" w:pos="4395"/>
        </w:tabs>
      </w:pPr>
      <w:proofErr w:type="gramStart"/>
      <w:r>
        <w:t>importation</w:t>
      </w:r>
      <w:proofErr w:type="gramEnd"/>
      <w:r>
        <w:t xml:space="preserve"> x distribution = entry [E]</w:t>
      </w:r>
      <w:r>
        <w:tab/>
      </w:r>
      <w:r w:rsidRPr="00901A6E">
        <w:rPr>
          <w:rStyle w:val="Strong"/>
        </w:rPr>
        <w:t>low x moderate = low</w:t>
      </w:r>
    </w:p>
    <w:p w:rsidR="004D5CBC" w:rsidRDefault="004D5CBC" w:rsidP="00901A6E">
      <w:pPr>
        <w:tabs>
          <w:tab w:val="left" w:pos="4395"/>
        </w:tabs>
      </w:pPr>
      <w:proofErr w:type="gramStart"/>
      <w:r>
        <w:t>entry</w:t>
      </w:r>
      <w:proofErr w:type="gramEnd"/>
      <w:r>
        <w:t xml:space="preserve"> x establishment = [EE] </w:t>
      </w:r>
      <w:r>
        <w:tab/>
      </w:r>
      <w:r w:rsidRPr="00901A6E">
        <w:rPr>
          <w:rStyle w:val="Strong"/>
        </w:rPr>
        <w:t>low x high = low</w:t>
      </w:r>
    </w:p>
    <w:p w:rsidR="004D5CBC" w:rsidRPr="00901A6E" w:rsidRDefault="004D5CBC" w:rsidP="00901A6E">
      <w:pPr>
        <w:tabs>
          <w:tab w:val="left" w:pos="4395"/>
        </w:tabs>
        <w:rPr>
          <w:rStyle w:val="Strong"/>
        </w:rPr>
      </w:pPr>
      <w:r>
        <w:t xml:space="preserve">[EE] x spread = [EES] </w:t>
      </w:r>
      <w:r>
        <w:tab/>
      </w:r>
      <w:r w:rsidRPr="00901A6E">
        <w:rPr>
          <w:rStyle w:val="Strong"/>
        </w:rPr>
        <w:t>low x very low = very low</w:t>
      </w:r>
    </w:p>
    <w:p w:rsidR="004D5CBC" w:rsidRDefault="004D5CBC" w:rsidP="0016140B">
      <w:pPr>
        <w:pStyle w:val="Caption"/>
      </w:pPr>
      <w:r>
        <w:br w:type="page"/>
      </w:r>
      <w:bookmarkStart w:id="13" w:name="_Ref457826328"/>
      <w:bookmarkStart w:id="14" w:name="_Toc520996451"/>
      <w:r>
        <w:lastRenderedPageBreak/>
        <w:t xml:space="preserve">Table </w:t>
      </w:r>
      <w:r>
        <w:rPr>
          <w:noProof/>
        </w:rPr>
        <w:fldChar w:fldCharType="begin"/>
      </w:r>
      <w:r>
        <w:rPr>
          <w:noProof/>
        </w:rPr>
        <w:instrText xml:space="preserve"> STYLEREF 2 \s </w:instrText>
      </w:r>
      <w:r>
        <w:rPr>
          <w:noProof/>
        </w:rPr>
        <w:fldChar w:fldCharType="separate"/>
      </w:r>
      <w:r w:rsidR="00502BAD">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2</w:t>
      </w:r>
      <w:r>
        <w:rPr>
          <w:noProof/>
        </w:rPr>
        <w:fldChar w:fldCharType="end"/>
      </w:r>
      <w:bookmarkEnd w:id="13"/>
      <w:r>
        <w:t xml:space="preserve"> Matrix of rules for combining likelihoods</w:t>
      </w:r>
      <w:bookmarkEnd w:id="14"/>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4D5CBC">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4D5CBC" w:rsidRDefault="004D5CBC" w:rsidP="0016140B">
            <w:pPr>
              <w:pStyle w:val="TableText"/>
            </w:pPr>
          </w:p>
        </w:tc>
        <w:tc>
          <w:tcPr>
            <w:tcW w:w="723" w:type="pct"/>
            <w:tcBorders>
              <w:top w:val="single" w:sz="8" w:space="0" w:color="auto"/>
              <w:left w:val="nil"/>
              <w:bottom w:val="single" w:sz="8" w:space="0" w:color="C0C0C0"/>
            </w:tcBorders>
            <w:shd w:val="clear" w:color="auto" w:fill="auto"/>
          </w:tcPr>
          <w:p w:rsidR="004D5CBC" w:rsidRDefault="004D5CBC" w:rsidP="0016140B">
            <w:pPr>
              <w:pStyle w:val="TableText"/>
            </w:pPr>
            <w:r>
              <w:t>High</w:t>
            </w:r>
          </w:p>
        </w:tc>
        <w:tc>
          <w:tcPr>
            <w:tcW w:w="724" w:type="pct"/>
            <w:tcBorders>
              <w:top w:val="single" w:sz="8" w:space="0" w:color="auto"/>
              <w:bottom w:val="single" w:sz="8" w:space="0" w:color="C0C0C0"/>
            </w:tcBorders>
            <w:shd w:val="clear" w:color="auto" w:fill="auto"/>
          </w:tcPr>
          <w:p w:rsidR="004D5CBC" w:rsidRDefault="004D5CBC" w:rsidP="0016140B">
            <w:pPr>
              <w:pStyle w:val="TableText"/>
            </w:pPr>
            <w:r>
              <w:t>Moderate</w:t>
            </w:r>
          </w:p>
        </w:tc>
        <w:tc>
          <w:tcPr>
            <w:tcW w:w="723" w:type="pct"/>
            <w:tcBorders>
              <w:top w:val="single" w:sz="8" w:space="0" w:color="auto"/>
              <w:bottom w:val="single" w:sz="8" w:space="0" w:color="C0C0C0"/>
            </w:tcBorders>
            <w:shd w:val="clear" w:color="auto" w:fill="auto"/>
          </w:tcPr>
          <w:p w:rsidR="004D5CBC" w:rsidRDefault="004D5CBC" w:rsidP="0016140B">
            <w:pPr>
              <w:pStyle w:val="TableText"/>
            </w:pPr>
            <w:r>
              <w:t>Low</w:t>
            </w:r>
          </w:p>
        </w:tc>
        <w:tc>
          <w:tcPr>
            <w:tcW w:w="723" w:type="pct"/>
            <w:tcBorders>
              <w:top w:val="single" w:sz="8" w:space="0" w:color="auto"/>
              <w:bottom w:val="single" w:sz="8" w:space="0" w:color="C0C0C0"/>
            </w:tcBorders>
            <w:shd w:val="clear" w:color="auto" w:fill="auto"/>
          </w:tcPr>
          <w:p w:rsidR="004D5CBC" w:rsidRDefault="004D5CBC" w:rsidP="0016140B">
            <w:pPr>
              <w:pStyle w:val="TableText"/>
            </w:pPr>
            <w:r>
              <w:t>Very low</w:t>
            </w:r>
          </w:p>
        </w:tc>
        <w:tc>
          <w:tcPr>
            <w:tcW w:w="724" w:type="pct"/>
            <w:tcBorders>
              <w:top w:val="single" w:sz="8" w:space="0" w:color="auto"/>
              <w:bottom w:val="single" w:sz="8" w:space="0" w:color="C0C0C0"/>
            </w:tcBorders>
            <w:shd w:val="clear" w:color="auto" w:fill="auto"/>
          </w:tcPr>
          <w:p w:rsidR="004D5CBC" w:rsidRDefault="004D5CBC" w:rsidP="0016140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rsidR="004D5CBC" w:rsidRDefault="004D5CBC" w:rsidP="0016140B">
            <w:pPr>
              <w:pStyle w:val="TableText"/>
            </w:pPr>
            <w:r>
              <w:t>Negligible</w:t>
            </w:r>
          </w:p>
        </w:tc>
      </w:tr>
      <w:tr w:rsidR="004D5CBC">
        <w:trPr>
          <w:cantSplit/>
        </w:trPr>
        <w:tc>
          <w:tcPr>
            <w:tcW w:w="660" w:type="pct"/>
            <w:tcBorders>
              <w:top w:val="nil"/>
              <w:left w:val="single" w:sz="8" w:space="0" w:color="auto"/>
              <w:bottom w:val="single" w:sz="8" w:space="0" w:color="C0C0C0"/>
            </w:tcBorders>
            <w:vAlign w:val="center"/>
          </w:tcPr>
          <w:p w:rsidR="004D5CBC" w:rsidRDefault="004D5CBC" w:rsidP="0016140B">
            <w:pPr>
              <w:pStyle w:val="TableText"/>
            </w:pPr>
            <w:r>
              <w:t>High</w:t>
            </w:r>
          </w:p>
        </w:tc>
        <w:tc>
          <w:tcPr>
            <w:tcW w:w="723" w:type="pct"/>
            <w:tcBorders>
              <w:top w:val="single" w:sz="8" w:space="0" w:color="C0C0C0"/>
              <w:bottom w:val="single" w:sz="8" w:space="0" w:color="C0C0C0"/>
            </w:tcBorders>
            <w:shd w:val="clear" w:color="auto" w:fill="FF99CC"/>
            <w:vAlign w:val="center"/>
          </w:tcPr>
          <w:p w:rsidR="004D5CBC" w:rsidRDefault="004D5CBC" w:rsidP="0016140B">
            <w:pPr>
              <w:pStyle w:val="TableText"/>
              <w:rPr>
                <w:snapToGrid w:val="0"/>
              </w:rPr>
            </w:pPr>
            <w:r>
              <w:rPr>
                <w:snapToGrid w:val="0"/>
              </w:rPr>
              <w:t>High</w:t>
            </w:r>
          </w:p>
        </w:tc>
        <w:tc>
          <w:tcPr>
            <w:tcW w:w="724" w:type="pct"/>
            <w:tcBorders>
              <w:top w:val="single" w:sz="8" w:space="0" w:color="C0C0C0"/>
            </w:tcBorders>
            <w:shd w:val="clear" w:color="auto" w:fill="FFCC99"/>
            <w:vAlign w:val="center"/>
          </w:tcPr>
          <w:p w:rsidR="004D5CBC" w:rsidRDefault="004D5CBC" w:rsidP="0016140B">
            <w:pPr>
              <w:pStyle w:val="TableText"/>
              <w:rPr>
                <w:snapToGrid w:val="0"/>
              </w:rPr>
            </w:pPr>
            <w:r>
              <w:rPr>
                <w:snapToGrid w:val="0"/>
              </w:rPr>
              <w:t>Moderate</w:t>
            </w:r>
          </w:p>
        </w:tc>
        <w:tc>
          <w:tcPr>
            <w:tcW w:w="723" w:type="pct"/>
            <w:tcBorders>
              <w:top w:val="single" w:sz="8" w:space="0" w:color="C0C0C0"/>
            </w:tcBorders>
            <w:shd w:val="clear" w:color="auto" w:fill="FFFF99"/>
            <w:vAlign w:val="center"/>
          </w:tcPr>
          <w:p w:rsidR="004D5CBC" w:rsidRDefault="004D5CBC" w:rsidP="0016140B">
            <w:pPr>
              <w:pStyle w:val="TableText"/>
              <w:rPr>
                <w:snapToGrid w:val="0"/>
              </w:rPr>
            </w:pPr>
            <w:r>
              <w:rPr>
                <w:snapToGrid w:val="0"/>
              </w:rPr>
              <w:t>Low</w:t>
            </w:r>
          </w:p>
        </w:tc>
        <w:tc>
          <w:tcPr>
            <w:tcW w:w="723" w:type="pct"/>
            <w:tcBorders>
              <w:top w:val="single" w:sz="8" w:space="0" w:color="C0C0C0"/>
            </w:tcBorders>
            <w:shd w:val="clear" w:color="auto" w:fill="CCFFCC"/>
            <w:vAlign w:val="center"/>
          </w:tcPr>
          <w:p w:rsidR="004D5CBC" w:rsidRDefault="004D5CBC" w:rsidP="0016140B">
            <w:pPr>
              <w:pStyle w:val="TableText"/>
              <w:rPr>
                <w:snapToGrid w:val="0"/>
              </w:rPr>
            </w:pPr>
            <w:r>
              <w:rPr>
                <w:snapToGrid w:val="0"/>
              </w:rPr>
              <w:t>Very low</w:t>
            </w:r>
          </w:p>
        </w:tc>
        <w:tc>
          <w:tcPr>
            <w:tcW w:w="724" w:type="pct"/>
            <w:tcBorders>
              <w:top w:val="single" w:sz="8" w:space="0" w:color="C0C0C0"/>
            </w:tcBorders>
            <w:shd w:val="clear" w:color="auto" w:fill="CCFFFF"/>
            <w:vAlign w:val="center"/>
          </w:tcPr>
          <w:p w:rsidR="004D5CBC" w:rsidRDefault="004D5CBC" w:rsidP="0016140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rsidR="004D5CBC" w:rsidRDefault="004D5CBC" w:rsidP="0016140B">
            <w:pPr>
              <w:pStyle w:val="TableText"/>
              <w:rPr>
                <w:rFonts w:cs="Arial"/>
                <w:snapToGrid w:val="0"/>
                <w:szCs w:val="18"/>
              </w:rPr>
            </w:pPr>
            <w:r>
              <w:rPr>
                <w:rFonts w:cs="Arial"/>
                <w:snapToGrid w:val="0"/>
                <w:szCs w:val="18"/>
              </w:rPr>
              <w:t>Negligible</w:t>
            </w:r>
          </w:p>
        </w:tc>
      </w:tr>
      <w:tr w:rsidR="004D5CBC">
        <w:trPr>
          <w:cantSplit/>
        </w:trPr>
        <w:tc>
          <w:tcPr>
            <w:tcW w:w="1382" w:type="pct"/>
            <w:gridSpan w:val="2"/>
            <w:tcBorders>
              <w:top w:val="single" w:sz="8" w:space="0" w:color="C0C0C0"/>
              <w:left w:val="single" w:sz="8" w:space="0" w:color="auto"/>
              <w:bottom w:val="single" w:sz="8" w:space="0" w:color="C0C0C0"/>
            </w:tcBorders>
            <w:vAlign w:val="center"/>
          </w:tcPr>
          <w:p w:rsidR="004D5CBC" w:rsidRDefault="004D5CBC" w:rsidP="0016140B">
            <w:pPr>
              <w:pStyle w:val="TableText"/>
            </w:pPr>
            <w:r>
              <w:t>Moderate</w:t>
            </w:r>
          </w:p>
        </w:tc>
        <w:tc>
          <w:tcPr>
            <w:tcW w:w="724" w:type="pct"/>
            <w:tcBorders>
              <w:bottom w:val="single" w:sz="8" w:space="0" w:color="C0C0C0"/>
            </w:tcBorders>
            <w:shd w:val="clear" w:color="auto" w:fill="FFFF99"/>
            <w:vAlign w:val="center"/>
          </w:tcPr>
          <w:p w:rsidR="004D5CBC" w:rsidRDefault="004D5CBC" w:rsidP="0016140B">
            <w:pPr>
              <w:pStyle w:val="TableText"/>
              <w:rPr>
                <w:snapToGrid w:val="0"/>
              </w:rPr>
            </w:pPr>
            <w:r>
              <w:rPr>
                <w:snapToGrid w:val="0"/>
              </w:rPr>
              <w:t>Low</w:t>
            </w:r>
          </w:p>
        </w:tc>
        <w:tc>
          <w:tcPr>
            <w:tcW w:w="723" w:type="pct"/>
            <w:shd w:val="clear" w:color="auto" w:fill="FFFF99"/>
            <w:vAlign w:val="center"/>
          </w:tcPr>
          <w:p w:rsidR="004D5CBC" w:rsidRDefault="004D5CBC" w:rsidP="0016140B">
            <w:pPr>
              <w:pStyle w:val="TableText"/>
              <w:rPr>
                <w:snapToGrid w:val="0"/>
              </w:rPr>
            </w:pPr>
            <w:r>
              <w:rPr>
                <w:snapToGrid w:val="0"/>
              </w:rPr>
              <w:t>Low</w:t>
            </w:r>
          </w:p>
        </w:tc>
        <w:tc>
          <w:tcPr>
            <w:tcW w:w="723" w:type="pct"/>
            <w:shd w:val="clear" w:color="auto" w:fill="CCFFCC"/>
            <w:vAlign w:val="center"/>
          </w:tcPr>
          <w:p w:rsidR="004D5CBC" w:rsidRDefault="004D5CBC" w:rsidP="0016140B">
            <w:pPr>
              <w:pStyle w:val="TableText"/>
              <w:rPr>
                <w:snapToGrid w:val="0"/>
              </w:rPr>
            </w:pPr>
            <w:r>
              <w:rPr>
                <w:snapToGrid w:val="0"/>
              </w:rPr>
              <w:t>Very low</w:t>
            </w:r>
          </w:p>
        </w:tc>
        <w:tc>
          <w:tcPr>
            <w:tcW w:w="724" w:type="pct"/>
            <w:shd w:val="clear" w:color="auto" w:fill="CCFFFF"/>
            <w:vAlign w:val="center"/>
          </w:tcPr>
          <w:p w:rsidR="004D5CBC" w:rsidRDefault="004D5CBC"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4D5CBC" w:rsidRDefault="004D5CBC" w:rsidP="0016140B">
            <w:pPr>
              <w:pStyle w:val="TableText"/>
              <w:rPr>
                <w:rFonts w:cs="Arial"/>
                <w:snapToGrid w:val="0"/>
                <w:szCs w:val="18"/>
              </w:rPr>
            </w:pPr>
            <w:r>
              <w:rPr>
                <w:rFonts w:cs="Arial"/>
                <w:snapToGrid w:val="0"/>
                <w:szCs w:val="18"/>
              </w:rPr>
              <w:t>Negligible</w:t>
            </w:r>
          </w:p>
        </w:tc>
      </w:tr>
      <w:tr w:rsidR="004D5CBC">
        <w:trPr>
          <w:cantSplit/>
        </w:trPr>
        <w:tc>
          <w:tcPr>
            <w:tcW w:w="2106" w:type="pct"/>
            <w:gridSpan w:val="3"/>
            <w:tcBorders>
              <w:top w:val="single" w:sz="8" w:space="0" w:color="C0C0C0"/>
              <w:left w:val="single" w:sz="8" w:space="0" w:color="auto"/>
              <w:bottom w:val="single" w:sz="8" w:space="0" w:color="C0C0C0"/>
            </w:tcBorders>
            <w:vAlign w:val="center"/>
          </w:tcPr>
          <w:p w:rsidR="004D5CBC" w:rsidRDefault="004D5CBC" w:rsidP="0016140B">
            <w:pPr>
              <w:pStyle w:val="TableText"/>
            </w:pPr>
            <w:r>
              <w:t>Low</w:t>
            </w:r>
          </w:p>
        </w:tc>
        <w:tc>
          <w:tcPr>
            <w:tcW w:w="723" w:type="pct"/>
            <w:tcBorders>
              <w:bottom w:val="single" w:sz="8" w:space="0" w:color="C0C0C0"/>
            </w:tcBorders>
            <w:shd w:val="clear" w:color="auto" w:fill="CCFFCC"/>
            <w:vAlign w:val="center"/>
          </w:tcPr>
          <w:p w:rsidR="004D5CBC" w:rsidRDefault="004D5CBC" w:rsidP="0016140B">
            <w:pPr>
              <w:pStyle w:val="TableText"/>
              <w:rPr>
                <w:snapToGrid w:val="0"/>
              </w:rPr>
            </w:pPr>
            <w:r>
              <w:rPr>
                <w:snapToGrid w:val="0"/>
              </w:rPr>
              <w:t>Very low</w:t>
            </w:r>
          </w:p>
        </w:tc>
        <w:tc>
          <w:tcPr>
            <w:tcW w:w="723" w:type="pct"/>
            <w:shd w:val="clear" w:color="auto" w:fill="CCFFCC"/>
            <w:vAlign w:val="center"/>
          </w:tcPr>
          <w:p w:rsidR="004D5CBC" w:rsidRDefault="004D5CBC" w:rsidP="0016140B">
            <w:pPr>
              <w:pStyle w:val="TableText"/>
              <w:rPr>
                <w:snapToGrid w:val="0"/>
              </w:rPr>
            </w:pPr>
            <w:r>
              <w:rPr>
                <w:snapToGrid w:val="0"/>
              </w:rPr>
              <w:t>Very low</w:t>
            </w:r>
          </w:p>
        </w:tc>
        <w:tc>
          <w:tcPr>
            <w:tcW w:w="724" w:type="pct"/>
            <w:shd w:val="clear" w:color="auto" w:fill="CCFFFF"/>
            <w:vAlign w:val="center"/>
          </w:tcPr>
          <w:p w:rsidR="004D5CBC" w:rsidRDefault="004D5CBC"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4D5CBC" w:rsidRDefault="004D5CBC" w:rsidP="0016140B">
            <w:pPr>
              <w:pStyle w:val="TableText"/>
              <w:rPr>
                <w:rFonts w:cs="Arial"/>
                <w:snapToGrid w:val="0"/>
                <w:szCs w:val="18"/>
              </w:rPr>
            </w:pPr>
            <w:r>
              <w:rPr>
                <w:rFonts w:cs="Arial"/>
                <w:snapToGrid w:val="0"/>
                <w:szCs w:val="18"/>
              </w:rPr>
              <w:t>Negligible</w:t>
            </w:r>
          </w:p>
        </w:tc>
      </w:tr>
      <w:tr w:rsidR="004D5CBC">
        <w:trPr>
          <w:cantSplit/>
        </w:trPr>
        <w:tc>
          <w:tcPr>
            <w:tcW w:w="2830" w:type="pct"/>
            <w:gridSpan w:val="4"/>
            <w:tcBorders>
              <w:top w:val="single" w:sz="8" w:space="0" w:color="C0C0C0"/>
              <w:left w:val="single" w:sz="8" w:space="0" w:color="auto"/>
              <w:bottom w:val="single" w:sz="8" w:space="0" w:color="C0C0C0"/>
            </w:tcBorders>
            <w:vAlign w:val="center"/>
          </w:tcPr>
          <w:p w:rsidR="004D5CBC" w:rsidRDefault="004D5CBC" w:rsidP="0016140B">
            <w:pPr>
              <w:pStyle w:val="TableText"/>
            </w:pPr>
            <w:r>
              <w:t>Very low</w:t>
            </w:r>
          </w:p>
        </w:tc>
        <w:tc>
          <w:tcPr>
            <w:tcW w:w="723" w:type="pct"/>
            <w:tcBorders>
              <w:bottom w:val="single" w:sz="8" w:space="0" w:color="C0C0C0"/>
            </w:tcBorders>
            <w:shd w:val="clear" w:color="auto" w:fill="CCFFFF"/>
            <w:vAlign w:val="center"/>
          </w:tcPr>
          <w:p w:rsidR="004D5CBC" w:rsidRDefault="004D5CBC" w:rsidP="0016140B">
            <w:pPr>
              <w:pStyle w:val="TableText"/>
              <w:rPr>
                <w:snapToGrid w:val="0"/>
              </w:rPr>
            </w:pPr>
            <w:r>
              <w:rPr>
                <w:snapToGrid w:val="0"/>
              </w:rPr>
              <w:t>Extremely low</w:t>
            </w:r>
          </w:p>
        </w:tc>
        <w:tc>
          <w:tcPr>
            <w:tcW w:w="724" w:type="pct"/>
            <w:shd w:val="clear" w:color="auto" w:fill="CCFFFF"/>
            <w:vAlign w:val="center"/>
          </w:tcPr>
          <w:p w:rsidR="004D5CBC" w:rsidRDefault="004D5CBC"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4D5CBC" w:rsidRDefault="004D5CBC" w:rsidP="0016140B">
            <w:pPr>
              <w:pStyle w:val="TableText"/>
              <w:rPr>
                <w:rFonts w:cs="Arial"/>
                <w:snapToGrid w:val="0"/>
                <w:szCs w:val="18"/>
              </w:rPr>
            </w:pPr>
            <w:r>
              <w:rPr>
                <w:rFonts w:cs="Arial"/>
                <w:snapToGrid w:val="0"/>
                <w:szCs w:val="18"/>
              </w:rPr>
              <w:t>Negligible</w:t>
            </w:r>
          </w:p>
        </w:tc>
      </w:tr>
      <w:tr w:rsidR="004D5CBC">
        <w:trPr>
          <w:cantSplit/>
        </w:trPr>
        <w:tc>
          <w:tcPr>
            <w:tcW w:w="3553" w:type="pct"/>
            <w:gridSpan w:val="5"/>
            <w:tcBorders>
              <w:top w:val="single" w:sz="8" w:space="0" w:color="C0C0C0"/>
              <w:left w:val="single" w:sz="8" w:space="0" w:color="auto"/>
              <w:bottom w:val="single" w:sz="8" w:space="0" w:color="C0C0C0"/>
            </w:tcBorders>
            <w:vAlign w:val="center"/>
          </w:tcPr>
          <w:p w:rsidR="004D5CBC" w:rsidRDefault="004D5CBC" w:rsidP="0016140B">
            <w:pPr>
              <w:pStyle w:val="TableText"/>
            </w:pPr>
            <w:r>
              <w:t>Extremely low</w:t>
            </w:r>
          </w:p>
        </w:tc>
        <w:tc>
          <w:tcPr>
            <w:tcW w:w="724" w:type="pct"/>
            <w:tcBorders>
              <w:bottom w:val="single" w:sz="8" w:space="0" w:color="C0C0C0"/>
            </w:tcBorders>
            <w:shd w:val="clear" w:color="auto" w:fill="F2F2F2" w:themeFill="background1" w:themeFillShade="F2"/>
            <w:vAlign w:val="center"/>
          </w:tcPr>
          <w:p w:rsidR="004D5CBC" w:rsidRDefault="004D5CBC" w:rsidP="0016140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rsidR="004D5CBC" w:rsidRDefault="004D5CBC" w:rsidP="0016140B">
            <w:pPr>
              <w:pStyle w:val="TableText"/>
              <w:rPr>
                <w:rFonts w:cs="Arial"/>
                <w:snapToGrid w:val="0"/>
                <w:szCs w:val="18"/>
              </w:rPr>
            </w:pPr>
            <w:r>
              <w:rPr>
                <w:rFonts w:cs="Arial"/>
                <w:snapToGrid w:val="0"/>
                <w:szCs w:val="18"/>
              </w:rPr>
              <w:t>Negligible</w:t>
            </w:r>
          </w:p>
        </w:tc>
      </w:tr>
      <w:tr w:rsidR="004D5CBC">
        <w:trPr>
          <w:cantSplit/>
        </w:trPr>
        <w:tc>
          <w:tcPr>
            <w:tcW w:w="4277" w:type="pct"/>
            <w:gridSpan w:val="6"/>
            <w:tcBorders>
              <w:top w:val="single" w:sz="8" w:space="0" w:color="C0C0C0"/>
              <w:left w:val="single" w:sz="8" w:space="0" w:color="auto"/>
              <w:bottom w:val="single" w:sz="8" w:space="0" w:color="auto"/>
            </w:tcBorders>
            <w:vAlign w:val="center"/>
          </w:tcPr>
          <w:p w:rsidR="004D5CBC" w:rsidRDefault="004D5CBC" w:rsidP="0016140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rsidR="004D5CBC" w:rsidRDefault="004D5CBC" w:rsidP="0016140B">
            <w:pPr>
              <w:pStyle w:val="TableText"/>
              <w:rPr>
                <w:rFonts w:cs="Arial"/>
                <w:szCs w:val="18"/>
              </w:rPr>
            </w:pPr>
            <w:r>
              <w:rPr>
                <w:rFonts w:cs="Arial"/>
                <w:snapToGrid w:val="0"/>
                <w:szCs w:val="18"/>
              </w:rPr>
              <w:t>Negligible</w:t>
            </w:r>
          </w:p>
        </w:tc>
      </w:tr>
    </w:tbl>
    <w:p w:rsidR="004D5CBC" w:rsidRDefault="004D5CBC" w:rsidP="00591D87">
      <w:pPr>
        <w:pStyle w:val="Heading5"/>
      </w:pPr>
      <w:r>
        <w:t>Time and volume of trade</w:t>
      </w:r>
    </w:p>
    <w:p w:rsidR="004D5CBC" w:rsidRDefault="004D5CBC">
      <w:r>
        <w:t>One factor affecting the likelihood of entry is the volume and duration of trade. If all other conditions remain the same, the overall likelihood of entry will increase as time passes and the overall volume of trade increases.</w:t>
      </w:r>
    </w:p>
    <w:p w:rsidR="004D5CBC" w:rsidRDefault="004D5CBC">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rsidR="004D5CBC" w:rsidRDefault="004D5CBC">
      <w: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rsidR="004D5CBC" w:rsidRDefault="004D5CBC">
      <w:r>
        <w:t xml:space="preserve">In assessing the volume of trade in this review of existing policy, the Department of Agriculture and Water Resources assumed that a low volume of trade will initially occur. This assumption is based on Indonesia’s current total export capacity for dragon fruit. In 2015 Indonesia exported approximately 50 tonnes </w:t>
      </w:r>
      <w:r>
        <w:rPr>
          <w:noProof/>
        </w:rPr>
        <w:t>(IAQA 2016)</w:t>
      </w:r>
      <w:r>
        <w:t>.</w:t>
      </w:r>
    </w:p>
    <w:p w:rsidR="004D5CBC" w:rsidRDefault="004D5CBC" w:rsidP="004D5CBC">
      <w:pPr>
        <w:pStyle w:val="Heading4"/>
        <w:numPr>
          <w:ilvl w:val="2"/>
          <w:numId w:val="11"/>
        </w:numPr>
      </w:pPr>
      <w:r>
        <w:t>Assessment of potential consequences</w:t>
      </w:r>
    </w:p>
    <w:p w:rsidR="004D5CBC" w:rsidRDefault="004D5CBC" w:rsidP="00A32AD0">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t xml:space="preserve">, ISPM 5 </w:t>
      </w:r>
      <w:r>
        <w:rPr>
          <w:noProof/>
        </w:rPr>
        <w:t>(FAO 2018)</w:t>
      </w:r>
      <w:r>
        <w:t xml:space="preserve"> and ISPM 11 </w:t>
      </w:r>
      <w:r>
        <w:rPr>
          <w:noProof/>
        </w:rPr>
        <w:t>(FAO 2017b)</w:t>
      </w:r>
      <w:r>
        <w:t>.</w:t>
      </w:r>
    </w:p>
    <w:p w:rsidR="004D5CBC" w:rsidRDefault="004D5CBC" w:rsidP="00A32AD0">
      <w:r>
        <w:lastRenderedPageBreak/>
        <w:t>Direct pest effects are considered in the context of the effects on:</w:t>
      </w:r>
    </w:p>
    <w:p w:rsidR="004D5CBC" w:rsidRDefault="004D5CBC" w:rsidP="004D5CBC">
      <w:pPr>
        <w:pStyle w:val="ListBullet"/>
        <w:numPr>
          <w:ilvl w:val="0"/>
          <w:numId w:val="7"/>
        </w:numPr>
      </w:pPr>
      <w:r>
        <w:t>plant life or health</w:t>
      </w:r>
    </w:p>
    <w:p w:rsidR="004D5CBC" w:rsidRDefault="004D5CBC" w:rsidP="004D5CBC">
      <w:pPr>
        <w:pStyle w:val="ListBullet"/>
        <w:numPr>
          <w:ilvl w:val="0"/>
          <w:numId w:val="7"/>
        </w:numPr>
      </w:pPr>
      <w:proofErr w:type="gramStart"/>
      <w:r>
        <w:t>other</w:t>
      </w:r>
      <w:proofErr w:type="gramEnd"/>
      <w:r>
        <w:t xml:space="preserve"> aspects of the environment.</w:t>
      </w:r>
    </w:p>
    <w:p w:rsidR="004D5CBC" w:rsidRDefault="004D5CBC" w:rsidP="00A32AD0">
      <w:r>
        <w:t>Indirect pest effects are considered in the context of the effects on:</w:t>
      </w:r>
    </w:p>
    <w:p w:rsidR="004D5CBC" w:rsidRDefault="004D5CBC" w:rsidP="004D5CBC">
      <w:pPr>
        <w:pStyle w:val="ListBullet"/>
        <w:numPr>
          <w:ilvl w:val="0"/>
          <w:numId w:val="7"/>
        </w:numPr>
      </w:pPr>
      <w:r>
        <w:t>eradication, control</w:t>
      </w:r>
    </w:p>
    <w:p w:rsidR="004D5CBC" w:rsidRDefault="004D5CBC" w:rsidP="004D5CBC">
      <w:pPr>
        <w:pStyle w:val="ListBullet"/>
        <w:numPr>
          <w:ilvl w:val="0"/>
          <w:numId w:val="7"/>
        </w:numPr>
      </w:pPr>
      <w:r>
        <w:t>domestic trade</w:t>
      </w:r>
    </w:p>
    <w:p w:rsidR="004D5CBC" w:rsidRDefault="004D5CBC" w:rsidP="004D5CBC">
      <w:pPr>
        <w:pStyle w:val="ListBullet"/>
        <w:numPr>
          <w:ilvl w:val="0"/>
          <w:numId w:val="7"/>
        </w:numPr>
      </w:pPr>
      <w:r>
        <w:t>international trade</w:t>
      </w:r>
    </w:p>
    <w:p w:rsidR="004D5CBC" w:rsidRDefault="004D5CBC" w:rsidP="004D5CBC">
      <w:pPr>
        <w:pStyle w:val="ListBullet"/>
        <w:numPr>
          <w:ilvl w:val="0"/>
          <w:numId w:val="7"/>
        </w:numPr>
      </w:pPr>
      <w:proofErr w:type="gramStart"/>
      <w:r>
        <w:t>non-commercial</w:t>
      </w:r>
      <w:proofErr w:type="gramEnd"/>
      <w:r>
        <w:t xml:space="preserve"> and environmental.</w:t>
      </w:r>
    </w:p>
    <w:p w:rsidR="004D5CBC" w:rsidRDefault="004D5CBC" w:rsidP="00A32AD0">
      <w:r>
        <w:t>For each of these six criteria, the consequences were estimated over four geographic levels, defined as:</w:t>
      </w:r>
    </w:p>
    <w:p w:rsidR="004D5CBC" w:rsidRDefault="004D5CBC" w:rsidP="00A32AD0">
      <w:r w:rsidRPr="00A32AD0">
        <w:rPr>
          <w:rStyle w:val="Strong"/>
        </w:rPr>
        <w:t>Local</w:t>
      </w:r>
      <w:r>
        <w:t>—an aggregate of households or enterprises (a rural community, a town or a local government area).</w:t>
      </w:r>
    </w:p>
    <w:p w:rsidR="004D5CBC" w:rsidRDefault="004D5CBC" w:rsidP="00A32AD0">
      <w:r w:rsidRPr="00A32AD0">
        <w:rPr>
          <w:rStyle w:val="Strong"/>
        </w:rPr>
        <w:t>District</w:t>
      </w:r>
      <w:r>
        <w:t>—a geographically or geopolitically associated collection of aggregates (generally a recognised section of a state or territory, such as ‘Far North Queensland’).</w:t>
      </w:r>
    </w:p>
    <w:p w:rsidR="004D5CBC" w:rsidRDefault="004D5CBC" w:rsidP="00A32AD0">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rsidR="004D5CBC" w:rsidRDefault="004D5CBC" w:rsidP="00A32AD0">
      <w:r w:rsidRPr="00A32AD0">
        <w:rPr>
          <w:rStyle w:val="Strong"/>
        </w:rPr>
        <w:t>National</w:t>
      </w:r>
      <w:r>
        <w:t>—Australia wide (Australian mainland states and territories and Tasmania).</w:t>
      </w:r>
    </w:p>
    <w:p w:rsidR="004D5CBC" w:rsidRDefault="004D5CBC" w:rsidP="00A32AD0">
      <w:r>
        <w:t>For each criterion, the magnitude of the potential consequence at each of these levels was described using four categories, defined as:</w:t>
      </w:r>
    </w:p>
    <w:p w:rsidR="004D5CBC" w:rsidRDefault="004D5CBC" w:rsidP="00A32AD0">
      <w:r w:rsidRPr="00A32AD0">
        <w:rPr>
          <w:rStyle w:val="Strong"/>
        </w:rPr>
        <w:t>Indiscernible</w:t>
      </w:r>
      <w:r>
        <w:t>—pest impact unlikely to be noticeable.</w:t>
      </w:r>
    </w:p>
    <w:p w:rsidR="004D5CBC" w:rsidRDefault="004D5CBC" w:rsidP="00A32AD0">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4D5CBC" w:rsidRDefault="004D5CBC" w:rsidP="00A32AD0">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4D5CBC" w:rsidRDefault="004D5CBC" w:rsidP="00A32AD0">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rsidR="004D5CBC" w:rsidRDefault="004D5CBC" w:rsidP="00A32AD0">
      <w:r>
        <w:t xml:space="preserve">The estimates of the magnitude of the potential consequences over the four geographic levels were translated into a qualitative impact score (A–G) using </w:t>
      </w:r>
      <w:r>
        <w:fldChar w:fldCharType="begin"/>
      </w:r>
      <w:r>
        <w:instrText xml:space="preserve"> REF _Ref457826350 \h </w:instrText>
      </w:r>
      <w:r>
        <w:fldChar w:fldCharType="separate"/>
      </w:r>
      <w:r w:rsidR="00502BAD">
        <w:t xml:space="preserve">Table </w:t>
      </w:r>
      <w:r w:rsidR="00502BAD">
        <w:rPr>
          <w:noProof/>
        </w:rPr>
        <w:t>2</w:t>
      </w:r>
      <w:r w:rsidR="00502BAD">
        <w:t>.</w:t>
      </w:r>
      <w:r w:rsidR="00502BAD">
        <w:rPr>
          <w:noProof/>
        </w:rPr>
        <w:t>3</w:t>
      </w:r>
      <w:r>
        <w:fldChar w:fldCharType="end"/>
      </w:r>
      <w:r>
        <w:t>. For example, a consequence with a magnitude of ‘significant’ at the ‘district’ level will have a consequence impact score of D.</w:t>
      </w:r>
    </w:p>
    <w:p w:rsidR="004D5CBC" w:rsidRDefault="004D5CBC" w:rsidP="00A32AD0">
      <w:pPr>
        <w:pStyle w:val="Caption"/>
      </w:pPr>
      <w:bookmarkStart w:id="15" w:name="_Ref457826350"/>
      <w:bookmarkStart w:id="16" w:name="_Toc384979278"/>
      <w:bookmarkStart w:id="17" w:name="_Toc520996452"/>
      <w:r>
        <w:lastRenderedPageBreak/>
        <w:t xml:space="preserve">Table </w:t>
      </w:r>
      <w:r>
        <w:rPr>
          <w:noProof/>
        </w:rPr>
        <w:fldChar w:fldCharType="begin"/>
      </w:r>
      <w:r>
        <w:rPr>
          <w:noProof/>
        </w:rPr>
        <w:instrText xml:space="preserve"> STYLEREF 2 \s </w:instrText>
      </w:r>
      <w:r>
        <w:rPr>
          <w:noProof/>
        </w:rPr>
        <w:fldChar w:fldCharType="separate"/>
      </w:r>
      <w:r w:rsidR="00502BAD">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3</w:t>
      </w:r>
      <w:r>
        <w:rPr>
          <w:noProof/>
        </w:rPr>
        <w:fldChar w:fldCharType="end"/>
      </w:r>
      <w:bookmarkEnd w:id="15"/>
      <w:r>
        <w:t xml:space="preserve"> Decision rules for determining the consequence impact score based on the magnitude of consequences at four geographic scales</w:t>
      </w:r>
      <w:bookmarkEnd w:id="16"/>
      <w:bookmarkEnd w:id="17"/>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4D5CBC">
        <w:trPr>
          <w:cantSplit/>
        </w:trPr>
        <w:tc>
          <w:tcPr>
            <w:tcW w:w="1158" w:type="pct"/>
            <w:vMerge w:val="restart"/>
            <w:tcBorders>
              <w:top w:val="single" w:sz="4" w:space="0" w:color="000000" w:themeColor="text1"/>
              <w:bottom w:val="nil"/>
              <w:right w:val="nil"/>
              <w:tl2br w:val="nil"/>
            </w:tcBorders>
            <w:vAlign w:val="bottom"/>
          </w:tcPr>
          <w:p w:rsidR="004D5CBC" w:rsidRDefault="004D5CBC" w:rsidP="00A32AD0">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4D5CBC" w:rsidRDefault="004D5CBC" w:rsidP="00A32AD0">
            <w:pPr>
              <w:pStyle w:val="TableText"/>
            </w:pPr>
            <w:r>
              <w:t>Geographic scale</w:t>
            </w:r>
          </w:p>
        </w:tc>
      </w:tr>
      <w:tr w:rsidR="004D5CBC">
        <w:trPr>
          <w:cantSplit/>
        </w:trPr>
        <w:tc>
          <w:tcPr>
            <w:tcW w:w="1158" w:type="pct"/>
            <w:vMerge/>
            <w:tcBorders>
              <w:top w:val="single" w:sz="4" w:space="0" w:color="auto"/>
              <w:bottom w:val="single" w:sz="4" w:space="0" w:color="BFBFBF" w:themeColor="background1" w:themeShade="BF"/>
              <w:right w:val="nil"/>
              <w:tl2br w:val="nil"/>
            </w:tcBorders>
          </w:tcPr>
          <w:p w:rsidR="004D5CBC" w:rsidRDefault="004D5CBC"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4D5CBC" w:rsidRDefault="004D5CBC" w:rsidP="00A32AD0">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4D5CBC" w:rsidRDefault="004D5CBC" w:rsidP="00A32AD0">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4D5CBC" w:rsidRDefault="004D5CBC" w:rsidP="00A32AD0">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4D5CBC" w:rsidRDefault="004D5CBC" w:rsidP="00A32AD0">
            <w:pPr>
              <w:pStyle w:val="TableText"/>
            </w:pPr>
            <w:r>
              <w:t>Nation</w:t>
            </w:r>
          </w:p>
        </w:tc>
      </w:tr>
      <w:tr w:rsidR="004D5CBC">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4D5CBC" w:rsidRDefault="004D5CBC" w:rsidP="00A32AD0">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4D5CBC" w:rsidRDefault="004D5CBC" w:rsidP="00A32AD0">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4D5CBC" w:rsidRDefault="004D5CBC"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4D5CBC" w:rsidRDefault="004D5CBC"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4D5CBC" w:rsidRDefault="004D5CBC" w:rsidP="00A32AD0">
            <w:pPr>
              <w:pStyle w:val="TableText"/>
            </w:pPr>
            <w:r>
              <w:t>A</w:t>
            </w:r>
          </w:p>
        </w:tc>
      </w:tr>
      <w:tr w:rsidR="004D5CBC">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4D5CBC" w:rsidRDefault="004D5CBC" w:rsidP="00A32AD0">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4D5CBC" w:rsidRDefault="004D5CBC" w:rsidP="00A32AD0">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4D5CBC" w:rsidRDefault="004D5CBC" w:rsidP="00A32AD0">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4D5CBC" w:rsidRDefault="004D5CBC"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4D5CBC" w:rsidRDefault="004D5CBC" w:rsidP="00A32AD0">
            <w:pPr>
              <w:pStyle w:val="TableText"/>
            </w:pPr>
            <w:r>
              <w:t>E</w:t>
            </w:r>
          </w:p>
        </w:tc>
      </w:tr>
      <w:tr w:rsidR="004D5CBC">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4D5CBC" w:rsidRDefault="004D5CBC" w:rsidP="00A32AD0">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4D5CBC" w:rsidRDefault="004D5CBC" w:rsidP="00A32AD0">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4D5CBC" w:rsidRDefault="004D5CBC"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4D5CBC" w:rsidRDefault="004D5CBC" w:rsidP="00A32AD0">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4D5CBC" w:rsidRDefault="004D5CBC" w:rsidP="00A32AD0">
            <w:pPr>
              <w:pStyle w:val="TableText"/>
            </w:pPr>
            <w:r>
              <w:t>F</w:t>
            </w:r>
          </w:p>
        </w:tc>
      </w:tr>
      <w:tr w:rsidR="004D5CBC">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4D5CBC" w:rsidRDefault="004D5CBC" w:rsidP="00A32AD0">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4D5CBC" w:rsidRDefault="004D5CBC" w:rsidP="00A32AD0">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4D5CBC" w:rsidRDefault="004D5CBC" w:rsidP="00A32AD0">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4D5CBC" w:rsidRDefault="004D5CBC" w:rsidP="00A32AD0">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4D5CBC" w:rsidRDefault="004D5CBC" w:rsidP="00A32AD0">
            <w:pPr>
              <w:pStyle w:val="TableText"/>
            </w:pPr>
            <w:r>
              <w:t>G</w:t>
            </w:r>
          </w:p>
        </w:tc>
      </w:tr>
    </w:tbl>
    <w:p w:rsidR="004D5CBC" w:rsidRDefault="004D5CBC" w:rsidP="005F1B70">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 xml:space="preserve">G and a new lowest category </w:t>
      </w:r>
      <w:proofErr w:type="gramStart"/>
      <w:r>
        <w:t>A</w:t>
      </w:r>
      <w:proofErr w:type="gramEnd"/>
      <w:r>
        <w:t xml:space="preserve"> (‘indiscernible’ at all four levels) was added. The rules for combining impacts in </w:t>
      </w:r>
      <w:r>
        <w:fldChar w:fldCharType="begin"/>
      </w:r>
      <w:r>
        <w:instrText xml:space="preserve"> REF _Ref457826361 \h </w:instrText>
      </w:r>
      <w:r>
        <w:fldChar w:fldCharType="separate"/>
      </w:r>
      <w:r w:rsidR="00502BAD">
        <w:t xml:space="preserve">Table </w:t>
      </w:r>
      <w:r w:rsidR="00502BAD">
        <w:rPr>
          <w:noProof/>
        </w:rPr>
        <w:t>2</w:t>
      </w:r>
      <w:r w:rsidR="00502BAD">
        <w:t>.</w:t>
      </w:r>
      <w:r w:rsidR="00502BAD">
        <w:rPr>
          <w:noProof/>
        </w:rPr>
        <w:t>4</w:t>
      </w:r>
      <w:r>
        <w:fldChar w:fldCharType="end"/>
      </w:r>
      <w:r>
        <w:t xml:space="preserve"> were adjusted accordingly.</w:t>
      </w:r>
    </w:p>
    <w:p w:rsidR="004D5CBC" w:rsidRDefault="004D5CBC" w:rsidP="00A32AD0">
      <w:r>
        <w:t>The overall consequence for each pest is achieved by combining the qualitative impact scores (A–G) for each direct and indirect consequence using a series of decision rules (</w:t>
      </w:r>
      <w:r>
        <w:fldChar w:fldCharType="begin"/>
      </w:r>
      <w:r>
        <w:instrText xml:space="preserve"> REF _Ref457826361 \h </w:instrText>
      </w:r>
      <w:r>
        <w:fldChar w:fldCharType="separate"/>
      </w:r>
      <w:r w:rsidR="00502BAD">
        <w:t xml:space="preserve">Table </w:t>
      </w:r>
      <w:r w:rsidR="00502BAD">
        <w:rPr>
          <w:noProof/>
        </w:rPr>
        <w:t>2</w:t>
      </w:r>
      <w:r w:rsidR="00502BAD">
        <w:t>.</w:t>
      </w:r>
      <w:r w:rsidR="00502BAD">
        <w:rPr>
          <w:noProof/>
        </w:rPr>
        <w:t>4</w:t>
      </w:r>
      <w:r>
        <w:fldChar w:fldCharType="end"/>
      </w:r>
      <w:r>
        <w:t>). These rules are mutually exclusive, and are assessed in numerical order until one applies.</w:t>
      </w:r>
    </w:p>
    <w:p w:rsidR="004D5CBC" w:rsidRDefault="004D5CBC" w:rsidP="00A32AD0">
      <w:pPr>
        <w:pStyle w:val="Caption"/>
      </w:pPr>
      <w:bookmarkStart w:id="18" w:name="_Ref457826361"/>
      <w:bookmarkStart w:id="19" w:name="_Toc384979279"/>
      <w:bookmarkStart w:id="20" w:name="_Toc520996453"/>
      <w:r>
        <w:t xml:space="preserve">Table </w:t>
      </w:r>
      <w:r>
        <w:rPr>
          <w:noProof/>
        </w:rPr>
        <w:fldChar w:fldCharType="begin"/>
      </w:r>
      <w:r>
        <w:rPr>
          <w:noProof/>
        </w:rPr>
        <w:instrText xml:space="preserve"> STYLEREF 2 \s </w:instrText>
      </w:r>
      <w:r>
        <w:rPr>
          <w:noProof/>
        </w:rPr>
        <w:fldChar w:fldCharType="separate"/>
      </w:r>
      <w:r w:rsidR="00502BAD">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4</w:t>
      </w:r>
      <w:r>
        <w:rPr>
          <w:noProof/>
        </w:rPr>
        <w:fldChar w:fldCharType="end"/>
      </w:r>
      <w:bookmarkEnd w:id="18"/>
      <w:r>
        <w:t xml:space="preserve"> Decision rules for determining the overall consequence rating for each pest</w:t>
      </w:r>
      <w:bookmarkEnd w:id="19"/>
      <w:bookmarkEnd w:id="20"/>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4D5CBC">
        <w:trPr>
          <w:trHeight w:val="414"/>
        </w:trPr>
        <w:tc>
          <w:tcPr>
            <w:tcW w:w="440" w:type="pct"/>
          </w:tcPr>
          <w:p w:rsidR="004D5CBC" w:rsidRDefault="004D5CBC" w:rsidP="00EE62A7">
            <w:pPr>
              <w:pStyle w:val="TableText"/>
            </w:pPr>
            <w:r>
              <w:t>Rule</w:t>
            </w:r>
          </w:p>
        </w:tc>
        <w:tc>
          <w:tcPr>
            <w:tcW w:w="3206" w:type="pct"/>
          </w:tcPr>
          <w:p w:rsidR="004D5CBC" w:rsidRDefault="004D5CBC" w:rsidP="00EE62A7">
            <w:pPr>
              <w:pStyle w:val="TableText"/>
            </w:pPr>
            <w:r>
              <w:t>The impact scores for consequences of direct and indirect criteria</w:t>
            </w:r>
          </w:p>
        </w:tc>
        <w:tc>
          <w:tcPr>
            <w:tcW w:w="1354" w:type="pct"/>
          </w:tcPr>
          <w:p w:rsidR="004D5CBC" w:rsidRDefault="004D5CBC" w:rsidP="00EE62A7">
            <w:pPr>
              <w:pStyle w:val="TableText"/>
            </w:pPr>
            <w:r>
              <w:t>Overall consequence rating</w:t>
            </w:r>
          </w:p>
        </w:tc>
      </w:tr>
      <w:tr w:rsidR="004D5CBC">
        <w:trPr>
          <w:trHeight w:val="414"/>
        </w:trPr>
        <w:tc>
          <w:tcPr>
            <w:tcW w:w="440" w:type="pct"/>
          </w:tcPr>
          <w:p w:rsidR="004D5CBC" w:rsidRDefault="004D5CBC" w:rsidP="00EE62A7">
            <w:pPr>
              <w:pStyle w:val="TableText"/>
            </w:pPr>
            <w:r>
              <w:t>1</w:t>
            </w:r>
          </w:p>
        </w:tc>
        <w:tc>
          <w:tcPr>
            <w:tcW w:w="3206" w:type="pct"/>
          </w:tcPr>
          <w:p w:rsidR="004D5CBC" w:rsidRDefault="004D5CBC" w:rsidP="00EE62A7">
            <w:pPr>
              <w:pStyle w:val="TableText"/>
            </w:pPr>
            <w:r>
              <w:t>Any criterion has an impact of ‘G’; or</w:t>
            </w:r>
            <w:r>
              <w:br/>
              <w:t>more than one criterion has an impact of ‘F’; or</w:t>
            </w:r>
            <w:r>
              <w:br/>
              <w:t>a single criterion has an impact of ‘F’ and each remaining criterion an ‘E’.</w:t>
            </w:r>
          </w:p>
        </w:tc>
        <w:tc>
          <w:tcPr>
            <w:tcW w:w="1354" w:type="pct"/>
          </w:tcPr>
          <w:p w:rsidR="004D5CBC" w:rsidRDefault="004D5CBC" w:rsidP="00EE62A7">
            <w:pPr>
              <w:pStyle w:val="TableText"/>
            </w:pPr>
            <w:r>
              <w:t>Extreme</w:t>
            </w:r>
          </w:p>
        </w:tc>
      </w:tr>
      <w:tr w:rsidR="004D5CBC">
        <w:trPr>
          <w:trHeight w:val="414"/>
        </w:trPr>
        <w:tc>
          <w:tcPr>
            <w:tcW w:w="440" w:type="pct"/>
          </w:tcPr>
          <w:p w:rsidR="004D5CBC" w:rsidRDefault="004D5CBC" w:rsidP="00EE62A7">
            <w:pPr>
              <w:pStyle w:val="TableText"/>
            </w:pPr>
            <w:r>
              <w:t>2</w:t>
            </w:r>
          </w:p>
        </w:tc>
        <w:tc>
          <w:tcPr>
            <w:tcW w:w="3206" w:type="pct"/>
          </w:tcPr>
          <w:p w:rsidR="004D5CBC" w:rsidRDefault="004D5CBC" w:rsidP="00EE62A7">
            <w:pPr>
              <w:pStyle w:val="TableText"/>
            </w:pPr>
            <w:r>
              <w:t>A single criterion has an impact of ‘F’; or</w:t>
            </w:r>
            <w:r>
              <w:br/>
              <w:t>all criteria have an impact of ‘E’.</w:t>
            </w:r>
          </w:p>
        </w:tc>
        <w:tc>
          <w:tcPr>
            <w:tcW w:w="1354" w:type="pct"/>
          </w:tcPr>
          <w:p w:rsidR="004D5CBC" w:rsidRDefault="004D5CBC" w:rsidP="00EE62A7">
            <w:pPr>
              <w:pStyle w:val="TableText"/>
            </w:pPr>
            <w:r>
              <w:t>High</w:t>
            </w:r>
          </w:p>
        </w:tc>
      </w:tr>
      <w:tr w:rsidR="004D5CBC">
        <w:trPr>
          <w:trHeight w:val="414"/>
        </w:trPr>
        <w:tc>
          <w:tcPr>
            <w:tcW w:w="440" w:type="pct"/>
          </w:tcPr>
          <w:p w:rsidR="004D5CBC" w:rsidRDefault="004D5CBC" w:rsidP="00EE62A7">
            <w:pPr>
              <w:pStyle w:val="TableText"/>
            </w:pPr>
            <w:r>
              <w:t>3</w:t>
            </w:r>
          </w:p>
        </w:tc>
        <w:tc>
          <w:tcPr>
            <w:tcW w:w="3206" w:type="pct"/>
          </w:tcPr>
          <w:p w:rsidR="004D5CBC" w:rsidRDefault="004D5CBC" w:rsidP="00EE62A7">
            <w:pPr>
              <w:pStyle w:val="TableText"/>
            </w:pPr>
            <w:r>
              <w:t>One or more criteria have an impact of ‘E’; or</w:t>
            </w:r>
            <w:r>
              <w:br/>
              <w:t>all criteria have an impact of ‘D’.</w:t>
            </w:r>
          </w:p>
        </w:tc>
        <w:tc>
          <w:tcPr>
            <w:tcW w:w="1354" w:type="pct"/>
          </w:tcPr>
          <w:p w:rsidR="004D5CBC" w:rsidRDefault="004D5CBC" w:rsidP="00EE62A7">
            <w:pPr>
              <w:pStyle w:val="TableText"/>
            </w:pPr>
            <w:r>
              <w:t>Moderate</w:t>
            </w:r>
          </w:p>
        </w:tc>
      </w:tr>
      <w:tr w:rsidR="004D5CBC">
        <w:trPr>
          <w:trHeight w:val="414"/>
        </w:trPr>
        <w:tc>
          <w:tcPr>
            <w:tcW w:w="440" w:type="pct"/>
          </w:tcPr>
          <w:p w:rsidR="004D5CBC" w:rsidRDefault="004D5CBC" w:rsidP="00EE62A7">
            <w:pPr>
              <w:pStyle w:val="TableText"/>
            </w:pPr>
            <w:r>
              <w:t>4</w:t>
            </w:r>
          </w:p>
        </w:tc>
        <w:tc>
          <w:tcPr>
            <w:tcW w:w="3206" w:type="pct"/>
          </w:tcPr>
          <w:p w:rsidR="004D5CBC" w:rsidRDefault="004D5CBC" w:rsidP="00EE62A7">
            <w:pPr>
              <w:pStyle w:val="TableText"/>
            </w:pPr>
            <w:r>
              <w:t>One or more criteria have an impact of ‘D’; or</w:t>
            </w:r>
            <w:r>
              <w:br/>
              <w:t>all criteria have an impact of ‘C’.</w:t>
            </w:r>
          </w:p>
        </w:tc>
        <w:tc>
          <w:tcPr>
            <w:tcW w:w="1354" w:type="pct"/>
          </w:tcPr>
          <w:p w:rsidR="004D5CBC" w:rsidRDefault="004D5CBC" w:rsidP="00EE62A7">
            <w:pPr>
              <w:pStyle w:val="TableText"/>
            </w:pPr>
            <w:r>
              <w:t>Low</w:t>
            </w:r>
          </w:p>
        </w:tc>
      </w:tr>
      <w:tr w:rsidR="004D5CBC">
        <w:trPr>
          <w:trHeight w:val="414"/>
        </w:trPr>
        <w:tc>
          <w:tcPr>
            <w:tcW w:w="440" w:type="pct"/>
          </w:tcPr>
          <w:p w:rsidR="004D5CBC" w:rsidRDefault="004D5CBC" w:rsidP="00EE62A7">
            <w:pPr>
              <w:pStyle w:val="TableText"/>
            </w:pPr>
            <w:r>
              <w:t>5</w:t>
            </w:r>
          </w:p>
        </w:tc>
        <w:tc>
          <w:tcPr>
            <w:tcW w:w="3206" w:type="pct"/>
          </w:tcPr>
          <w:p w:rsidR="004D5CBC" w:rsidRDefault="004D5CBC" w:rsidP="00EE62A7">
            <w:pPr>
              <w:pStyle w:val="TableText"/>
            </w:pPr>
            <w:r>
              <w:t>One or more criteria have an impact of ‘C’; or</w:t>
            </w:r>
            <w:r>
              <w:br/>
              <w:t>all criteria have an impact of ‘B’.</w:t>
            </w:r>
          </w:p>
        </w:tc>
        <w:tc>
          <w:tcPr>
            <w:tcW w:w="1354" w:type="pct"/>
          </w:tcPr>
          <w:p w:rsidR="004D5CBC" w:rsidRDefault="004D5CBC" w:rsidP="00EE62A7">
            <w:pPr>
              <w:pStyle w:val="TableText"/>
            </w:pPr>
            <w:r>
              <w:t>Very Low</w:t>
            </w:r>
          </w:p>
        </w:tc>
      </w:tr>
      <w:tr w:rsidR="004D5CBC">
        <w:trPr>
          <w:trHeight w:val="414"/>
        </w:trPr>
        <w:tc>
          <w:tcPr>
            <w:tcW w:w="440" w:type="pct"/>
          </w:tcPr>
          <w:p w:rsidR="004D5CBC" w:rsidRDefault="004D5CBC" w:rsidP="00EE62A7">
            <w:pPr>
              <w:pStyle w:val="TableText"/>
            </w:pPr>
            <w:r>
              <w:t>6</w:t>
            </w:r>
          </w:p>
        </w:tc>
        <w:tc>
          <w:tcPr>
            <w:tcW w:w="3206" w:type="pct"/>
          </w:tcPr>
          <w:p w:rsidR="004D5CBC" w:rsidRDefault="004D5CBC" w:rsidP="00EE62A7">
            <w:pPr>
              <w:pStyle w:val="TableText"/>
            </w:pPr>
            <w:r>
              <w:t>One or more but not all criteria have an impact of ‘B’, and</w:t>
            </w:r>
            <w:r>
              <w:br/>
              <w:t>all remaining criteria have an impact of ‘A’.</w:t>
            </w:r>
          </w:p>
        </w:tc>
        <w:tc>
          <w:tcPr>
            <w:tcW w:w="1354" w:type="pct"/>
          </w:tcPr>
          <w:p w:rsidR="004D5CBC" w:rsidRDefault="004D5CBC" w:rsidP="00EE62A7">
            <w:pPr>
              <w:pStyle w:val="TableText"/>
            </w:pPr>
            <w:r>
              <w:t>Negligible</w:t>
            </w:r>
          </w:p>
        </w:tc>
      </w:tr>
    </w:tbl>
    <w:p w:rsidR="004D5CBC" w:rsidRDefault="004D5CBC" w:rsidP="004D5CBC">
      <w:pPr>
        <w:pStyle w:val="Heading4"/>
        <w:numPr>
          <w:ilvl w:val="2"/>
          <w:numId w:val="11"/>
        </w:numPr>
      </w:pPr>
      <w:r>
        <w:t>Estimation of the unrestricted risk</w:t>
      </w:r>
    </w:p>
    <w:p w:rsidR="004D5CBC" w:rsidRDefault="004D5CBC" w:rsidP="00EE62A7">
      <w:r>
        <w:t>Once the assessment of the likelihood of entry, establishment and spread and for potential consequences are completed, the unrestricted risk can be determined for each pest or groups of pests. This is determined by using a risk estimation matrix (</w:t>
      </w:r>
      <w:r>
        <w:fldChar w:fldCharType="begin"/>
      </w:r>
      <w:r>
        <w:instrText xml:space="preserve"> REF _Ref457826369 \h </w:instrText>
      </w:r>
      <w:r>
        <w:fldChar w:fldCharType="separate"/>
      </w:r>
      <w:r w:rsidR="00502BAD">
        <w:t xml:space="preserve">Table </w:t>
      </w:r>
      <w:r w:rsidR="00502BAD">
        <w:rPr>
          <w:noProof/>
        </w:rPr>
        <w:t>2</w:t>
      </w:r>
      <w:r w:rsidR="00502BAD">
        <w:t>.</w:t>
      </w:r>
      <w:r w:rsidR="00502BAD">
        <w:rPr>
          <w:noProof/>
        </w:rPr>
        <w:t>5</w:t>
      </w:r>
      <w:r>
        <w:fldChar w:fldCharType="end"/>
      </w:r>
      <w:r>
        <w:t>) to combine the estimates of the likelihood of entry, establishment and spread and the overall consequences of pest establishment and spread. Therefore, risk is the combination of likelihood and consequence.</w:t>
      </w:r>
    </w:p>
    <w:p w:rsidR="004D5CBC" w:rsidRDefault="004D5CBC" w:rsidP="00EE62A7">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1" w:name="_Toc384979280"/>
    </w:p>
    <w:p w:rsidR="004D5CBC" w:rsidRDefault="004D5CBC" w:rsidP="00EE62A7">
      <w:pPr>
        <w:pStyle w:val="Caption"/>
      </w:pPr>
      <w:bookmarkStart w:id="22" w:name="_Ref457826369"/>
      <w:bookmarkStart w:id="23" w:name="_Toc389741475"/>
      <w:bookmarkStart w:id="24" w:name="_Toc520996454"/>
      <w:r>
        <w:lastRenderedPageBreak/>
        <w:t xml:space="preserve">Table </w:t>
      </w:r>
      <w:r>
        <w:rPr>
          <w:noProof/>
        </w:rPr>
        <w:fldChar w:fldCharType="begin"/>
      </w:r>
      <w:r>
        <w:rPr>
          <w:noProof/>
        </w:rPr>
        <w:instrText xml:space="preserve"> STYLEREF 2 \s </w:instrText>
      </w:r>
      <w:r>
        <w:rPr>
          <w:noProof/>
        </w:rPr>
        <w:fldChar w:fldCharType="separate"/>
      </w:r>
      <w:r w:rsidR="00502BAD">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5</w:t>
      </w:r>
      <w:r>
        <w:rPr>
          <w:noProof/>
        </w:rPr>
        <w:fldChar w:fldCharType="end"/>
      </w:r>
      <w:bookmarkEnd w:id="22"/>
      <w:r>
        <w:t xml:space="preserve"> Risk estimation matrix</w:t>
      </w:r>
      <w:bookmarkEnd w:id="21"/>
      <w:bookmarkEnd w:id="23"/>
      <w:bookmarkEnd w:id="24"/>
    </w:p>
    <w:tbl>
      <w:tblPr>
        <w:tblW w:w="5000" w:type="pct"/>
        <w:tblLook w:val="0000" w:firstRow="0" w:lastRow="0" w:firstColumn="0" w:lastColumn="0" w:noHBand="0" w:noVBand="0"/>
      </w:tblPr>
      <w:tblGrid>
        <w:gridCol w:w="1438"/>
        <w:gridCol w:w="1270"/>
        <w:gridCol w:w="1270"/>
        <w:gridCol w:w="1272"/>
        <w:gridCol w:w="1270"/>
        <w:gridCol w:w="1270"/>
        <w:gridCol w:w="1270"/>
      </w:tblGrid>
      <w:tr w:rsidR="004D5CBC">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4D5CBC" w:rsidRDefault="004D5CBC" w:rsidP="00EE62A7">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4D5CBC" w:rsidRDefault="004D5CBC" w:rsidP="00EE62A7">
            <w:pPr>
              <w:pStyle w:val="TableText"/>
            </w:pPr>
            <w:r>
              <w:t>Consequences of pest entry, establishment and spread</w:t>
            </w:r>
          </w:p>
        </w:tc>
      </w:tr>
      <w:tr w:rsidR="004D5CBC">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4D5CBC" w:rsidRDefault="004D5CBC"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4D5CBC" w:rsidRDefault="004D5CBC" w:rsidP="00EE62A7">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4D5CBC" w:rsidRDefault="004D5CBC" w:rsidP="00EE62A7">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rsidR="004D5CBC" w:rsidRDefault="004D5CBC" w:rsidP="00EE62A7">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4D5CBC" w:rsidRDefault="004D5CBC" w:rsidP="00EE62A7">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rsidR="004D5CBC" w:rsidRDefault="004D5CBC" w:rsidP="00EE62A7">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4D5CBC" w:rsidRDefault="004D5CBC" w:rsidP="00EE62A7">
            <w:pPr>
              <w:pStyle w:val="TableText"/>
            </w:pPr>
            <w:r>
              <w:t xml:space="preserve">Extreme </w:t>
            </w:r>
          </w:p>
        </w:tc>
      </w:tr>
      <w:tr w:rsidR="004D5CB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4D5CBC" w:rsidRDefault="004D5CBC" w:rsidP="00EE62A7">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4D5CBC" w:rsidRDefault="004D5CBC" w:rsidP="00EE62A7">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4D5CBC" w:rsidRDefault="004D5CBC" w:rsidP="00EE62A7">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4D5CBC" w:rsidRDefault="004D5CBC" w:rsidP="00EE62A7">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4D5CBC" w:rsidRDefault="004D5CBC" w:rsidP="00EE62A7">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4D5CBC" w:rsidRDefault="004D5CBC" w:rsidP="00EE62A7">
            <w:pPr>
              <w:pStyle w:val="TableText"/>
            </w:pPr>
            <w:r>
              <w:t>Extreme risk</w:t>
            </w:r>
          </w:p>
        </w:tc>
      </w:tr>
      <w:tr w:rsidR="004D5CB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4D5CBC" w:rsidRDefault="004D5CBC" w:rsidP="00EE62A7">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4D5CBC" w:rsidRDefault="004D5CBC" w:rsidP="00EE62A7">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4D5CBC" w:rsidRDefault="004D5CBC"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4D5CBC" w:rsidRDefault="004D5CBC" w:rsidP="00EE62A7">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4D5CBC" w:rsidRDefault="004D5CBC" w:rsidP="00EE62A7">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4D5CBC" w:rsidRDefault="004D5CBC" w:rsidP="00EE62A7">
            <w:pPr>
              <w:pStyle w:val="TableText"/>
            </w:pPr>
            <w:r>
              <w:t>Extreme risk</w:t>
            </w:r>
          </w:p>
        </w:tc>
      </w:tr>
      <w:tr w:rsidR="004D5CB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4D5CBC" w:rsidRDefault="004D5CBC" w:rsidP="00EE62A7">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4D5CBC" w:rsidRDefault="004D5CBC"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4D5CBC" w:rsidRDefault="004D5CBC"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4D5CBC" w:rsidRDefault="004D5CBC" w:rsidP="00EE62A7">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4D5CBC" w:rsidRDefault="004D5CBC" w:rsidP="00EE62A7">
            <w:pPr>
              <w:pStyle w:val="TableText"/>
            </w:pPr>
            <w:r>
              <w:t>High risk</w:t>
            </w:r>
          </w:p>
        </w:tc>
      </w:tr>
      <w:tr w:rsidR="004D5CB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4D5CBC" w:rsidRDefault="004D5CBC" w:rsidP="00EE62A7">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4D5CBC" w:rsidRDefault="004D5CBC"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4D5CBC" w:rsidRDefault="004D5CBC" w:rsidP="00EE62A7">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4D5CBC" w:rsidRDefault="004D5CBC" w:rsidP="00EE62A7">
            <w:pPr>
              <w:pStyle w:val="TableText"/>
            </w:pPr>
            <w:r>
              <w:t>Moderate risk</w:t>
            </w:r>
          </w:p>
        </w:tc>
      </w:tr>
      <w:tr w:rsidR="004D5CBC">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4D5CBC" w:rsidRDefault="004D5CBC" w:rsidP="00EE62A7">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4D5CBC" w:rsidRDefault="004D5CBC"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4D5CBC" w:rsidRDefault="004D5CBC" w:rsidP="00EE62A7">
            <w:pPr>
              <w:pStyle w:val="TableText"/>
            </w:pPr>
            <w:r>
              <w:t>Low risk</w:t>
            </w:r>
          </w:p>
        </w:tc>
      </w:tr>
      <w:tr w:rsidR="004D5CBC">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4D5CBC" w:rsidRDefault="004D5CBC" w:rsidP="00EE62A7">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4D5CBC" w:rsidRDefault="004D5CBC" w:rsidP="00EE62A7">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4D5CBC" w:rsidRDefault="004D5CBC" w:rsidP="00EE62A7">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4D5CBC" w:rsidRDefault="004D5CBC" w:rsidP="00EE62A7">
            <w:pPr>
              <w:pStyle w:val="TableText"/>
              <w:rPr>
                <w:color w:val="FFFFFF"/>
              </w:rPr>
            </w:pPr>
            <w:r>
              <w:rPr>
                <w:color w:val="FFFFFF"/>
              </w:rPr>
              <w:t>Very low risk</w:t>
            </w:r>
          </w:p>
        </w:tc>
      </w:tr>
    </w:tbl>
    <w:p w:rsidR="004D5CBC" w:rsidRDefault="004D5CBC" w:rsidP="004D5CBC">
      <w:pPr>
        <w:pStyle w:val="Heading4"/>
        <w:numPr>
          <w:ilvl w:val="2"/>
          <w:numId w:val="11"/>
        </w:numPr>
      </w:pPr>
      <w:r>
        <w:t>The appropriate level of protection (ALOP) for Australia</w:t>
      </w:r>
    </w:p>
    <w:p w:rsidR="004D5CBC" w:rsidRDefault="004D5CBC">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4D5CBC" w:rsidRDefault="004D5CBC">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fldChar w:fldCharType="begin"/>
      </w:r>
      <w:r>
        <w:instrText xml:space="preserve"> REF _Ref457826369 \h </w:instrText>
      </w:r>
      <w:r>
        <w:fldChar w:fldCharType="separate"/>
      </w:r>
      <w:r w:rsidR="00502BAD">
        <w:t xml:space="preserve">Table </w:t>
      </w:r>
      <w:r w:rsidR="00502BAD">
        <w:rPr>
          <w:noProof/>
        </w:rPr>
        <w:t>2</w:t>
      </w:r>
      <w:r w:rsidR="00502BAD">
        <w:t>.</w:t>
      </w:r>
      <w:r w:rsidR="00502BAD">
        <w:rPr>
          <w:noProof/>
        </w:rPr>
        <w:t>5</w:t>
      </w:r>
      <w:r>
        <w:fldChar w:fldCharType="end"/>
      </w:r>
      <w:r>
        <w:t xml:space="preserve"> marked ‘very low risk’ represents the ALOP for Australia.</w:t>
      </w:r>
    </w:p>
    <w:p w:rsidR="004D5CBC" w:rsidRDefault="004D5CBC" w:rsidP="004D5CBC">
      <w:pPr>
        <w:pStyle w:val="Heading3"/>
        <w:numPr>
          <w:ilvl w:val="1"/>
          <w:numId w:val="11"/>
        </w:numPr>
      </w:pPr>
      <w:bookmarkStart w:id="25" w:name="_Toc389741444"/>
      <w:bookmarkStart w:id="26" w:name="_Toc520996418"/>
      <w:r>
        <w:t>Stage 3 Pest risk management</w:t>
      </w:r>
      <w:bookmarkEnd w:id="25"/>
      <w:bookmarkEnd w:id="26"/>
    </w:p>
    <w:p w:rsidR="004D5CBC" w:rsidRDefault="004D5CBC">
      <w:r>
        <w:t>Pest risk management describes the process of identifying and implementing phytosanitary measures to manage risks to achieve the ALOP for Australia, while ensuring that any negative effects on trade are minimised.</w:t>
      </w:r>
    </w:p>
    <w:p w:rsidR="004D5CBC" w:rsidRDefault="004D5CBC">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rsidR="004D5CBC" w:rsidRDefault="004D5CBC">
      <w:r>
        <w:t xml:space="preserve">ISPM 11 </w:t>
      </w:r>
      <w:r>
        <w:rPr>
          <w:noProof/>
        </w:rPr>
        <w:t>(FAO 2017b)</w:t>
      </w:r>
      <w:r>
        <w:t xml:space="preserve"> provides details on the identification and selection of appropriate risk management options and notes that the choice of measures should be based on their effectiveness in reducing the likelihood of entry of the pest.</w:t>
      </w:r>
    </w:p>
    <w:p w:rsidR="004D5CBC" w:rsidRDefault="004D5CBC" w:rsidP="00B7469A">
      <w:pPr>
        <w:keepNext/>
      </w:pPr>
      <w:r>
        <w:lastRenderedPageBreak/>
        <w:t>Examples given of measures commonly applied to traded commodities include:</w:t>
      </w:r>
    </w:p>
    <w:p w:rsidR="004D5CBC" w:rsidRDefault="004D5CBC" w:rsidP="004D5CBC">
      <w:pPr>
        <w:pStyle w:val="ListBullet"/>
        <w:numPr>
          <w:ilvl w:val="0"/>
          <w:numId w:val="7"/>
        </w:numPr>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rsidR="004D5CBC" w:rsidRDefault="004D5CBC" w:rsidP="004D5CBC">
      <w:pPr>
        <w:pStyle w:val="ListBullet"/>
        <w:numPr>
          <w:ilvl w:val="0"/>
          <w:numId w:val="7"/>
        </w:numPr>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rsidR="004D5CBC" w:rsidRDefault="004D5CBC" w:rsidP="004D5CBC">
      <w:pPr>
        <w:pStyle w:val="ListBullet"/>
        <w:numPr>
          <w:ilvl w:val="0"/>
          <w:numId w:val="7"/>
        </w:numPr>
      </w:pPr>
      <w:r>
        <w:t>options ensuring that the area, place or site of production or crop is free from the pest—for example, pest-free area, pest-free place of production or pest-free production site</w:t>
      </w:r>
    </w:p>
    <w:p w:rsidR="004D5CBC" w:rsidRDefault="004D5CBC" w:rsidP="004D5CBC">
      <w:pPr>
        <w:pStyle w:val="ListBullet"/>
        <w:numPr>
          <w:ilvl w:val="0"/>
          <w:numId w:val="7"/>
        </w:numPr>
      </w:pPr>
      <w:r>
        <w:t>options for other types of pathways—for example, consider natural spread, measures for human travellers and their baggage, cleaning or disinfestations of contaminated machinery</w:t>
      </w:r>
    </w:p>
    <w:p w:rsidR="004D5CBC" w:rsidRDefault="004D5CBC" w:rsidP="004D5CBC">
      <w:pPr>
        <w:pStyle w:val="ListBullet"/>
        <w:numPr>
          <w:ilvl w:val="0"/>
          <w:numId w:val="7"/>
        </w:numPr>
      </w:pPr>
      <w:r>
        <w:t>options within the importing country—for example, surveillance and eradication programs</w:t>
      </w:r>
    </w:p>
    <w:p w:rsidR="004D5CBC" w:rsidRDefault="004D5CBC" w:rsidP="004D5CBC">
      <w:pPr>
        <w:pStyle w:val="ListBullet"/>
        <w:numPr>
          <w:ilvl w:val="0"/>
          <w:numId w:val="7"/>
        </w:numPr>
      </w:pPr>
      <w:proofErr w:type="gramStart"/>
      <w:r>
        <w:t>prohibition</w:t>
      </w:r>
      <w:proofErr w:type="gramEnd"/>
      <w:r>
        <w:t xml:space="preserve"> of commodities—if no satisfactory measure can be found.</w:t>
      </w:r>
    </w:p>
    <w:p w:rsidR="004D5CBC" w:rsidRPr="00D27916" w:rsidRDefault="004D5CBC">
      <w:r>
        <w:t xml:space="preserve">Risk management </w:t>
      </w:r>
      <w:r w:rsidRPr="00D27916">
        <w:t>measures are identified for each quarantine pest where the level of biosecurity risk does not achieve the ALOP for Australia. These are presented in Chapter 5: Pest risk management, of this report.</w:t>
      </w:r>
    </w:p>
    <w:p w:rsidR="004D5CBC" w:rsidRPr="00D27916" w:rsidRDefault="004D5CBC"/>
    <w:p w:rsidR="004D5CBC" w:rsidRPr="007F3A08" w:rsidRDefault="004D5CBC" w:rsidP="004D5CBC">
      <w:pPr>
        <w:pStyle w:val="Heading2"/>
        <w:numPr>
          <w:ilvl w:val="0"/>
          <w:numId w:val="11"/>
        </w:numPr>
        <w:rPr>
          <w:b w:val="0"/>
        </w:rPr>
        <w:sectPr w:rsidR="004D5CBC" w:rsidRPr="007F3A08" w:rsidSect="00E310DC">
          <w:headerReference w:type="default" r:id="rId23"/>
          <w:pgSz w:w="11906" w:h="16838"/>
          <w:pgMar w:top="1418" w:right="1418" w:bottom="1418" w:left="1418" w:header="567" w:footer="283" w:gutter="0"/>
          <w:cols w:space="708"/>
          <w:docGrid w:linePitch="360"/>
        </w:sectPr>
      </w:pPr>
      <w:bookmarkStart w:id="27" w:name="_Toc389741445"/>
    </w:p>
    <w:p w:rsidR="004D5CBC" w:rsidRPr="00D27916" w:rsidRDefault="004D5CBC" w:rsidP="004D5CBC">
      <w:pPr>
        <w:pStyle w:val="Heading2"/>
        <w:numPr>
          <w:ilvl w:val="0"/>
          <w:numId w:val="11"/>
        </w:numPr>
      </w:pPr>
      <w:bookmarkStart w:id="28" w:name="_Toc520996419"/>
      <w:r w:rsidRPr="00D27916">
        <w:lastRenderedPageBreak/>
        <w:t xml:space="preserve">Indonesia’s commercial production practices for </w:t>
      </w:r>
      <w:bookmarkEnd w:id="27"/>
      <w:r w:rsidRPr="00D27916">
        <w:t>dragon fruit</w:t>
      </w:r>
      <w:bookmarkEnd w:id="28"/>
    </w:p>
    <w:p w:rsidR="004D5CBC" w:rsidRDefault="004D5CBC">
      <w:r>
        <w:t xml:space="preserve">This chapter </w:t>
      </w:r>
      <w:r w:rsidRPr="00A95069">
        <w:t xml:space="preserve">provides information on the pre-harvest, harvest and post-harvest practices considered to be standard practices in Indonesia for the production of dragon fruit for export. The </w:t>
      </w:r>
      <w:r w:rsidRPr="00B4417E">
        <w:t>export capability of Indonesia is also outlined.</w:t>
      </w:r>
    </w:p>
    <w:p w:rsidR="004D5CBC" w:rsidRPr="00B4417E" w:rsidRDefault="004D5CBC">
      <w:r>
        <w:t>Officers from the department visited dragon fruit production areas in Indonesia’s production regions in Banyuwangi, Jember in the East Java province and the Special Region of Yogyakarta in April 2017 to observe the production, processing and packing procedures for commercially produced dragon fruit. The department’s observations and additional information provided during the visit confirmed the production and processing procedures described in this chapter as standard commercial production practices for dragon fruit for export.</w:t>
      </w:r>
    </w:p>
    <w:p w:rsidR="004D5CBC" w:rsidRPr="00A95069" w:rsidRDefault="004D5CBC">
      <w:r w:rsidRPr="00B4417E">
        <w:t>The</w:t>
      </w:r>
      <w:r>
        <w:t xml:space="preserve"> </w:t>
      </w:r>
      <w:r w:rsidRPr="00B4417E">
        <w:t xml:space="preserve">commercial production practices </w:t>
      </w:r>
      <w:r>
        <w:t>observed and described</w:t>
      </w:r>
      <w:r w:rsidRPr="00B4417E">
        <w:t xml:space="preserve"> in this chapter are </w:t>
      </w:r>
      <w:r>
        <w:t>similar</w:t>
      </w:r>
      <w:r w:rsidRPr="00B4417E">
        <w:t xml:space="preserve"> to those </w:t>
      </w:r>
      <w:r>
        <w:t>considered</w:t>
      </w:r>
      <w:r w:rsidRPr="00B4417E">
        <w:t xml:space="preserve"> in the</w:t>
      </w:r>
      <w:r>
        <w:t xml:space="preserve"> risk analysis for</w:t>
      </w:r>
      <w:r w:rsidRPr="00B4417E">
        <w:t xml:space="preserve"> dragon fruit from Vietnam</w:t>
      </w:r>
      <w:r>
        <w:t xml:space="preserve"> </w:t>
      </w:r>
      <w:r>
        <w:rPr>
          <w:noProof/>
        </w:rPr>
        <w:t>(Department of Agriculture and Water Resources 2017a)</w:t>
      </w:r>
      <w:r>
        <w:t>.</w:t>
      </w:r>
    </w:p>
    <w:p w:rsidR="004D5CBC" w:rsidRDefault="004D5CBC" w:rsidP="004D5CBC">
      <w:pPr>
        <w:pStyle w:val="Heading3"/>
        <w:numPr>
          <w:ilvl w:val="1"/>
          <w:numId w:val="11"/>
        </w:numPr>
      </w:pPr>
      <w:bookmarkStart w:id="29" w:name="_Toc389741446"/>
      <w:bookmarkStart w:id="30" w:name="_Toc520996420"/>
      <w:r>
        <w:t>Assumptions used in estimating unrestricted risk</w:t>
      </w:r>
      <w:bookmarkEnd w:id="29"/>
      <w:bookmarkEnd w:id="30"/>
    </w:p>
    <w:p w:rsidR="004D5CBC" w:rsidRDefault="004D5CBC" w:rsidP="003F3B8E">
      <w:r>
        <w:t xml:space="preserve">On 19 July 2016, Indonesia provided Australia with information on the standard commercial practices used in the production of dragon fruit of the genus </w:t>
      </w:r>
      <w:r w:rsidRPr="00E714C8">
        <w:rPr>
          <w:i/>
        </w:rPr>
        <w:t>Hylocer</w:t>
      </w:r>
      <w:r>
        <w:rPr>
          <w:i/>
        </w:rPr>
        <w:t>e</w:t>
      </w:r>
      <w:r w:rsidRPr="00E714C8">
        <w:rPr>
          <w:i/>
        </w:rPr>
        <w:t>us</w:t>
      </w:r>
      <w:r>
        <w:t xml:space="preserve"> in different regions of Indonesia. This information was complemented with information from </w:t>
      </w:r>
      <w:r w:rsidRPr="006A23CE">
        <w:t>other sources</w:t>
      </w:r>
      <w:r>
        <w:t xml:space="preserve">, such as scientific reports and </w:t>
      </w:r>
      <w:r w:rsidR="00B2533E">
        <w:t>the</w:t>
      </w:r>
      <w:r>
        <w:t xml:space="preserve"> visit to Indonesian dragon fruit production areas, and was taken into consideration when estimating the unrestricted risks of pests that may be associated with the import of this commodity.</w:t>
      </w:r>
    </w:p>
    <w:p w:rsidR="004D5CBC" w:rsidRDefault="004D5CBC" w:rsidP="003F3B8E">
      <w:r>
        <w:t>In estimating the likelihood of pest introduction it was assumed that the pre-harvest, harvest and post-harvest production practices for dragon fruit, as described in this chapter, are implemented for all regions and for all dragon fruit varieties within the scope of this analysis. Where a specific practice described in this chapter is not taken into account to estimate the unrestricted risk, it is clearly identified and explained in Chapter 4.</w:t>
      </w:r>
    </w:p>
    <w:p w:rsidR="004D5CBC" w:rsidRDefault="004D5CBC" w:rsidP="004D5CBC">
      <w:pPr>
        <w:pStyle w:val="Heading3"/>
        <w:numPr>
          <w:ilvl w:val="1"/>
          <w:numId w:val="11"/>
        </w:numPr>
      </w:pPr>
      <w:bookmarkStart w:id="31" w:name="_Toc520996421"/>
      <w:bookmarkStart w:id="32" w:name="_Toc389741447"/>
      <w:r w:rsidRPr="00FB43AC">
        <w:t xml:space="preserve">Dragon fruit </w:t>
      </w:r>
      <w:r>
        <w:t>production areas</w:t>
      </w:r>
      <w:bookmarkEnd w:id="31"/>
    </w:p>
    <w:p w:rsidR="004D5CBC" w:rsidRDefault="004D5CBC" w:rsidP="0085262E">
      <w:r w:rsidRPr="004C41B5">
        <w:t xml:space="preserve">Production of dragon fruit in </w:t>
      </w:r>
      <w:r>
        <w:t>Indonesia</w:t>
      </w:r>
      <w:r w:rsidRPr="004C41B5">
        <w:t xml:space="preserve"> mainly occurs </w:t>
      </w:r>
      <w:r>
        <w:t xml:space="preserve">on the islands of Bali, Borneo, Java, Sulawesi and Sumatra (presentation by IAQA on 17 April 2017). Further details of the provinces where dragon fruit are grown in Indonesia are presented in </w:t>
      </w:r>
      <w:r>
        <w:fldChar w:fldCharType="begin"/>
      </w:r>
      <w:r>
        <w:instrText xml:space="preserve"> REF _Ref492995990 \h </w:instrText>
      </w:r>
      <w:r>
        <w:fldChar w:fldCharType="separate"/>
      </w:r>
      <w:r w:rsidR="00502BAD">
        <w:t xml:space="preserve">Table </w:t>
      </w:r>
      <w:r w:rsidR="00502BAD">
        <w:rPr>
          <w:noProof/>
        </w:rPr>
        <w:t>3</w:t>
      </w:r>
      <w:r w:rsidR="00502BAD">
        <w:t>.</w:t>
      </w:r>
      <w:r w:rsidR="00502BAD">
        <w:rPr>
          <w:noProof/>
        </w:rPr>
        <w:t>1</w:t>
      </w:r>
      <w:r>
        <w:fldChar w:fldCharType="end"/>
      </w:r>
      <w:r>
        <w:t xml:space="preserve"> and in </w:t>
      </w:r>
      <w:r>
        <w:fldChar w:fldCharType="begin"/>
      </w:r>
      <w:r>
        <w:instrText xml:space="preserve"> REF _Ref492996127 \h </w:instrText>
      </w:r>
      <w:r>
        <w:fldChar w:fldCharType="separate"/>
      </w:r>
      <w:r w:rsidR="00502BAD">
        <w:t xml:space="preserve">Map </w:t>
      </w:r>
      <w:r w:rsidR="00502BAD">
        <w:rPr>
          <w:noProof/>
        </w:rPr>
        <w:t>1</w:t>
      </w:r>
      <w:r>
        <w:fldChar w:fldCharType="end"/>
      </w:r>
      <w:r w:rsidRPr="003628EC">
        <w:t>.</w:t>
      </w:r>
    </w:p>
    <w:p w:rsidR="004D5CBC" w:rsidRPr="000871AF" w:rsidRDefault="004D5CBC" w:rsidP="004D32A6">
      <w:pPr>
        <w:pStyle w:val="Caption"/>
      </w:pPr>
      <w:bookmarkStart w:id="33" w:name="_Ref492995990"/>
      <w:bookmarkStart w:id="34" w:name="_Toc520996455"/>
      <w:r>
        <w:lastRenderedPageBreak/>
        <w:t xml:space="preserve">Table </w:t>
      </w:r>
      <w:r>
        <w:rPr>
          <w:noProof/>
        </w:rPr>
        <w:fldChar w:fldCharType="begin"/>
      </w:r>
      <w:r>
        <w:rPr>
          <w:noProof/>
        </w:rPr>
        <w:instrText xml:space="preserve"> STYLEREF 2 \s </w:instrText>
      </w:r>
      <w:r>
        <w:rPr>
          <w:noProof/>
        </w:rPr>
        <w:fldChar w:fldCharType="separate"/>
      </w:r>
      <w:r w:rsidR="00502BAD">
        <w:rPr>
          <w:noProof/>
        </w:rPr>
        <w:t>3</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1</w:t>
      </w:r>
      <w:r>
        <w:rPr>
          <w:noProof/>
        </w:rPr>
        <w:fldChar w:fldCharType="end"/>
      </w:r>
      <w:bookmarkEnd w:id="33"/>
      <w:r>
        <w:t xml:space="preserve"> Major Indonesian provinces where dragon fruit is grown</w:t>
      </w:r>
      <w:bookmarkEnd w:id="34"/>
    </w:p>
    <w:tbl>
      <w:tblPr>
        <w:tblStyle w:val="TableGrid"/>
        <w:tblW w:w="5000"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4535"/>
        <w:gridCol w:w="4535"/>
      </w:tblGrid>
      <w:tr w:rsidR="004D5CBC" w:rsidTr="004D32A6">
        <w:trPr>
          <w:cantSplit/>
          <w:tblHeader/>
        </w:trPr>
        <w:tc>
          <w:tcPr>
            <w:tcW w:w="2500" w:type="pct"/>
          </w:tcPr>
          <w:p w:rsidR="004D5CBC" w:rsidRPr="000871AF" w:rsidRDefault="004D5CBC" w:rsidP="004D32A6">
            <w:pPr>
              <w:pStyle w:val="TableHeading"/>
            </w:pPr>
            <w:r w:rsidRPr="000871AF">
              <w:t>Island</w:t>
            </w:r>
          </w:p>
        </w:tc>
        <w:tc>
          <w:tcPr>
            <w:tcW w:w="2500" w:type="pct"/>
          </w:tcPr>
          <w:p w:rsidR="004D5CBC" w:rsidRPr="000871AF" w:rsidRDefault="004D5CBC" w:rsidP="004D32A6">
            <w:pPr>
              <w:pStyle w:val="TableHeading"/>
            </w:pPr>
            <w:r w:rsidRPr="000871AF">
              <w:t>Province</w:t>
            </w:r>
          </w:p>
        </w:tc>
      </w:tr>
      <w:tr w:rsidR="004D5CBC" w:rsidTr="004D32A6">
        <w:trPr>
          <w:cantSplit/>
          <w:tblHeader/>
        </w:trPr>
        <w:tc>
          <w:tcPr>
            <w:tcW w:w="2500" w:type="pct"/>
            <w:vMerge w:val="restart"/>
            <w:vAlign w:val="center"/>
          </w:tcPr>
          <w:p w:rsidR="004D5CBC" w:rsidRDefault="004D5CBC" w:rsidP="004D32A6">
            <w:pPr>
              <w:pStyle w:val="TableText"/>
            </w:pPr>
            <w:r>
              <w:t>Borneo</w:t>
            </w:r>
          </w:p>
        </w:tc>
        <w:tc>
          <w:tcPr>
            <w:tcW w:w="2500" w:type="pct"/>
          </w:tcPr>
          <w:p w:rsidR="004D5CBC" w:rsidRDefault="004D5CBC" w:rsidP="004D32A6">
            <w:pPr>
              <w:pStyle w:val="TableText"/>
            </w:pPr>
            <w:r>
              <w:t>Central Kalimantan</w:t>
            </w:r>
          </w:p>
        </w:tc>
      </w:tr>
      <w:tr w:rsidR="004D5CBC" w:rsidTr="004D32A6">
        <w:trPr>
          <w:cantSplit/>
          <w:tblHeader/>
        </w:trPr>
        <w:tc>
          <w:tcPr>
            <w:tcW w:w="2500" w:type="pct"/>
            <w:vMerge/>
          </w:tcPr>
          <w:p w:rsidR="004D5CBC" w:rsidRDefault="004D5CBC" w:rsidP="004D32A6">
            <w:pPr>
              <w:pStyle w:val="TableText"/>
            </w:pPr>
          </w:p>
        </w:tc>
        <w:tc>
          <w:tcPr>
            <w:tcW w:w="2500" w:type="pct"/>
          </w:tcPr>
          <w:p w:rsidR="004D5CBC" w:rsidRDefault="004D5CBC" w:rsidP="004D32A6">
            <w:pPr>
              <w:pStyle w:val="TableText"/>
            </w:pPr>
            <w:r>
              <w:t>East Kalimantan</w:t>
            </w:r>
          </w:p>
        </w:tc>
      </w:tr>
      <w:tr w:rsidR="004D5CBC" w:rsidTr="004D32A6">
        <w:trPr>
          <w:cantSplit/>
          <w:tblHeader/>
        </w:trPr>
        <w:tc>
          <w:tcPr>
            <w:tcW w:w="2500" w:type="pct"/>
            <w:vMerge/>
          </w:tcPr>
          <w:p w:rsidR="004D5CBC" w:rsidRDefault="004D5CBC" w:rsidP="004D32A6">
            <w:pPr>
              <w:pStyle w:val="TableText"/>
            </w:pPr>
          </w:p>
        </w:tc>
        <w:tc>
          <w:tcPr>
            <w:tcW w:w="2500" w:type="pct"/>
          </w:tcPr>
          <w:p w:rsidR="004D5CBC" w:rsidRDefault="004D5CBC" w:rsidP="004D32A6">
            <w:pPr>
              <w:pStyle w:val="TableText"/>
            </w:pPr>
            <w:r>
              <w:t>South Kalimantan</w:t>
            </w:r>
          </w:p>
        </w:tc>
      </w:tr>
      <w:tr w:rsidR="004D5CBC" w:rsidTr="004D32A6">
        <w:trPr>
          <w:cantSplit/>
          <w:tblHeader/>
        </w:trPr>
        <w:tc>
          <w:tcPr>
            <w:tcW w:w="2500" w:type="pct"/>
            <w:vMerge/>
          </w:tcPr>
          <w:p w:rsidR="004D5CBC" w:rsidRDefault="004D5CBC" w:rsidP="004D32A6">
            <w:pPr>
              <w:pStyle w:val="TableText"/>
            </w:pPr>
          </w:p>
        </w:tc>
        <w:tc>
          <w:tcPr>
            <w:tcW w:w="2500" w:type="pct"/>
          </w:tcPr>
          <w:p w:rsidR="004D5CBC" w:rsidRDefault="004D5CBC" w:rsidP="004D32A6">
            <w:pPr>
              <w:pStyle w:val="TableText"/>
            </w:pPr>
            <w:r>
              <w:t>West Kalimantan</w:t>
            </w:r>
          </w:p>
        </w:tc>
      </w:tr>
      <w:tr w:rsidR="004D5CBC" w:rsidTr="004D32A6">
        <w:trPr>
          <w:cantSplit/>
          <w:tblHeader/>
        </w:trPr>
        <w:tc>
          <w:tcPr>
            <w:tcW w:w="2500" w:type="pct"/>
            <w:vMerge w:val="restart"/>
            <w:vAlign w:val="center"/>
          </w:tcPr>
          <w:p w:rsidR="004D5CBC" w:rsidRDefault="004D5CBC" w:rsidP="004D32A6">
            <w:pPr>
              <w:pStyle w:val="TableText"/>
            </w:pPr>
            <w:r>
              <w:t>Java</w:t>
            </w:r>
          </w:p>
        </w:tc>
        <w:tc>
          <w:tcPr>
            <w:tcW w:w="2500" w:type="pct"/>
          </w:tcPr>
          <w:p w:rsidR="004D5CBC" w:rsidRDefault="004D5CBC" w:rsidP="004D32A6">
            <w:pPr>
              <w:pStyle w:val="TableText"/>
            </w:pPr>
            <w:r>
              <w:t>Banten</w:t>
            </w:r>
          </w:p>
        </w:tc>
      </w:tr>
      <w:tr w:rsidR="004D5CBC" w:rsidTr="004D32A6">
        <w:trPr>
          <w:cantSplit/>
          <w:tblHeader/>
        </w:trPr>
        <w:tc>
          <w:tcPr>
            <w:tcW w:w="2500" w:type="pct"/>
            <w:vMerge/>
            <w:vAlign w:val="center"/>
          </w:tcPr>
          <w:p w:rsidR="004D5CBC" w:rsidRDefault="004D5CBC" w:rsidP="004D32A6">
            <w:pPr>
              <w:pStyle w:val="TableText"/>
            </w:pPr>
          </w:p>
        </w:tc>
        <w:tc>
          <w:tcPr>
            <w:tcW w:w="2500" w:type="pct"/>
          </w:tcPr>
          <w:p w:rsidR="004D5CBC" w:rsidRDefault="004D5CBC" w:rsidP="004D32A6">
            <w:pPr>
              <w:pStyle w:val="TableText"/>
            </w:pPr>
            <w:r>
              <w:t>Central Java</w:t>
            </w:r>
          </w:p>
        </w:tc>
      </w:tr>
      <w:tr w:rsidR="004D5CBC" w:rsidTr="004D32A6">
        <w:trPr>
          <w:cantSplit/>
          <w:tblHeader/>
        </w:trPr>
        <w:tc>
          <w:tcPr>
            <w:tcW w:w="2500" w:type="pct"/>
            <w:vMerge/>
            <w:vAlign w:val="center"/>
          </w:tcPr>
          <w:p w:rsidR="004D5CBC" w:rsidRDefault="004D5CBC" w:rsidP="004D32A6">
            <w:pPr>
              <w:pStyle w:val="TableText"/>
            </w:pPr>
          </w:p>
        </w:tc>
        <w:tc>
          <w:tcPr>
            <w:tcW w:w="2500" w:type="pct"/>
          </w:tcPr>
          <w:p w:rsidR="004D5CBC" w:rsidRDefault="004D5CBC" w:rsidP="004D32A6">
            <w:pPr>
              <w:pStyle w:val="TableText"/>
            </w:pPr>
            <w:r w:rsidRPr="0034473F">
              <w:t>Special Region of Yogyakarta (Daerah Istimewa Yogyakarta</w:t>
            </w:r>
            <w:r>
              <w:t xml:space="preserve"> (DIY)</w:t>
            </w:r>
            <w:r w:rsidRPr="0034473F">
              <w:t>)</w:t>
            </w:r>
          </w:p>
        </w:tc>
      </w:tr>
      <w:tr w:rsidR="004D5CBC" w:rsidTr="004D32A6">
        <w:trPr>
          <w:cantSplit/>
          <w:tblHeader/>
        </w:trPr>
        <w:tc>
          <w:tcPr>
            <w:tcW w:w="2500" w:type="pct"/>
            <w:vMerge/>
            <w:vAlign w:val="center"/>
          </w:tcPr>
          <w:p w:rsidR="004D5CBC" w:rsidRDefault="004D5CBC" w:rsidP="004D32A6">
            <w:pPr>
              <w:pStyle w:val="TableText"/>
            </w:pPr>
          </w:p>
        </w:tc>
        <w:tc>
          <w:tcPr>
            <w:tcW w:w="2500" w:type="pct"/>
          </w:tcPr>
          <w:p w:rsidR="004D5CBC" w:rsidRDefault="004D5CBC" w:rsidP="004D32A6">
            <w:pPr>
              <w:pStyle w:val="TableText"/>
            </w:pPr>
            <w:r>
              <w:t>East Java</w:t>
            </w:r>
          </w:p>
        </w:tc>
      </w:tr>
      <w:tr w:rsidR="004D5CBC" w:rsidTr="004D32A6">
        <w:trPr>
          <w:cantSplit/>
          <w:tblHeader/>
        </w:trPr>
        <w:tc>
          <w:tcPr>
            <w:tcW w:w="2500" w:type="pct"/>
            <w:vMerge/>
            <w:vAlign w:val="center"/>
          </w:tcPr>
          <w:p w:rsidR="004D5CBC" w:rsidRDefault="004D5CBC" w:rsidP="004D32A6">
            <w:pPr>
              <w:pStyle w:val="TableText"/>
            </w:pPr>
          </w:p>
        </w:tc>
        <w:tc>
          <w:tcPr>
            <w:tcW w:w="2500" w:type="pct"/>
          </w:tcPr>
          <w:p w:rsidR="004D5CBC" w:rsidRDefault="004D5CBC" w:rsidP="004D32A6">
            <w:pPr>
              <w:pStyle w:val="TableText"/>
            </w:pPr>
            <w:r>
              <w:t>West Java</w:t>
            </w:r>
          </w:p>
        </w:tc>
      </w:tr>
      <w:tr w:rsidR="004D5CBC" w:rsidTr="004D32A6">
        <w:trPr>
          <w:cantSplit/>
          <w:tblHeader/>
        </w:trPr>
        <w:tc>
          <w:tcPr>
            <w:tcW w:w="2500" w:type="pct"/>
            <w:vMerge w:val="restart"/>
            <w:vAlign w:val="center"/>
          </w:tcPr>
          <w:p w:rsidR="004D5CBC" w:rsidRDefault="004D5CBC" w:rsidP="004D32A6">
            <w:pPr>
              <w:pStyle w:val="TableText"/>
            </w:pPr>
            <w:r>
              <w:t>Sumatra</w:t>
            </w:r>
          </w:p>
        </w:tc>
        <w:tc>
          <w:tcPr>
            <w:tcW w:w="2500" w:type="pct"/>
          </w:tcPr>
          <w:p w:rsidR="004D5CBC" w:rsidRDefault="004D5CBC" w:rsidP="004D32A6">
            <w:pPr>
              <w:pStyle w:val="TableText"/>
            </w:pPr>
            <w:r>
              <w:t>Bengkulu</w:t>
            </w:r>
          </w:p>
        </w:tc>
      </w:tr>
      <w:tr w:rsidR="004D5CBC" w:rsidTr="004D32A6">
        <w:trPr>
          <w:cantSplit/>
          <w:tblHeader/>
        </w:trPr>
        <w:tc>
          <w:tcPr>
            <w:tcW w:w="2500" w:type="pct"/>
            <w:vMerge/>
            <w:vAlign w:val="center"/>
          </w:tcPr>
          <w:p w:rsidR="004D5CBC" w:rsidRDefault="004D5CBC" w:rsidP="004D32A6">
            <w:pPr>
              <w:pStyle w:val="TableText"/>
            </w:pPr>
          </w:p>
        </w:tc>
        <w:tc>
          <w:tcPr>
            <w:tcW w:w="2500" w:type="pct"/>
          </w:tcPr>
          <w:p w:rsidR="004D5CBC" w:rsidRDefault="004D5CBC" w:rsidP="004D32A6">
            <w:pPr>
              <w:pStyle w:val="TableText"/>
            </w:pPr>
            <w:r>
              <w:t>Jambi</w:t>
            </w:r>
          </w:p>
        </w:tc>
      </w:tr>
      <w:tr w:rsidR="004D5CBC" w:rsidTr="004D32A6">
        <w:trPr>
          <w:cantSplit/>
          <w:tblHeader/>
        </w:trPr>
        <w:tc>
          <w:tcPr>
            <w:tcW w:w="2500" w:type="pct"/>
            <w:vMerge/>
            <w:vAlign w:val="center"/>
          </w:tcPr>
          <w:p w:rsidR="004D5CBC" w:rsidRDefault="004D5CBC" w:rsidP="004D32A6">
            <w:pPr>
              <w:pStyle w:val="TableText"/>
            </w:pPr>
          </w:p>
        </w:tc>
        <w:tc>
          <w:tcPr>
            <w:tcW w:w="2500" w:type="pct"/>
          </w:tcPr>
          <w:p w:rsidR="004D5CBC" w:rsidRDefault="004D5CBC" w:rsidP="004D32A6">
            <w:pPr>
              <w:pStyle w:val="TableText"/>
            </w:pPr>
            <w:r>
              <w:t>Lampung</w:t>
            </w:r>
          </w:p>
        </w:tc>
      </w:tr>
      <w:tr w:rsidR="004D5CBC" w:rsidTr="004D32A6">
        <w:trPr>
          <w:cantSplit/>
          <w:tblHeader/>
        </w:trPr>
        <w:tc>
          <w:tcPr>
            <w:tcW w:w="2500" w:type="pct"/>
            <w:vMerge/>
            <w:vAlign w:val="center"/>
          </w:tcPr>
          <w:p w:rsidR="004D5CBC" w:rsidRDefault="004D5CBC" w:rsidP="004D32A6">
            <w:pPr>
              <w:pStyle w:val="TableText"/>
            </w:pPr>
          </w:p>
        </w:tc>
        <w:tc>
          <w:tcPr>
            <w:tcW w:w="2500" w:type="pct"/>
          </w:tcPr>
          <w:p w:rsidR="004D5CBC" w:rsidRDefault="004D5CBC" w:rsidP="004D32A6">
            <w:pPr>
              <w:pStyle w:val="TableText"/>
            </w:pPr>
            <w:r>
              <w:t>South Sumatra</w:t>
            </w:r>
          </w:p>
        </w:tc>
      </w:tr>
      <w:tr w:rsidR="004D5CBC" w:rsidTr="004D32A6">
        <w:trPr>
          <w:cantSplit/>
          <w:tblHeader/>
        </w:trPr>
        <w:tc>
          <w:tcPr>
            <w:tcW w:w="2500" w:type="pct"/>
            <w:vMerge/>
            <w:vAlign w:val="center"/>
          </w:tcPr>
          <w:p w:rsidR="004D5CBC" w:rsidRDefault="004D5CBC" w:rsidP="004D32A6">
            <w:pPr>
              <w:pStyle w:val="TableText"/>
            </w:pPr>
          </w:p>
        </w:tc>
        <w:tc>
          <w:tcPr>
            <w:tcW w:w="2500" w:type="pct"/>
          </w:tcPr>
          <w:p w:rsidR="004D5CBC" w:rsidRDefault="004D5CBC" w:rsidP="004D32A6">
            <w:pPr>
              <w:pStyle w:val="TableText"/>
            </w:pPr>
            <w:r>
              <w:t>West Sumatra</w:t>
            </w:r>
          </w:p>
        </w:tc>
      </w:tr>
      <w:tr w:rsidR="004D5CBC" w:rsidTr="004D32A6">
        <w:trPr>
          <w:cantSplit/>
          <w:tblHeader/>
        </w:trPr>
        <w:tc>
          <w:tcPr>
            <w:tcW w:w="2500" w:type="pct"/>
            <w:vAlign w:val="center"/>
          </w:tcPr>
          <w:p w:rsidR="004D5CBC" w:rsidRDefault="004D5CBC" w:rsidP="004D32A6">
            <w:pPr>
              <w:pStyle w:val="TableText"/>
            </w:pPr>
            <w:r>
              <w:t>Sulawesi</w:t>
            </w:r>
          </w:p>
        </w:tc>
        <w:tc>
          <w:tcPr>
            <w:tcW w:w="2500" w:type="pct"/>
          </w:tcPr>
          <w:p w:rsidR="004D5CBC" w:rsidRDefault="004D5CBC" w:rsidP="004D32A6">
            <w:pPr>
              <w:pStyle w:val="TableText"/>
            </w:pPr>
            <w:r>
              <w:t>South East Sulawesi</w:t>
            </w:r>
          </w:p>
        </w:tc>
      </w:tr>
      <w:tr w:rsidR="004D5CBC" w:rsidTr="00EC0950">
        <w:trPr>
          <w:cantSplit/>
          <w:tblHeader/>
        </w:trPr>
        <w:tc>
          <w:tcPr>
            <w:tcW w:w="2500" w:type="pct"/>
            <w:vAlign w:val="center"/>
          </w:tcPr>
          <w:p w:rsidR="004D5CBC" w:rsidRDefault="004D5CBC" w:rsidP="000871AF">
            <w:pPr>
              <w:pStyle w:val="TableText"/>
            </w:pPr>
            <w:r>
              <w:t>Bali</w:t>
            </w:r>
          </w:p>
        </w:tc>
        <w:tc>
          <w:tcPr>
            <w:tcW w:w="2500" w:type="pct"/>
          </w:tcPr>
          <w:p w:rsidR="004D5CBC" w:rsidRDefault="004D5CBC" w:rsidP="000871AF">
            <w:pPr>
              <w:pStyle w:val="TableText"/>
            </w:pPr>
            <w:r>
              <w:t>Bali</w:t>
            </w:r>
          </w:p>
        </w:tc>
      </w:tr>
      <w:tr w:rsidR="004D5CBC" w:rsidTr="004D32A6">
        <w:trPr>
          <w:cantSplit/>
          <w:tblHeader/>
        </w:trPr>
        <w:tc>
          <w:tcPr>
            <w:tcW w:w="2500" w:type="pct"/>
            <w:vMerge w:val="restart"/>
            <w:vAlign w:val="center"/>
          </w:tcPr>
          <w:p w:rsidR="004D5CBC" w:rsidRPr="004D32A6" w:rsidRDefault="004D5CBC" w:rsidP="00E871EE">
            <w:pPr>
              <w:pStyle w:val="TableText"/>
              <w:rPr>
                <w:i/>
                <w:iCs/>
              </w:rPr>
            </w:pPr>
            <w:r>
              <w:rPr>
                <w:i/>
                <w:iCs/>
              </w:rPr>
              <w:t>Multiple islands within an individual province</w:t>
            </w:r>
          </w:p>
        </w:tc>
        <w:tc>
          <w:tcPr>
            <w:tcW w:w="2500" w:type="pct"/>
          </w:tcPr>
          <w:p w:rsidR="004D5CBC" w:rsidRDefault="004D5CBC" w:rsidP="004D32A6">
            <w:pPr>
              <w:pStyle w:val="TableText"/>
            </w:pPr>
            <w:r>
              <w:t>East Nusa Tenggara</w:t>
            </w:r>
          </w:p>
        </w:tc>
      </w:tr>
      <w:tr w:rsidR="004D5CBC" w:rsidTr="004D32A6">
        <w:trPr>
          <w:cantSplit/>
          <w:tblHeader/>
        </w:trPr>
        <w:tc>
          <w:tcPr>
            <w:tcW w:w="2500" w:type="pct"/>
            <w:vMerge/>
            <w:vAlign w:val="center"/>
          </w:tcPr>
          <w:p w:rsidR="004D5CBC" w:rsidRDefault="004D5CBC" w:rsidP="004D32A6">
            <w:pPr>
              <w:pStyle w:val="TableText"/>
            </w:pPr>
          </w:p>
        </w:tc>
        <w:tc>
          <w:tcPr>
            <w:tcW w:w="2500" w:type="pct"/>
          </w:tcPr>
          <w:p w:rsidR="004D5CBC" w:rsidRDefault="004D5CBC" w:rsidP="004D32A6">
            <w:pPr>
              <w:pStyle w:val="TableText"/>
            </w:pPr>
            <w:r>
              <w:t>West Nusa Tenggara</w:t>
            </w:r>
          </w:p>
        </w:tc>
      </w:tr>
    </w:tbl>
    <w:p w:rsidR="004D5CBC" w:rsidRDefault="004D5CBC" w:rsidP="004D32A6">
      <w:pPr>
        <w:pStyle w:val="FigureTableNoteSource"/>
      </w:pPr>
      <w:r>
        <w:t>Information on dragon fruit growing areas in Indonesia acquired from various sources (presentation by IAQA of 17 April 2017</w:t>
      </w:r>
      <w:r w:rsidR="00612744">
        <w:t xml:space="preserve">; </w:t>
      </w:r>
      <w:r>
        <w:rPr>
          <w:noProof/>
        </w:rPr>
        <w:t>IAQA 2016; Muas &amp; Jumjunidang 2015)</w:t>
      </w:r>
      <w:r>
        <w:t>.</w:t>
      </w:r>
    </w:p>
    <w:p w:rsidR="004D5CBC" w:rsidRDefault="004D5CBC" w:rsidP="00FB43AC">
      <w:r>
        <w:t xml:space="preserve">Dragon fruit has been grown in Indonesia for domestic markets since 2000 </w:t>
      </w:r>
      <w:r>
        <w:rPr>
          <w:noProof/>
        </w:rPr>
        <w:t>(Muas &amp; Jumjunidang 2015)</w:t>
      </w:r>
      <w:r>
        <w:t>,</w:t>
      </w:r>
      <w:r w:rsidRPr="00205D1C">
        <w:t xml:space="preserve"> </w:t>
      </w:r>
      <w:r>
        <w:t>with relatively small volumes of up to</w:t>
      </w:r>
      <w:r w:rsidRPr="00205D1C">
        <w:t xml:space="preserve"> </w:t>
      </w:r>
      <w:r>
        <w:t>50 tonnes exported annually since</w:t>
      </w:r>
      <w:r w:rsidRPr="00205D1C">
        <w:t xml:space="preserve"> 2013</w:t>
      </w:r>
      <w:r>
        <w:t xml:space="preserve"> </w:t>
      </w:r>
      <w:r>
        <w:rPr>
          <w:noProof/>
        </w:rPr>
        <w:t>(ITC Comtrade 2016)</w:t>
      </w:r>
      <w:r>
        <w:t>.</w:t>
      </w:r>
    </w:p>
    <w:p w:rsidR="004D5CBC" w:rsidRDefault="004D5CBC" w:rsidP="00FB43AC">
      <w:r>
        <w:t>Most dragon fruit farms in Indonesia are small-scale farming operations, which can be incorporated into farming groups. These farms typically range in size from 0.01–0.25 Ha and are registered by the agricultural provincial offices</w:t>
      </w:r>
      <w:r w:rsidRPr="007A62B7">
        <w:t xml:space="preserve"> </w:t>
      </w:r>
      <w:r>
        <w:t xml:space="preserve">of the Ministry of Agriculture (MOA), </w:t>
      </w:r>
      <w:r w:rsidRPr="007A5B96">
        <w:t xml:space="preserve">based on the MOA </w:t>
      </w:r>
      <w:r>
        <w:t>INDO</w:t>
      </w:r>
      <w:r w:rsidRPr="007A5B96">
        <w:t>-GAP regulations 48 and 62 within Indonesia’s agricultural regulation framework. These regulations outline requirements for traceability systems, integrated pest management and standard operating procedures on farms.</w:t>
      </w:r>
      <w:r>
        <w:t xml:space="preserve"> Registration is valid for two years with stringent compliance obligations and suspension of the registered farm in the event of non</w:t>
      </w:r>
      <w:r>
        <w:noBreakHyphen/>
        <w:t>compliance.</w:t>
      </w:r>
    </w:p>
    <w:p w:rsidR="004D5CBC" w:rsidRDefault="004D5CBC" w:rsidP="00F57510">
      <w:pPr>
        <w:pStyle w:val="Caption"/>
      </w:pPr>
      <w:bookmarkStart w:id="35" w:name="_Ref492996127"/>
      <w:bookmarkStart w:id="36" w:name="_Toc520996460"/>
      <w:r>
        <w:lastRenderedPageBreak/>
        <w:t xml:space="preserve">Map </w:t>
      </w:r>
      <w:r>
        <w:rPr>
          <w:noProof/>
        </w:rPr>
        <w:fldChar w:fldCharType="begin"/>
      </w:r>
      <w:r>
        <w:rPr>
          <w:noProof/>
        </w:rPr>
        <w:instrText xml:space="preserve"> SEQ Map \* ARABIC </w:instrText>
      </w:r>
      <w:r>
        <w:rPr>
          <w:noProof/>
        </w:rPr>
        <w:fldChar w:fldCharType="separate"/>
      </w:r>
      <w:r w:rsidR="00502BAD">
        <w:rPr>
          <w:noProof/>
        </w:rPr>
        <w:t>1</w:t>
      </w:r>
      <w:r>
        <w:rPr>
          <w:noProof/>
        </w:rPr>
        <w:fldChar w:fldCharType="end"/>
      </w:r>
      <w:bookmarkEnd w:id="35"/>
      <w:r w:rsidRPr="00F57510">
        <w:t xml:space="preserve"> Main dragon fruit production areas in Indonesia (shown in green)</w:t>
      </w:r>
      <w:bookmarkEnd w:id="36"/>
    </w:p>
    <w:p w:rsidR="004D5CBC" w:rsidRPr="00EE62A7" w:rsidRDefault="004D5CBC" w:rsidP="005D6394">
      <w:r>
        <w:rPr>
          <w:noProof/>
          <w:lang w:eastAsia="en-AU"/>
        </w:rPr>
        <w:drawing>
          <wp:inline distT="0" distB="0" distL="0" distR="0" wp14:anchorId="3FF5869B" wp14:editId="4195CEA9">
            <wp:extent cx="5759448" cy="3144961"/>
            <wp:effectExtent l="0" t="0" r="0" b="0"/>
            <wp:docPr id="25" name="Picture 25" descr="Map image showing Dragon fruit growing areas in Green as; West Sumatra Jambi, Bengkulu, South Sumatra, Lampung, West Kalimantan, Central Kalimantan, South Kalimantan, South East Sulawesi, Banten, West Java, Central Java, Daerah Istimewa Yogyakarta, East Java and Bali. Other provinces are coloured cream, and other countries are coloured brown. " title="Map of Indonesian dragon fruit produc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9448" cy="3144961"/>
                    </a:xfrm>
                    <a:prstGeom prst="rect">
                      <a:avLst/>
                    </a:prstGeom>
                    <a:noFill/>
                    <a:ln>
                      <a:noFill/>
                    </a:ln>
                  </pic:spPr>
                </pic:pic>
              </a:graphicData>
            </a:graphic>
          </wp:inline>
        </w:drawing>
      </w:r>
    </w:p>
    <w:p w:rsidR="004D5CBC" w:rsidRDefault="004D5CBC" w:rsidP="005D6394">
      <w:pPr>
        <w:pStyle w:val="FigureTableNoteSource"/>
      </w:pPr>
      <w:r>
        <w:t xml:space="preserve">Source: </w:t>
      </w:r>
      <w:hyperlink r:id="rId25" w:history="1">
        <w:r w:rsidRPr="00AE40A9">
          <w:rPr>
            <w:rStyle w:val="Hyperlink"/>
          </w:rPr>
          <w:t>indonesia-tourism.com/map/indonesia-map.html</w:t>
        </w:r>
      </w:hyperlink>
      <w:r>
        <w:t xml:space="preserve">. Modified based on information provided by </w:t>
      </w:r>
      <w:r>
        <w:rPr>
          <w:noProof/>
        </w:rPr>
        <w:t>IAQA (2016)</w:t>
      </w:r>
    </w:p>
    <w:p w:rsidR="004D5CBC" w:rsidRDefault="004D5CBC" w:rsidP="004D5CBC">
      <w:pPr>
        <w:pStyle w:val="Heading3"/>
        <w:numPr>
          <w:ilvl w:val="1"/>
          <w:numId w:val="11"/>
        </w:numPr>
      </w:pPr>
      <w:bookmarkStart w:id="37" w:name="_Toc520996422"/>
      <w:r>
        <w:t>Climate in production areas</w:t>
      </w:r>
      <w:bookmarkEnd w:id="32"/>
      <w:bookmarkEnd w:id="37"/>
    </w:p>
    <w:p w:rsidR="004D5CBC" w:rsidRDefault="004D5CBC" w:rsidP="00B60A47">
      <w:bookmarkStart w:id="38" w:name="_Toc384979281"/>
      <w:bookmarkStart w:id="39" w:name="_Toc384979290"/>
      <w:r>
        <w:t xml:space="preserve">Indonesia is an extensive archipelago comprising more than 13,000 islands straddling the equator and extending more than 5,000 kilometres from east to west </w:t>
      </w:r>
      <w:r>
        <w:rPr>
          <w:noProof/>
        </w:rPr>
        <w:t>(Hays 2013)</w:t>
      </w:r>
      <w:r w:rsidRPr="003A2635">
        <w:t>.</w:t>
      </w:r>
      <w:r>
        <w:t xml:space="preserve"> Because of its proximity to the equator and being surrounded by considerable volumes of water, Indonesia’s climate is characterised as marine equatorial and comprising two major seasons—a rainy monsoon season and a hot dry season.</w:t>
      </w:r>
    </w:p>
    <w:p w:rsidR="004D5CBC" w:rsidRDefault="004D5CBC" w:rsidP="0006715B">
      <w:pPr>
        <w:rPr>
          <w:rFonts w:ascii="Calibri" w:hAnsi="Calibri"/>
          <w:sz w:val="18"/>
        </w:rPr>
      </w:pPr>
      <w:r>
        <w:t>Air temperatures vary little from season to season or between regions, with temperatures averaging 28 °C on the coastal plains, 26 °C in inland and mountain areas, and 23 °C in the higher mountain regions. The main variable in Indonesia’s climate is rainfall, but this varies greatly across growing districts (</w:t>
      </w:r>
      <w:r>
        <w:fldChar w:fldCharType="begin"/>
      </w:r>
      <w:r>
        <w:instrText xml:space="preserve"> REF _Ref492995948 \h </w:instrText>
      </w:r>
      <w:r>
        <w:fldChar w:fldCharType="separate"/>
      </w:r>
      <w:r w:rsidR="00502BAD">
        <w:t xml:space="preserve">Figure </w:t>
      </w:r>
      <w:r w:rsidR="00502BAD">
        <w:rPr>
          <w:noProof/>
        </w:rPr>
        <w:t>2</w:t>
      </w:r>
      <w:r>
        <w:fldChar w:fldCharType="end"/>
      </w:r>
      <w:r>
        <w:t>). The wet season for most of Indonesia is from September to March or, depending on the region,</w:t>
      </w:r>
      <w:r w:rsidR="00612744">
        <w:t xml:space="preserve"> can extend to June;</w:t>
      </w:r>
      <w:r>
        <w:t xml:space="preserve"> the dry season is correspondingly from March or June </w:t>
      </w:r>
      <w:r w:rsidR="00612744">
        <w:t xml:space="preserve">through </w:t>
      </w:r>
      <w:r>
        <w:t>to September. Rainfall in the northern and western areas of Indonesia is typically caused by monsoonal winds from the north east, while the dry periods experienced by areas to the east of central Java are the result of dry winds coming from Australia.</w:t>
      </w:r>
      <w:bookmarkEnd w:id="38"/>
      <w:bookmarkEnd w:id="39"/>
      <w:r>
        <w:br w:type="page"/>
      </w:r>
    </w:p>
    <w:p w:rsidR="004D5CBC" w:rsidRDefault="004D5CBC" w:rsidP="00EE62A7">
      <w:pPr>
        <w:pStyle w:val="Caption"/>
      </w:pPr>
      <w:bookmarkStart w:id="40" w:name="_Ref492995948"/>
      <w:bookmarkStart w:id="41" w:name="_Toc384979255"/>
      <w:bookmarkStart w:id="42" w:name="_Toc384979282"/>
      <w:bookmarkStart w:id="43" w:name="_Toc389741469"/>
      <w:bookmarkStart w:id="44" w:name="_Toc520996442"/>
      <w:r>
        <w:lastRenderedPageBreak/>
        <w:t xml:space="preserve">Figure </w:t>
      </w:r>
      <w:r>
        <w:rPr>
          <w:noProof/>
        </w:rPr>
        <w:fldChar w:fldCharType="begin"/>
      </w:r>
      <w:r>
        <w:rPr>
          <w:noProof/>
        </w:rPr>
        <w:instrText xml:space="preserve"> SEQ Figure \* ARABIC </w:instrText>
      </w:r>
      <w:r>
        <w:rPr>
          <w:noProof/>
        </w:rPr>
        <w:fldChar w:fldCharType="separate"/>
      </w:r>
      <w:r w:rsidR="00502BAD">
        <w:rPr>
          <w:noProof/>
        </w:rPr>
        <w:t>2</w:t>
      </w:r>
      <w:r>
        <w:rPr>
          <w:noProof/>
        </w:rPr>
        <w:fldChar w:fldCharType="end"/>
      </w:r>
      <w:bookmarkEnd w:id="40"/>
      <w:r>
        <w:t xml:space="preserve"> Mean monthly maximum and minimum temperatures and mean monthly rainfall in main dragon fruit production </w:t>
      </w:r>
      <w:bookmarkEnd w:id="41"/>
      <w:bookmarkEnd w:id="42"/>
      <w:bookmarkEnd w:id="43"/>
      <w:r>
        <w:t>districts</w:t>
      </w:r>
      <w:bookmarkEnd w:id="44"/>
    </w:p>
    <w:p w:rsidR="004D5CBC" w:rsidRDefault="004D5CBC" w:rsidP="005B6FF9">
      <w:bookmarkStart w:id="45" w:name="_Toc389741448"/>
      <w:r>
        <w:rPr>
          <w:noProof/>
          <w:lang w:eastAsia="en-AU"/>
        </w:rPr>
        <w:drawing>
          <wp:inline distT="0" distB="0" distL="0" distR="0" wp14:anchorId="244EC9AB" wp14:editId="6D6F70D8">
            <wp:extent cx="5898982" cy="7234487"/>
            <wp:effectExtent l="0" t="0" r="6985" b="5080"/>
            <wp:docPr id="18" name="Picture 18" descr="Individual graphs of mean minimum and maximum monthly temperature, as well as mean monthly precipitation for the districts; Banyuwangi, Kutai Kertanegara, Kutai Barat, Kota Balikpapan, Tanah Laut, Sleman and Jember. " title="Graphs of climate in growing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98982" cy="7234487"/>
                    </a:xfrm>
                    <a:prstGeom prst="rect">
                      <a:avLst/>
                    </a:prstGeom>
                  </pic:spPr>
                </pic:pic>
              </a:graphicData>
            </a:graphic>
          </wp:inline>
        </w:drawing>
      </w:r>
    </w:p>
    <w:p w:rsidR="004D5CBC" w:rsidRPr="00790A19" w:rsidRDefault="004D5CBC" w:rsidP="0006715B">
      <w:pPr>
        <w:pStyle w:val="FigureTableNoteSource"/>
      </w:pPr>
      <w:r w:rsidRPr="00947494">
        <w:t>Source:</w:t>
      </w:r>
      <w:r>
        <w:t xml:space="preserve"> </w:t>
      </w:r>
      <w:r>
        <w:rPr>
          <w:noProof/>
        </w:rPr>
        <w:t>(Climate-data.org 2017; World Weather Online 2017)</w:t>
      </w:r>
      <w:r>
        <w:br w:type="page"/>
      </w:r>
    </w:p>
    <w:p w:rsidR="004D5CBC" w:rsidRDefault="004D5CBC" w:rsidP="004D5CBC">
      <w:pPr>
        <w:pStyle w:val="Heading3"/>
        <w:numPr>
          <w:ilvl w:val="1"/>
          <w:numId w:val="11"/>
        </w:numPr>
      </w:pPr>
      <w:bookmarkStart w:id="46" w:name="_Toc520996423"/>
      <w:r>
        <w:lastRenderedPageBreak/>
        <w:t>Pre-harvest</w:t>
      </w:r>
      <w:bookmarkEnd w:id="45"/>
      <w:bookmarkEnd w:id="46"/>
    </w:p>
    <w:p w:rsidR="004D5CBC" w:rsidRDefault="004D5CBC" w:rsidP="004D5CBC">
      <w:pPr>
        <w:pStyle w:val="Heading4"/>
        <w:numPr>
          <w:ilvl w:val="2"/>
          <w:numId w:val="11"/>
        </w:numPr>
      </w:pPr>
      <w:r>
        <w:t>Species in cultivation</w:t>
      </w:r>
    </w:p>
    <w:p w:rsidR="004D5CBC" w:rsidRDefault="004D5CBC" w:rsidP="00845996">
      <w:r>
        <w:t>A</w:t>
      </w:r>
      <w:r w:rsidRPr="001431B5">
        <w:t>ll species</w:t>
      </w:r>
      <w:r>
        <w:t xml:space="preserve"> of dragon fruit</w:t>
      </w:r>
      <w:r w:rsidRPr="001431B5">
        <w:t xml:space="preserve"> display certain similar fruit character</w:t>
      </w:r>
      <w:r>
        <w:t>istic</w:t>
      </w:r>
      <w:r w:rsidRPr="001431B5">
        <w:t>s. The</w:t>
      </w:r>
      <w:r>
        <w:t xml:space="preserve"> fruit</w:t>
      </w:r>
      <w:r w:rsidRPr="001431B5">
        <w:t xml:space="preserve"> is consistently spherical or oval shaped with waxy skin </w:t>
      </w:r>
      <w:r>
        <w:t>from which numerous</w:t>
      </w:r>
      <w:r w:rsidRPr="001431B5">
        <w:t xml:space="preserve"> bracts protrud</w:t>
      </w:r>
      <w:r>
        <w:t>e</w:t>
      </w:r>
      <w:r w:rsidRPr="001431B5">
        <w:t xml:space="preserve"> over the </w:t>
      </w:r>
      <w:r>
        <w:t xml:space="preserve">whole </w:t>
      </w:r>
      <w:r w:rsidRPr="001431B5">
        <w:t xml:space="preserve">fruit. At the tip of the fruit is a flower end pit and the base </w:t>
      </w:r>
      <w:r>
        <w:t xml:space="preserve">at the other end </w:t>
      </w:r>
      <w:r w:rsidRPr="001431B5">
        <w:t xml:space="preserve">is connected directly to the plant stem. The fruit flesh is uniform and evenly filled with small edible black seeds </w:t>
      </w:r>
      <w:r>
        <w:rPr>
          <w:noProof/>
        </w:rPr>
        <w:t>(Le Bellec, Vaillant &amp; Imbert 2006)</w:t>
      </w:r>
      <w:r>
        <w:t>.</w:t>
      </w:r>
      <w:r w:rsidRPr="001431B5">
        <w:t xml:space="preserve"> </w:t>
      </w:r>
      <w:r>
        <w:t>The main species of dragon fruit grown in Indonesia are</w:t>
      </w:r>
      <w:r w:rsidRPr="00952B6C">
        <w:rPr>
          <w:i/>
        </w:rPr>
        <w:t xml:space="preserve"> </w:t>
      </w:r>
      <w:r>
        <w:rPr>
          <w:i/>
        </w:rPr>
        <w:t xml:space="preserve">Hylocereus monacanthus </w:t>
      </w:r>
      <w:r>
        <w:rPr>
          <w:iCs/>
        </w:rPr>
        <w:t xml:space="preserve">(synonym </w:t>
      </w:r>
      <w:r w:rsidRPr="00952B6C">
        <w:rPr>
          <w:i/>
        </w:rPr>
        <w:t>H</w:t>
      </w:r>
      <w:r>
        <w:rPr>
          <w:i/>
        </w:rPr>
        <w:t>. polyrhizus</w:t>
      </w:r>
      <w:r>
        <w:t>),</w:t>
      </w:r>
      <w:r w:rsidRPr="00952B6C">
        <w:t xml:space="preserve"> </w:t>
      </w:r>
      <w:r w:rsidRPr="00952B6C">
        <w:rPr>
          <w:i/>
        </w:rPr>
        <w:t>H. costaricensis</w:t>
      </w:r>
      <w:r>
        <w:rPr>
          <w:i/>
        </w:rPr>
        <w:t xml:space="preserve"> </w:t>
      </w:r>
      <w:r>
        <w:t xml:space="preserve">and </w:t>
      </w:r>
      <w:r w:rsidRPr="004D32A6">
        <w:rPr>
          <w:i/>
        </w:rPr>
        <w:t>H.</w:t>
      </w:r>
      <w:r>
        <w:rPr>
          <w:i/>
        </w:rPr>
        <w:t> </w:t>
      </w:r>
      <w:r w:rsidRPr="004D32A6">
        <w:rPr>
          <w:i/>
        </w:rPr>
        <w:t>undatus</w:t>
      </w:r>
      <w:r w:rsidRPr="00952B6C">
        <w:t xml:space="preserve">. </w:t>
      </w:r>
      <w:r>
        <w:t xml:space="preserve">Indonesia intends to primarily export fruit of these species to Australia </w:t>
      </w:r>
      <w:r>
        <w:rPr>
          <w:noProof/>
        </w:rPr>
        <w:t>(IAQA 2016)</w:t>
      </w:r>
      <w:r>
        <w:t>.</w:t>
      </w:r>
    </w:p>
    <w:p w:rsidR="004D5CBC" w:rsidRPr="004D32A6" w:rsidRDefault="004D5CBC" w:rsidP="00845996">
      <w:pPr>
        <w:pStyle w:val="Heading5"/>
        <w:rPr>
          <w:rFonts w:asciiTheme="minorHAnsi" w:hAnsiTheme="minorHAnsi"/>
          <w:i/>
          <w:sz w:val="24"/>
          <w:szCs w:val="24"/>
        </w:rPr>
      </w:pPr>
      <w:r w:rsidRPr="004D32A6">
        <w:rPr>
          <w:rFonts w:asciiTheme="minorHAnsi" w:hAnsiTheme="minorHAnsi"/>
          <w:i/>
          <w:sz w:val="24"/>
          <w:szCs w:val="24"/>
        </w:rPr>
        <w:t>Hylocereus monacanthus</w:t>
      </w:r>
    </w:p>
    <w:p w:rsidR="004D5CBC" w:rsidRPr="007F3A08" w:rsidRDefault="004D5CBC" w:rsidP="002727B5">
      <w:r w:rsidRPr="004D32A6">
        <w:t xml:space="preserve">Fruit of </w:t>
      </w:r>
      <w:r w:rsidRPr="004D32A6">
        <w:rPr>
          <w:i/>
        </w:rPr>
        <w:t>H</w:t>
      </w:r>
      <w:r>
        <w:rPr>
          <w:i/>
        </w:rPr>
        <w:t>. </w:t>
      </w:r>
      <w:r w:rsidRPr="004D32A6">
        <w:rPr>
          <w:i/>
        </w:rPr>
        <w:t>monacanthus</w:t>
      </w:r>
      <w:r w:rsidRPr="004D32A6">
        <w:t xml:space="preserve"> have red skin and red flesh. The fruit is slightly oblong in shape and typically grows to between 10</w:t>
      </w:r>
      <w:r>
        <w:t>–</w:t>
      </w:r>
      <w:r w:rsidRPr="004D32A6">
        <w:t>20</w:t>
      </w:r>
      <w:r>
        <w:t> </w:t>
      </w:r>
      <w:r w:rsidRPr="004D32A6">
        <w:t>centimetres long</w:t>
      </w:r>
      <w:r>
        <w:t xml:space="preserve"> and</w:t>
      </w:r>
      <w:r w:rsidRPr="004D32A6">
        <w:t xml:space="preserve"> 150–400</w:t>
      </w:r>
      <w:r>
        <w:t> </w:t>
      </w:r>
      <w:r w:rsidRPr="004D32A6">
        <w:t>grams</w:t>
      </w:r>
      <w:r>
        <w:t xml:space="preserve"> in weight</w:t>
      </w:r>
      <w:r w:rsidRPr="004D32A6">
        <w:t>. The stems of the plant itself are slender. Flowers grow to 25</w:t>
      </w:r>
      <w:r>
        <w:t> </w:t>
      </w:r>
      <w:r w:rsidRPr="004D32A6">
        <w:t xml:space="preserve">centimetres and have petals with red margins </w:t>
      </w:r>
      <w:r>
        <w:rPr>
          <w:noProof/>
        </w:rPr>
        <w:t>(Le Bellec, Vaillant &amp; Imbert 2006)</w:t>
      </w:r>
      <w:r>
        <w:t>.</w:t>
      </w:r>
    </w:p>
    <w:p w:rsidR="004D5CBC" w:rsidRPr="004D32A6" w:rsidRDefault="004D5CBC" w:rsidP="00845996">
      <w:pPr>
        <w:pStyle w:val="Heading5"/>
        <w:rPr>
          <w:rFonts w:asciiTheme="minorHAnsi" w:hAnsiTheme="minorHAnsi"/>
          <w:i/>
          <w:sz w:val="24"/>
          <w:szCs w:val="24"/>
        </w:rPr>
      </w:pPr>
      <w:r w:rsidRPr="004D32A6">
        <w:rPr>
          <w:rFonts w:asciiTheme="minorHAnsi" w:hAnsiTheme="minorHAnsi"/>
          <w:i/>
          <w:sz w:val="24"/>
          <w:szCs w:val="24"/>
        </w:rPr>
        <w:t>Hylocereus costaricensis</w:t>
      </w:r>
    </w:p>
    <w:p w:rsidR="004D5CBC" w:rsidRPr="007F3A08" w:rsidRDefault="004D5CBC" w:rsidP="002727B5">
      <w:r w:rsidRPr="004D32A6">
        <w:t xml:space="preserve">Fruit of </w:t>
      </w:r>
      <w:r w:rsidRPr="004D32A6">
        <w:rPr>
          <w:i/>
        </w:rPr>
        <w:t>H</w:t>
      </w:r>
      <w:r>
        <w:rPr>
          <w:i/>
        </w:rPr>
        <w:t>. </w:t>
      </w:r>
      <w:r w:rsidRPr="004D32A6">
        <w:rPr>
          <w:i/>
        </w:rPr>
        <w:t>costaricensis</w:t>
      </w:r>
      <w:r w:rsidRPr="004D32A6">
        <w:t xml:space="preserve"> have scarlet coloured skin with reddish purple flesh. The fruit is ovoid in shape and grow</w:t>
      </w:r>
      <w:r>
        <w:t>s</w:t>
      </w:r>
      <w:r w:rsidRPr="004D32A6">
        <w:t xml:space="preserve"> to between 10</w:t>
      </w:r>
      <w:r>
        <w:t>–</w:t>
      </w:r>
      <w:r w:rsidRPr="004D32A6">
        <w:t>15</w:t>
      </w:r>
      <w:r>
        <w:t> </w:t>
      </w:r>
      <w:r w:rsidRPr="004D32A6">
        <w:t xml:space="preserve">centimetres in diameter </w:t>
      </w:r>
      <w:r>
        <w:t>and</w:t>
      </w:r>
      <w:r w:rsidRPr="004D32A6">
        <w:t xml:space="preserve"> 250</w:t>
      </w:r>
      <w:r>
        <w:t>–</w:t>
      </w:r>
      <w:r w:rsidRPr="004D32A6">
        <w:t>600</w:t>
      </w:r>
      <w:r>
        <w:t> </w:t>
      </w:r>
      <w:r w:rsidRPr="004D32A6">
        <w:t>grams</w:t>
      </w:r>
      <w:r>
        <w:t xml:space="preserve"> in weight</w:t>
      </w:r>
      <w:r w:rsidRPr="004D32A6">
        <w:t>. Flowers are 25</w:t>
      </w:r>
      <w:r>
        <w:t>–30 </w:t>
      </w:r>
      <w:r w:rsidRPr="004D32A6">
        <w:t xml:space="preserve">centimetres long with red margins on the petals </w:t>
      </w:r>
      <w:r>
        <w:rPr>
          <w:noProof/>
        </w:rPr>
        <w:t>(Le Bellec, Vaillant &amp; Imbert 2006)</w:t>
      </w:r>
      <w:r>
        <w:t>.</w:t>
      </w:r>
    </w:p>
    <w:p w:rsidR="004D5CBC" w:rsidRPr="004D32A6" w:rsidRDefault="004D5CBC" w:rsidP="00566E5D">
      <w:pPr>
        <w:pStyle w:val="Heading5"/>
        <w:rPr>
          <w:rFonts w:asciiTheme="minorHAnsi" w:hAnsiTheme="minorHAnsi"/>
          <w:i/>
          <w:sz w:val="24"/>
          <w:szCs w:val="24"/>
        </w:rPr>
      </w:pPr>
      <w:r w:rsidRPr="004D32A6">
        <w:rPr>
          <w:rFonts w:asciiTheme="minorHAnsi" w:hAnsiTheme="minorHAnsi"/>
          <w:i/>
          <w:sz w:val="24"/>
          <w:szCs w:val="24"/>
        </w:rPr>
        <w:t>Hylocereus undatus</w:t>
      </w:r>
    </w:p>
    <w:p w:rsidR="004D5CBC" w:rsidRPr="00612640" w:rsidRDefault="004D5CBC" w:rsidP="00074E10">
      <w:r w:rsidRPr="00612640">
        <w:t xml:space="preserve">Fruit of </w:t>
      </w:r>
      <w:r w:rsidRPr="00612640">
        <w:rPr>
          <w:i/>
        </w:rPr>
        <w:t>H. undatus</w:t>
      </w:r>
      <w:r w:rsidRPr="00612640">
        <w:t xml:space="preserve"> have red skin and white flesh. Bracts are long and usually green at the tips. Fruit are 15–20 centimetres long and 300–800 grams in weight.</w:t>
      </w:r>
    </w:p>
    <w:p w:rsidR="004D5CBC" w:rsidRPr="004D32A6" w:rsidRDefault="004D5CBC" w:rsidP="004D32A6">
      <w:pPr>
        <w:pStyle w:val="Heading5"/>
        <w:rPr>
          <w:rStyle w:val="Strong"/>
          <w:rFonts w:asciiTheme="minorHAnsi" w:hAnsiTheme="minorHAnsi"/>
          <w:i/>
          <w:sz w:val="24"/>
          <w:szCs w:val="24"/>
        </w:rPr>
      </w:pPr>
      <w:r w:rsidRPr="004D32A6">
        <w:rPr>
          <w:rStyle w:val="Strong"/>
          <w:rFonts w:asciiTheme="minorHAnsi" w:hAnsiTheme="minorHAnsi"/>
          <w:i/>
          <w:sz w:val="24"/>
          <w:szCs w:val="24"/>
        </w:rPr>
        <w:t>Hylocereus megalanthus</w:t>
      </w:r>
    </w:p>
    <w:p w:rsidR="004D5CBC" w:rsidRPr="004D32A6" w:rsidRDefault="004D5CBC" w:rsidP="002727B5">
      <w:r w:rsidRPr="004D32A6">
        <w:t>Fruit of</w:t>
      </w:r>
      <w:r w:rsidRPr="004D32A6">
        <w:rPr>
          <w:i/>
          <w:iCs/>
        </w:rPr>
        <w:t xml:space="preserve"> H</w:t>
      </w:r>
      <w:r>
        <w:rPr>
          <w:i/>
          <w:iCs/>
        </w:rPr>
        <w:t>. </w:t>
      </w:r>
      <w:r w:rsidRPr="004D32A6">
        <w:rPr>
          <w:i/>
          <w:iCs/>
        </w:rPr>
        <w:t>megalanthus</w:t>
      </w:r>
      <w:r w:rsidRPr="004D32A6">
        <w:t xml:space="preserve"> have yellow skin and white flesh. </w:t>
      </w:r>
      <w:r>
        <w:t>Fruit are typically</w:t>
      </w:r>
      <w:r w:rsidRPr="004D32A6">
        <w:t xml:space="preserve"> smaller </w:t>
      </w:r>
      <w:r>
        <w:t>and can weigh as little as</w:t>
      </w:r>
      <w:r w:rsidRPr="004D32A6">
        <w:t xml:space="preserve"> 120</w:t>
      </w:r>
      <w:r>
        <w:t> </w:t>
      </w:r>
      <w:r w:rsidRPr="004D32A6">
        <w:t>g</w:t>
      </w:r>
      <w:r>
        <w:t xml:space="preserve">rams </w:t>
      </w:r>
      <w:r>
        <w:rPr>
          <w:noProof/>
        </w:rPr>
        <w:t>(Nerd &amp; Mizrahi 1998)</w:t>
      </w:r>
      <w:r>
        <w:t>.</w:t>
      </w:r>
      <w:r w:rsidRPr="004D32A6">
        <w:t xml:space="preserve"> The bracts are also smaller and more uniform </w:t>
      </w:r>
      <w:r>
        <w:t xml:space="preserve">in shape </w:t>
      </w:r>
      <w:r w:rsidRPr="004D32A6">
        <w:t>than other species.</w:t>
      </w:r>
    </w:p>
    <w:p w:rsidR="004D5CBC" w:rsidRDefault="004D5CBC" w:rsidP="004D5CBC">
      <w:pPr>
        <w:pStyle w:val="Heading4"/>
        <w:numPr>
          <w:ilvl w:val="2"/>
          <w:numId w:val="11"/>
        </w:numPr>
      </w:pPr>
      <w:r>
        <w:t>Cultivation practices</w:t>
      </w:r>
    </w:p>
    <w:p w:rsidR="004D5CBC" w:rsidRPr="0014178D" w:rsidRDefault="004D5CBC" w:rsidP="008D2090">
      <w:r w:rsidRPr="00112478">
        <w:t>Dragon fruit are semi</w:t>
      </w:r>
      <w:r>
        <w:t>-</w:t>
      </w:r>
      <w:r w:rsidRPr="00112478">
        <w:t>epip</w:t>
      </w:r>
      <w:r>
        <w:t>h</w:t>
      </w:r>
      <w:r w:rsidRPr="00112478">
        <w:t>ytic plants with aerial roots</w:t>
      </w:r>
      <w:r>
        <w:t xml:space="preserve"> growing from the stems</w:t>
      </w:r>
      <w:r w:rsidRPr="00112478">
        <w:t xml:space="preserve"> that enable them to attach to and climb over any natural or artificial support they come in contact with </w:t>
      </w:r>
      <w:r>
        <w:rPr>
          <w:noProof/>
        </w:rPr>
        <w:t>(Gunasena, Pushpakumara &amp; Kariyawasam 2007; Le Bellec, Vaillant &amp; Imbert 2006)</w:t>
      </w:r>
      <w:r w:rsidRPr="00D95BCF">
        <w:t>.</w:t>
      </w:r>
    </w:p>
    <w:p w:rsidR="004D5CBC" w:rsidRPr="0014178D" w:rsidRDefault="004D5CBC" w:rsidP="008D2090">
      <w:pPr>
        <w:pStyle w:val="Heading5"/>
      </w:pPr>
      <w:r w:rsidRPr="0014178D">
        <w:t>Cuttings</w:t>
      </w:r>
    </w:p>
    <w:p w:rsidR="004D5CBC" w:rsidRDefault="004D5CBC" w:rsidP="008D2090">
      <w:r w:rsidRPr="0014178D">
        <w:t xml:space="preserve">Commercially, new plants are mostly produced from </w:t>
      </w:r>
      <w:r>
        <w:t xml:space="preserve">stem </w:t>
      </w:r>
      <w:r w:rsidRPr="0014178D">
        <w:t>cuttings selected from healthy, well established</w:t>
      </w:r>
      <w:r w:rsidRPr="00205D1C">
        <w:t xml:space="preserve"> </w:t>
      </w:r>
      <w:r>
        <w:t>plants</w:t>
      </w:r>
      <w:r w:rsidRPr="00205D1C">
        <w:t xml:space="preserve"> after the fruiting period has finished </w:t>
      </w:r>
      <w:r>
        <w:rPr>
          <w:noProof/>
        </w:rPr>
        <w:t>(IAQA 2016; Muas &amp; Jumjunidang 2015; Suryanto 2016)</w:t>
      </w:r>
      <w:r>
        <w:t>. Nursery stock was initially imported from Thailand and Vietnam. However, farmers now prepare their own propagation material. Cuttings</w:t>
      </w:r>
      <w:r w:rsidRPr="00205D1C">
        <w:t xml:space="preserve"> </w:t>
      </w:r>
      <w:r>
        <w:t>approximately</w:t>
      </w:r>
      <w:r w:rsidRPr="00205D1C">
        <w:t xml:space="preserve"> </w:t>
      </w:r>
      <w:r w:rsidRPr="007A62B7">
        <w:t>eight centimetres thick and 20</w:t>
      </w:r>
      <w:r>
        <w:t>–</w:t>
      </w:r>
      <w:r w:rsidRPr="007A62B7">
        <w:t>30 centimetres long are selected. The top surface of the cutting is</w:t>
      </w:r>
      <w:r w:rsidRPr="00205D1C">
        <w:t xml:space="preserve"> cut flat and the bottom is tapered. Each </w:t>
      </w:r>
      <w:r>
        <w:t>cutting</w:t>
      </w:r>
      <w:r w:rsidRPr="00205D1C">
        <w:t xml:space="preserve"> must have no fewer than four buds. </w:t>
      </w:r>
      <w:r>
        <w:t>S</w:t>
      </w:r>
      <w:r w:rsidRPr="00205D1C">
        <w:t xml:space="preserve">ap </w:t>
      </w:r>
      <w:r>
        <w:t xml:space="preserve">from the cutting wound </w:t>
      </w:r>
      <w:r w:rsidRPr="00205D1C">
        <w:t xml:space="preserve">is allowed to dry to prevent fungal infection before </w:t>
      </w:r>
      <w:r>
        <w:t>the cutting is</w:t>
      </w:r>
      <w:r w:rsidRPr="00205D1C">
        <w:t xml:space="preserve"> planted</w:t>
      </w:r>
      <w:r>
        <w:t>. Cuttings are generally planted</w:t>
      </w:r>
      <w:r w:rsidRPr="00205D1C">
        <w:t xml:space="preserve"> in </w:t>
      </w:r>
      <w:r>
        <w:t>plastic bags</w:t>
      </w:r>
      <w:r w:rsidRPr="00205D1C">
        <w:t xml:space="preserve"> </w:t>
      </w:r>
      <w:r>
        <w:t>containing</w:t>
      </w:r>
      <w:r w:rsidRPr="00205D1C">
        <w:t xml:space="preserve"> propagation media to </w:t>
      </w:r>
      <w:r>
        <w:t>promote</w:t>
      </w:r>
      <w:r w:rsidRPr="00205D1C">
        <w:t xml:space="preserve"> root formation</w:t>
      </w:r>
      <w:r>
        <w:t>. C</w:t>
      </w:r>
      <w:r w:rsidRPr="00205D1C">
        <w:t xml:space="preserve">uttings are </w:t>
      </w:r>
      <w:r>
        <w:t xml:space="preserve">often </w:t>
      </w:r>
      <w:r w:rsidRPr="00205D1C">
        <w:t xml:space="preserve">shaded and watered </w:t>
      </w:r>
      <w:r>
        <w:t>regularly</w:t>
      </w:r>
      <w:r w:rsidRPr="00205D1C">
        <w:t xml:space="preserve"> for three weeks </w:t>
      </w:r>
      <w:r>
        <w:t xml:space="preserve">to promote establishment and </w:t>
      </w:r>
      <w:r w:rsidRPr="00205D1C">
        <w:t xml:space="preserve">bud </w:t>
      </w:r>
      <w:r w:rsidRPr="00205D1C">
        <w:lastRenderedPageBreak/>
        <w:t>develop</w:t>
      </w:r>
      <w:r>
        <w:t>ment</w:t>
      </w:r>
      <w:r w:rsidRPr="00205D1C">
        <w:t xml:space="preserve">. At this stage the shading is removed and the cuttings are </w:t>
      </w:r>
      <w:r>
        <w:t>stored</w:t>
      </w:r>
      <w:r w:rsidRPr="00205D1C">
        <w:t xml:space="preserve"> for three months prior to planting</w:t>
      </w:r>
      <w:r>
        <w:t>,</w:t>
      </w:r>
      <w:r w:rsidRPr="00205D1C">
        <w:t xml:space="preserve"> at which time they are 50</w:t>
      </w:r>
      <w:r>
        <w:t>–</w:t>
      </w:r>
      <w:r w:rsidRPr="00205D1C">
        <w:t>80 centimetres tall</w:t>
      </w:r>
      <w:r>
        <w:t xml:space="preserve"> </w:t>
      </w:r>
      <w:r>
        <w:rPr>
          <w:noProof/>
        </w:rPr>
        <w:t>(Muas &amp; Jumjunidang 2015; Suryanto 2016)</w:t>
      </w:r>
      <w:r w:rsidRPr="00205D1C">
        <w:t xml:space="preserve">. </w:t>
      </w:r>
      <w:r>
        <w:t xml:space="preserve">Cuttings may also be planted directly into the ground at the farm. </w:t>
      </w:r>
      <w:r w:rsidRPr="00704B76">
        <w:t xml:space="preserve">Usually </w:t>
      </w:r>
      <w:r>
        <w:t>3–4 </w:t>
      </w:r>
      <w:r w:rsidRPr="00704B76">
        <w:t>cuttings are</w:t>
      </w:r>
      <w:r>
        <w:t xml:space="preserve"> planted</w:t>
      </w:r>
      <w:r w:rsidRPr="00704B76">
        <w:t xml:space="preserve"> against each support post</w:t>
      </w:r>
      <w:r>
        <w:t xml:space="preserve"> </w:t>
      </w:r>
      <w:r w:rsidRPr="00674952">
        <w:t>(</w:t>
      </w:r>
      <w:r>
        <w:fldChar w:fldCharType="begin"/>
      </w:r>
      <w:r>
        <w:instrText xml:space="preserve"> REF _Ref492996165 \h </w:instrText>
      </w:r>
      <w:r>
        <w:fldChar w:fldCharType="separate"/>
      </w:r>
      <w:r w:rsidR="00502BAD">
        <w:t xml:space="preserve">Figure </w:t>
      </w:r>
      <w:r w:rsidR="00502BAD">
        <w:rPr>
          <w:noProof/>
        </w:rPr>
        <w:t>3</w:t>
      </w:r>
      <w:r>
        <w:fldChar w:fldCharType="end"/>
      </w:r>
      <w:r w:rsidRPr="00674952">
        <w:t>).</w:t>
      </w:r>
    </w:p>
    <w:p w:rsidR="004D5CBC" w:rsidRDefault="004D5CBC" w:rsidP="008A39AB">
      <w:pPr>
        <w:pStyle w:val="Caption"/>
      </w:pPr>
      <w:bookmarkStart w:id="47" w:name="_Ref492996165"/>
      <w:bookmarkStart w:id="48" w:name="_Toc520996443"/>
      <w:r>
        <w:t xml:space="preserve">Figure </w:t>
      </w:r>
      <w:r>
        <w:rPr>
          <w:noProof/>
        </w:rPr>
        <w:fldChar w:fldCharType="begin"/>
      </w:r>
      <w:r>
        <w:rPr>
          <w:noProof/>
        </w:rPr>
        <w:instrText xml:space="preserve"> SEQ Figure \* ARABIC </w:instrText>
      </w:r>
      <w:r>
        <w:rPr>
          <w:noProof/>
        </w:rPr>
        <w:fldChar w:fldCharType="separate"/>
      </w:r>
      <w:r w:rsidR="00502BAD">
        <w:rPr>
          <w:noProof/>
        </w:rPr>
        <w:t>3</w:t>
      </w:r>
      <w:r>
        <w:rPr>
          <w:noProof/>
        </w:rPr>
        <w:fldChar w:fldCharType="end"/>
      </w:r>
      <w:bookmarkEnd w:id="47"/>
      <w:r>
        <w:t xml:space="preserve"> Typical placement of cuttings against support post</w:t>
      </w:r>
      <w:bookmarkEnd w:id="48"/>
    </w:p>
    <w:p w:rsidR="004D5CBC" w:rsidRPr="00A32496" w:rsidRDefault="004D5CBC" w:rsidP="008A39AB">
      <w:r>
        <w:rPr>
          <w:noProof/>
          <w:lang w:eastAsia="en-AU"/>
        </w:rPr>
        <w:drawing>
          <wp:inline distT="0" distB="0" distL="0" distR="0" wp14:anchorId="06A7B9DB" wp14:editId="6B91BB3B">
            <wp:extent cx="3684905" cy="3282315"/>
            <wp:effectExtent l="0" t="0" r="0" b="0"/>
            <wp:docPr id="6" name="Picture 6" descr="Diagram of a typical support post approximately two metres tall, the four star metal frame and ring atop the supporting post, the plant fibres laid at the base of the supporting post to act as a moisture retaining mulch, the vegetative stem segments strapped to the base of the supporting post and the drainage canal next to the raised planting bed." title="Diagram of cuttings against support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4905" cy="3282315"/>
                    </a:xfrm>
                    <a:prstGeom prst="rect">
                      <a:avLst/>
                    </a:prstGeom>
                    <a:noFill/>
                    <a:ln>
                      <a:noFill/>
                    </a:ln>
                  </pic:spPr>
                </pic:pic>
              </a:graphicData>
            </a:graphic>
          </wp:inline>
        </w:drawing>
      </w:r>
    </w:p>
    <w:p w:rsidR="004D5CBC" w:rsidRDefault="007F3A08" w:rsidP="008D2090">
      <w:pPr>
        <w:pStyle w:val="Heading5"/>
      </w:pPr>
      <w:r>
        <w:t>Planting</w:t>
      </w:r>
    </w:p>
    <w:p w:rsidR="004D5CBC" w:rsidRDefault="004D5CBC" w:rsidP="0059322F">
      <w:r>
        <w:t>Dragon fruit plants are mostly supported by concrete or occasionally timber posts, generally with a square profile. However, the use of heavily pruned live trees as support structures is increasing (</w:t>
      </w:r>
      <w:r>
        <w:fldChar w:fldCharType="begin"/>
      </w:r>
      <w:r>
        <w:instrText xml:space="preserve"> REF _Ref492996176 \h </w:instrText>
      </w:r>
      <w:r>
        <w:fldChar w:fldCharType="separate"/>
      </w:r>
      <w:r w:rsidR="00502BAD">
        <w:t xml:space="preserve">Figure </w:t>
      </w:r>
      <w:r w:rsidR="00502BAD">
        <w:rPr>
          <w:noProof/>
        </w:rPr>
        <w:t>4</w:t>
      </w:r>
      <w:r>
        <w:fldChar w:fldCharType="end"/>
      </w:r>
      <w:r>
        <w:t xml:space="preserve">) and dead tree branches are also used. Posts are generally 10–20 centimetres wide and are typically 2–2.5 metres tall. Posts are positioned in rows approximately 3–4 metres apart and each post is topped with a timber or iron cross extending horizontally, which supports an iron ring or bike tyre to train the shape and bear the weight of the </w:t>
      </w:r>
      <w:r w:rsidRPr="00205D1C">
        <w:t xml:space="preserve">plants </w:t>
      </w:r>
      <w:r>
        <w:rPr>
          <w:noProof/>
        </w:rPr>
        <w:t>(Suryanto 2016)</w:t>
      </w:r>
      <w:r w:rsidRPr="00205D1C">
        <w:t>.</w:t>
      </w:r>
      <w:r w:rsidRPr="009063D7">
        <w:t xml:space="preserve"> </w:t>
      </w:r>
      <w:r>
        <w:t xml:space="preserve">The initial stem cuttings grow along the supporting structure, forming dense masses of multiple stems </w:t>
      </w:r>
      <w:r>
        <w:rPr>
          <w:noProof/>
        </w:rPr>
        <w:t>(Gunasena, Pushpakumara &amp; Kariyawasam 2007)</w:t>
      </w:r>
      <w:r>
        <w:t>.</w:t>
      </w:r>
    </w:p>
    <w:p w:rsidR="004D5CBC" w:rsidRPr="00227760" w:rsidRDefault="004D5CBC" w:rsidP="0059322F">
      <w:r>
        <w:t xml:space="preserve">Where live trees are used as a supporting structure, they are similarly spaced in rows. Tree species used include </w:t>
      </w:r>
      <w:r>
        <w:rPr>
          <w:i/>
          <w:iCs/>
        </w:rPr>
        <w:t xml:space="preserve">Ceiba petandra </w:t>
      </w:r>
      <w:r>
        <w:t xml:space="preserve">(Kapok), </w:t>
      </w:r>
      <w:r>
        <w:rPr>
          <w:i/>
          <w:iCs/>
        </w:rPr>
        <w:t xml:space="preserve">Bombax malabarica </w:t>
      </w:r>
      <w:r>
        <w:t xml:space="preserve">and </w:t>
      </w:r>
      <w:r>
        <w:rPr>
          <w:i/>
          <w:iCs/>
        </w:rPr>
        <w:t>Garuga</w:t>
      </w:r>
      <w:r>
        <w:t xml:space="preserve"> spp. These trees can either be removed from the forest or plantation, defoliated and replanted at the production site, or grown at the site as saplings. Planting density is generally between 3000–4000 cuttings across 1000 posts or supports per hectare.</w:t>
      </w:r>
    </w:p>
    <w:p w:rsidR="004D5CBC" w:rsidRDefault="004D5CBC" w:rsidP="0059322F">
      <w:r w:rsidRPr="00205D1C">
        <w:t>The planting holes are filled with a preparation of</w:t>
      </w:r>
      <w:r>
        <w:t xml:space="preserve"> soil generally containing</w:t>
      </w:r>
      <w:r w:rsidRPr="00205D1C">
        <w:t xml:space="preserve"> 10</w:t>
      </w:r>
      <w:r>
        <w:t> </w:t>
      </w:r>
      <w:r w:rsidRPr="00205D1C">
        <w:t>k</w:t>
      </w:r>
      <w:r>
        <w:t>ilo</w:t>
      </w:r>
      <w:r w:rsidRPr="00205D1C">
        <w:t>g</w:t>
      </w:r>
      <w:r>
        <w:t>rams</w:t>
      </w:r>
      <w:r w:rsidRPr="00205D1C">
        <w:t xml:space="preserve"> of sand for </w:t>
      </w:r>
      <w:r>
        <w:t>drainage</w:t>
      </w:r>
      <w:r w:rsidRPr="00205D1C">
        <w:t>, 10</w:t>
      </w:r>
      <w:r>
        <w:t>–</w:t>
      </w:r>
      <w:r w:rsidRPr="00205D1C">
        <w:t>30 k</w:t>
      </w:r>
      <w:r>
        <w:t>ilo</w:t>
      </w:r>
      <w:r w:rsidRPr="00205D1C">
        <w:t>g</w:t>
      </w:r>
      <w:r>
        <w:t>rams</w:t>
      </w:r>
      <w:r w:rsidRPr="00205D1C">
        <w:t xml:space="preserve"> of </w:t>
      </w:r>
      <w:r>
        <w:t xml:space="preserve">composted </w:t>
      </w:r>
      <w:r w:rsidRPr="00205D1C">
        <w:t>manure, 300 g</w:t>
      </w:r>
      <w:r>
        <w:t>rams</w:t>
      </w:r>
      <w:r w:rsidRPr="00205D1C">
        <w:t xml:space="preserve"> of dolomite and 50 g</w:t>
      </w:r>
      <w:r>
        <w:t>rams</w:t>
      </w:r>
      <w:r w:rsidRPr="00205D1C">
        <w:t xml:space="preserve"> of </w:t>
      </w:r>
      <w:r w:rsidRPr="005475EC">
        <w:rPr>
          <w:i/>
        </w:rPr>
        <w:t>Trichoderma</w:t>
      </w:r>
      <w:r w:rsidRPr="00205D1C">
        <w:t xml:space="preserve"> as a biocontrol agent against fungal </w:t>
      </w:r>
      <w:r>
        <w:t>species</w:t>
      </w:r>
      <w:r w:rsidRPr="00205D1C">
        <w:t xml:space="preserve"> </w:t>
      </w:r>
      <w:r>
        <w:rPr>
          <w:noProof/>
        </w:rPr>
        <w:t>(Harman 2006; IAQA 2016; Suryanto 2016)</w:t>
      </w:r>
      <w:r w:rsidRPr="00205D1C">
        <w:t xml:space="preserve">. This mixture is piled against the posts in the planting holes and </w:t>
      </w:r>
      <w:r>
        <w:t>washed in</w:t>
      </w:r>
      <w:r w:rsidRPr="00205D1C">
        <w:t xml:space="preserve"> with water.</w:t>
      </w:r>
      <w:r>
        <w:t xml:space="preserve"> An application of</w:t>
      </w:r>
      <w:r w:rsidRPr="00205D1C">
        <w:t xml:space="preserve"> 25 g</w:t>
      </w:r>
      <w:r>
        <w:t>rams</w:t>
      </w:r>
      <w:r w:rsidRPr="00205D1C">
        <w:t xml:space="preserve"> of </w:t>
      </w:r>
      <w:r>
        <w:t>triple superphosphate</w:t>
      </w:r>
      <w:r w:rsidRPr="00205D1C">
        <w:t xml:space="preserve"> fertiliser </w:t>
      </w:r>
      <w:r>
        <w:t>is recommended 2–3 days later</w:t>
      </w:r>
      <w:r w:rsidRPr="00205D1C">
        <w:t xml:space="preserve"> and planting can occur one day </w:t>
      </w:r>
      <w:r>
        <w:t>following the fertiliser application</w:t>
      </w:r>
      <w:r w:rsidRPr="00205D1C">
        <w:t>. Fertiliser is then applied every three months in the form of 10</w:t>
      </w:r>
      <w:r>
        <w:t>–</w:t>
      </w:r>
      <w:r w:rsidRPr="00205D1C">
        <w:t>50 k</w:t>
      </w:r>
      <w:r>
        <w:t>ilo</w:t>
      </w:r>
      <w:r w:rsidRPr="00205D1C">
        <w:t>g</w:t>
      </w:r>
      <w:r>
        <w:t>rams of composted manure</w:t>
      </w:r>
      <w:r w:rsidRPr="00205D1C">
        <w:t xml:space="preserve"> and 300</w:t>
      </w:r>
      <w:r>
        <w:t> </w:t>
      </w:r>
      <w:r w:rsidRPr="00205D1C">
        <w:t>g</w:t>
      </w:r>
      <w:r>
        <w:t>rams</w:t>
      </w:r>
      <w:r w:rsidRPr="00205D1C">
        <w:t xml:space="preserve"> </w:t>
      </w:r>
      <w:r>
        <w:t xml:space="preserve">of </w:t>
      </w:r>
      <w:r w:rsidRPr="00205D1C">
        <w:t>dolomite</w:t>
      </w:r>
      <w:r>
        <w:t xml:space="preserve"> </w:t>
      </w:r>
      <w:r>
        <w:lastRenderedPageBreak/>
        <w:t>per post</w:t>
      </w:r>
      <w:r w:rsidRPr="00205D1C">
        <w:t>. Alternatively</w:t>
      </w:r>
      <w:r>
        <w:t>,</w:t>
      </w:r>
      <w:r w:rsidRPr="00205D1C">
        <w:t xml:space="preserve"> 500</w:t>
      </w:r>
      <w:r>
        <w:t> </w:t>
      </w:r>
      <w:r w:rsidRPr="00205D1C">
        <w:t>g</w:t>
      </w:r>
      <w:r>
        <w:t>rams</w:t>
      </w:r>
      <w:r w:rsidRPr="00205D1C">
        <w:t xml:space="preserve"> of nitrogen, </w:t>
      </w:r>
      <w:r w:rsidRPr="00404ABB">
        <w:t>500–</w:t>
      </w:r>
      <w:r>
        <w:t>7</w:t>
      </w:r>
      <w:r w:rsidRPr="00404ABB">
        <w:t>00</w:t>
      </w:r>
      <w:r>
        <w:t xml:space="preserve"> </w:t>
      </w:r>
      <w:r w:rsidRPr="00205D1C">
        <w:t>g</w:t>
      </w:r>
      <w:r>
        <w:t>rams</w:t>
      </w:r>
      <w:r w:rsidRPr="00205D1C">
        <w:t xml:space="preserve"> of phosphate, 500</w:t>
      </w:r>
      <w:r>
        <w:t> </w:t>
      </w:r>
      <w:r w:rsidRPr="00205D1C">
        <w:t>g</w:t>
      </w:r>
      <w:r>
        <w:t>rams</w:t>
      </w:r>
      <w:r w:rsidRPr="00205D1C">
        <w:t xml:space="preserve"> of potassium oxide and 20</w:t>
      </w:r>
      <w:r>
        <w:t> </w:t>
      </w:r>
      <w:r w:rsidRPr="00205D1C">
        <w:t>k</w:t>
      </w:r>
      <w:r>
        <w:t>ilograms</w:t>
      </w:r>
      <w:r w:rsidRPr="00205D1C">
        <w:t xml:space="preserve"> of </w:t>
      </w:r>
      <w:r>
        <w:t xml:space="preserve">composted </w:t>
      </w:r>
      <w:r w:rsidRPr="00205D1C">
        <w:t>manure can be applied annually</w:t>
      </w:r>
      <w:r>
        <w:t xml:space="preserve"> </w:t>
      </w:r>
      <w:r>
        <w:rPr>
          <w:noProof/>
        </w:rPr>
        <w:t>(Muas &amp; Jumjunidang 2015; Suryanto 2016)</w:t>
      </w:r>
      <w:r>
        <w:t>.</w:t>
      </w:r>
    </w:p>
    <w:p w:rsidR="004D5CBC" w:rsidRDefault="004D5CBC" w:rsidP="003D59F8">
      <w:pPr>
        <w:pStyle w:val="Caption"/>
      </w:pPr>
      <w:bookmarkStart w:id="49" w:name="_Ref492996176"/>
      <w:bookmarkStart w:id="50" w:name="_Toc520996444"/>
      <w:r>
        <w:t xml:space="preserve">Figure </w:t>
      </w:r>
      <w:r>
        <w:rPr>
          <w:noProof/>
        </w:rPr>
        <w:fldChar w:fldCharType="begin"/>
      </w:r>
      <w:r>
        <w:rPr>
          <w:noProof/>
        </w:rPr>
        <w:instrText xml:space="preserve"> SEQ Figure \* ARABIC </w:instrText>
      </w:r>
      <w:r>
        <w:rPr>
          <w:noProof/>
        </w:rPr>
        <w:fldChar w:fldCharType="separate"/>
      </w:r>
      <w:r w:rsidR="00502BAD">
        <w:rPr>
          <w:noProof/>
        </w:rPr>
        <w:t>4</w:t>
      </w:r>
      <w:r>
        <w:rPr>
          <w:noProof/>
        </w:rPr>
        <w:fldChar w:fldCharType="end"/>
      </w:r>
      <w:bookmarkEnd w:id="49"/>
      <w:r>
        <w:t xml:space="preserve"> Dragon fruit planting layout with live </w:t>
      </w:r>
      <w:r w:rsidRPr="005475EC">
        <w:rPr>
          <w:i/>
        </w:rPr>
        <w:t>Ceiba petandra</w:t>
      </w:r>
      <w:r>
        <w:t xml:space="preserve"> (Kapok) trees and artificial lighting system.</w:t>
      </w:r>
      <w:bookmarkEnd w:id="50"/>
    </w:p>
    <w:p w:rsidR="004D5CBC" w:rsidRDefault="004D5CBC" w:rsidP="003D59F8">
      <w:r>
        <w:rPr>
          <w:noProof/>
          <w:lang w:eastAsia="en-AU"/>
        </w:rPr>
        <w:drawing>
          <wp:inline distT="0" distB="0" distL="0" distR="0" wp14:anchorId="5E28E2A4" wp14:editId="618BA7B6">
            <wp:extent cx="5759450" cy="4319905"/>
            <wp:effectExtent l="0" t="0" r="0" b="4445"/>
            <wp:docPr id="14" name="Picture 14" descr="dragon fruit planting layout using live Kapok saplings, drainage ditches and artificial lighting for forced flower induction" title="dragon fruit plant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4D5CBC" w:rsidRDefault="004D5CBC" w:rsidP="00DF7A03">
      <w:pPr>
        <w:pStyle w:val="Heading5"/>
      </w:pPr>
      <w:r>
        <w:t>Planting time</w:t>
      </w:r>
    </w:p>
    <w:p w:rsidR="004D5CBC" w:rsidRPr="00D27916" w:rsidRDefault="004D5CBC" w:rsidP="00D23656">
      <w:r w:rsidRPr="001C354B">
        <w:t>Plants are typically replaced with new stock when a plant is 15</w:t>
      </w:r>
      <w:r>
        <w:t>–</w:t>
      </w:r>
      <w:r w:rsidRPr="001C354B">
        <w:t xml:space="preserve">20 years old </w:t>
      </w:r>
      <w:r>
        <w:rPr>
          <w:noProof/>
        </w:rPr>
        <w:t>(Suryanto 2016)</w:t>
      </w:r>
      <w:r w:rsidRPr="00D27916">
        <w:t>. Dragon fruit plants can also be grafted to add new varieties of fruit onto established plants.</w:t>
      </w:r>
    </w:p>
    <w:p w:rsidR="004D5CBC" w:rsidRPr="00D27916" w:rsidRDefault="004D5CBC" w:rsidP="00D23656">
      <w:pPr>
        <w:pStyle w:val="Heading5"/>
      </w:pPr>
      <w:r w:rsidRPr="00D27916">
        <w:t>Pruning and sanitation</w:t>
      </w:r>
    </w:p>
    <w:p w:rsidR="004D5CBC" w:rsidRPr="00A32496" w:rsidRDefault="004D5CBC" w:rsidP="00D23656">
      <w:r w:rsidRPr="00D27916">
        <w:t>Pruning</w:t>
      </w:r>
      <w:r w:rsidRPr="00A32496">
        <w:t xml:space="preserve"> is conducted to promote good plant shape and to prepare cuttings</w:t>
      </w:r>
      <w:r>
        <w:t xml:space="preserve">, </w:t>
      </w:r>
      <w:r w:rsidRPr="00A32496">
        <w:t xml:space="preserve">which </w:t>
      </w:r>
      <w:r>
        <w:t xml:space="preserve">can be acquired year round in Indonesia, but preferably following pruning after harvest </w:t>
      </w:r>
      <w:r>
        <w:rPr>
          <w:noProof/>
        </w:rPr>
        <w:t>(IAQA 2016; Muas &amp; Jumjunidang 2015)</w:t>
      </w:r>
      <w:r w:rsidRPr="00A32496">
        <w:t>.</w:t>
      </w:r>
      <w:r>
        <w:t xml:space="preserve"> After harvest, each post or support can have around 130 stems—grown from the original four stem cuttings—which are pruned back to 60 stems for the next season. </w:t>
      </w:r>
      <w:r w:rsidRPr="001C354B">
        <w:t xml:space="preserve">Removal of </w:t>
      </w:r>
      <w:r w:rsidRPr="00A32496">
        <w:t>weeds</w:t>
      </w:r>
      <w:r>
        <w:t>,</w:t>
      </w:r>
      <w:r w:rsidRPr="00A32496">
        <w:t xml:space="preserve"> plant debris and infected plant material is conducted regularly to maintain field sanitation.</w:t>
      </w:r>
    </w:p>
    <w:p w:rsidR="004D5CBC" w:rsidRPr="00A32496" w:rsidRDefault="004D5CBC" w:rsidP="00D23656">
      <w:pPr>
        <w:pStyle w:val="Heading5"/>
      </w:pPr>
      <w:r w:rsidRPr="00A32496">
        <w:t>Irrigation</w:t>
      </w:r>
    </w:p>
    <w:p w:rsidR="004D5CBC" w:rsidRDefault="004D5CBC" w:rsidP="002F52C6">
      <w:bookmarkStart w:id="51" w:name="_Toc459631146"/>
      <w:r>
        <w:t>Irrigation practices are dependent on soil type and water availability. Where water is abundant or soil drainage is poor, d</w:t>
      </w:r>
      <w:r w:rsidRPr="00205D1C">
        <w:t xml:space="preserve">rainage </w:t>
      </w:r>
      <w:r>
        <w:t>channels</w:t>
      </w:r>
      <w:r w:rsidRPr="00205D1C">
        <w:t xml:space="preserve"> </w:t>
      </w:r>
      <w:r>
        <w:t xml:space="preserve">up to </w:t>
      </w:r>
      <w:r w:rsidRPr="00205D1C">
        <w:t>20 centimetres deep may be dug</w:t>
      </w:r>
      <w:r>
        <w:t xml:space="preserve"> </w:t>
      </w:r>
      <w:r w:rsidRPr="00404ABB">
        <w:t>80–100</w:t>
      </w:r>
      <w:r>
        <w:t xml:space="preserve"> </w:t>
      </w:r>
      <w:r w:rsidRPr="00205D1C">
        <w:t xml:space="preserve">centimetres between rows </w:t>
      </w:r>
      <w:r>
        <w:t>to prevent waterlogging</w:t>
      </w:r>
      <w:r w:rsidRPr="00205D1C">
        <w:t xml:space="preserve"> </w:t>
      </w:r>
      <w:r>
        <w:rPr>
          <w:noProof/>
        </w:rPr>
        <w:t>(Suryanto 2016)</w:t>
      </w:r>
      <w:r w:rsidRPr="00205D1C">
        <w:t>.</w:t>
      </w:r>
      <w:r w:rsidRPr="002F52C6">
        <w:t xml:space="preserve"> </w:t>
      </w:r>
      <w:r>
        <w:t xml:space="preserve">Where water availability is limited, individual planting sites may be contained using concrete borders to reduce water </w:t>
      </w:r>
      <w:r>
        <w:lastRenderedPageBreak/>
        <w:t>runoff applied by irrigation during dry periods (</w:t>
      </w:r>
      <w:r>
        <w:fldChar w:fldCharType="begin"/>
      </w:r>
      <w:r>
        <w:instrText xml:space="preserve"> REF _Ref492996194 \h </w:instrText>
      </w:r>
      <w:r>
        <w:fldChar w:fldCharType="separate"/>
      </w:r>
      <w:r w:rsidR="00502BAD">
        <w:t xml:space="preserve">Figure </w:t>
      </w:r>
      <w:r w:rsidR="00502BAD">
        <w:rPr>
          <w:noProof/>
        </w:rPr>
        <w:t>5</w:t>
      </w:r>
      <w:r>
        <w:fldChar w:fldCharType="end"/>
      </w:r>
      <w:r>
        <w:t>). Note that the farm pictured in Figure 5 is located opposite a beach on the southern coast of east Java and includes concrete borders around each planting site because of low water availability and sandy soils.</w:t>
      </w:r>
    </w:p>
    <w:p w:rsidR="004D5CBC" w:rsidRDefault="004D5CBC" w:rsidP="003D3BE0">
      <w:pPr>
        <w:pStyle w:val="Caption"/>
        <w:keepNext w:val="0"/>
        <w:spacing w:after="200" w:line="276" w:lineRule="auto"/>
        <w:rPr>
          <w:rFonts w:eastAsiaTheme="minorHAnsi" w:cstheme="minorBidi"/>
          <w:b w:val="0"/>
          <w:bCs w:val="0"/>
          <w:color w:val="auto"/>
          <w:sz w:val="22"/>
          <w:szCs w:val="22"/>
        </w:rPr>
      </w:pPr>
      <w:r w:rsidRPr="00A32496">
        <w:rPr>
          <w:rFonts w:eastAsiaTheme="minorHAnsi" w:cstheme="minorBidi"/>
          <w:b w:val="0"/>
          <w:bCs w:val="0"/>
          <w:color w:val="auto"/>
          <w:sz w:val="22"/>
          <w:szCs w:val="22"/>
        </w:rPr>
        <w:t>Drainage ditches</w:t>
      </w:r>
      <w:r w:rsidRPr="00663FD1">
        <w:rPr>
          <w:rFonts w:eastAsiaTheme="minorHAnsi" w:cstheme="minorBidi"/>
          <w:b w:val="0"/>
          <w:bCs w:val="0"/>
          <w:color w:val="auto"/>
          <w:sz w:val="22"/>
          <w:szCs w:val="22"/>
        </w:rPr>
        <w:t xml:space="preserve"> between planting beds can</w:t>
      </w:r>
      <w:r>
        <w:rPr>
          <w:rFonts w:eastAsiaTheme="minorHAnsi" w:cstheme="minorBidi"/>
          <w:b w:val="0"/>
          <w:bCs w:val="0"/>
          <w:color w:val="auto"/>
          <w:sz w:val="22"/>
          <w:szCs w:val="22"/>
        </w:rPr>
        <w:t xml:space="preserve"> also</w:t>
      </w:r>
      <w:r w:rsidRPr="00663FD1">
        <w:rPr>
          <w:rFonts w:eastAsiaTheme="minorHAnsi" w:cstheme="minorBidi"/>
          <w:b w:val="0"/>
          <w:bCs w:val="0"/>
          <w:color w:val="auto"/>
          <w:sz w:val="22"/>
          <w:szCs w:val="22"/>
        </w:rPr>
        <w:t xml:space="preserve"> act as an irrigation reservoir when needed. During the dry season irrigation </w:t>
      </w:r>
      <w:r>
        <w:rPr>
          <w:rFonts w:eastAsiaTheme="minorHAnsi" w:cstheme="minorBidi"/>
          <w:b w:val="0"/>
          <w:bCs w:val="0"/>
          <w:color w:val="auto"/>
          <w:sz w:val="22"/>
          <w:szCs w:val="22"/>
        </w:rPr>
        <w:t>can be</w:t>
      </w:r>
      <w:r w:rsidRPr="00663FD1">
        <w:rPr>
          <w:rFonts w:eastAsiaTheme="minorHAnsi" w:cstheme="minorBidi"/>
          <w:b w:val="0"/>
          <w:bCs w:val="0"/>
          <w:color w:val="auto"/>
          <w:sz w:val="22"/>
          <w:szCs w:val="22"/>
        </w:rPr>
        <w:t xml:space="preserve"> </w:t>
      </w:r>
      <w:r>
        <w:rPr>
          <w:rFonts w:eastAsiaTheme="minorHAnsi" w:cstheme="minorBidi"/>
          <w:b w:val="0"/>
          <w:bCs w:val="0"/>
          <w:color w:val="auto"/>
          <w:sz w:val="22"/>
          <w:szCs w:val="22"/>
        </w:rPr>
        <w:t>applied</w:t>
      </w:r>
      <w:r w:rsidRPr="00663FD1">
        <w:rPr>
          <w:rFonts w:eastAsiaTheme="minorHAnsi" w:cstheme="minorBidi"/>
          <w:b w:val="0"/>
          <w:bCs w:val="0"/>
          <w:color w:val="auto"/>
          <w:sz w:val="22"/>
          <w:szCs w:val="22"/>
        </w:rPr>
        <w:t xml:space="preserve"> up to three times daily </w:t>
      </w:r>
      <w:r>
        <w:rPr>
          <w:rFonts w:eastAsiaTheme="minorHAnsi" w:cstheme="minorBidi"/>
          <w:b w:val="0"/>
          <w:bCs w:val="0"/>
          <w:color w:val="auto"/>
          <w:sz w:val="22"/>
          <w:szCs w:val="22"/>
        </w:rPr>
        <w:t>via</w:t>
      </w:r>
      <w:r w:rsidRPr="00663FD1">
        <w:rPr>
          <w:rFonts w:eastAsiaTheme="minorHAnsi" w:cstheme="minorBidi"/>
          <w:b w:val="0"/>
          <w:bCs w:val="0"/>
          <w:color w:val="auto"/>
          <w:sz w:val="22"/>
          <w:szCs w:val="22"/>
        </w:rPr>
        <w:t xml:space="preserve"> drainage ditches</w:t>
      </w:r>
      <w:r w:rsidRPr="008A39AB">
        <w:rPr>
          <w:rFonts w:eastAsiaTheme="minorHAnsi" w:cstheme="minorBidi"/>
          <w:b w:val="0"/>
          <w:bCs w:val="0"/>
          <w:color w:val="auto"/>
          <w:sz w:val="22"/>
          <w:szCs w:val="22"/>
        </w:rPr>
        <w:t xml:space="preserve"> </w:t>
      </w:r>
      <w:r>
        <w:rPr>
          <w:rFonts w:eastAsiaTheme="minorHAnsi" w:cstheme="minorBidi"/>
          <w:b w:val="0"/>
          <w:bCs w:val="0"/>
          <w:color w:val="auto"/>
          <w:sz w:val="22"/>
          <w:szCs w:val="22"/>
        </w:rPr>
        <w:t xml:space="preserve">or </w:t>
      </w:r>
      <w:r w:rsidRPr="00663FD1">
        <w:rPr>
          <w:rFonts w:eastAsiaTheme="minorHAnsi" w:cstheme="minorBidi"/>
          <w:b w:val="0"/>
          <w:bCs w:val="0"/>
          <w:color w:val="auto"/>
          <w:sz w:val="22"/>
          <w:szCs w:val="22"/>
        </w:rPr>
        <w:t>drip irrigation</w:t>
      </w:r>
      <w:r>
        <w:rPr>
          <w:rFonts w:eastAsiaTheme="minorHAnsi" w:cstheme="minorBidi"/>
          <w:b w:val="0"/>
          <w:bCs w:val="0"/>
          <w:color w:val="auto"/>
          <w:sz w:val="22"/>
          <w:szCs w:val="22"/>
        </w:rPr>
        <w:t xml:space="preserve"> </w:t>
      </w:r>
      <w:r>
        <w:rPr>
          <w:rFonts w:eastAsiaTheme="minorHAnsi" w:cstheme="minorBidi"/>
          <w:b w:val="0"/>
          <w:bCs w:val="0"/>
          <w:noProof/>
          <w:color w:val="auto"/>
          <w:sz w:val="22"/>
          <w:szCs w:val="22"/>
        </w:rPr>
        <w:t>(Suryanto 2016)</w:t>
      </w:r>
      <w:r w:rsidRPr="00663FD1">
        <w:rPr>
          <w:rFonts w:eastAsiaTheme="minorHAnsi" w:cstheme="minorBidi"/>
          <w:b w:val="0"/>
          <w:bCs w:val="0"/>
          <w:color w:val="auto"/>
          <w:sz w:val="22"/>
          <w:szCs w:val="22"/>
        </w:rPr>
        <w:t>.</w:t>
      </w:r>
    </w:p>
    <w:p w:rsidR="004D5CBC" w:rsidRDefault="004D5CBC" w:rsidP="008A39AB">
      <w:pPr>
        <w:pStyle w:val="Caption"/>
      </w:pPr>
      <w:bookmarkStart w:id="52" w:name="_Ref492996194"/>
      <w:bookmarkStart w:id="53" w:name="_Toc520996445"/>
      <w:r>
        <w:t xml:space="preserve">Figure </w:t>
      </w:r>
      <w:r>
        <w:rPr>
          <w:noProof/>
        </w:rPr>
        <w:fldChar w:fldCharType="begin"/>
      </w:r>
      <w:r>
        <w:rPr>
          <w:noProof/>
        </w:rPr>
        <w:instrText xml:space="preserve"> SEQ Figure \* ARABIC </w:instrText>
      </w:r>
      <w:r>
        <w:rPr>
          <w:noProof/>
        </w:rPr>
        <w:fldChar w:fldCharType="separate"/>
      </w:r>
      <w:r w:rsidR="00502BAD">
        <w:rPr>
          <w:noProof/>
        </w:rPr>
        <w:t>5</w:t>
      </w:r>
      <w:r>
        <w:rPr>
          <w:noProof/>
        </w:rPr>
        <w:fldChar w:fldCharType="end"/>
      </w:r>
      <w:bookmarkEnd w:id="52"/>
      <w:r>
        <w:t xml:space="preserve"> Dragon fruit farm using concrete borders around each planting site to conserve water because of low water availability and sandy soils.</w:t>
      </w:r>
      <w:bookmarkEnd w:id="53"/>
    </w:p>
    <w:p w:rsidR="004D5CBC" w:rsidRDefault="004D5CBC" w:rsidP="008A39AB">
      <w:r>
        <w:rPr>
          <w:noProof/>
          <w:lang w:eastAsia="en-AU"/>
        </w:rPr>
        <w:drawing>
          <wp:inline distT="0" distB="0" distL="0" distR="0" wp14:anchorId="43A1B0B5" wp14:editId="2D04E34D">
            <wp:extent cx="5759450" cy="4319905"/>
            <wp:effectExtent l="0" t="0" r="0" b="4445"/>
            <wp:docPr id="8" name="Picture 8" descr="Dragon fruit farm with high drainage soil and shallow water table. Note; individual planting structures are walled in with a square wooden irrigation and nutrition containment. " title="dragon fruit farm low water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009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bookmarkEnd w:id="51"/>
    <w:p w:rsidR="004D5CBC" w:rsidRPr="00A32496" w:rsidRDefault="004D5CBC" w:rsidP="004D5CBC">
      <w:pPr>
        <w:pStyle w:val="Heading4"/>
        <w:numPr>
          <w:ilvl w:val="2"/>
          <w:numId w:val="11"/>
        </w:numPr>
      </w:pPr>
      <w:r w:rsidRPr="00A32496">
        <w:t>Pest management</w:t>
      </w:r>
    </w:p>
    <w:p w:rsidR="004D5CBC" w:rsidRDefault="004D5CBC" w:rsidP="00A32496">
      <w:bookmarkStart w:id="54" w:name="_Toc389741449"/>
      <w:r>
        <w:t>One of the prerequisites for farm registration with MOA is that the farm has implemented an integrated pest management (IPM) program, including standard operating procedures and a recording system. There are currently 31 centres for Food and Horticulture Crop Protection at the provincial level and 84 laboratories at the district level supporting crop protection under the INDO</w:t>
      </w:r>
      <w:r>
        <w:noBreakHyphen/>
        <w:t>GAP scheme, with pest monitors required to report to centres on a fortnightly basis.</w:t>
      </w:r>
    </w:p>
    <w:p w:rsidR="004D5CBC" w:rsidRDefault="004D5CBC" w:rsidP="00A32496">
      <w:r w:rsidRPr="003F37A0">
        <w:t>Pest monitoring and surveillance are carried out by the farmers or staff from the</w:t>
      </w:r>
      <w:r>
        <w:t xml:space="preserve"> responsible</w:t>
      </w:r>
      <w:r w:rsidRPr="003F37A0">
        <w:t xml:space="preserve"> field laboratory/food crop and horticulture protection centre. General surveillance is carried out according to ISPM</w:t>
      </w:r>
      <w:r>
        <w:t> </w:t>
      </w:r>
      <w:r w:rsidRPr="003F37A0">
        <w:t xml:space="preserve">6 </w:t>
      </w:r>
      <w:r>
        <w:rPr>
          <w:noProof/>
        </w:rPr>
        <w:t>(FAO 2016c)</w:t>
      </w:r>
      <w:r w:rsidRPr="003F37A0">
        <w:t>, which includes recommendations for NPPOs to develop systems to collect, compile and verify appropriate information on pests of concern.</w:t>
      </w:r>
    </w:p>
    <w:p w:rsidR="004D5CBC" w:rsidRDefault="004D5CBC" w:rsidP="00A32496">
      <w:r>
        <w:t xml:space="preserve">Pruning to promote air movement, removal of damaged or diseased stems from the farms, regular weeding and well aerated and drained planting beds are part of general farm hygiene </w:t>
      </w:r>
      <w:r>
        <w:lastRenderedPageBreak/>
        <w:t xml:space="preserve">practices that reduce the </w:t>
      </w:r>
      <w:r w:rsidRPr="00205D1C">
        <w:t>incidence of disease. Irrigation practices are important in disease management, especially in elevated areas with well-drain</w:t>
      </w:r>
      <w:r>
        <w:t>ed</w:t>
      </w:r>
      <w:r w:rsidRPr="00205D1C">
        <w:t xml:space="preserve"> soils where water stress and sunburn can promote fungal infection. Avoidance of urea as a nitrogen fertiliser also reduces </w:t>
      </w:r>
      <w:r>
        <w:t xml:space="preserve">the </w:t>
      </w:r>
      <w:r w:rsidRPr="00205D1C">
        <w:t xml:space="preserve">incidence of stem rot </w:t>
      </w:r>
      <w:r>
        <w:rPr>
          <w:noProof/>
        </w:rPr>
        <w:t>(Muas &amp; Jumjunidang 2015; Suryanto 2016)</w:t>
      </w:r>
      <w:r w:rsidRPr="00205D1C">
        <w:t>.</w:t>
      </w:r>
    </w:p>
    <w:p w:rsidR="004D5CBC" w:rsidRDefault="004D5CBC" w:rsidP="00A32496">
      <w:r>
        <w:t>Individual fruit bagging is commonly employed to protect fruit from birds, rats, fruit flies, snails, slugs and some small surface feeding arthropod pests (</w:t>
      </w:r>
      <w:r>
        <w:fldChar w:fldCharType="begin"/>
      </w:r>
      <w:r>
        <w:instrText xml:space="preserve"> REF _Ref492996226 \h </w:instrText>
      </w:r>
      <w:r>
        <w:fldChar w:fldCharType="separate"/>
      </w:r>
      <w:r w:rsidR="00502BAD">
        <w:t xml:space="preserve">Figure </w:t>
      </w:r>
      <w:r w:rsidR="00502BAD">
        <w:rPr>
          <w:noProof/>
        </w:rPr>
        <w:t>6</w:t>
      </w:r>
      <w:r>
        <w:fldChar w:fldCharType="end"/>
      </w:r>
      <w:r>
        <w:t xml:space="preserve">). </w:t>
      </w:r>
      <w:r w:rsidRPr="00575DE4">
        <w:t xml:space="preserve">Liming is conducted as a means to raise the pH of the soil and reduce attack by giant African snail </w:t>
      </w:r>
      <w:r>
        <w:rPr>
          <w:noProof/>
        </w:rPr>
        <w:t>(IAQA 2016)</w:t>
      </w:r>
      <w:r>
        <w:t>. Baited traps</w:t>
      </w:r>
      <w:r w:rsidRPr="00EE096C">
        <w:t xml:space="preserve"> for fruit flies are employed on some farms</w:t>
      </w:r>
      <w:r>
        <w:t xml:space="preserve"> (</w:t>
      </w:r>
      <w:r>
        <w:fldChar w:fldCharType="begin"/>
      </w:r>
      <w:r>
        <w:instrText xml:space="preserve"> REF _Ref492996233 \h </w:instrText>
      </w:r>
      <w:r>
        <w:fldChar w:fldCharType="separate"/>
      </w:r>
      <w:r w:rsidR="00502BAD">
        <w:t xml:space="preserve">Figure </w:t>
      </w:r>
      <w:r w:rsidR="00502BAD">
        <w:rPr>
          <w:noProof/>
        </w:rPr>
        <w:t>7</w:t>
      </w:r>
      <w:r>
        <w:fldChar w:fldCharType="end"/>
      </w:r>
      <w:r>
        <w:t>)</w:t>
      </w:r>
      <w:r w:rsidRPr="00B31BED">
        <w:t>.</w:t>
      </w:r>
      <w:r w:rsidRPr="00E509B4">
        <w:t xml:space="preserve"> </w:t>
      </w:r>
      <w:r>
        <w:t xml:space="preserve">Detergents and plant-based (for example tobacco and neem oil) sprays are also used to repel or control pests. In some instances, biological control agents are used, such as </w:t>
      </w:r>
      <w:r w:rsidRPr="00AB6FCC">
        <w:rPr>
          <w:i/>
          <w:iCs/>
        </w:rPr>
        <w:t>Trichoderma</w:t>
      </w:r>
      <w:r>
        <w:t xml:space="preserve">, </w:t>
      </w:r>
      <w:r w:rsidRPr="00AB6FCC">
        <w:rPr>
          <w:i/>
          <w:iCs/>
        </w:rPr>
        <w:t>Beauveria</w:t>
      </w:r>
      <w:r>
        <w:t xml:space="preserve"> and </w:t>
      </w:r>
      <w:r w:rsidRPr="00AB6FCC">
        <w:rPr>
          <w:i/>
          <w:iCs/>
        </w:rPr>
        <w:t>Metahizium</w:t>
      </w:r>
      <w:r>
        <w:rPr>
          <w:i/>
          <w:iCs/>
        </w:rPr>
        <w:t>.</w:t>
      </w:r>
    </w:p>
    <w:p w:rsidR="004D5CBC" w:rsidRDefault="004D5CBC" w:rsidP="00D23656">
      <w:pPr>
        <w:pStyle w:val="Caption"/>
      </w:pPr>
      <w:bookmarkStart w:id="55" w:name="_Ref492996226"/>
      <w:bookmarkStart w:id="56" w:name="_Toc520996446"/>
      <w:r>
        <w:t xml:space="preserve">Figure </w:t>
      </w:r>
      <w:r>
        <w:rPr>
          <w:noProof/>
        </w:rPr>
        <w:fldChar w:fldCharType="begin"/>
      </w:r>
      <w:r>
        <w:rPr>
          <w:noProof/>
        </w:rPr>
        <w:instrText xml:space="preserve"> SEQ Figure \* ARABIC </w:instrText>
      </w:r>
      <w:r>
        <w:rPr>
          <w:noProof/>
        </w:rPr>
        <w:fldChar w:fldCharType="separate"/>
      </w:r>
      <w:r w:rsidR="00502BAD">
        <w:rPr>
          <w:noProof/>
        </w:rPr>
        <w:t>6</w:t>
      </w:r>
      <w:r>
        <w:rPr>
          <w:noProof/>
        </w:rPr>
        <w:fldChar w:fldCharType="end"/>
      </w:r>
      <w:bookmarkEnd w:id="55"/>
      <w:r>
        <w:t xml:space="preserve"> Fruit growing on the plant protected in a mesh bag tied off with twine</w:t>
      </w:r>
      <w:bookmarkEnd w:id="56"/>
    </w:p>
    <w:p w:rsidR="004D5CBC" w:rsidRDefault="004D5CBC" w:rsidP="003061A8">
      <w:r>
        <w:rPr>
          <w:noProof/>
          <w:lang w:eastAsia="en-AU"/>
        </w:rPr>
        <w:drawing>
          <wp:inline distT="0" distB="0" distL="0" distR="0" wp14:anchorId="08FE12A6" wp14:editId="65EA5054">
            <wp:extent cx="5472000" cy="4104000"/>
            <wp:effectExtent l="0" t="0" r="0" b="0"/>
            <wp:docPr id="22" name="Picture 22" descr="Fruit growing on plant in field with a protective plastic mesh bag tied around the fruit with twine. " title="Fruit ba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00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2000" cy="4104000"/>
                    </a:xfrm>
                    <a:prstGeom prst="rect">
                      <a:avLst/>
                    </a:prstGeom>
                  </pic:spPr>
                </pic:pic>
              </a:graphicData>
            </a:graphic>
          </wp:inline>
        </w:drawing>
      </w:r>
    </w:p>
    <w:p w:rsidR="004D5CBC" w:rsidRDefault="004D5CBC" w:rsidP="00422E84">
      <w:pPr>
        <w:pStyle w:val="Caption"/>
      </w:pPr>
      <w:bookmarkStart w:id="57" w:name="_Ref492996233"/>
      <w:bookmarkStart w:id="58" w:name="_Toc520996447"/>
      <w:r>
        <w:lastRenderedPageBreak/>
        <w:t xml:space="preserve">Figure </w:t>
      </w:r>
      <w:r>
        <w:rPr>
          <w:noProof/>
        </w:rPr>
        <w:fldChar w:fldCharType="begin"/>
      </w:r>
      <w:r>
        <w:rPr>
          <w:noProof/>
        </w:rPr>
        <w:instrText xml:space="preserve"> SEQ Figure \* ARABIC </w:instrText>
      </w:r>
      <w:r>
        <w:rPr>
          <w:noProof/>
        </w:rPr>
        <w:fldChar w:fldCharType="separate"/>
      </w:r>
      <w:r w:rsidR="00502BAD">
        <w:rPr>
          <w:noProof/>
        </w:rPr>
        <w:t>7</w:t>
      </w:r>
      <w:r>
        <w:rPr>
          <w:noProof/>
        </w:rPr>
        <w:fldChar w:fldCharType="end"/>
      </w:r>
      <w:bookmarkEnd w:id="57"/>
      <w:r>
        <w:t xml:space="preserve"> Fruit fly lure on a farm growing dragon fruit and other fruit crops.</w:t>
      </w:r>
      <w:bookmarkEnd w:id="58"/>
    </w:p>
    <w:p w:rsidR="004D5CBC" w:rsidRPr="00205D1C" w:rsidRDefault="004D5CBC" w:rsidP="00422E84">
      <w:r>
        <w:rPr>
          <w:noProof/>
          <w:lang w:eastAsia="en-AU"/>
        </w:rPr>
        <w:drawing>
          <wp:inline distT="0" distB="0" distL="0" distR="0" wp14:anchorId="6811A28A" wp14:editId="69188359">
            <wp:extent cx="5472000" cy="4104000"/>
            <wp:effectExtent l="0" t="0" r="0" b="0"/>
            <wp:docPr id="9" name="Picture 9" descr="Fruit fly lure and trap in use in a dragon fruit farm. The plastic trap is attached to a branch with tape and dead flies can be seen within it." title="Fruit fly lure i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01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2000" cy="4104000"/>
                    </a:xfrm>
                    <a:prstGeom prst="rect">
                      <a:avLst/>
                    </a:prstGeom>
                  </pic:spPr>
                </pic:pic>
              </a:graphicData>
            </a:graphic>
          </wp:inline>
        </w:drawing>
      </w:r>
    </w:p>
    <w:p w:rsidR="004D5CBC" w:rsidRPr="003F37A0" w:rsidRDefault="004D5CBC" w:rsidP="00422E84"/>
    <w:p w:rsidR="004D5CBC" w:rsidRDefault="004D5CBC" w:rsidP="004D5CBC">
      <w:pPr>
        <w:pStyle w:val="Heading3"/>
        <w:numPr>
          <w:ilvl w:val="1"/>
          <w:numId w:val="11"/>
        </w:numPr>
      </w:pPr>
      <w:bookmarkStart w:id="59" w:name="_Toc520996424"/>
      <w:r>
        <w:t>Harvesting and handling procedures</w:t>
      </w:r>
      <w:bookmarkEnd w:id="54"/>
      <w:bookmarkEnd w:id="59"/>
    </w:p>
    <w:p w:rsidR="004D5CBC" w:rsidRPr="00575DE4" w:rsidRDefault="004D5CBC" w:rsidP="005F7D85">
      <w:bookmarkStart w:id="60" w:name="_Toc389741450"/>
      <w:r>
        <w:t xml:space="preserve">In the equatorial regions of Sumatra, Kalimantan and Sulawesi, flowering and harvest occur year round. Further south </w:t>
      </w:r>
      <w:r w:rsidRPr="007336B9">
        <w:t>in t</w:t>
      </w:r>
      <w:r>
        <w:t>he Sumatran province of Lampung</w:t>
      </w:r>
      <w:r w:rsidRPr="007336B9">
        <w:t xml:space="preserve"> and the islands of Java, Madura, Bali, West Nusa Tenggara and East Nusa Tenggara flowering occurs from October to April</w:t>
      </w:r>
      <w:r>
        <w:t>,</w:t>
      </w:r>
      <w:r w:rsidRPr="007336B9">
        <w:t xml:space="preserve"> meaning a main harvest season from November to April </w:t>
      </w:r>
      <w:r>
        <w:rPr>
          <w:noProof/>
        </w:rPr>
        <w:t>(Muas &amp; Jumjunidang 2015)</w:t>
      </w:r>
      <w:r w:rsidRPr="005F7D85">
        <w:t xml:space="preserve">. Some farmers are beginning to </w:t>
      </w:r>
      <w:r>
        <w:t>trial</w:t>
      </w:r>
      <w:r w:rsidRPr="005F7D85">
        <w:t xml:space="preserve"> forced flower indu</w:t>
      </w:r>
      <w:r>
        <w:t>ction using artificial lighting to extend the growing season and increase yields of dragon fruit.</w:t>
      </w:r>
    </w:p>
    <w:p w:rsidR="004D5CBC" w:rsidRDefault="004D5CBC" w:rsidP="005F7D85">
      <w:r w:rsidRPr="00575DE4">
        <w:t>Fruit is usually harvested for the international market 29</w:t>
      </w:r>
      <w:r>
        <w:t>–</w:t>
      </w:r>
      <w:r w:rsidRPr="00575DE4">
        <w:t>33</w:t>
      </w:r>
      <w:r>
        <w:t> </w:t>
      </w:r>
      <w:r w:rsidRPr="00575DE4">
        <w:t xml:space="preserve">days after flowering. The fruit is harvested manually, cutting the fruit at the base without damaging the stems </w:t>
      </w:r>
      <w:r>
        <w:rPr>
          <w:noProof/>
        </w:rPr>
        <w:t>(IAQA 2016)</w:t>
      </w:r>
      <w:r>
        <w:t>. Harvested fruit are collected into crates, which are covered in the field to reduce the temperature of fruit and maintain fruit quality, before being taken to the collection centre or packing house.</w:t>
      </w:r>
    </w:p>
    <w:p w:rsidR="004D5CBC" w:rsidRDefault="004D5CBC" w:rsidP="004D5CBC">
      <w:pPr>
        <w:pStyle w:val="Heading3"/>
        <w:numPr>
          <w:ilvl w:val="1"/>
          <w:numId w:val="11"/>
        </w:numPr>
      </w:pPr>
      <w:bookmarkStart w:id="61" w:name="_Toc520996425"/>
      <w:r>
        <w:t>Post-harvest</w:t>
      </w:r>
      <w:bookmarkEnd w:id="60"/>
      <w:bookmarkEnd w:id="61"/>
    </w:p>
    <w:p w:rsidR="004D5CBC" w:rsidRPr="004D04E6" w:rsidRDefault="004D5CBC" w:rsidP="004D5CBC">
      <w:pPr>
        <w:pStyle w:val="Heading4"/>
        <w:numPr>
          <w:ilvl w:val="2"/>
          <w:numId w:val="11"/>
        </w:numPr>
      </w:pPr>
      <w:r>
        <w:t>Collection centre and p</w:t>
      </w:r>
      <w:r w:rsidRPr="004D04E6">
        <w:t>acking house</w:t>
      </w:r>
    </w:p>
    <w:p w:rsidR="004D5CBC" w:rsidRDefault="004D5CBC" w:rsidP="00FB5833">
      <w:r>
        <w:t xml:space="preserve">Harvested fruit are taken to a collection centre or packing house for cleaning and grading. It is an INDO-GAP requirement that fruit are washed in clean water and then dried and further cleaned with compressed air, cloths or brushes. </w:t>
      </w:r>
      <w:r w:rsidRPr="00462D6A">
        <w:t>Fruit</w:t>
      </w:r>
      <w:r>
        <w:t xml:space="preserve"> are then graded based </w:t>
      </w:r>
      <w:r w:rsidRPr="00575DE4">
        <w:t>on</w:t>
      </w:r>
      <w:r>
        <w:t xml:space="preserve"> skin</w:t>
      </w:r>
      <w:r w:rsidRPr="00575DE4">
        <w:t xml:space="preserve"> colour</w:t>
      </w:r>
      <w:r>
        <w:t xml:space="preserve"> and fruit weight (</w:t>
      </w:r>
      <w:r>
        <w:fldChar w:fldCharType="begin"/>
      </w:r>
      <w:r>
        <w:instrText xml:space="preserve"> REF _Ref492996250 \h </w:instrText>
      </w:r>
      <w:r>
        <w:fldChar w:fldCharType="separate"/>
      </w:r>
      <w:r w:rsidR="00502BAD">
        <w:t xml:space="preserve">Figure </w:t>
      </w:r>
      <w:r w:rsidR="00502BAD">
        <w:rPr>
          <w:noProof/>
        </w:rPr>
        <w:t>8</w:t>
      </w:r>
      <w:r>
        <w:fldChar w:fldCharType="end"/>
      </w:r>
      <w:r>
        <w:t>).</w:t>
      </w:r>
      <w:r w:rsidRPr="00575DE4">
        <w:t xml:space="preserve"> Fruit for export are required </w:t>
      </w:r>
      <w:r>
        <w:t xml:space="preserve">to </w:t>
      </w:r>
      <w:r w:rsidRPr="00575DE4">
        <w:t>have 30</w:t>
      </w:r>
      <w:r>
        <w:t>–</w:t>
      </w:r>
      <w:r w:rsidRPr="00575DE4">
        <w:t>40 per</w:t>
      </w:r>
      <w:r>
        <w:t> </w:t>
      </w:r>
      <w:r w:rsidRPr="00575DE4">
        <w:t xml:space="preserve">cent red colour on the fruit </w:t>
      </w:r>
      <w:r w:rsidRPr="00575DE4">
        <w:lastRenderedPageBreak/>
        <w:t xml:space="preserve">skin </w:t>
      </w:r>
      <w:r>
        <w:rPr>
          <w:noProof/>
        </w:rPr>
        <w:t>(IAQA 2016)</w:t>
      </w:r>
      <w:r>
        <w:t xml:space="preserve">. There are also three weight grades that fruit are sorted into: </w:t>
      </w:r>
      <w:r w:rsidRPr="00FB1F48">
        <w:t>A (&gt;750</w:t>
      </w:r>
      <w:r>
        <w:t> </w:t>
      </w:r>
      <w:r w:rsidRPr="00FB1F48">
        <w:t>g</w:t>
      </w:r>
      <w:r>
        <w:t>rams</w:t>
      </w:r>
      <w:r w:rsidRPr="00FB1F48">
        <w:t>), B (500</w:t>
      </w:r>
      <w:r>
        <w:t>–</w:t>
      </w:r>
      <w:r w:rsidRPr="00FB1F48">
        <w:t>750</w:t>
      </w:r>
      <w:r>
        <w:t> </w:t>
      </w:r>
      <w:r w:rsidRPr="00FB1F48">
        <w:t>g</w:t>
      </w:r>
      <w:r>
        <w:t>rams</w:t>
      </w:r>
      <w:r w:rsidRPr="00FB1F48">
        <w:t>) and C (&lt;500</w:t>
      </w:r>
      <w:r>
        <w:t> </w:t>
      </w:r>
      <w:r w:rsidRPr="00FB1F48">
        <w:t>g</w:t>
      </w:r>
      <w:r>
        <w:t>rams</w:t>
      </w:r>
      <w:r w:rsidRPr="00FB1F48">
        <w:t>)</w:t>
      </w:r>
      <w:r>
        <w:t>.</w:t>
      </w:r>
    </w:p>
    <w:p w:rsidR="004D5CBC" w:rsidRPr="003061A8" w:rsidRDefault="004D5CBC" w:rsidP="00AA19EC">
      <w:r w:rsidRPr="00AC520E">
        <w:t xml:space="preserve">Fruit </w:t>
      </w:r>
      <w:r>
        <w:t xml:space="preserve">for export </w:t>
      </w:r>
      <w:r w:rsidRPr="00AC520E">
        <w:t xml:space="preserve">are </w:t>
      </w:r>
      <w:r>
        <w:t xml:space="preserve">fitted with a protective foam sleeve to prevent fruit damage, and </w:t>
      </w:r>
      <w:r w:rsidRPr="00AC520E">
        <w:t xml:space="preserve">packed directly into a cardboard carton. The packed fruit </w:t>
      </w:r>
      <w:r>
        <w:t>are</w:t>
      </w:r>
      <w:r w:rsidRPr="00AC520E">
        <w:t xml:space="preserve"> weighed and labelled with the name, variety, quality class, quality certification, weight and place of origin.</w:t>
      </w:r>
      <w:r w:rsidRPr="00AA19EC">
        <w:t xml:space="preserve"> </w:t>
      </w:r>
      <w:r w:rsidRPr="00AC520E">
        <w:t xml:space="preserve">Packed fruit </w:t>
      </w:r>
      <w:r>
        <w:t>are</w:t>
      </w:r>
      <w:r w:rsidRPr="00AC520E">
        <w:t xml:space="preserve"> </w:t>
      </w:r>
      <w:r>
        <w:t>stored at room temperature or under refrigeration</w:t>
      </w:r>
      <w:r w:rsidRPr="00575DE4">
        <w:t xml:space="preserve"> until loading into sealed refrigerated trucks or containers for shipment </w:t>
      </w:r>
      <w:r>
        <w:rPr>
          <w:noProof/>
        </w:rPr>
        <w:t>(IAQA 2016)</w:t>
      </w:r>
      <w:r>
        <w:t>.</w:t>
      </w:r>
    </w:p>
    <w:p w:rsidR="004D5CBC" w:rsidRDefault="004D5CBC" w:rsidP="00FB5833">
      <w:pPr>
        <w:pStyle w:val="Caption"/>
      </w:pPr>
      <w:bookmarkStart w:id="62" w:name="_Ref492996250"/>
      <w:bookmarkStart w:id="63" w:name="_Toc520996448"/>
      <w:r>
        <w:t xml:space="preserve">Figure </w:t>
      </w:r>
      <w:r>
        <w:rPr>
          <w:noProof/>
        </w:rPr>
        <w:fldChar w:fldCharType="begin"/>
      </w:r>
      <w:r>
        <w:rPr>
          <w:noProof/>
        </w:rPr>
        <w:instrText xml:space="preserve"> SEQ Figure \* ARABIC </w:instrText>
      </w:r>
      <w:r>
        <w:rPr>
          <w:noProof/>
        </w:rPr>
        <w:fldChar w:fldCharType="separate"/>
      </w:r>
      <w:r w:rsidR="00502BAD">
        <w:rPr>
          <w:noProof/>
        </w:rPr>
        <w:t>8</w:t>
      </w:r>
      <w:r>
        <w:rPr>
          <w:noProof/>
        </w:rPr>
        <w:fldChar w:fldCharType="end"/>
      </w:r>
      <w:bookmarkEnd w:id="62"/>
      <w:r>
        <w:t xml:space="preserve"> Fruit grading procedure in a packing house</w:t>
      </w:r>
      <w:bookmarkEnd w:id="63"/>
    </w:p>
    <w:p w:rsidR="004D5CBC" w:rsidRDefault="004D5CBC" w:rsidP="00FB5833">
      <w:r>
        <w:rPr>
          <w:noProof/>
          <w:lang w:eastAsia="en-AU"/>
        </w:rPr>
        <w:drawing>
          <wp:inline distT="0" distB="0" distL="0" distR="0" wp14:anchorId="69510D53" wp14:editId="57668DD3">
            <wp:extent cx="5759450" cy="4319905"/>
            <wp:effectExtent l="0" t="0" r="0" b="4445"/>
            <wp:docPr id="10" name="Picture 10" descr="Fruit being sorted by weight grades onto seperate trays in the packing house. " title="Fruit sort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00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4D5CBC" w:rsidRPr="004D04E6" w:rsidRDefault="004D5CBC" w:rsidP="004D5CBC">
      <w:pPr>
        <w:pStyle w:val="Heading4"/>
        <w:numPr>
          <w:ilvl w:val="2"/>
          <w:numId w:val="11"/>
        </w:numPr>
      </w:pPr>
      <w:r w:rsidRPr="004D04E6">
        <w:t>Transport</w:t>
      </w:r>
    </w:p>
    <w:p w:rsidR="004D5CBC" w:rsidRDefault="004D5CBC" w:rsidP="005D4477">
      <w:r w:rsidRPr="00575DE4">
        <w:t xml:space="preserve">Shipments of dragon fruit are transported to </w:t>
      </w:r>
      <w:r>
        <w:t xml:space="preserve">the </w:t>
      </w:r>
      <w:r w:rsidRPr="00575DE4">
        <w:t>port or airport in enclosed refrigerated trucks</w:t>
      </w:r>
      <w:r w:rsidRPr="00575DE4">
        <w:rPr>
          <w:noProof/>
        </w:rPr>
        <w:t xml:space="preserve"> </w:t>
      </w:r>
      <w:r>
        <w:rPr>
          <w:noProof/>
        </w:rPr>
        <w:t>(IAQA 2016)</w:t>
      </w:r>
      <w:r>
        <w:t>. This usually occurs within 24 hours of packing, but can occur for up to ten days after storage at room temperature or under refrigeration.</w:t>
      </w:r>
      <w:bookmarkStart w:id="64" w:name="_Toc384979256"/>
      <w:bookmarkStart w:id="65" w:name="_Toc384979283"/>
      <w:bookmarkStart w:id="66" w:name="_Toc389741470"/>
      <w:r>
        <w:t xml:space="preserve"> A randomly selected 600 unit sample of each consignment undergoes phytosanitary inspection by IAQA officers prior to shipment. Consignments are issued with an international phytosanitary certificate once they are found free from pests or a suitable treatment is applied to control for any pests that are found.</w:t>
      </w:r>
      <w:r>
        <w:br w:type="page"/>
      </w:r>
    </w:p>
    <w:p w:rsidR="004D5CBC" w:rsidRDefault="004D5CBC" w:rsidP="005D4477">
      <w:pPr>
        <w:pStyle w:val="Caption"/>
      </w:pPr>
      <w:bookmarkStart w:id="67" w:name="_Toc459631152"/>
      <w:bookmarkStart w:id="68" w:name="_Toc520996449"/>
      <w:r>
        <w:lastRenderedPageBreak/>
        <w:t xml:space="preserve">Figure </w:t>
      </w:r>
      <w:r>
        <w:rPr>
          <w:noProof/>
        </w:rPr>
        <w:fldChar w:fldCharType="begin"/>
      </w:r>
      <w:r>
        <w:rPr>
          <w:noProof/>
        </w:rPr>
        <w:instrText xml:space="preserve"> SEQ Figure \* ARABIC </w:instrText>
      </w:r>
      <w:r>
        <w:rPr>
          <w:noProof/>
        </w:rPr>
        <w:fldChar w:fldCharType="separate"/>
      </w:r>
      <w:r w:rsidR="00502BAD">
        <w:rPr>
          <w:noProof/>
        </w:rPr>
        <w:t>9</w:t>
      </w:r>
      <w:r>
        <w:rPr>
          <w:noProof/>
        </w:rPr>
        <w:fldChar w:fldCharType="end"/>
      </w:r>
      <w:r>
        <w:t xml:space="preserve"> </w:t>
      </w:r>
      <w:r w:rsidRPr="00A168C1">
        <w:t xml:space="preserve">Summary of operational steps from harvesting to </w:t>
      </w:r>
      <w:r>
        <w:t>export</w:t>
      </w:r>
      <w:r w:rsidRPr="00A168C1">
        <w:t xml:space="preserve"> for dragon fruit grown in </w:t>
      </w:r>
      <w:r>
        <w:t>Indonesia</w:t>
      </w:r>
      <w:bookmarkEnd w:id="67"/>
      <w:bookmarkEnd w:id="68"/>
    </w:p>
    <w:p w:rsidR="004D5CBC" w:rsidRDefault="004D5CBC" w:rsidP="00F52E26">
      <w:pPr>
        <w:jc w:val="center"/>
      </w:pPr>
      <w:r>
        <w:rPr>
          <w:noProof/>
          <w:lang w:eastAsia="en-AU"/>
        </w:rPr>
        <w:drawing>
          <wp:inline distT="0" distB="0" distL="0" distR="0" wp14:anchorId="11C93032" wp14:editId="0E901621">
            <wp:extent cx="5696077" cy="6456529"/>
            <wp:effectExtent l="0" t="0" r="0" b="1905"/>
            <wp:docPr id="5" name="Picture 5" descr="Figure contains a six step, linear flow chart with three sections. The first section, plantation, includes only the first step (harvesting). The second section, collection centre and packing house, covers steps cleaning, sorting and grading, packing, and mandatory pre export inspection. The final section covers storage and export." title="Summary of operational steps from harvesting to export for dragon fruit grown i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96077" cy="6456529"/>
                    </a:xfrm>
                    <a:prstGeom prst="rect">
                      <a:avLst/>
                    </a:prstGeom>
                  </pic:spPr>
                </pic:pic>
              </a:graphicData>
            </a:graphic>
          </wp:inline>
        </w:drawing>
      </w:r>
      <w:bookmarkEnd w:id="64"/>
      <w:bookmarkEnd w:id="65"/>
      <w:bookmarkEnd w:id="66"/>
    </w:p>
    <w:p w:rsidR="004D5CBC" w:rsidRDefault="004D5CBC" w:rsidP="004D5CBC">
      <w:pPr>
        <w:pStyle w:val="Heading3"/>
        <w:numPr>
          <w:ilvl w:val="1"/>
          <w:numId w:val="11"/>
        </w:numPr>
      </w:pPr>
      <w:r>
        <w:br w:type="page"/>
      </w:r>
      <w:bookmarkStart w:id="69" w:name="_Toc389741451"/>
      <w:bookmarkStart w:id="70" w:name="_Toc520996426"/>
      <w:r>
        <w:lastRenderedPageBreak/>
        <w:t>Export capability</w:t>
      </w:r>
      <w:bookmarkEnd w:id="69"/>
      <w:bookmarkEnd w:id="70"/>
    </w:p>
    <w:p w:rsidR="004D5CBC" w:rsidRDefault="004D5CBC" w:rsidP="004D5CBC">
      <w:pPr>
        <w:pStyle w:val="Heading4"/>
        <w:numPr>
          <w:ilvl w:val="2"/>
          <w:numId w:val="11"/>
        </w:numPr>
      </w:pPr>
      <w:r>
        <w:t>Production statistics</w:t>
      </w:r>
    </w:p>
    <w:p w:rsidR="004D5CBC" w:rsidRDefault="004D5CBC" w:rsidP="003061A8">
      <w:r>
        <w:t>Dragon fruit farms currently produce up to 20 tonnes of dragon fruit per hectare per season. Further yield increases are expected with the introduction of forced flower induction through artificial lighting to allow for year round production on some farms.</w:t>
      </w:r>
    </w:p>
    <w:p w:rsidR="004D5CBC" w:rsidRDefault="004D5CBC" w:rsidP="004D5CBC">
      <w:pPr>
        <w:pStyle w:val="Heading4"/>
        <w:numPr>
          <w:ilvl w:val="2"/>
          <w:numId w:val="11"/>
        </w:numPr>
      </w:pPr>
      <w:r>
        <w:t>Export statistics</w:t>
      </w:r>
    </w:p>
    <w:p w:rsidR="004D5CBC" w:rsidRPr="009420CC" w:rsidRDefault="004D5CBC" w:rsidP="00D767BF">
      <w:r w:rsidRPr="00EE096C">
        <w:t>There are currently 58</w:t>
      </w:r>
      <w:r>
        <w:t> </w:t>
      </w:r>
      <w:r w:rsidRPr="00EE096C">
        <w:t>dragon</w:t>
      </w:r>
      <w:r>
        <w:t> </w:t>
      </w:r>
      <w:r w:rsidRPr="00EE096C">
        <w:t>fruit</w:t>
      </w:r>
      <w:r>
        <w:t> </w:t>
      </w:r>
      <w:r w:rsidRPr="00EE096C">
        <w:t>farms in Indonesia</w:t>
      </w:r>
      <w:r>
        <w:t xml:space="preserve"> that are registered for export</w:t>
      </w:r>
      <w:r w:rsidRPr="00EE096C">
        <w:t xml:space="preserve">. Most of these are small </w:t>
      </w:r>
      <w:r>
        <w:t xml:space="preserve">farms of </w:t>
      </w:r>
      <w:r w:rsidRPr="00EE096C">
        <w:t>0.01</w:t>
      </w:r>
      <w:r>
        <w:noBreakHyphen/>
      </w:r>
      <w:r w:rsidRPr="00EE096C">
        <w:t>0.25 </w:t>
      </w:r>
      <w:r>
        <w:t>h</w:t>
      </w:r>
      <w:r w:rsidRPr="00EE096C">
        <w:t>ectare</w:t>
      </w:r>
      <w:r>
        <w:t>s</w:t>
      </w:r>
      <w:r w:rsidRPr="00EE096C">
        <w:t xml:space="preserve"> </w:t>
      </w:r>
      <w:r>
        <w:t xml:space="preserve">in size </w:t>
      </w:r>
      <w:r w:rsidRPr="00EE096C">
        <w:t>with some larger farms operated by farmer groups</w:t>
      </w:r>
      <w:r>
        <w:t xml:space="preserve"> or cooperatives</w:t>
      </w:r>
      <w:r w:rsidRPr="00EE096C">
        <w:t>.</w:t>
      </w:r>
      <w:r>
        <w:t xml:space="preserve"> Dragon fruit production in Indonesia has expanded since 2000 </w:t>
      </w:r>
      <w:r>
        <w:rPr>
          <w:noProof/>
        </w:rPr>
        <w:t>(Suryanto 2016)</w:t>
      </w:r>
      <w:r w:rsidRPr="000343DB">
        <w:t>.</w:t>
      </w:r>
      <w:r>
        <w:t xml:space="preserve"> International exports have grown rapidly from around one</w:t>
      </w:r>
      <w:r w:rsidRPr="009420CC">
        <w:t xml:space="preserve"> ton</w:t>
      </w:r>
      <w:r>
        <w:t>ne</w:t>
      </w:r>
      <w:r w:rsidRPr="009420CC">
        <w:t xml:space="preserve"> </w:t>
      </w:r>
      <w:r>
        <w:t xml:space="preserve">in 2013 </w:t>
      </w:r>
      <w:r w:rsidRPr="009420CC">
        <w:t xml:space="preserve">to </w:t>
      </w:r>
      <w:r>
        <w:t>almost</w:t>
      </w:r>
      <w:r w:rsidRPr="009420CC">
        <w:t xml:space="preserve"> 50</w:t>
      </w:r>
      <w:r>
        <w:t> </w:t>
      </w:r>
      <w:r w:rsidRPr="009420CC">
        <w:t>ton</w:t>
      </w:r>
      <w:r>
        <w:t>ne</w:t>
      </w:r>
      <w:r w:rsidRPr="009420CC">
        <w:t xml:space="preserve">s </w:t>
      </w:r>
      <w:r>
        <w:t xml:space="preserve">at a value of almost $200,000 equivalent </w:t>
      </w:r>
      <w:r w:rsidRPr="009420CC">
        <w:t>in 2015</w:t>
      </w:r>
      <w:r>
        <w:t xml:space="preserve"> </w:t>
      </w:r>
      <w:r>
        <w:rPr>
          <w:noProof/>
        </w:rPr>
        <w:t>(ITC Comtrade 2016)</w:t>
      </w:r>
      <w:r>
        <w:t>.</w:t>
      </w:r>
    </w:p>
    <w:p w:rsidR="004D5CBC" w:rsidRPr="00575DE4" w:rsidRDefault="004D5CBC" w:rsidP="00D767BF">
      <w:r>
        <w:t>Indonesia</w:t>
      </w:r>
      <w:r w:rsidRPr="00B91027">
        <w:t xml:space="preserve"> </w:t>
      </w:r>
      <w:r>
        <w:t>exports dragon fruit</w:t>
      </w:r>
      <w:r w:rsidRPr="00B91027">
        <w:t xml:space="preserve"> to </w:t>
      </w:r>
      <w:r>
        <w:t>16 </w:t>
      </w:r>
      <w:r w:rsidRPr="00B91027">
        <w:t xml:space="preserve">countries and territories </w:t>
      </w:r>
      <w:r>
        <w:t xml:space="preserve">throughout </w:t>
      </w:r>
      <w:r w:rsidRPr="00B91027">
        <w:t>the world. The main markets are Singapore</w:t>
      </w:r>
      <w:r>
        <w:t>, Vietnam and Hong Kong</w:t>
      </w:r>
      <w:r w:rsidRPr="00B91027">
        <w:t>.</w:t>
      </w:r>
      <w:r>
        <w:t xml:space="preserve"> Indonesia also exports dragon fruit to China, Thailand, </w:t>
      </w:r>
      <w:r w:rsidRPr="00575DE4">
        <w:t xml:space="preserve">Japan, United Arab Emirates, Saudi Arabia, Timor Leste, Kuwait, Qatar, Oman, Malaysia and Germany </w:t>
      </w:r>
      <w:r>
        <w:rPr>
          <w:noProof/>
        </w:rPr>
        <w:t>(IAQA 2016)</w:t>
      </w:r>
      <w:r>
        <w:t>.</w:t>
      </w:r>
      <w:r w:rsidRPr="00DD50B4">
        <w:t xml:space="preserve"> </w:t>
      </w:r>
      <w:r w:rsidRPr="009420CC">
        <w:t xml:space="preserve">A summary of </w:t>
      </w:r>
      <w:r>
        <w:t xml:space="preserve">recent </w:t>
      </w:r>
      <w:r w:rsidRPr="009420CC">
        <w:t>export stati</w:t>
      </w:r>
      <w:r>
        <w:t xml:space="preserve">stics is provided in </w:t>
      </w:r>
      <w:r>
        <w:fldChar w:fldCharType="begin"/>
      </w:r>
      <w:r>
        <w:instrText xml:space="preserve"> REF _Ref492995885 \h </w:instrText>
      </w:r>
      <w:r>
        <w:fldChar w:fldCharType="separate"/>
      </w:r>
      <w:r w:rsidR="00502BAD">
        <w:t xml:space="preserve">Table </w:t>
      </w:r>
      <w:r w:rsidR="00502BAD">
        <w:rPr>
          <w:noProof/>
        </w:rPr>
        <w:t>3</w:t>
      </w:r>
      <w:r w:rsidR="00502BAD">
        <w:t>.</w:t>
      </w:r>
      <w:r w:rsidR="00502BAD">
        <w:rPr>
          <w:noProof/>
        </w:rPr>
        <w:t>2</w:t>
      </w:r>
      <w:r>
        <w:fldChar w:fldCharType="end"/>
      </w:r>
      <w:r>
        <w:t>.</w:t>
      </w:r>
    </w:p>
    <w:p w:rsidR="004D5CBC" w:rsidRDefault="004D5CBC" w:rsidP="003F5F75">
      <w:pPr>
        <w:pStyle w:val="Caption"/>
      </w:pPr>
      <w:bookmarkStart w:id="71" w:name="_Ref492995885"/>
      <w:bookmarkStart w:id="72" w:name="_Toc520996456"/>
      <w:r>
        <w:t xml:space="preserve">Table </w:t>
      </w:r>
      <w:r>
        <w:rPr>
          <w:noProof/>
        </w:rPr>
        <w:fldChar w:fldCharType="begin"/>
      </w:r>
      <w:r>
        <w:rPr>
          <w:noProof/>
        </w:rPr>
        <w:instrText xml:space="preserve"> STYLEREF 2 \s </w:instrText>
      </w:r>
      <w:r>
        <w:rPr>
          <w:noProof/>
        </w:rPr>
        <w:fldChar w:fldCharType="separate"/>
      </w:r>
      <w:r w:rsidR="00502BAD">
        <w:rPr>
          <w:noProof/>
        </w:rPr>
        <w:t>3</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2</w:t>
      </w:r>
      <w:r>
        <w:rPr>
          <w:noProof/>
        </w:rPr>
        <w:fldChar w:fldCharType="end"/>
      </w:r>
      <w:bookmarkEnd w:id="71"/>
      <w:r>
        <w:t xml:space="preserve"> Summary of Indonesian Dragon fruit exports between 2013 and 2015 (all values in kilograms)</w:t>
      </w:r>
      <w:bookmarkEnd w:id="72"/>
    </w:p>
    <w:tbl>
      <w:tblPr>
        <w:tblStyle w:val="TableGrid"/>
        <w:tblW w:w="5000"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267"/>
        <w:gridCol w:w="2267"/>
        <w:gridCol w:w="2268"/>
        <w:gridCol w:w="2268"/>
      </w:tblGrid>
      <w:tr w:rsidR="004D5CBC" w:rsidTr="00AA5EEE">
        <w:trPr>
          <w:cantSplit/>
          <w:tblHeader/>
        </w:trPr>
        <w:tc>
          <w:tcPr>
            <w:tcW w:w="1250" w:type="pct"/>
          </w:tcPr>
          <w:p w:rsidR="004D5CBC" w:rsidRPr="007279F8" w:rsidRDefault="004D5CBC" w:rsidP="007279F8">
            <w:pPr>
              <w:pStyle w:val="TableHeading"/>
            </w:pPr>
            <w:r w:rsidRPr="007279F8">
              <w:t>Country</w:t>
            </w:r>
          </w:p>
        </w:tc>
        <w:tc>
          <w:tcPr>
            <w:tcW w:w="1250" w:type="pct"/>
          </w:tcPr>
          <w:p w:rsidR="004D5CBC" w:rsidRPr="007279F8" w:rsidRDefault="004D5CBC" w:rsidP="007279F8">
            <w:pPr>
              <w:pStyle w:val="TableHeading"/>
            </w:pPr>
            <w:r w:rsidRPr="007279F8">
              <w:t>2013</w:t>
            </w:r>
          </w:p>
        </w:tc>
        <w:tc>
          <w:tcPr>
            <w:tcW w:w="1250" w:type="pct"/>
          </w:tcPr>
          <w:p w:rsidR="004D5CBC" w:rsidRPr="007279F8" w:rsidRDefault="004D5CBC" w:rsidP="007279F8">
            <w:pPr>
              <w:pStyle w:val="TableHeading"/>
            </w:pPr>
            <w:r w:rsidRPr="007279F8">
              <w:t>2014</w:t>
            </w:r>
          </w:p>
        </w:tc>
        <w:tc>
          <w:tcPr>
            <w:tcW w:w="1250" w:type="pct"/>
          </w:tcPr>
          <w:p w:rsidR="004D5CBC" w:rsidRPr="007279F8" w:rsidRDefault="004D5CBC" w:rsidP="007279F8">
            <w:pPr>
              <w:pStyle w:val="TableHeading"/>
            </w:pPr>
            <w:r w:rsidRPr="007279F8">
              <w:t>2015</w:t>
            </w:r>
          </w:p>
        </w:tc>
      </w:tr>
      <w:tr w:rsidR="004D5CBC" w:rsidTr="00AA5EEE">
        <w:tc>
          <w:tcPr>
            <w:tcW w:w="1250" w:type="pct"/>
          </w:tcPr>
          <w:p w:rsidR="004D5CBC" w:rsidRDefault="004D5CBC" w:rsidP="007279F8">
            <w:pPr>
              <w:pStyle w:val="TableText"/>
            </w:pPr>
            <w:r>
              <w:t>Singapore</w:t>
            </w:r>
          </w:p>
        </w:tc>
        <w:tc>
          <w:tcPr>
            <w:tcW w:w="1250" w:type="pct"/>
          </w:tcPr>
          <w:p w:rsidR="004D5CBC" w:rsidRDefault="004D5CBC" w:rsidP="007279F8">
            <w:pPr>
              <w:pStyle w:val="TableText"/>
            </w:pPr>
            <w:r>
              <w:t>0</w:t>
            </w:r>
          </w:p>
        </w:tc>
        <w:tc>
          <w:tcPr>
            <w:tcW w:w="1250" w:type="pct"/>
          </w:tcPr>
          <w:p w:rsidR="004D5CBC" w:rsidRDefault="004D5CBC" w:rsidP="001B383B">
            <w:pPr>
              <w:pStyle w:val="TableText"/>
            </w:pPr>
            <w:r>
              <w:t>5,587</w:t>
            </w:r>
          </w:p>
        </w:tc>
        <w:tc>
          <w:tcPr>
            <w:tcW w:w="1250" w:type="pct"/>
          </w:tcPr>
          <w:p w:rsidR="004D5CBC" w:rsidRDefault="004D5CBC" w:rsidP="001B383B">
            <w:pPr>
              <w:pStyle w:val="TableText"/>
            </w:pPr>
            <w:r>
              <w:t>14,486</w:t>
            </w:r>
          </w:p>
        </w:tc>
      </w:tr>
      <w:tr w:rsidR="004D5CBC" w:rsidTr="00AA5EEE">
        <w:tc>
          <w:tcPr>
            <w:tcW w:w="1250" w:type="pct"/>
          </w:tcPr>
          <w:p w:rsidR="004D5CBC" w:rsidRDefault="004D5CBC" w:rsidP="007279F8">
            <w:pPr>
              <w:pStyle w:val="TableText"/>
            </w:pPr>
            <w:r>
              <w:t>Vietnam</w:t>
            </w:r>
          </w:p>
        </w:tc>
        <w:tc>
          <w:tcPr>
            <w:tcW w:w="1250" w:type="pct"/>
          </w:tcPr>
          <w:p w:rsidR="004D5CBC" w:rsidRDefault="004D5CBC" w:rsidP="007279F8">
            <w:pPr>
              <w:pStyle w:val="TableText"/>
            </w:pPr>
            <w:r>
              <w:t>0</w:t>
            </w:r>
          </w:p>
        </w:tc>
        <w:tc>
          <w:tcPr>
            <w:tcW w:w="1250" w:type="pct"/>
          </w:tcPr>
          <w:p w:rsidR="004D5CBC" w:rsidRDefault="004D5CBC" w:rsidP="007279F8">
            <w:pPr>
              <w:pStyle w:val="TableText"/>
            </w:pPr>
            <w:r>
              <w:t>0</w:t>
            </w:r>
          </w:p>
        </w:tc>
        <w:tc>
          <w:tcPr>
            <w:tcW w:w="1250" w:type="pct"/>
          </w:tcPr>
          <w:p w:rsidR="004D5CBC" w:rsidRDefault="004D5CBC" w:rsidP="001B383B">
            <w:pPr>
              <w:pStyle w:val="TableText"/>
            </w:pPr>
            <w:r>
              <w:t>10,504</w:t>
            </w:r>
          </w:p>
        </w:tc>
      </w:tr>
      <w:tr w:rsidR="004D5CBC" w:rsidTr="00AA5EEE">
        <w:tc>
          <w:tcPr>
            <w:tcW w:w="1250" w:type="pct"/>
          </w:tcPr>
          <w:p w:rsidR="004D5CBC" w:rsidRDefault="004D5CBC" w:rsidP="007279F8">
            <w:pPr>
              <w:pStyle w:val="TableText"/>
            </w:pPr>
            <w:r>
              <w:t>Hong Kong, China</w:t>
            </w:r>
          </w:p>
        </w:tc>
        <w:tc>
          <w:tcPr>
            <w:tcW w:w="1250" w:type="pct"/>
          </w:tcPr>
          <w:p w:rsidR="004D5CBC" w:rsidRDefault="004D5CBC" w:rsidP="007279F8">
            <w:pPr>
              <w:pStyle w:val="TableText"/>
            </w:pPr>
            <w:r>
              <w:t>0</w:t>
            </w:r>
          </w:p>
        </w:tc>
        <w:tc>
          <w:tcPr>
            <w:tcW w:w="1250" w:type="pct"/>
          </w:tcPr>
          <w:p w:rsidR="004D5CBC" w:rsidRDefault="004D5CBC" w:rsidP="001B383B">
            <w:pPr>
              <w:pStyle w:val="TableText"/>
            </w:pPr>
            <w:r>
              <w:t>1,005</w:t>
            </w:r>
          </w:p>
        </w:tc>
        <w:tc>
          <w:tcPr>
            <w:tcW w:w="1250" w:type="pct"/>
          </w:tcPr>
          <w:p w:rsidR="004D5CBC" w:rsidRDefault="004D5CBC" w:rsidP="007279F8">
            <w:pPr>
              <w:pStyle w:val="TableText"/>
            </w:pPr>
            <w:r>
              <w:t>6,204</w:t>
            </w:r>
          </w:p>
        </w:tc>
      </w:tr>
      <w:tr w:rsidR="004D5CBC" w:rsidTr="00AA5EEE">
        <w:tc>
          <w:tcPr>
            <w:tcW w:w="1250" w:type="pct"/>
          </w:tcPr>
          <w:p w:rsidR="004D5CBC" w:rsidRDefault="004D5CBC" w:rsidP="007279F8">
            <w:pPr>
              <w:pStyle w:val="TableText"/>
            </w:pPr>
            <w:r>
              <w:t>All other</w:t>
            </w:r>
          </w:p>
        </w:tc>
        <w:tc>
          <w:tcPr>
            <w:tcW w:w="1250" w:type="pct"/>
          </w:tcPr>
          <w:p w:rsidR="004D5CBC" w:rsidRDefault="004D5CBC" w:rsidP="001B383B">
            <w:pPr>
              <w:pStyle w:val="TableText"/>
            </w:pPr>
            <w:r>
              <w:t>1,137</w:t>
            </w:r>
          </w:p>
        </w:tc>
        <w:tc>
          <w:tcPr>
            <w:tcW w:w="1250" w:type="pct"/>
          </w:tcPr>
          <w:p w:rsidR="004D5CBC" w:rsidRDefault="004D5CBC" w:rsidP="001B383B">
            <w:pPr>
              <w:pStyle w:val="TableText"/>
            </w:pPr>
            <w:r>
              <w:t>3,648</w:t>
            </w:r>
          </w:p>
        </w:tc>
        <w:tc>
          <w:tcPr>
            <w:tcW w:w="1250" w:type="pct"/>
          </w:tcPr>
          <w:p w:rsidR="004D5CBC" w:rsidRDefault="004D5CBC" w:rsidP="001B383B">
            <w:pPr>
              <w:pStyle w:val="TableText"/>
            </w:pPr>
            <w:r>
              <w:t>18,178</w:t>
            </w:r>
          </w:p>
        </w:tc>
      </w:tr>
    </w:tbl>
    <w:p w:rsidR="004D5CBC" w:rsidRDefault="004D5CBC" w:rsidP="007279F8">
      <w:pPr>
        <w:pStyle w:val="FigureTableNoteSource"/>
      </w:pPr>
      <w:r>
        <w:t xml:space="preserve">Source; </w:t>
      </w:r>
      <w:r>
        <w:rPr>
          <w:noProof/>
        </w:rPr>
        <w:t>(ITC Comtrade 2016)</w:t>
      </w:r>
    </w:p>
    <w:p w:rsidR="004D5CBC" w:rsidRDefault="004D5CBC" w:rsidP="00D767BF">
      <w:r w:rsidRPr="00575DE4">
        <w:t>Dragon fruit is not yet a significant component of Indonesia’s</w:t>
      </w:r>
      <w:r>
        <w:t xml:space="preserve"> total fresh fruit exports. The main fruits exported by Indonesia are banana, c</w:t>
      </w:r>
      <w:r w:rsidRPr="009420CC">
        <w:t xml:space="preserve">itrus, </w:t>
      </w:r>
      <w:r>
        <w:t>p</w:t>
      </w:r>
      <w:r w:rsidRPr="009420CC">
        <w:t xml:space="preserve">apaya, </w:t>
      </w:r>
      <w:r>
        <w:t>m</w:t>
      </w:r>
      <w:r w:rsidRPr="009420CC">
        <w:t xml:space="preserve">ango, </w:t>
      </w:r>
      <w:r>
        <w:t>salacca</w:t>
      </w:r>
      <w:r w:rsidRPr="009420CC">
        <w:t xml:space="preserve">, </w:t>
      </w:r>
      <w:r>
        <w:t>m</w:t>
      </w:r>
      <w:r w:rsidRPr="009420CC">
        <w:t xml:space="preserve">angosteen, </w:t>
      </w:r>
      <w:r>
        <w:t>r</w:t>
      </w:r>
      <w:r w:rsidRPr="009420CC">
        <w:t xml:space="preserve">ambutan and </w:t>
      </w:r>
      <w:r>
        <w:t>d</w:t>
      </w:r>
      <w:r w:rsidRPr="009420CC">
        <w:t xml:space="preserve">urian </w:t>
      </w:r>
      <w:r>
        <w:rPr>
          <w:noProof/>
        </w:rPr>
        <w:t>(Rafani 2015)</w:t>
      </w:r>
      <w:r w:rsidRPr="009420CC">
        <w:t>.</w:t>
      </w:r>
    </w:p>
    <w:p w:rsidR="004D5CBC" w:rsidRDefault="004D5CBC" w:rsidP="004D5CBC">
      <w:pPr>
        <w:pStyle w:val="Heading4"/>
        <w:numPr>
          <w:ilvl w:val="2"/>
          <w:numId w:val="11"/>
        </w:numPr>
      </w:pPr>
      <w:r>
        <w:t>Export season</w:t>
      </w:r>
    </w:p>
    <w:p w:rsidR="004D5CBC" w:rsidRPr="00D27916" w:rsidRDefault="004D5CBC" w:rsidP="00726A29">
      <w:r w:rsidRPr="009420CC">
        <w:t>The peak harvest season of dragon fruit in Indonesia is</w:t>
      </w:r>
      <w:r w:rsidRPr="00575DE4">
        <w:t xml:space="preserve"> from November to March </w:t>
      </w:r>
      <w:r>
        <w:rPr>
          <w:noProof/>
        </w:rPr>
        <w:t>(IAQA 2016)</w:t>
      </w:r>
      <w:r w:rsidRPr="00575DE4">
        <w:t xml:space="preserve">. </w:t>
      </w:r>
      <w:r w:rsidRPr="00D27916">
        <w:t>It is expected that exports to Australia would mainly occur during this period.</w:t>
      </w:r>
    </w:p>
    <w:p w:rsidR="004D5CBC" w:rsidRPr="00D27916" w:rsidRDefault="004D5CBC"/>
    <w:p w:rsidR="004D5CBC" w:rsidRPr="00D27916" w:rsidRDefault="004D5CBC">
      <w:pPr>
        <w:sectPr w:rsidR="004D5CBC" w:rsidRPr="00D27916" w:rsidSect="00E310DC">
          <w:headerReference w:type="default" r:id="rId34"/>
          <w:pgSz w:w="11906" w:h="16838"/>
          <w:pgMar w:top="1418" w:right="1418" w:bottom="1418" w:left="1418" w:header="567" w:footer="283" w:gutter="0"/>
          <w:cols w:space="708"/>
          <w:docGrid w:linePitch="360"/>
        </w:sectPr>
      </w:pPr>
    </w:p>
    <w:p w:rsidR="004D5CBC" w:rsidRDefault="004D5CBC" w:rsidP="004D5CBC">
      <w:pPr>
        <w:pStyle w:val="Heading2"/>
        <w:numPr>
          <w:ilvl w:val="0"/>
          <w:numId w:val="11"/>
        </w:numPr>
      </w:pPr>
      <w:bookmarkStart w:id="73" w:name="_Toc389741452"/>
      <w:bookmarkStart w:id="74" w:name="_Toc520996427"/>
      <w:r w:rsidRPr="00D27916">
        <w:lastRenderedPageBreak/>
        <w:t>Pest</w:t>
      </w:r>
      <w:r>
        <w:t xml:space="preserve"> risk assessments for quarantine pests</w:t>
      </w:r>
      <w:bookmarkEnd w:id="73"/>
      <w:bookmarkEnd w:id="74"/>
    </w:p>
    <w:p w:rsidR="004D5CBC" w:rsidRDefault="004D5CBC" w:rsidP="000F77DB">
      <w:r>
        <w:t xml:space="preserve">Quarantine pests associated </w:t>
      </w:r>
      <w:r w:rsidRPr="009849B2">
        <w:t>with dragon fruit from Indonesia are identified in the pest categorisation process (Appendix</w:t>
      </w:r>
      <w:r>
        <w:t xml:space="preserve"> A) and are listed in </w:t>
      </w:r>
      <w:r>
        <w:fldChar w:fldCharType="begin"/>
      </w:r>
      <w:r>
        <w:instrText xml:space="preserve"> REF _Ref511294631 \h </w:instrText>
      </w:r>
      <w:r>
        <w:fldChar w:fldCharType="separate"/>
      </w:r>
      <w:r w:rsidR="00502BAD">
        <w:t xml:space="preserve">Table </w:t>
      </w:r>
      <w:r w:rsidR="00502BAD">
        <w:rPr>
          <w:noProof/>
        </w:rPr>
        <w:t>4</w:t>
      </w:r>
      <w:r w:rsidR="00502BAD">
        <w:t>.</w:t>
      </w:r>
      <w:r w:rsidR="00502BAD">
        <w:rPr>
          <w:noProof/>
        </w:rPr>
        <w:t>1</w:t>
      </w:r>
      <w:r>
        <w:fldChar w:fldCharType="end"/>
      </w:r>
      <w:r>
        <w:t>.</w:t>
      </w:r>
      <w:r w:rsidRPr="00D329CF">
        <w:t xml:space="preserve"> </w:t>
      </w:r>
      <w:r w:rsidRPr="00273C35">
        <w:t>Assessments of risks associated with these pests are presented in this chapter unless otherwise indicated.</w:t>
      </w:r>
    </w:p>
    <w:p w:rsidR="004D5CBC" w:rsidRDefault="004D5CBC" w:rsidP="000F77DB">
      <w:r w:rsidRPr="009F01A4">
        <w:t xml:space="preserve">All seven of the pest species considered here have been assessed previously by </w:t>
      </w:r>
      <w:r w:rsidRPr="00C01466">
        <w:t xml:space="preserve">the department. Therefore, the outcomes of previous assessments have been adopted for these pests, unless new information is available that suggests </w:t>
      </w:r>
      <w:r>
        <w:t>the risk would be different in this case</w:t>
      </w:r>
      <w:r w:rsidRPr="00C01466">
        <w:t xml:space="preserve">. </w:t>
      </w:r>
      <w:r>
        <w:t>T</w:t>
      </w:r>
      <w:r w:rsidRPr="00C01466">
        <w:t xml:space="preserve">he adoption of the outcomes of previous assessments is outlined </w:t>
      </w:r>
      <w:r>
        <w:t>here</w:t>
      </w:r>
      <w:r w:rsidRPr="00C01466">
        <w:t>.</w:t>
      </w:r>
    </w:p>
    <w:p w:rsidR="004D5CBC" w:rsidRDefault="004D5CBC">
      <w:r>
        <w:t xml:space="preserve">The likelihood of establishment and of spread of a pest in the PRA area will be comparable regardless of the fresh fruit commodity/country pathway in which the pest is imported into Australia, as these likelihoods relate specifically to events that occur in the </w:t>
      </w:r>
      <w:r w:rsidRPr="007A5B96">
        <w:t>PRA area</w:t>
      </w:r>
      <w:r>
        <w:t xml:space="preserve"> and are independent of the importation pathway. The consequences of a pest are also independent of the importation pathway.</w:t>
      </w:r>
    </w:p>
    <w:p w:rsidR="004D5CBC" w:rsidRDefault="004D5CBC">
      <w:r>
        <w:t>For pests that have been assessed previously, the department reviews the latest literature. If there is no new information available that would significantly change the likelihood risk ratings for establishment and for spread, or for the consequences the pests may cause, the risk ratings given in the previous assessments for these components will be adopted.</w:t>
      </w:r>
    </w:p>
    <w:p w:rsidR="004D5CBC" w:rsidRDefault="004D5CBC">
      <w:r>
        <w:t xml:space="preserve">In this analysis, reassessment of the likelihood of distribution for pests that have been assessed previously is </w:t>
      </w:r>
      <w:r w:rsidRPr="000F77DB">
        <w:t>considered on a case-by-case basis</w:t>
      </w:r>
      <w:r>
        <w:t>,</w:t>
      </w:r>
      <w:r w:rsidRPr="000F77DB">
        <w:t xml:space="preserve"> by comparing factors relevant to the distribution </w:t>
      </w:r>
      <w:r>
        <w:t xml:space="preserve">through the PRA area </w:t>
      </w:r>
      <w:r w:rsidRPr="000F77DB">
        <w:t xml:space="preserve">of dragon fruit from </w:t>
      </w:r>
      <w:r>
        <w:t>Indonesia</w:t>
      </w:r>
      <w:r w:rsidRPr="000F77DB">
        <w:t xml:space="preserve"> with those assessed previously. These factors include the commodity type</w:t>
      </w:r>
      <w:r>
        <w:t xml:space="preserve"> assessed previously</w:t>
      </w:r>
      <w:r w:rsidRPr="000F77DB">
        <w:t xml:space="preserve">, time of </w:t>
      </w:r>
      <w:r>
        <w:t xml:space="preserve">year at which import is likely to occur and availability and susceptibility of hosts during the time of import. After comparing these factors and reviewing </w:t>
      </w:r>
      <w:r w:rsidRPr="000F77DB">
        <w:t>the latest literature</w:t>
      </w:r>
      <w:r>
        <w:t xml:space="preserve"> (literature has been reviewed up to May 2018)</w:t>
      </w:r>
      <w:r w:rsidRPr="000F77DB">
        <w:t>, the ratings of likelihood of distribution from the previous assessments will be adopted where the department considers that the likelihood of distribution</w:t>
      </w:r>
      <w:r>
        <w:t xml:space="preserve"> through the PRA area</w:t>
      </w:r>
      <w:r w:rsidRPr="000F77DB">
        <w:t xml:space="preserve"> for dragon fruit from Indonesia would be comparable to that </w:t>
      </w:r>
      <w:r>
        <w:t>determined</w:t>
      </w:r>
      <w:r w:rsidRPr="000F77DB">
        <w:t xml:space="preserve"> in previous assessments.</w:t>
      </w:r>
    </w:p>
    <w:p w:rsidR="004D5CBC" w:rsidRPr="006D4861" w:rsidRDefault="004D5CBC" w:rsidP="006D4861">
      <w:r>
        <w:t xml:space="preserve">The reassessment of the likelihood of importation of pests that have been assessed previously is also considered on a case-by-case basis, by comparing factors relevant to the importation of </w:t>
      </w:r>
      <w:r w:rsidRPr="000F77DB">
        <w:t xml:space="preserve">dragon fruit from Indonesia </w:t>
      </w:r>
      <w:r>
        <w:t>with those assessed previously. These factors include the commodity type previously assessed, pest species present and commercial production practices. After comparing these factors and reviewing the latest literature</w:t>
      </w:r>
      <w:r w:rsidR="00E42D50">
        <w:t>,</w:t>
      </w:r>
      <w:r>
        <w:t xml:space="preserve"> the likelihood</w:t>
      </w:r>
      <w:r w:rsidR="00E42D50">
        <w:t>s</w:t>
      </w:r>
      <w:r>
        <w:t xml:space="preserve"> of importation </w:t>
      </w:r>
      <w:r w:rsidR="00E42D50" w:rsidRPr="00E42D50">
        <w:t xml:space="preserve">of pests on dragon fruit from Indonesia are </w:t>
      </w:r>
      <w:r w:rsidR="00C408ED">
        <w:t>considered</w:t>
      </w:r>
      <w:r>
        <w:t xml:space="preserve"> comparable to </w:t>
      </w:r>
      <w:r w:rsidR="00E42D50">
        <w:t>those</w:t>
      </w:r>
      <w:r>
        <w:t xml:space="preserve"> determined in previous assessments. Therefore the </w:t>
      </w:r>
      <w:r w:rsidR="00C408ED" w:rsidRPr="00C408ED">
        <w:t>risk rating</w:t>
      </w:r>
      <w:r w:rsidR="00E42D50">
        <w:t>s</w:t>
      </w:r>
      <w:r w:rsidR="00C408ED" w:rsidRPr="00C408ED">
        <w:t xml:space="preserve"> for previous assessments for importation (High) will also be adopted for </w:t>
      </w:r>
      <w:r>
        <w:t>the likelihood</w:t>
      </w:r>
      <w:r w:rsidR="00E42D50">
        <w:t>s</w:t>
      </w:r>
      <w:r>
        <w:t xml:space="preserve"> of importation of pests of </w:t>
      </w:r>
      <w:r w:rsidRPr="000F77DB">
        <w:t>dragon fruit from Indonesia</w:t>
      </w:r>
      <w:r>
        <w:t>. Consequently, the URE outcomes from previous assessments</w:t>
      </w:r>
      <w:r w:rsidR="00DD3C7F">
        <w:t xml:space="preserve"> (</w:t>
      </w:r>
      <w:r w:rsidR="00DD3C7F" w:rsidRPr="00C408ED">
        <w:t>High</w:t>
      </w:r>
      <w:r w:rsidR="00DD3C7F">
        <w:t xml:space="preserve"> for fruit flies and </w:t>
      </w:r>
      <w:r w:rsidR="00DD3C7F" w:rsidRPr="00C408ED">
        <w:t>Low</w:t>
      </w:r>
      <w:r w:rsidR="00DD3C7F">
        <w:t xml:space="preserve"> for mealybugs)</w:t>
      </w:r>
      <w:r>
        <w:t xml:space="preserve"> will </w:t>
      </w:r>
      <w:r w:rsidR="00C408ED">
        <w:t xml:space="preserve">also </w:t>
      </w:r>
      <w:r>
        <w:t>be adopted for these pests (</w:t>
      </w:r>
      <w:r>
        <w:fldChar w:fldCharType="begin"/>
      </w:r>
      <w:r>
        <w:instrText xml:space="preserve"> REF _Ref511294631 \h </w:instrText>
      </w:r>
      <w:r>
        <w:fldChar w:fldCharType="separate"/>
      </w:r>
      <w:r w:rsidR="00502BAD">
        <w:t xml:space="preserve">Table </w:t>
      </w:r>
      <w:r w:rsidR="00502BAD">
        <w:rPr>
          <w:noProof/>
        </w:rPr>
        <w:t>4</w:t>
      </w:r>
      <w:r w:rsidR="00502BAD">
        <w:t>.</w:t>
      </w:r>
      <w:r w:rsidR="00502BAD">
        <w:rPr>
          <w:noProof/>
        </w:rPr>
        <w:t>1</w:t>
      </w:r>
      <w:r>
        <w:fldChar w:fldCharType="end"/>
      </w:r>
      <w:r>
        <w:t xml:space="preserve"> and </w:t>
      </w:r>
      <w:r>
        <w:fldChar w:fldCharType="begin"/>
      </w:r>
      <w:r>
        <w:instrText xml:space="preserve"> REF _Ref457826769 \h </w:instrText>
      </w:r>
      <w:r>
        <w:fldChar w:fldCharType="separate"/>
      </w:r>
      <w:r w:rsidR="00502BAD" w:rsidRPr="002E112B">
        <w:t xml:space="preserve">Table </w:t>
      </w:r>
      <w:r w:rsidR="00502BAD">
        <w:rPr>
          <w:noProof/>
        </w:rPr>
        <w:t>4</w:t>
      </w:r>
      <w:r w:rsidR="00502BAD">
        <w:t>.</w:t>
      </w:r>
      <w:r w:rsidR="00502BAD">
        <w:rPr>
          <w:noProof/>
        </w:rPr>
        <w:t>2</w:t>
      </w:r>
      <w:r>
        <w:fldChar w:fldCharType="end"/>
      </w:r>
      <w:r>
        <w:t>).</w:t>
      </w:r>
      <w:bookmarkStart w:id="75" w:name="_Ref457826715"/>
      <w:bookmarkStart w:id="76" w:name="_Toc384979284"/>
      <w:bookmarkStart w:id="77" w:name="_Toc389741476"/>
      <w:r>
        <w:t xml:space="preserve"> One pest identified in this assessment (Pacific mealybug; </w:t>
      </w:r>
      <w:r>
        <w:rPr>
          <w:i/>
        </w:rPr>
        <w:t>Planococcus minor</w:t>
      </w:r>
      <w:r>
        <w:t>) has been recorded in some regions of Australia. However, due to interstate quarantine regulations and enforcement, this pest is considered a pest of regional concern for Western Australia.</w:t>
      </w:r>
      <w:bookmarkStart w:id="78" w:name="_Ref492996296"/>
      <w:r>
        <w:t xml:space="preserve"> The </w:t>
      </w:r>
      <w:r w:rsidR="00DD3C7F">
        <w:t xml:space="preserve">URE </w:t>
      </w:r>
      <w:r w:rsidR="00023E1A">
        <w:t>outcome</w:t>
      </w:r>
      <w:r w:rsidR="00E42D50">
        <w:t>s</w:t>
      </w:r>
      <w:r w:rsidR="00023E1A">
        <w:t xml:space="preserve"> </w:t>
      </w:r>
      <w:r>
        <w:t>for fruit flies and mealybugs</w:t>
      </w:r>
      <w:r w:rsidR="00DD3C7F">
        <w:t xml:space="preserve"> </w:t>
      </w:r>
      <w:r w:rsidR="00E42D50">
        <w:t>do</w:t>
      </w:r>
      <w:r w:rsidR="00DD3C7F">
        <w:t xml:space="preserve"> not achieve the ALOP for Australia</w:t>
      </w:r>
      <w:r>
        <w:t xml:space="preserve">. Therefore risk mitigation measures will be required to control pests in these groups on fresh dragon fruit imported from </w:t>
      </w:r>
      <w:r w:rsidR="00E42D50">
        <w:t>Indonesia</w:t>
      </w:r>
      <w:r>
        <w:t>.</w:t>
      </w:r>
    </w:p>
    <w:p w:rsidR="004D5CBC" w:rsidRDefault="004D5CBC" w:rsidP="00217976">
      <w:pPr>
        <w:pStyle w:val="Caption"/>
      </w:pPr>
      <w:bookmarkStart w:id="79" w:name="_Ref511294631"/>
      <w:bookmarkStart w:id="80" w:name="_Toc520996457"/>
      <w:r>
        <w:lastRenderedPageBreak/>
        <w:t xml:space="preserve">Table </w:t>
      </w:r>
      <w:r>
        <w:rPr>
          <w:noProof/>
        </w:rPr>
        <w:fldChar w:fldCharType="begin"/>
      </w:r>
      <w:r>
        <w:rPr>
          <w:noProof/>
        </w:rPr>
        <w:instrText xml:space="preserve"> STYLEREF 2 \s </w:instrText>
      </w:r>
      <w:r>
        <w:rPr>
          <w:noProof/>
        </w:rPr>
        <w:fldChar w:fldCharType="separate"/>
      </w:r>
      <w:r w:rsidR="00502BAD">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1</w:t>
      </w:r>
      <w:r>
        <w:rPr>
          <w:noProof/>
        </w:rPr>
        <w:fldChar w:fldCharType="end"/>
      </w:r>
      <w:bookmarkEnd w:id="79"/>
      <w:r>
        <w:t xml:space="preserve"> </w:t>
      </w:r>
      <w:r w:rsidRPr="00F92B88">
        <w:t>Quarantine pests of dragon fruit from Indonesia for which the URE outcome is adopted from previous assessments</w:t>
      </w:r>
      <w:bookmarkEnd w:id="80"/>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4D5CBC" w:rsidTr="00AA5EEE">
        <w:trPr>
          <w:cantSplit/>
          <w:tblHeader/>
        </w:trPr>
        <w:tc>
          <w:tcPr>
            <w:tcW w:w="2500" w:type="pct"/>
            <w:tcBorders>
              <w:top w:val="single" w:sz="4" w:space="0" w:color="auto"/>
              <w:bottom w:val="single" w:sz="4" w:space="0" w:color="D9D9D9" w:themeColor="background1" w:themeShade="D9"/>
            </w:tcBorders>
          </w:tcPr>
          <w:bookmarkEnd w:id="75"/>
          <w:bookmarkEnd w:id="76"/>
          <w:bookmarkEnd w:id="77"/>
          <w:bookmarkEnd w:id="78"/>
          <w:p w:rsidR="004D5CBC" w:rsidRDefault="004D5CBC" w:rsidP="006D4861">
            <w:pPr>
              <w:pStyle w:val="TableHeading"/>
              <w:keepLines/>
            </w:pPr>
            <w:r>
              <w:t>Pest</w:t>
            </w:r>
          </w:p>
        </w:tc>
        <w:tc>
          <w:tcPr>
            <w:tcW w:w="2500" w:type="pct"/>
            <w:tcBorders>
              <w:top w:val="single" w:sz="4" w:space="0" w:color="auto"/>
              <w:bottom w:val="single" w:sz="4" w:space="0" w:color="D9D9D9" w:themeColor="background1" w:themeShade="D9"/>
            </w:tcBorders>
          </w:tcPr>
          <w:p w:rsidR="004D5CBC" w:rsidRDefault="004D5CBC" w:rsidP="006D4861">
            <w:pPr>
              <w:pStyle w:val="TableHeading"/>
              <w:keepLines/>
            </w:pPr>
            <w:r>
              <w:t>Common name</w:t>
            </w:r>
          </w:p>
        </w:tc>
      </w:tr>
      <w:tr w:rsidR="004D5CBC" w:rsidTr="00D4435D">
        <w:tc>
          <w:tcPr>
            <w:tcW w:w="5000" w:type="pct"/>
            <w:gridSpan w:val="2"/>
            <w:tcBorders>
              <w:top w:val="single" w:sz="4" w:space="0" w:color="D9D9D9" w:themeColor="background1" w:themeShade="D9"/>
              <w:bottom w:val="nil"/>
            </w:tcBorders>
          </w:tcPr>
          <w:p w:rsidR="004D5CBC" w:rsidRPr="00DA1CCE" w:rsidRDefault="004D5CBC" w:rsidP="006D4861">
            <w:pPr>
              <w:pStyle w:val="TableText"/>
              <w:keepNext/>
              <w:keepLines/>
            </w:pPr>
            <w:r w:rsidRPr="00DA1CCE">
              <w:rPr>
                <w:b/>
              </w:rPr>
              <w:t>Fruit flies [Diptera: Tephritidae]</w:t>
            </w:r>
          </w:p>
        </w:tc>
      </w:tr>
      <w:tr w:rsidR="004D5CBC" w:rsidTr="00D4435D">
        <w:tc>
          <w:tcPr>
            <w:tcW w:w="2500" w:type="pct"/>
            <w:tcBorders>
              <w:top w:val="nil"/>
            </w:tcBorders>
          </w:tcPr>
          <w:p w:rsidR="004D5CBC" w:rsidRDefault="004D5CBC" w:rsidP="006D4861">
            <w:pPr>
              <w:pStyle w:val="TableText"/>
              <w:keepNext/>
              <w:keepLines/>
              <w:rPr>
                <w:i/>
                <w:highlight w:val="yellow"/>
                <w:vertAlign w:val="superscript"/>
              </w:rPr>
            </w:pPr>
            <w:r w:rsidRPr="00D87D40">
              <w:rPr>
                <w:i/>
              </w:rPr>
              <w:t xml:space="preserve">Bactrocera </w:t>
            </w:r>
            <w:r>
              <w:rPr>
                <w:i/>
              </w:rPr>
              <w:t>cucurbitae</w:t>
            </w:r>
            <w:r w:rsidRPr="00D87D40">
              <w:rPr>
                <w:i/>
              </w:rPr>
              <w:t xml:space="preserve"> </w:t>
            </w:r>
            <w:r w:rsidRPr="00D87D40">
              <w:t>(EP)</w:t>
            </w:r>
          </w:p>
        </w:tc>
        <w:tc>
          <w:tcPr>
            <w:tcW w:w="2500" w:type="pct"/>
            <w:tcBorders>
              <w:top w:val="nil"/>
            </w:tcBorders>
          </w:tcPr>
          <w:p w:rsidR="004D5CBC" w:rsidRDefault="004D5CBC" w:rsidP="006D4861">
            <w:pPr>
              <w:pStyle w:val="TableText"/>
              <w:keepNext/>
              <w:keepLines/>
              <w:rPr>
                <w:highlight w:val="yellow"/>
              </w:rPr>
            </w:pPr>
            <w:r>
              <w:t>Melon</w:t>
            </w:r>
            <w:r w:rsidRPr="00D87D40">
              <w:t xml:space="preserve"> fly</w:t>
            </w:r>
          </w:p>
        </w:tc>
      </w:tr>
      <w:tr w:rsidR="004D5CBC" w:rsidTr="00D4435D">
        <w:tc>
          <w:tcPr>
            <w:tcW w:w="2500" w:type="pct"/>
            <w:tcBorders>
              <w:bottom w:val="single" w:sz="4" w:space="0" w:color="D9D9D9" w:themeColor="background1" w:themeShade="D9"/>
            </w:tcBorders>
          </w:tcPr>
          <w:p w:rsidR="004D5CBC" w:rsidRDefault="004D5CBC" w:rsidP="006D4861">
            <w:pPr>
              <w:pStyle w:val="TableText"/>
              <w:keepNext/>
              <w:keepLines/>
              <w:rPr>
                <w:i/>
                <w:highlight w:val="yellow"/>
                <w:vertAlign w:val="superscript"/>
              </w:rPr>
            </w:pPr>
            <w:r w:rsidRPr="00D87D40">
              <w:rPr>
                <w:i/>
              </w:rPr>
              <w:t xml:space="preserve">Bactrocera </w:t>
            </w:r>
            <w:r>
              <w:rPr>
                <w:i/>
              </w:rPr>
              <w:t>dorsalis</w:t>
            </w:r>
            <w:r w:rsidRPr="00D87D40">
              <w:rPr>
                <w:i/>
              </w:rPr>
              <w:t xml:space="preserve"> </w:t>
            </w:r>
            <w:r w:rsidRPr="00D87D40">
              <w:t>(EP)</w:t>
            </w:r>
          </w:p>
        </w:tc>
        <w:tc>
          <w:tcPr>
            <w:tcW w:w="2500" w:type="pct"/>
            <w:tcBorders>
              <w:bottom w:val="single" w:sz="4" w:space="0" w:color="D9D9D9" w:themeColor="background1" w:themeShade="D9"/>
            </w:tcBorders>
          </w:tcPr>
          <w:p w:rsidR="004D5CBC" w:rsidRDefault="004D5CBC" w:rsidP="006D4861">
            <w:pPr>
              <w:pStyle w:val="TableText"/>
              <w:keepNext/>
              <w:keepLines/>
              <w:rPr>
                <w:highlight w:val="yellow"/>
              </w:rPr>
            </w:pPr>
            <w:r>
              <w:t>Oriental</w:t>
            </w:r>
            <w:r w:rsidRPr="00D87D40">
              <w:t xml:space="preserve"> fruit fly</w:t>
            </w:r>
          </w:p>
        </w:tc>
      </w:tr>
      <w:tr w:rsidR="004D5CBC" w:rsidTr="00D4435D">
        <w:tc>
          <w:tcPr>
            <w:tcW w:w="5000" w:type="pct"/>
            <w:gridSpan w:val="2"/>
            <w:tcBorders>
              <w:top w:val="single" w:sz="4" w:space="0" w:color="D9D9D9" w:themeColor="background1" w:themeShade="D9"/>
              <w:bottom w:val="nil"/>
            </w:tcBorders>
          </w:tcPr>
          <w:p w:rsidR="004D5CBC" w:rsidRPr="00927768" w:rsidRDefault="004D5CBC" w:rsidP="006D4861">
            <w:pPr>
              <w:pStyle w:val="TableText"/>
              <w:keepNext/>
              <w:keepLines/>
            </w:pPr>
            <w:r w:rsidRPr="00927768">
              <w:rPr>
                <w:b/>
              </w:rPr>
              <w:t>Mealybugs [Hemiptera: Pseudococcidae]</w:t>
            </w:r>
          </w:p>
        </w:tc>
      </w:tr>
      <w:tr w:rsidR="004D5CBC" w:rsidTr="00D4435D">
        <w:tc>
          <w:tcPr>
            <w:tcW w:w="2500" w:type="pct"/>
            <w:tcBorders>
              <w:top w:val="nil"/>
            </w:tcBorders>
          </w:tcPr>
          <w:p w:rsidR="004D5CBC" w:rsidRDefault="004D5CBC" w:rsidP="006D4861">
            <w:pPr>
              <w:pStyle w:val="TableText"/>
              <w:keepNext/>
              <w:keepLines/>
              <w:rPr>
                <w:i/>
                <w:highlight w:val="yellow"/>
              </w:rPr>
            </w:pPr>
            <w:r w:rsidRPr="00A94779">
              <w:rPr>
                <w:i/>
                <w:szCs w:val="18"/>
                <w:lang w:val="pt-BR"/>
              </w:rPr>
              <w:t>Dysmicoccus neobrevipes</w:t>
            </w:r>
            <w:r>
              <w:rPr>
                <w:szCs w:val="18"/>
                <w:lang w:val="pt-BR"/>
              </w:rPr>
              <w:t xml:space="preserve"> (EP)</w:t>
            </w:r>
          </w:p>
        </w:tc>
        <w:tc>
          <w:tcPr>
            <w:tcW w:w="2500" w:type="pct"/>
            <w:tcBorders>
              <w:top w:val="nil"/>
            </w:tcBorders>
          </w:tcPr>
          <w:p w:rsidR="004D5CBC" w:rsidRDefault="004D5CBC" w:rsidP="006D4861">
            <w:pPr>
              <w:pStyle w:val="TableText"/>
              <w:keepNext/>
              <w:keepLines/>
              <w:rPr>
                <w:highlight w:val="yellow"/>
              </w:rPr>
            </w:pPr>
            <w:r w:rsidRPr="00A94779">
              <w:rPr>
                <w:szCs w:val="18"/>
              </w:rPr>
              <w:t>Grey pineapple mealybug</w:t>
            </w:r>
          </w:p>
        </w:tc>
      </w:tr>
      <w:tr w:rsidR="004D5CBC" w:rsidTr="00D4435D">
        <w:tc>
          <w:tcPr>
            <w:tcW w:w="2500" w:type="pct"/>
            <w:tcBorders>
              <w:top w:val="nil"/>
            </w:tcBorders>
          </w:tcPr>
          <w:p w:rsidR="004D5CBC" w:rsidRPr="00DA1CCE" w:rsidRDefault="004D5CBC" w:rsidP="006D4861">
            <w:pPr>
              <w:pStyle w:val="TableText"/>
              <w:keepNext/>
              <w:keepLines/>
              <w:rPr>
                <w:szCs w:val="18"/>
                <w:lang w:val="pt-BR"/>
              </w:rPr>
            </w:pPr>
            <w:r w:rsidRPr="00DA1CCE">
              <w:rPr>
                <w:i/>
                <w:szCs w:val="18"/>
                <w:lang w:val="pt-BR"/>
              </w:rPr>
              <w:t>Paracoccus marginatus</w:t>
            </w:r>
            <w:r>
              <w:rPr>
                <w:szCs w:val="18"/>
                <w:lang w:val="pt-BR"/>
              </w:rPr>
              <w:t xml:space="preserve"> (EP)</w:t>
            </w:r>
          </w:p>
        </w:tc>
        <w:tc>
          <w:tcPr>
            <w:tcW w:w="2500" w:type="pct"/>
            <w:tcBorders>
              <w:top w:val="nil"/>
            </w:tcBorders>
          </w:tcPr>
          <w:p w:rsidR="004D5CBC" w:rsidRPr="00A94779" w:rsidRDefault="004D5CBC" w:rsidP="006D4861">
            <w:pPr>
              <w:pStyle w:val="TableText"/>
              <w:keepNext/>
              <w:keepLines/>
              <w:rPr>
                <w:szCs w:val="18"/>
              </w:rPr>
            </w:pPr>
            <w:r>
              <w:rPr>
                <w:szCs w:val="18"/>
              </w:rPr>
              <w:t>P</w:t>
            </w:r>
            <w:r w:rsidRPr="00DA1CCE">
              <w:rPr>
                <w:szCs w:val="18"/>
              </w:rPr>
              <w:t>apaya mealybug</w:t>
            </w:r>
          </w:p>
        </w:tc>
      </w:tr>
      <w:tr w:rsidR="004D5CBC" w:rsidTr="00D4435D">
        <w:tc>
          <w:tcPr>
            <w:tcW w:w="2500" w:type="pct"/>
          </w:tcPr>
          <w:p w:rsidR="004D5CBC" w:rsidRDefault="004D5CBC" w:rsidP="006D4861">
            <w:pPr>
              <w:pStyle w:val="TableText"/>
              <w:keepNext/>
              <w:keepLines/>
              <w:rPr>
                <w:i/>
                <w:highlight w:val="yellow"/>
              </w:rPr>
            </w:pPr>
            <w:r w:rsidRPr="00A94779">
              <w:rPr>
                <w:i/>
                <w:szCs w:val="18"/>
                <w:lang w:val="pt-BR"/>
              </w:rPr>
              <w:t>Planococcus lilacinus</w:t>
            </w:r>
            <w:r>
              <w:rPr>
                <w:szCs w:val="18"/>
                <w:lang w:val="pt-BR"/>
              </w:rPr>
              <w:t xml:space="preserve"> (EP)</w:t>
            </w:r>
          </w:p>
        </w:tc>
        <w:tc>
          <w:tcPr>
            <w:tcW w:w="2500" w:type="pct"/>
          </w:tcPr>
          <w:p w:rsidR="004D5CBC" w:rsidRDefault="004D5CBC" w:rsidP="006D4861">
            <w:pPr>
              <w:pStyle w:val="TableText"/>
              <w:keepNext/>
              <w:keepLines/>
              <w:rPr>
                <w:highlight w:val="yellow"/>
              </w:rPr>
            </w:pPr>
            <w:r w:rsidRPr="00A94779">
              <w:rPr>
                <w:szCs w:val="18"/>
              </w:rPr>
              <w:t>Coffee mealybug</w:t>
            </w:r>
          </w:p>
        </w:tc>
      </w:tr>
      <w:tr w:rsidR="004D5CBC" w:rsidTr="00D4435D">
        <w:tc>
          <w:tcPr>
            <w:tcW w:w="2500" w:type="pct"/>
          </w:tcPr>
          <w:p w:rsidR="004D5CBC" w:rsidRDefault="004D5CBC" w:rsidP="006D4861">
            <w:pPr>
              <w:pStyle w:val="TableText"/>
              <w:keepNext/>
              <w:keepLines/>
              <w:rPr>
                <w:i/>
                <w:highlight w:val="yellow"/>
              </w:rPr>
            </w:pPr>
            <w:r w:rsidRPr="00A94779">
              <w:rPr>
                <w:i/>
                <w:szCs w:val="18"/>
                <w:lang w:val="pt-BR"/>
              </w:rPr>
              <w:t>Planococcus minor</w:t>
            </w:r>
            <w:r>
              <w:rPr>
                <w:szCs w:val="18"/>
                <w:lang w:val="pt-BR"/>
              </w:rPr>
              <w:t xml:space="preserve"> (EP, WA)</w:t>
            </w:r>
          </w:p>
        </w:tc>
        <w:tc>
          <w:tcPr>
            <w:tcW w:w="2500" w:type="pct"/>
          </w:tcPr>
          <w:p w:rsidR="004D5CBC" w:rsidRDefault="004D5CBC" w:rsidP="006D4861">
            <w:pPr>
              <w:pStyle w:val="TableText"/>
              <w:keepNext/>
              <w:keepLines/>
              <w:rPr>
                <w:highlight w:val="yellow"/>
              </w:rPr>
            </w:pPr>
            <w:r w:rsidRPr="00A94779">
              <w:rPr>
                <w:szCs w:val="18"/>
              </w:rPr>
              <w:t>Pacific mealybug</w:t>
            </w:r>
          </w:p>
        </w:tc>
      </w:tr>
      <w:tr w:rsidR="004D5CBC" w:rsidTr="00D4435D">
        <w:tc>
          <w:tcPr>
            <w:tcW w:w="2500" w:type="pct"/>
          </w:tcPr>
          <w:p w:rsidR="004D5CBC" w:rsidRDefault="004D5CBC" w:rsidP="006D4861">
            <w:pPr>
              <w:pStyle w:val="TableText"/>
              <w:keepNext/>
              <w:keepLines/>
              <w:rPr>
                <w:highlight w:val="yellow"/>
              </w:rPr>
            </w:pPr>
            <w:r w:rsidRPr="00A94779">
              <w:rPr>
                <w:i/>
                <w:szCs w:val="18"/>
                <w:lang w:val="pt-BR"/>
              </w:rPr>
              <w:t>Pseudococcus jackbeardsleyi</w:t>
            </w:r>
            <w:r>
              <w:rPr>
                <w:szCs w:val="18"/>
                <w:lang w:val="pt-BR"/>
              </w:rPr>
              <w:t xml:space="preserve"> (EP)</w:t>
            </w:r>
          </w:p>
        </w:tc>
        <w:tc>
          <w:tcPr>
            <w:tcW w:w="2500" w:type="pct"/>
          </w:tcPr>
          <w:p w:rsidR="004D5CBC" w:rsidRDefault="004D5CBC" w:rsidP="006D4861">
            <w:pPr>
              <w:pStyle w:val="TableText"/>
              <w:keepNext/>
              <w:keepLines/>
              <w:rPr>
                <w:highlight w:val="yellow"/>
              </w:rPr>
            </w:pPr>
            <w:r w:rsidRPr="00A94779">
              <w:rPr>
                <w:szCs w:val="18"/>
              </w:rPr>
              <w:t>Jack Beardsley mealybug</w:t>
            </w:r>
          </w:p>
        </w:tc>
      </w:tr>
    </w:tbl>
    <w:p w:rsidR="004D5CBC" w:rsidRPr="00CD44CD" w:rsidRDefault="004D5CBC" w:rsidP="00CD44CD">
      <w:pPr>
        <w:pStyle w:val="FigureTableNoteSource"/>
      </w:pPr>
      <w:r>
        <w:rPr>
          <w:b/>
        </w:rPr>
        <w:t xml:space="preserve">EP: </w:t>
      </w:r>
      <w:r>
        <w:t xml:space="preserve">Species has been assessed previously and import policy already exists. </w:t>
      </w:r>
      <w:r>
        <w:rPr>
          <w:b/>
        </w:rPr>
        <w:t xml:space="preserve">WA: </w:t>
      </w:r>
      <w:r>
        <w:t>Pest of quarantine concern for Western Australia.</w:t>
      </w:r>
    </w:p>
    <w:p w:rsidR="004D5CBC" w:rsidRDefault="004D5CBC" w:rsidP="004D5CBC">
      <w:pPr>
        <w:pStyle w:val="Heading3"/>
        <w:numPr>
          <w:ilvl w:val="1"/>
          <w:numId w:val="11"/>
        </w:numPr>
      </w:pPr>
      <w:bookmarkStart w:id="81" w:name="_Toc520996428"/>
      <w:r>
        <w:t>Fruit flies</w:t>
      </w:r>
      <w:bookmarkEnd w:id="81"/>
    </w:p>
    <w:p w:rsidR="004D5CBC" w:rsidRPr="0051544B" w:rsidRDefault="004D5CBC" w:rsidP="00201994">
      <w:pPr>
        <w:pStyle w:val="Heading4"/>
        <w:tabs>
          <w:tab w:val="clear" w:pos="1220"/>
        </w:tabs>
        <w:ind w:left="0" w:firstLine="0"/>
      </w:pPr>
      <w:r w:rsidRPr="00471C9D">
        <w:rPr>
          <w:i/>
        </w:rPr>
        <w:t>Bactrocera cucurbitae</w:t>
      </w:r>
      <w:r>
        <w:t xml:space="preserve"> (EP)</w:t>
      </w:r>
      <w:r w:rsidRPr="00471C9D">
        <w:rPr>
          <w:i/>
        </w:rPr>
        <w:t xml:space="preserve"> and Bactrocera</w:t>
      </w:r>
      <w:r>
        <w:rPr>
          <w:i/>
        </w:rPr>
        <w:t xml:space="preserve"> dorsalis</w:t>
      </w:r>
      <w:r>
        <w:t xml:space="preserve"> (EP)</w:t>
      </w:r>
    </w:p>
    <w:p w:rsidR="004D5CBC" w:rsidRDefault="004D5CBC" w:rsidP="00471C9D">
      <w:r>
        <w:t xml:space="preserve">The species of fruit fly identified as quarantine pests associated </w:t>
      </w:r>
      <w:r w:rsidRPr="009849B2">
        <w:t>with dragon fruit from Indonesia</w:t>
      </w:r>
      <w:r>
        <w:t xml:space="preserve"> are the melon fly (</w:t>
      </w:r>
      <w:r w:rsidRPr="00C55C36">
        <w:rPr>
          <w:i/>
        </w:rPr>
        <w:t>Bactrocera cucurbitae</w:t>
      </w:r>
      <w:r>
        <w:t>) and Oriental fruit fly (</w:t>
      </w:r>
      <w:r w:rsidRPr="00C55C36">
        <w:rPr>
          <w:i/>
        </w:rPr>
        <w:t>Bactrocera dorsalis</w:t>
      </w:r>
      <w:r>
        <w:t>).</w:t>
      </w:r>
    </w:p>
    <w:p w:rsidR="004D5CBC" w:rsidRDefault="004D5CBC" w:rsidP="00584A18">
      <w:r>
        <w:t xml:space="preserve">These two pests were identified as pests of quarantine concern in the </w:t>
      </w:r>
      <w:r w:rsidRPr="004D32A6">
        <w:rPr>
          <w:i/>
        </w:rPr>
        <w:t>Final report of the review of biosecurity import requirements for fresh dragon fruit from Vietnam</w:t>
      </w:r>
      <w:r>
        <w:t xml:space="preserve"> </w:t>
      </w:r>
      <w:r>
        <w:rPr>
          <w:noProof/>
        </w:rPr>
        <w:t>(Department of Agriculture and Water Resources 2017a)</w:t>
      </w:r>
      <w:r>
        <w:t xml:space="preserve">. This previous policy stipulated a requirement for area freedom or treatment for these pests. </w:t>
      </w:r>
      <w:r w:rsidRPr="00C55C36">
        <w:rPr>
          <w:i/>
        </w:rPr>
        <w:t>Bactrocera dorsalis</w:t>
      </w:r>
      <w:r>
        <w:t xml:space="preserve"> and </w:t>
      </w:r>
      <w:r w:rsidRPr="004D32A6">
        <w:rPr>
          <w:i/>
        </w:rPr>
        <w:t>B. cucurbitae</w:t>
      </w:r>
      <w:r>
        <w:t xml:space="preserve"> were also identified as present in Indonesia in the </w:t>
      </w:r>
      <w:r>
        <w:rPr>
          <w:i/>
          <w:iCs/>
        </w:rPr>
        <w:t>F</w:t>
      </w:r>
      <w:r w:rsidRPr="004D32A6">
        <w:rPr>
          <w:i/>
          <w:iCs/>
        </w:rPr>
        <w:t>inal report for the non</w:t>
      </w:r>
      <w:r>
        <w:rPr>
          <w:i/>
          <w:iCs/>
        </w:rPr>
        <w:t>-</w:t>
      </w:r>
      <w:r w:rsidRPr="004D32A6">
        <w:rPr>
          <w:i/>
          <w:iCs/>
        </w:rPr>
        <w:t>regulated analysis of existing policy for fresh mango fruit from Indonesia, Thailand and Vietnam</w:t>
      </w:r>
      <w:r>
        <w:rPr>
          <w:i/>
          <w:iCs/>
        </w:rPr>
        <w:t xml:space="preserve"> </w:t>
      </w:r>
      <w:r>
        <w:rPr>
          <w:noProof/>
        </w:rPr>
        <w:t>(Department of Agriculture and Water Resources 2015)</w:t>
      </w:r>
      <w:r>
        <w:t>.</w:t>
      </w:r>
    </w:p>
    <w:p w:rsidR="004D5CBC" w:rsidRDefault="004D5CBC" w:rsidP="00471C9D">
      <w:r w:rsidRPr="007A1AE7">
        <w:t>The department has</w:t>
      </w:r>
      <w:r>
        <w:t xml:space="preserve"> reviewed scientific literature to identify any differences in pest risk between these previously assessed commodities and dragon fruit produced in Indonesia </w:t>
      </w:r>
      <w:r>
        <w:rPr>
          <w:rFonts w:cs="TimesNewRomanPSMT"/>
          <w:noProof/>
        </w:rPr>
        <w:t>(Dohino et al. 2017; Kaneyuki et al. 2016; McQuate, Liquido &amp; Nakamichi 2017)</w:t>
      </w:r>
      <w:r>
        <w:t>. The review found</w:t>
      </w:r>
      <w:r w:rsidRPr="0040166B">
        <w:t xml:space="preserve"> no new information that would significantly change the risk ratings for importation, distribution, establishment, spread </w:t>
      </w:r>
      <w:r>
        <w:t>or</w:t>
      </w:r>
      <w:r w:rsidRPr="0040166B">
        <w:t xml:space="preserve"> consequences </w:t>
      </w:r>
      <w:r>
        <w:t>determined</w:t>
      </w:r>
      <w:r w:rsidRPr="0040166B">
        <w:t xml:space="preserve"> for</w:t>
      </w:r>
      <w:r>
        <w:t xml:space="preserve"> these</w:t>
      </w:r>
      <w:r w:rsidRPr="0040166B">
        <w:t xml:space="preserve"> fruit flies in the existing policies.</w:t>
      </w:r>
    </w:p>
    <w:p w:rsidR="004D5CBC" w:rsidRPr="00AD2F51" w:rsidRDefault="004D5CBC" w:rsidP="00471C9D">
      <w:r>
        <w:t xml:space="preserve">Note that </w:t>
      </w:r>
      <w:r>
        <w:rPr>
          <w:noProof/>
        </w:rPr>
        <w:t>Virgilio et al. (2015)</w:t>
      </w:r>
      <w:r>
        <w:t xml:space="preserve"> have proposed that </w:t>
      </w:r>
      <w:r>
        <w:rPr>
          <w:i/>
        </w:rPr>
        <w:t>Bactrocera cucurbitae</w:t>
      </w:r>
      <w:r>
        <w:t xml:space="preserve"> be reclassified as </w:t>
      </w:r>
      <w:r>
        <w:rPr>
          <w:i/>
        </w:rPr>
        <w:t>Zeugodacus cucurbitae</w:t>
      </w:r>
      <w:r w:rsidRPr="00AD2F51">
        <w:t>.</w:t>
      </w:r>
      <w:r>
        <w:t xml:space="preserve"> This species will continue to be identified as </w:t>
      </w:r>
      <w:r>
        <w:rPr>
          <w:i/>
        </w:rPr>
        <w:t>Bactrocera cucurbitae</w:t>
      </w:r>
      <w:r>
        <w:t xml:space="preserve"> in this report, as it was in the </w:t>
      </w:r>
      <w:r>
        <w:rPr>
          <w:i/>
        </w:rPr>
        <w:t>Draft</w:t>
      </w:r>
      <w:r w:rsidRPr="00B96D48">
        <w:rPr>
          <w:i/>
        </w:rPr>
        <w:t xml:space="preserve"> report for the review of biosecurity import requirements for fresh dragon fruit from Indonesia</w:t>
      </w:r>
      <w:r w:rsidRPr="00B96D48">
        <w:t>.</w:t>
      </w:r>
      <w:r>
        <w:t xml:space="preserve"> As more scientific literature is published on the taxonomy of this species the department will adopt the generally accepted name for future reports. This potential change in taxonomy does not reflect a change in the biology of the species or </w:t>
      </w:r>
      <w:r w:rsidRPr="007E1EEB">
        <w:t>the outcome of the department’s assessment for this species.</w:t>
      </w:r>
    </w:p>
    <w:p w:rsidR="004D5CBC" w:rsidRPr="00F94B14" w:rsidRDefault="004D5CBC" w:rsidP="004D5CBC">
      <w:pPr>
        <w:pStyle w:val="Heading3"/>
        <w:numPr>
          <w:ilvl w:val="1"/>
          <w:numId w:val="11"/>
        </w:numPr>
      </w:pPr>
      <w:bookmarkStart w:id="82" w:name="_Toc520996429"/>
      <w:r w:rsidRPr="00F94B14">
        <w:lastRenderedPageBreak/>
        <w:t>Mealybugs</w:t>
      </w:r>
      <w:bookmarkEnd w:id="82"/>
    </w:p>
    <w:p w:rsidR="004D5CBC" w:rsidRPr="005E3895" w:rsidRDefault="004D5CBC" w:rsidP="00F7319A">
      <w:pPr>
        <w:pStyle w:val="Heading4"/>
        <w:tabs>
          <w:tab w:val="clear" w:pos="1220"/>
        </w:tabs>
        <w:ind w:left="0" w:firstLine="0"/>
      </w:pPr>
      <w:r w:rsidRPr="00F94B14">
        <w:rPr>
          <w:i/>
        </w:rPr>
        <w:t>Dysmicoccus neobrevipes</w:t>
      </w:r>
      <w:r w:rsidRPr="00F94B14">
        <w:t xml:space="preserve"> (EP), </w:t>
      </w:r>
      <w:r w:rsidRPr="00F94B14">
        <w:rPr>
          <w:i/>
        </w:rPr>
        <w:t>Paracoccus marginatus</w:t>
      </w:r>
      <w:r w:rsidRPr="00F94B14">
        <w:t xml:space="preserve"> (EP), </w:t>
      </w:r>
      <w:r w:rsidRPr="00F94B14">
        <w:rPr>
          <w:i/>
        </w:rPr>
        <w:t>Planococcus lilacinus</w:t>
      </w:r>
      <w:r w:rsidRPr="00F94B14">
        <w:t xml:space="preserve"> (EP), </w:t>
      </w:r>
      <w:r w:rsidRPr="00F94B14">
        <w:rPr>
          <w:i/>
        </w:rPr>
        <w:t>Planococcus minor</w:t>
      </w:r>
      <w:r w:rsidRPr="00F94B14">
        <w:t xml:space="preserve"> (EP, WA) and </w:t>
      </w:r>
      <w:r w:rsidRPr="00F94B14">
        <w:rPr>
          <w:i/>
        </w:rPr>
        <w:t>Pseudococcus</w:t>
      </w:r>
      <w:r>
        <w:rPr>
          <w:i/>
        </w:rPr>
        <w:t xml:space="preserve"> jackbeardsleyi</w:t>
      </w:r>
      <w:r>
        <w:t xml:space="preserve"> (EP)</w:t>
      </w:r>
    </w:p>
    <w:p w:rsidR="004D5CBC" w:rsidRDefault="004D5CBC" w:rsidP="005278F0">
      <w:r>
        <w:t xml:space="preserve">The species of mealybug identified as quarantine pests associated </w:t>
      </w:r>
      <w:r w:rsidRPr="009849B2">
        <w:t>with dragon fruit from Indonesia</w:t>
      </w:r>
      <w:r>
        <w:t xml:space="preserve"> are grey pineapple mealybug (</w:t>
      </w:r>
      <w:r w:rsidRPr="00C55C36">
        <w:rPr>
          <w:i/>
        </w:rPr>
        <w:t>Dysmicoccus neobrevipes</w:t>
      </w:r>
      <w:r>
        <w:t>), papaya mealybug (</w:t>
      </w:r>
      <w:r w:rsidRPr="00701B20">
        <w:rPr>
          <w:i/>
          <w:szCs w:val="18"/>
          <w:lang w:val="pt-BR"/>
        </w:rPr>
        <w:t>Paracoccus marginatus</w:t>
      </w:r>
      <w:r>
        <w:t>), coffee mealybug (</w:t>
      </w:r>
      <w:r w:rsidRPr="00701B20">
        <w:rPr>
          <w:i/>
          <w:szCs w:val="18"/>
          <w:lang w:val="pt-BR"/>
        </w:rPr>
        <w:t>Planococcus lilacinus</w:t>
      </w:r>
      <w:r>
        <w:t>), Pacific mealybug (</w:t>
      </w:r>
      <w:r w:rsidRPr="00701B20">
        <w:rPr>
          <w:i/>
          <w:szCs w:val="18"/>
          <w:lang w:val="pt-BR"/>
        </w:rPr>
        <w:t>Planococcus minor</w:t>
      </w:r>
      <w:r>
        <w:t>) and Jack Beardsley mealybug (</w:t>
      </w:r>
      <w:r w:rsidRPr="00701B20">
        <w:rPr>
          <w:i/>
          <w:szCs w:val="18"/>
          <w:lang w:val="pt-BR"/>
        </w:rPr>
        <w:t>Pseudococcus jackbeardsleyi</w:t>
      </w:r>
      <w:r>
        <w:t>).</w:t>
      </w:r>
    </w:p>
    <w:p w:rsidR="004D5CBC" w:rsidRPr="00052D67" w:rsidRDefault="004D5CBC" w:rsidP="005278F0">
      <w:r w:rsidRPr="00C55C36">
        <w:rPr>
          <w:i/>
        </w:rPr>
        <w:t>Dysmicoccus neobrevipes</w:t>
      </w:r>
      <w:r>
        <w:t xml:space="preserve">, </w:t>
      </w:r>
      <w:r w:rsidRPr="00701B20">
        <w:rPr>
          <w:i/>
          <w:szCs w:val="18"/>
          <w:lang w:val="pt-BR"/>
        </w:rPr>
        <w:t>Planococcus lilacinus</w:t>
      </w:r>
      <w:r>
        <w:rPr>
          <w:szCs w:val="18"/>
          <w:lang w:val="pt-BR"/>
        </w:rPr>
        <w:t xml:space="preserve">, </w:t>
      </w:r>
      <w:r>
        <w:rPr>
          <w:i/>
          <w:szCs w:val="18"/>
          <w:lang w:val="pt-BR"/>
        </w:rPr>
        <w:t>Planococcus minor</w:t>
      </w:r>
      <w:r>
        <w:rPr>
          <w:szCs w:val="18"/>
          <w:lang w:val="pt-BR"/>
        </w:rPr>
        <w:t xml:space="preserve"> and </w:t>
      </w:r>
      <w:r w:rsidRPr="00701B20">
        <w:rPr>
          <w:i/>
          <w:szCs w:val="18"/>
          <w:lang w:val="pt-BR"/>
        </w:rPr>
        <w:t>Pseudococcus jackbeardsleyi</w:t>
      </w:r>
      <w:r>
        <w:rPr>
          <w:szCs w:val="18"/>
          <w:lang w:val="pt-BR"/>
        </w:rPr>
        <w:t xml:space="preserve"> were identified </w:t>
      </w:r>
      <w:r>
        <w:t xml:space="preserve">as pests of quarantine concern in the </w:t>
      </w:r>
      <w:r>
        <w:rPr>
          <w:i/>
          <w:iCs/>
        </w:rPr>
        <w:t>F</w:t>
      </w:r>
      <w:r w:rsidRPr="004D32A6">
        <w:rPr>
          <w:i/>
          <w:iCs/>
        </w:rPr>
        <w:t>inal report for the review of biosecurity import requirements for fresh dragon fruit from Vietnam</w:t>
      </w:r>
      <w:r>
        <w:t xml:space="preserve"> </w:t>
      </w:r>
      <w:r>
        <w:rPr>
          <w:noProof/>
        </w:rPr>
        <w:t>(Department of Agriculture and Water Resources 2017a)</w:t>
      </w:r>
      <w:r>
        <w:t xml:space="preserve">. </w:t>
      </w:r>
      <w:r w:rsidRPr="00701B20">
        <w:rPr>
          <w:i/>
          <w:szCs w:val="18"/>
          <w:lang w:val="pt-BR"/>
        </w:rPr>
        <w:t>Paracoccus marginatus</w:t>
      </w:r>
      <w:r>
        <w:rPr>
          <w:szCs w:val="18"/>
          <w:lang w:val="pt-BR"/>
        </w:rPr>
        <w:t xml:space="preserve"> was not included in that review because it is not present in Vietnam. </w:t>
      </w:r>
      <w:r w:rsidRPr="00701B20">
        <w:rPr>
          <w:i/>
          <w:szCs w:val="18"/>
          <w:lang w:val="pt-BR"/>
        </w:rPr>
        <w:t>Paracoccus marginatus</w:t>
      </w:r>
      <w:r>
        <w:rPr>
          <w:szCs w:val="18"/>
          <w:lang w:val="pt-BR"/>
        </w:rPr>
        <w:t xml:space="preserve">, </w:t>
      </w:r>
      <w:r w:rsidRPr="00701B20">
        <w:rPr>
          <w:i/>
          <w:szCs w:val="18"/>
          <w:lang w:val="pt-BR"/>
        </w:rPr>
        <w:t>Planococcus lilacinus</w:t>
      </w:r>
      <w:r>
        <w:rPr>
          <w:szCs w:val="18"/>
          <w:lang w:val="pt-BR"/>
        </w:rPr>
        <w:t xml:space="preserve">, </w:t>
      </w:r>
      <w:r>
        <w:rPr>
          <w:i/>
          <w:szCs w:val="18"/>
          <w:lang w:val="pt-BR"/>
        </w:rPr>
        <w:t>Planococcus minor</w:t>
      </w:r>
      <w:r>
        <w:rPr>
          <w:szCs w:val="18"/>
          <w:lang w:val="pt-BR"/>
        </w:rPr>
        <w:t xml:space="preserve"> and </w:t>
      </w:r>
      <w:r w:rsidRPr="00701B20">
        <w:rPr>
          <w:i/>
          <w:szCs w:val="18"/>
          <w:lang w:val="pt-BR"/>
        </w:rPr>
        <w:t>Pseudococcus jackbeardsleyi</w:t>
      </w:r>
      <w:r>
        <w:rPr>
          <w:szCs w:val="18"/>
          <w:lang w:val="pt-BR"/>
        </w:rPr>
        <w:t xml:space="preserve"> were identified </w:t>
      </w:r>
      <w:r>
        <w:t xml:space="preserve">as present in Indonesia and as pests of quarantine concern in the </w:t>
      </w:r>
      <w:r>
        <w:rPr>
          <w:i/>
          <w:iCs/>
        </w:rPr>
        <w:t>F</w:t>
      </w:r>
      <w:r w:rsidRPr="004D32A6">
        <w:rPr>
          <w:i/>
          <w:iCs/>
        </w:rPr>
        <w:t>inal report for the non-regulated analysis of existing policy for fresh mango fruit from Indonesia, Thailand and Vietnam</w:t>
      </w:r>
      <w:r>
        <w:rPr>
          <w:i/>
          <w:iCs/>
        </w:rPr>
        <w:t xml:space="preserve"> </w:t>
      </w:r>
      <w:r>
        <w:rPr>
          <w:noProof/>
        </w:rPr>
        <w:t>(Department of Agriculture and Water Resources 2015)</w:t>
      </w:r>
      <w:r w:rsidRPr="00D355C4">
        <w:t>.</w:t>
      </w:r>
      <w:r>
        <w:t xml:space="preserve"> </w:t>
      </w:r>
      <w:r w:rsidRPr="00701B20">
        <w:rPr>
          <w:i/>
          <w:szCs w:val="18"/>
          <w:lang w:val="pt-BR"/>
        </w:rPr>
        <w:t>Planococcus lilacinus</w:t>
      </w:r>
      <w:r>
        <w:rPr>
          <w:szCs w:val="18"/>
          <w:lang w:val="pt-BR"/>
        </w:rPr>
        <w:t xml:space="preserve"> and </w:t>
      </w:r>
      <w:r>
        <w:rPr>
          <w:i/>
          <w:szCs w:val="18"/>
          <w:lang w:val="pt-BR"/>
        </w:rPr>
        <w:t>Planococcus minor</w:t>
      </w:r>
      <w:r>
        <w:rPr>
          <w:szCs w:val="18"/>
          <w:lang w:val="pt-BR"/>
        </w:rPr>
        <w:t xml:space="preserve"> were identified </w:t>
      </w:r>
      <w:r>
        <w:t xml:space="preserve">as both present in Indonesia and as pests of quarantine concern in the </w:t>
      </w:r>
      <w:r w:rsidRPr="004D32A6">
        <w:rPr>
          <w:i/>
          <w:iCs/>
        </w:rPr>
        <w:t>Final report for the non-regulated analysis of existing policy for fresh mangosteen fruit from Indonesia</w:t>
      </w:r>
      <w:r>
        <w:t xml:space="preserve"> </w:t>
      </w:r>
      <w:r>
        <w:rPr>
          <w:noProof/>
        </w:rPr>
        <w:t>(DAFF 2012)</w:t>
      </w:r>
      <w:r>
        <w:t xml:space="preserve">. </w:t>
      </w:r>
      <w:r w:rsidRPr="00C55C36">
        <w:rPr>
          <w:i/>
        </w:rPr>
        <w:t>Dysmicoccus neobrevipes</w:t>
      </w:r>
      <w:r>
        <w:t xml:space="preserve"> has not previously been assessed for commodities from Indonesia because, until recently, there were no records of this pest in Indonesia. However, </w:t>
      </w:r>
      <w:r>
        <w:rPr>
          <w:i/>
        </w:rPr>
        <w:t>D. neobrevipes</w:t>
      </w:r>
      <w:r>
        <w:t xml:space="preserve"> has been recently reported in Indonesia </w:t>
      </w:r>
      <w:r>
        <w:rPr>
          <w:noProof/>
        </w:rPr>
        <w:t>(Kuswadi et al. 2016)</w:t>
      </w:r>
      <w:r>
        <w:t>.</w:t>
      </w:r>
    </w:p>
    <w:p w:rsidR="004D5CBC" w:rsidRPr="001F06A2" w:rsidRDefault="004D5CBC" w:rsidP="001F06A2">
      <w:r w:rsidRPr="007A1AE7">
        <w:t>The department has</w:t>
      </w:r>
      <w:r>
        <w:t xml:space="preserve"> reviewed scientific literature to identify any differences in pest risk between previously assessed commodities and dragon fruit produced in Indonesia </w:t>
      </w:r>
      <w:r>
        <w:rPr>
          <w:noProof/>
        </w:rPr>
        <w:t>(Doan et al. 2016; Hofmeyr et al. 2016; Kuswadi et al. 2016; Mani &amp; Shivaraju 2016; Sartiami et al. 2017)</w:t>
      </w:r>
      <w:r>
        <w:t xml:space="preserve">. The review found </w:t>
      </w:r>
      <w:r w:rsidRPr="0040166B">
        <w:t xml:space="preserve">no new information that would significantly change the risk ratings for importation, distribution, establishment, spread </w:t>
      </w:r>
      <w:r>
        <w:t>or</w:t>
      </w:r>
      <w:r w:rsidRPr="0040166B">
        <w:t xml:space="preserve"> consequences </w:t>
      </w:r>
      <w:r>
        <w:t>determined</w:t>
      </w:r>
      <w:r w:rsidRPr="0040166B">
        <w:t xml:space="preserve"> for</w:t>
      </w:r>
      <w:r>
        <w:t xml:space="preserve"> these</w:t>
      </w:r>
      <w:r w:rsidRPr="0040166B">
        <w:t xml:space="preserve"> </w:t>
      </w:r>
      <w:r>
        <w:t>mealybugs</w:t>
      </w:r>
      <w:r w:rsidRPr="0040166B">
        <w:t xml:space="preserve"> in the existing policies.</w:t>
      </w:r>
    </w:p>
    <w:p w:rsidR="004D5CBC" w:rsidRDefault="004D5CBC"/>
    <w:p w:rsidR="004D5CBC" w:rsidRDefault="004D5CBC">
      <w:pPr>
        <w:sectPr w:rsidR="004D5CBC" w:rsidSect="00E310DC">
          <w:headerReference w:type="default" r:id="rId35"/>
          <w:pgSz w:w="11906" w:h="16838"/>
          <w:pgMar w:top="1418" w:right="1418" w:bottom="1418" w:left="1418" w:header="567" w:footer="283" w:gutter="0"/>
          <w:cols w:space="708"/>
          <w:docGrid w:linePitch="360"/>
        </w:sectPr>
      </w:pPr>
    </w:p>
    <w:p w:rsidR="004D5CBC" w:rsidRPr="002E112B" w:rsidRDefault="004D5CBC">
      <w:pPr>
        <w:pStyle w:val="Caption"/>
      </w:pPr>
      <w:bookmarkStart w:id="83" w:name="_Ref457826769"/>
      <w:bookmarkStart w:id="84" w:name="_Toc384979285"/>
      <w:bookmarkStart w:id="85" w:name="_Toc389741477"/>
      <w:bookmarkStart w:id="86" w:name="_Toc520996458"/>
      <w:r w:rsidRPr="002E112B">
        <w:lastRenderedPageBreak/>
        <w:t xml:space="preserve">Table </w:t>
      </w:r>
      <w:r>
        <w:rPr>
          <w:noProof/>
        </w:rPr>
        <w:fldChar w:fldCharType="begin"/>
      </w:r>
      <w:r>
        <w:rPr>
          <w:noProof/>
        </w:rPr>
        <w:instrText xml:space="preserve"> STYLEREF 2 \s </w:instrText>
      </w:r>
      <w:r>
        <w:rPr>
          <w:noProof/>
        </w:rPr>
        <w:fldChar w:fldCharType="separate"/>
      </w:r>
      <w:r w:rsidR="00502BAD">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2</w:t>
      </w:r>
      <w:r>
        <w:rPr>
          <w:noProof/>
        </w:rPr>
        <w:fldChar w:fldCharType="end"/>
      </w:r>
      <w:bookmarkEnd w:id="83"/>
      <w:r w:rsidRPr="002E112B">
        <w:t xml:space="preserve"> Summary</w:t>
      </w:r>
      <w:r w:rsidRPr="008E1D24">
        <w:t xml:space="preserve"> of unrestricted risk estimates for quarantine pests associated with </w:t>
      </w:r>
      <w:bookmarkEnd w:id="84"/>
      <w:bookmarkEnd w:id="85"/>
      <w:r w:rsidRPr="00CC054D">
        <w:t>dragon fruit from Indonesia</w:t>
      </w:r>
      <w:bookmarkEnd w:id="86"/>
    </w:p>
    <w:tbl>
      <w:tblPr>
        <w:tblW w:w="5016"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978"/>
        <w:gridCol w:w="1278"/>
        <w:gridCol w:w="1416"/>
        <w:gridCol w:w="1278"/>
        <w:gridCol w:w="1416"/>
        <w:gridCol w:w="1416"/>
        <w:gridCol w:w="1242"/>
        <w:gridCol w:w="1742"/>
        <w:gridCol w:w="1281"/>
      </w:tblGrid>
      <w:tr w:rsidR="004D5CBC" w:rsidRPr="00260E8D" w:rsidTr="007325C2">
        <w:trPr>
          <w:cantSplit/>
          <w:tblHeader/>
        </w:trPr>
        <w:tc>
          <w:tcPr>
            <w:tcW w:w="3924" w:type="pct"/>
            <w:gridSpan w:val="7"/>
            <w:tcBorders>
              <w:top w:val="single" w:sz="4" w:space="0" w:color="auto"/>
              <w:left w:val="nil"/>
              <w:bottom w:val="nil"/>
            </w:tcBorders>
          </w:tcPr>
          <w:p w:rsidR="004D5CBC" w:rsidRPr="008E1D24" w:rsidRDefault="004D5CBC">
            <w:pPr>
              <w:pStyle w:val="TableHeading"/>
              <w:jc w:val="center"/>
            </w:pPr>
            <w:r w:rsidRPr="008E1D24">
              <w:t>Likelihood of</w:t>
            </w:r>
          </w:p>
        </w:tc>
        <w:tc>
          <w:tcPr>
            <w:tcW w:w="620" w:type="pct"/>
            <w:vMerge w:val="restart"/>
            <w:tcBorders>
              <w:top w:val="single" w:sz="4" w:space="0" w:color="auto"/>
            </w:tcBorders>
            <w:shd w:val="clear" w:color="auto" w:fill="auto"/>
          </w:tcPr>
          <w:p w:rsidR="004D5CBC" w:rsidRPr="008E1D24" w:rsidRDefault="004D5CBC">
            <w:pPr>
              <w:pStyle w:val="TableHeading"/>
            </w:pPr>
            <w:r w:rsidRPr="008E1D24">
              <w:t>Consequences</w:t>
            </w:r>
          </w:p>
        </w:tc>
        <w:tc>
          <w:tcPr>
            <w:tcW w:w="456" w:type="pct"/>
            <w:vMerge w:val="restart"/>
            <w:tcBorders>
              <w:top w:val="single" w:sz="4" w:space="0" w:color="auto"/>
              <w:right w:val="nil"/>
            </w:tcBorders>
            <w:shd w:val="clear" w:color="auto" w:fill="auto"/>
          </w:tcPr>
          <w:p w:rsidR="004D5CBC" w:rsidRPr="008E1D24" w:rsidRDefault="004D5CBC">
            <w:pPr>
              <w:pStyle w:val="TableHeading"/>
            </w:pPr>
            <w:r w:rsidRPr="008E1D24">
              <w:t>URE</w:t>
            </w:r>
          </w:p>
        </w:tc>
      </w:tr>
      <w:tr w:rsidR="004D5CBC" w:rsidRPr="00260E8D" w:rsidTr="00A37ED2">
        <w:trPr>
          <w:cantSplit/>
          <w:tblHeader/>
        </w:trPr>
        <w:tc>
          <w:tcPr>
            <w:tcW w:w="1060" w:type="pct"/>
            <w:vMerge w:val="restart"/>
            <w:tcBorders>
              <w:top w:val="nil"/>
              <w:left w:val="nil"/>
              <w:bottom w:val="nil"/>
              <w:right w:val="nil"/>
            </w:tcBorders>
          </w:tcPr>
          <w:p w:rsidR="004D5CBC" w:rsidRPr="008E1D24" w:rsidRDefault="004D5CBC">
            <w:pPr>
              <w:pStyle w:val="TableHeading"/>
            </w:pPr>
            <w:r w:rsidRPr="008E1D24">
              <w:t>Pest name</w:t>
            </w:r>
          </w:p>
        </w:tc>
        <w:tc>
          <w:tcPr>
            <w:tcW w:w="1414" w:type="pct"/>
            <w:gridSpan w:val="3"/>
            <w:tcBorders>
              <w:top w:val="single" w:sz="4" w:space="0" w:color="BFBFBF" w:themeColor="background1" w:themeShade="BF"/>
              <w:left w:val="nil"/>
            </w:tcBorders>
            <w:shd w:val="clear" w:color="auto" w:fill="auto"/>
            <w:vAlign w:val="center"/>
          </w:tcPr>
          <w:p w:rsidR="004D5CBC" w:rsidRPr="008E1D24" w:rsidRDefault="004D5CBC">
            <w:pPr>
              <w:pStyle w:val="TableText"/>
              <w:rPr>
                <w:b/>
              </w:rPr>
            </w:pPr>
            <w:r w:rsidRPr="008E1D24">
              <w:rPr>
                <w:b/>
              </w:rPr>
              <w:t>Entry</w:t>
            </w:r>
          </w:p>
        </w:tc>
        <w:tc>
          <w:tcPr>
            <w:tcW w:w="504" w:type="pct"/>
            <w:vMerge w:val="restart"/>
            <w:tcBorders>
              <w:top w:val="single" w:sz="4" w:space="0" w:color="BFBFBF" w:themeColor="background1" w:themeShade="BF"/>
            </w:tcBorders>
            <w:shd w:val="clear" w:color="auto" w:fill="auto"/>
          </w:tcPr>
          <w:p w:rsidR="004D5CBC" w:rsidRPr="008E1D24" w:rsidRDefault="004D5CBC">
            <w:pPr>
              <w:pStyle w:val="TableText"/>
              <w:rPr>
                <w:b/>
              </w:rPr>
            </w:pPr>
            <w:r w:rsidRPr="008E1D24">
              <w:rPr>
                <w:b/>
              </w:rPr>
              <w:t>Establishment</w:t>
            </w:r>
          </w:p>
        </w:tc>
        <w:tc>
          <w:tcPr>
            <w:tcW w:w="504" w:type="pct"/>
            <w:vMerge w:val="restart"/>
            <w:tcBorders>
              <w:top w:val="single" w:sz="4" w:space="0" w:color="BFBFBF" w:themeColor="background1" w:themeShade="BF"/>
            </w:tcBorders>
            <w:shd w:val="clear" w:color="auto" w:fill="auto"/>
          </w:tcPr>
          <w:p w:rsidR="004D5CBC" w:rsidRPr="008E1D24" w:rsidRDefault="004D5CBC">
            <w:pPr>
              <w:pStyle w:val="TableText"/>
              <w:rPr>
                <w:b/>
              </w:rPr>
            </w:pPr>
            <w:r w:rsidRPr="008E1D24">
              <w:rPr>
                <w:b/>
              </w:rPr>
              <w:t>Spread</w:t>
            </w:r>
          </w:p>
        </w:tc>
        <w:tc>
          <w:tcPr>
            <w:tcW w:w="442" w:type="pct"/>
            <w:vMerge w:val="restart"/>
            <w:tcBorders>
              <w:top w:val="single" w:sz="4" w:space="0" w:color="BFBFBF" w:themeColor="background1" w:themeShade="BF"/>
            </w:tcBorders>
            <w:shd w:val="clear" w:color="auto" w:fill="auto"/>
          </w:tcPr>
          <w:p w:rsidR="004D5CBC" w:rsidRPr="008E1D24" w:rsidRDefault="004D5CBC">
            <w:pPr>
              <w:pStyle w:val="TableText"/>
              <w:rPr>
                <w:b/>
              </w:rPr>
            </w:pPr>
            <w:r w:rsidRPr="008E1D24">
              <w:rPr>
                <w:b/>
              </w:rPr>
              <w:t>EES</w:t>
            </w:r>
          </w:p>
        </w:tc>
        <w:tc>
          <w:tcPr>
            <w:tcW w:w="620" w:type="pct"/>
            <w:vMerge/>
            <w:shd w:val="clear" w:color="auto" w:fill="auto"/>
          </w:tcPr>
          <w:p w:rsidR="004D5CBC" w:rsidRPr="008E1D24" w:rsidRDefault="004D5CBC">
            <w:pPr>
              <w:pStyle w:val="TableText"/>
            </w:pPr>
          </w:p>
        </w:tc>
        <w:tc>
          <w:tcPr>
            <w:tcW w:w="456" w:type="pct"/>
            <w:vMerge/>
            <w:tcBorders>
              <w:right w:val="nil"/>
            </w:tcBorders>
            <w:shd w:val="clear" w:color="auto" w:fill="auto"/>
          </w:tcPr>
          <w:p w:rsidR="004D5CBC" w:rsidRPr="008E1D24" w:rsidRDefault="004D5CBC">
            <w:pPr>
              <w:pStyle w:val="TableText"/>
            </w:pPr>
          </w:p>
        </w:tc>
      </w:tr>
      <w:tr w:rsidR="004D5CBC" w:rsidRPr="00260E8D" w:rsidTr="00A37ED2">
        <w:trPr>
          <w:cantSplit/>
          <w:trHeight w:val="672"/>
          <w:tblHeader/>
        </w:trPr>
        <w:tc>
          <w:tcPr>
            <w:tcW w:w="1060" w:type="pct"/>
            <w:vMerge/>
            <w:tcBorders>
              <w:top w:val="single" w:sz="4" w:space="0" w:color="BFBFBF" w:themeColor="background1" w:themeShade="BF"/>
              <w:left w:val="nil"/>
              <w:bottom w:val="nil"/>
              <w:right w:val="nil"/>
            </w:tcBorders>
          </w:tcPr>
          <w:p w:rsidR="004D5CBC" w:rsidRPr="004D32A6" w:rsidRDefault="004D5CBC">
            <w:pPr>
              <w:pStyle w:val="TableText"/>
              <w:rPr>
                <w:highlight w:val="green"/>
              </w:rPr>
            </w:pPr>
          </w:p>
        </w:tc>
        <w:tc>
          <w:tcPr>
            <w:tcW w:w="455" w:type="pct"/>
            <w:tcBorders>
              <w:left w:val="nil"/>
            </w:tcBorders>
            <w:shd w:val="clear" w:color="auto" w:fill="auto"/>
          </w:tcPr>
          <w:p w:rsidR="004D5CBC" w:rsidRPr="008E1D24" w:rsidRDefault="004D5CBC">
            <w:pPr>
              <w:pStyle w:val="TableText"/>
            </w:pPr>
            <w:r w:rsidRPr="008E1D24">
              <w:t>Importation</w:t>
            </w:r>
          </w:p>
        </w:tc>
        <w:tc>
          <w:tcPr>
            <w:tcW w:w="504" w:type="pct"/>
            <w:shd w:val="clear" w:color="auto" w:fill="auto"/>
          </w:tcPr>
          <w:p w:rsidR="004D5CBC" w:rsidRPr="008E1D24" w:rsidRDefault="004D5CBC">
            <w:pPr>
              <w:pStyle w:val="TableText"/>
            </w:pPr>
            <w:r w:rsidRPr="008E1D24">
              <w:t>Distribution</w:t>
            </w:r>
          </w:p>
        </w:tc>
        <w:tc>
          <w:tcPr>
            <w:tcW w:w="455" w:type="pct"/>
            <w:shd w:val="clear" w:color="auto" w:fill="auto"/>
          </w:tcPr>
          <w:p w:rsidR="004D5CBC" w:rsidRPr="008E1D24" w:rsidRDefault="004D5CBC">
            <w:pPr>
              <w:pStyle w:val="TableText"/>
              <w:rPr>
                <w:b/>
              </w:rPr>
            </w:pPr>
            <w:r w:rsidRPr="008E1D24">
              <w:rPr>
                <w:b/>
              </w:rPr>
              <w:t>Overall</w:t>
            </w:r>
          </w:p>
        </w:tc>
        <w:tc>
          <w:tcPr>
            <w:tcW w:w="504" w:type="pct"/>
            <w:vMerge/>
            <w:shd w:val="clear" w:color="auto" w:fill="auto"/>
          </w:tcPr>
          <w:p w:rsidR="004D5CBC" w:rsidRPr="008E1D24" w:rsidRDefault="004D5CBC">
            <w:pPr>
              <w:pStyle w:val="TableText"/>
            </w:pPr>
          </w:p>
        </w:tc>
        <w:tc>
          <w:tcPr>
            <w:tcW w:w="504" w:type="pct"/>
            <w:vMerge/>
            <w:shd w:val="clear" w:color="auto" w:fill="auto"/>
          </w:tcPr>
          <w:p w:rsidR="004D5CBC" w:rsidRPr="008E1D24" w:rsidRDefault="004D5CBC">
            <w:pPr>
              <w:pStyle w:val="TableText"/>
            </w:pPr>
          </w:p>
        </w:tc>
        <w:tc>
          <w:tcPr>
            <w:tcW w:w="442" w:type="pct"/>
            <w:vMerge/>
            <w:shd w:val="clear" w:color="auto" w:fill="auto"/>
          </w:tcPr>
          <w:p w:rsidR="004D5CBC" w:rsidRPr="008E1D24" w:rsidRDefault="004D5CBC">
            <w:pPr>
              <w:pStyle w:val="TableText"/>
            </w:pPr>
          </w:p>
        </w:tc>
        <w:tc>
          <w:tcPr>
            <w:tcW w:w="620" w:type="pct"/>
            <w:vMerge/>
            <w:shd w:val="clear" w:color="auto" w:fill="auto"/>
          </w:tcPr>
          <w:p w:rsidR="004D5CBC" w:rsidRPr="008E1D24" w:rsidRDefault="004D5CBC">
            <w:pPr>
              <w:pStyle w:val="TableText"/>
              <w:rPr>
                <w:b/>
              </w:rPr>
            </w:pPr>
          </w:p>
        </w:tc>
        <w:tc>
          <w:tcPr>
            <w:tcW w:w="456" w:type="pct"/>
            <w:vMerge/>
            <w:tcBorders>
              <w:right w:val="nil"/>
            </w:tcBorders>
            <w:shd w:val="clear" w:color="auto" w:fill="auto"/>
          </w:tcPr>
          <w:p w:rsidR="004D5CBC" w:rsidRPr="004D32A6" w:rsidRDefault="004D5CBC">
            <w:pPr>
              <w:pStyle w:val="TableText"/>
              <w:rPr>
                <w:highlight w:val="green"/>
              </w:rPr>
            </w:pPr>
          </w:p>
        </w:tc>
      </w:tr>
      <w:tr w:rsidR="004D5CBC" w:rsidRPr="00260E8D" w:rsidTr="007325C2">
        <w:tc>
          <w:tcPr>
            <w:tcW w:w="5000" w:type="pct"/>
            <w:gridSpan w:val="9"/>
            <w:tcBorders>
              <w:top w:val="single" w:sz="4" w:space="0" w:color="BFBFBF" w:themeColor="background1" w:themeShade="BF"/>
              <w:left w:val="nil"/>
              <w:bottom w:val="nil"/>
              <w:right w:val="nil"/>
            </w:tcBorders>
            <w:shd w:val="clear" w:color="auto" w:fill="auto"/>
          </w:tcPr>
          <w:p w:rsidR="004D5CBC" w:rsidRPr="008E1D24" w:rsidRDefault="004D5CBC">
            <w:pPr>
              <w:pStyle w:val="TableText"/>
              <w:rPr>
                <w:b/>
                <w:highlight w:val="yellow"/>
              </w:rPr>
            </w:pPr>
            <w:r>
              <w:rPr>
                <w:b/>
              </w:rPr>
              <w:t>Fruit flies [Diptera: Tephritidae]</w:t>
            </w:r>
          </w:p>
        </w:tc>
      </w:tr>
      <w:tr w:rsidR="004D5CBC" w:rsidRPr="00260E8D" w:rsidTr="00145D01">
        <w:trPr>
          <w:trHeight w:val="300"/>
        </w:trPr>
        <w:tc>
          <w:tcPr>
            <w:tcW w:w="1060" w:type="pct"/>
            <w:tcBorders>
              <w:top w:val="nil"/>
              <w:left w:val="nil"/>
              <w:bottom w:val="nil"/>
            </w:tcBorders>
          </w:tcPr>
          <w:p w:rsidR="004D5CBC" w:rsidRPr="008E1D24" w:rsidRDefault="004D5CBC" w:rsidP="00B86DE7">
            <w:pPr>
              <w:pStyle w:val="TableText"/>
              <w:rPr>
                <w:i/>
                <w:lang w:eastAsia="en-AU"/>
              </w:rPr>
            </w:pPr>
            <w:r>
              <w:rPr>
                <w:i/>
              </w:rPr>
              <w:t>Bactrocera cucurbitae</w:t>
            </w:r>
            <w:r>
              <w:rPr>
                <w:vertAlign w:val="superscript"/>
              </w:rPr>
              <w:t xml:space="preserve"> </w:t>
            </w:r>
            <w:r>
              <w:t>(EP)</w:t>
            </w:r>
          </w:p>
        </w:tc>
        <w:tc>
          <w:tcPr>
            <w:tcW w:w="455" w:type="pct"/>
            <w:vMerge w:val="restart"/>
            <w:tcBorders>
              <w:top w:val="nil"/>
            </w:tcBorders>
            <w:shd w:val="clear" w:color="auto" w:fill="auto"/>
          </w:tcPr>
          <w:p w:rsidR="004D5CBC" w:rsidRPr="008E1D24" w:rsidRDefault="004D5CBC" w:rsidP="00B17CDB">
            <w:pPr>
              <w:pStyle w:val="TableText"/>
            </w:pPr>
            <w:r>
              <w:t>High</w:t>
            </w:r>
          </w:p>
        </w:tc>
        <w:tc>
          <w:tcPr>
            <w:tcW w:w="504" w:type="pct"/>
            <w:vMerge w:val="restart"/>
            <w:tcBorders>
              <w:top w:val="nil"/>
            </w:tcBorders>
            <w:shd w:val="clear" w:color="auto" w:fill="auto"/>
          </w:tcPr>
          <w:p w:rsidR="004D5CBC" w:rsidRPr="008E1D24" w:rsidRDefault="004D5CBC" w:rsidP="00B17CDB">
            <w:pPr>
              <w:pStyle w:val="TableText"/>
            </w:pPr>
            <w:r>
              <w:t>High</w:t>
            </w:r>
          </w:p>
        </w:tc>
        <w:tc>
          <w:tcPr>
            <w:tcW w:w="455" w:type="pct"/>
            <w:vMerge w:val="restart"/>
            <w:tcBorders>
              <w:top w:val="nil"/>
            </w:tcBorders>
            <w:shd w:val="clear" w:color="auto" w:fill="auto"/>
          </w:tcPr>
          <w:p w:rsidR="004D5CBC" w:rsidRPr="008E1D24" w:rsidRDefault="004D5CBC" w:rsidP="00B17CDB">
            <w:pPr>
              <w:pStyle w:val="TableText"/>
              <w:rPr>
                <w:b/>
              </w:rPr>
            </w:pPr>
            <w:r>
              <w:rPr>
                <w:b/>
              </w:rPr>
              <w:t>High</w:t>
            </w:r>
          </w:p>
        </w:tc>
        <w:tc>
          <w:tcPr>
            <w:tcW w:w="504" w:type="pct"/>
            <w:vMerge w:val="restart"/>
            <w:tcBorders>
              <w:top w:val="nil"/>
            </w:tcBorders>
            <w:shd w:val="clear" w:color="auto" w:fill="auto"/>
          </w:tcPr>
          <w:p w:rsidR="004D5CBC" w:rsidRPr="008E1D24" w:rsidRDefault="004D5CBC" w:rsidP="00B17CDB">
            <w:pPr>
              <w:pStyle w:val="TableText"/>
            </w:pPr>
            <w:r>
              <w:t>High</w:t>
            </w:r>
          </w:p>
        </w:tc>
        <w:tc>
          <w:tcPr>
            <w:tcW w:w="504" w:type="pct"/>
            <w:vMerge w:val="restart"/>
            <w:tcBorders>
              <w:top w:val="nil"/>
            </w:tcBorders>
            <w:shd w:val="clear" w:color="auto" w:fill="auto"/>
          </w:tcPr>
          <w:p w:rsidR="004D5CBC" w:rsidRPr="008E1D24" w:rsidRDefault="004D5CBC" w:rsidP="00B17CDB">
            <w:pPr>
              <w:pStyle w:val="TableText"/>
            </w:pPr>
            <w:r>
              <w:t>High</w:t>
            </w:r>
          </w:p>
        </w:tc>
        <w:tc>
          <w:tcPr>
            <w:tcW w:w="442" w:type="pct"/>
            <w:vMerge w:val="restart"/>
            <w:tcBorders>
              <w:top w:val="nil"/>
            </w:tcBorders>
            <w:shd w:val="clear" w:color="auto" w:fill="auto"/>
          </w:tcPr>
          <w:p w:rsidR="004D5CBC" w:rsidRPr="008E1D24" w:rsidRDefault="004D5CBC" w:rsidP="00B17CDB">
            <w:pPr>
              <w:pStyle w:val="TableText"/>
            </w:pPr>
            <w:r>
              <w:t>High</w:t>
            </w:r>
          </w:p>
        </w:tc>
        <w:tc>
          <w:tcPr>
            <w:tcW w:w="620" w:type="pct"/>
            <w:vMerge w:val="restart"/>
            <w:tcBorders>
              <w:top w:val="nil"/>
            </w:tcBorders>
            <w:shd w:val="clear" w:color="auto" w:fill="auto"/>
          </w:tcPr>
          <w:p w:rsidR="004D5CBC" w:rsidRPr="007325C2" w:rsidRDefault="004D5CBC" w:rsidP="00B17CDB">
            <w:pPr>
              <w:pStyle w:val="TableText"/>
            </w:pPr>
            <w:r w:rsidRPr="007325C2">
              <w:t>High</w:t>
            </w:r>
          </w:p>
        </w:tc>
        <w:tc>
          <w:tcPr>
            <w:tcW w:w="456" w:type="pct"/>
            <w:vMerge w:val="restart"/>
            <w:tcBorders>
              <w:top w:val="nil"/>
              <w:right w:val="nil"/>
            </w:tcBorders>
            <w:shd w:val="clear" w:color="auto" w:fill="auto"/>
          </w:tcPr>
          <w:p w:rsidR="004D5CBC" w:rsidRPr="007325C2" w:rsidRDefault="004D5CBC" w:rsidP="00B17CDB">
            <w:pPr>
              <w:pStyle w:val="TableText"/>
              <w:rPr>
                <w:b/>
              </w:rPr>
            </w:pPr>
            <w:r w:rsidRPr="007325C2">
              <w:rPr>
                <w:b/>
              </w:rPr>
              <w:t>High</w:t>
            </w:r>
          </w:p>
        </w:tc>
      </w:tr>
      <w:tr w:rsidR="004D5CBC" w:rsidRPr="00260E8D" w:rsidTr="00B17CDB">
        <w:trPr>
          <w:trHeight w:val="287"/>
        </w:trPr>
        <w:tc>
          <w:tcPr>
            <w:tcW w:w="1060" w:type="pct"/>
            <w:tcBorders>
              <w:top w:val="nil"/>
              <w:left w:val="nil"/>
              <w:bottom w:val="single" w:sz="4" w:space="0" w:color="BFBFBF" w:themeColor="background1" w:themeShade="BF"/>
            </w:tcBorders>
          </w:tcPr>
          <w:p w:rsidR="004D5CBC" w:rsidRDefault="004D5CBC" w:rsidP="007E6DA4">
            <w:pPr>
              <w:pStyle w:val="TableText"/>
              <w:rPr>
                <w:i/>
              </w:rPr>
            </w:pPr>
            <w:r>
              <w:rPr>
                <w:i/>
              </w:rPr>
              <w:t xml:space="preserve">Bactrocera dorsalis </w:t>
            </w:r>
            <w:r>
              <w:t>(EP)</w:t>
            </w:r>
          </w:p>
        </w:tc>
        <w:tc>
          <w:tcPr>
            <w:tcW w:w="455" w:type="pct"/>
            <w:vMerge/>
            <w:tcBorders>
              <w:bottom w:val="single" w:sz="4" w:space="0" w:color="BFBFBF" w:themeColor="background1" w:themeShade="BF"/>
            </w:tcBorders>
            <w:shd w:val="clear" w:color="auto" w:fill="auto"/>
          </w:tcPr>
          <w:p w:rsidR="004D5CBC" w:rsidRDefault="004D5CBC" w:rsidP="007E6DA4">
            <w:pPr>
              <w:pStyle w:val="TableText"/>
            </w:pPr>
          </w:p>
        </w:tc>
        <w:tc>
          <w:tcPr>
            <w:tcW w:w="504" w:type="pct"/>
            <w:vMerge/>
            <w:tcBorders>
              <w:bottom w:val="single" w:sz="4" w:space="0" w:color="BFBFBF" w:themeColor="background1" w:themeShade="BF"/>
            </w:tcBorders>
            <w:shd w:val="clear" w:color="auto" w:fill="auto"/>
          </w:tcPr>
          <w:p w:rsidR="004D5CBC" w:rsidRDefault="004D5CBC" w:rsidP="007E6DA4">
            <w:pPr>
              <w:pStyle w:val="TableText"/>
            </w:pPr>
          </w:p>
        </w:tc>
        <w:tc>
          <w:tcPr>
            <w:tcW w:w="455" w:type="pct"/>
            <w:vMerge/>
            <w:tcBorders>
              <w:bottom w:val="single" w:sz="4" w:space="0" w:color="BFBFBF" w:themeColor="background1" w:themeShade="BF"/>
            </w:tcBorders>
            <w:shd w:val="clear" w:color="auto" w:fill="auto"/>
          </w:tcPr>
          <w:p w:rsidR="004D5CBC" w:rsidRDefault="004D5CBC" w:rsidP="007E6DA4">
            <w:pPr>
              <w:pStyle w:val="TableText"/>
              <w:rPr>
                <w:b/>
              </w:rPr>
            </w:pPr>
          </w:p>
        </w:tc>
        <w:tc>
          <w:tcPr>
            <w:tcW w:w="504" w:type="pct"/>
            <w:vMerge/>
            <w:tcBorders>
              <w:bottom w:val="single" w:sz="4" w:space="0" w:color="BFBFBF" w:themeColor="background1" w:themeShade="BF"/>
            </w:tcBorders>
            <w:shd w:val="clear" w:color="auto" w:fill="auto"/>
          </w:tcPr>
          <w:p w:rsidR="004D5CBC" w:rsidRDefault="004D5CBC" w:rsidP="007E6DA4">
            <w:pPr>
              <w:pStyle w:val="TableText"/>
            </w:pPr>
          </w:p>
        </w:tc>
        <w:tc>
          <w:tcPr>
            <w:tcW w:w="504" w:type="pct"/>
            <w:vMerge/>
            <w:tcBorders>
              <w:bottom w:val="single" w:sz="4" w:space="0" w:color="BFBFBF" w:themeColor="background1" w:themeShade="BF"/>
            </w:tcBorders>
            <w:shd w:val="clear" w:color="auto" w:fill="auto"/>
          </w:tcPr>
          <w:p w:rsidR="004D5CBC" w:rsidRDefault="004D5CBC" w:rsidP="007E6DA4">
            <w:pPr>
              <w:pStyle w:val="TableText"/>
            </w:pPr>
          </w:p>
        </w:tc>
        <w:tc>
          <w:tcPr>
            <w:tcW w:w="442" w:type="pct"/>
            <w:vMerge/>
            <w:tcBorders>
              <w:bottom w:val="single" w:sz="4" w:space="0" w:color="BFBFBF" w:themeColor="background1" w:themeShade="BF"/>
            </w:tcBorders>
            <w:shd w:val="clear" w:color="auto" w:fill="auto"/>
          </w:tcPr>
          <w:p w:rsidR="004D5CBC" w:rsidRDefault="004D5CBC" w:rsidP="007E6DA4">
            <w:pPr>
              <w:pStyle w:val="TableText"/>
            </w:pPr>
          </w:p>
        </w:tc>
        <w:tc>
          <w:tcPr>
            <w:tcW w:w="620" w:type="pct"/>
            <w:vMerge/>
            <w:tcBorders>
              <w:bottom w:val="single" w:sz="4" w:space="0" w:color="BFBFBF" w:themeColor="background1" w:themeShade="BF"/>
            </w:tcBorders>
            <w:shd w:val="clear" w:color="auto" w:fill="auto"/>
          </w:tcPr>
          <w:p w:rsidR="004D5CBC" w:rsidRPr="007325C2" w:rsidRDefault="004D5CBC" w:rsidP="007E6DA4">
            <w:pPr>
              <w:pStyle w:val="TableText"/>
            </w:pPr>
          </w:p>
        </w:tc>
        <w:tc>
          <w:tcPr>
            <w:tcW w:w="456" w:type="pct"/>
            <w:vMerge/>
            <w:tcBorders>
              <w:bottom w:val="single" w:sz="4" w:space="0" w:color="BFBFBF" w:themeColor="background1" w:themeShade="BF"/>
              <w:right w:val="nil"/>
            </w:tcBorders>
            <w:shd w:val="clear" w:color="auto" w:fill="auto"/>
          </w:tcPr>
          <w:p w:rsidR="004D5CBC" w:rsidRPr="007325C2" w:rsidRDefault="004D5CBC" w:rsidP="007E6DA4">
            <w:pPr>
              <w:pStyle w:val="TableText"/>
              <w:rPr>
                <w:b/>
              </w:rPr>
            </w:pPr>
          </w:p>
        </w:tc>
      </w:tr>
      <w:tr w:rsidR="004D5CBC" w:rsidRPr="00260E8D" w:rsidTr="007325C2">
        <w:tc>
          <w:tcPr>
            <w:tcW w:w="5000" w:type="pct"/>
            <w:gridSpan w:val="9"/>
            <w:tcBorders>
              <w:top w:val="single" w:sz="4" w:space="0" w:color="BFBFBF" w:themeColor="background1" w:themeShade="BF"/>
              <w:left w:val="nil"/>
              <w:bottom w:val="nil"/>
              <w:right w:val="nil"/>
            </w:tcBorders>
            <w:shd w:val="clear" w:color="auto" w:fill="auto"/>
          </w:tcPr>
          <w:p w:rsidR="004D5CBC" w:rsidRPr="007325C2" w:rsidRDefault="004D5CBC">
            <w:pPr>
              <w:pStyle w:val="TableText"/>
              <w:rPr>
                <w:b/>
              </w:rPr>
            </w:pPr>
            <w:r w:rsidRPr="007325C2">
              <w:rPr>
                <w:b/>
              </w:rPr>
              <w:t>Mealybugs [Hemiptera: Pseudococcidae]</w:t>
            </w:r>
          </w:p>
        </w:tc>
      </w:tr>
      <w:tr w:rsidR="004D5CBC" w:rsidRPr="00260E8D" w:rsidTr="00566B5E">
        <w:trPr>
          <w:trHeight w:val="66"/>
        </w:trPr>
        <w:tc>
          <w:tcPr>
            <w:tcW w:w="1060" w:type="pct"/>
            <w:tcBorders>
              <w:top w:val="nil"/>
              <w:left w:val="nil"/>
              <w:bottom w:val="nil"/>
            </w:tcBorders>
          </w:tcPr>
          <w:p w:rsidR="004D5CBC" w:rsidRPr="008E1D24" w:rsidRDefault="004D5CBC" w:rsidP="007325C2">
            <w:pPr>
              <w:pStyle w:val="TableText"/>
              <w:rPr>
                <w:i/>
                <w:lang w:eastAsia="en-AU"/>
              </w:rPr>
            </w:pPr>
            <w:r>
              <w:rPr>
                <w:i/>
                <w:lang w:eastAsia="en-AU"/>
              </w:rPr>
              <w:t xml:space="preserve">Dysmicoccus neobrevipes </w:t>
            </w:r>
            <w:r>
              <w:rPr>
                <w:lang w:eastAsia="en-AU"/>
              </w:rPr>
              <w:t>(EP)</w:t>
            </w:r>
          </w:p>
        </w:tc>
        <w:tc>
          <w:tcPr>
            <w:tcW w:w="455" w:type="pct"/>
            <w:vMerge w:val="restart"/>
            <w:tcBorders>
              <w:top w:val="nil"/>
            </w:tcBorders>
            <w:shd w:val="clear" w:color="auto" w:fill="auto"/>
          </w:tcPr>
          <w:p w:rsidR="004D5CBC" w:rsidRPr="008E1D24" w:rsidRDefault="004D5CBC" w:rsidP="00B17CDB">
            <w:pPr>
              <w:pStyle w:val="TableText"/>
            </w:pPr>
            <w:r>
              <w:t>High</w:t>
            </w:r>
          </w:p>
        </w:tc>
        <w:tc>
          <w:tcPr>
            <w:tcW w:w="504" w:type="pct"/>
            <w:vMerge w:val="restart"/>
            <w:tcBorders>
              <w:top w:val="nil"/>
            </w:tcBorders>
            <w:shd w:val="clear" w:color="auto" w:fill="auto"/>
          </w:tcPr>
          <w:p w:rsidR="004D5CBC" w:rsidRPr="008E1D24" w:rsidRDefault="004D5CBC" w:rsidP="00B17CDB">
            <w:pPr>
              <w:pStyle w:val="TableText"/>
            </w:pPr>
            <w:r>
              <w:t>Moderate</w:t>
            </w:r>
          </w:p>
        </w:tc>
        <w:tc>
          <w:tcPr>
            <w:tcW w:w="455" w:type="pct"/>
            <w:vMerge w:val="restart"/>
            <w:tcBorders>
              <w:top w:val="nil"/>
            </w:tcBorders>
            <w:shd w:val="clear" w:color="auto" w:fill="auto"/>
          </w:tcPr>
          <w:p w:rsidR="004D5CBC" w:rsidRPr="008E1D24" w:rsidRDefault="004D5CBC" w:rsidP="00B17CDB">
            <w:pPr>
              <w:pStyle w:val="TableText"/>
              <w:rPr>
                <w:b/>
              </w:rPr>
            </w:pPr>
            <w:r>
              <w:rPr>
                <w:b/>
              </w:rPr>
              <w:t>Moderate</w:t>
            </w:r>
          </w:p>
        </w:tc>
        <w:tc>
          <w:tcPr>
            <w:tcW w:w="504" w:type="pct"/>
            <w:vMerge w:val="restart"/>
            <w:tcBorders>
              <w:top w:val="nil"/>
            </w:tcBorders>
            <w:shd w:val="clear" w:color="auto" w:fill="auto"/>
          </w:tcPr>
          <w:p w:rsidR="004D5CBC" w:rsidRPr="008E1D24" w:rsidRDefault="004D5CBC" w:rsidP="00B17CDB">
            <w:pPr>
              <w:pStyle w:val="TableText"/>
            </w:pPr>
            <w:r>
              <w:t>High</w:t>
            </w:r>
          </w:p>
        </w:tc>
        <w:tc>
          <w:tcPr>
            <w:tcW w:w="504" w:type="pct"/>
            <w:vMerge w:val="restart"/>
            <w:tcBorders>
              <w:top w:val="nil"/>
            </w:tcBorders>
            <w:shd w:val="clear" w:color="auto" w:fill="auto"/>
          </w:tcPr>
          <w:p w:rsidR="004D5CBC" w:rsidRPr="008E1D24" w:rsidRDefault="004D5CBC" w:rsidP="00B17CDB">
            <w:pPr>
              <w:pStyle w:val="TableText"/>
            </w:pPr>
            <w:r>
              <w:t>High</w:t>
            </w:r>
          </w:p>
        </w:tc>
        <w:tc>
          <w:tcPr>
            <w:tcW w:w="442" w:type="pct"/>
            <w:vMerge w:val="restart"/>
            <w:tcBorders>
              <w:top w:val="nil"/>
            </w:tcBorders>
            <w:shd w:val="clear" w:color="auto" w:fill="auto"/>
          </w:tcPr>
          <w:p w:rsidR="004D5CBC" w:rsidRPr="008E1D24" w:rsidRDefault="004D5CBC" w:rsidP="00B17CDB">
            <w:pPr>
              <w:pStyle w:val="TableText"/>
            </w:pPr>
            <w:r>
              <w:t>Moderate</w:t>
            </w:r>
          </w:p>
        </w:tc>
        <w:tc>
          <w:tcPr>
            <w:tcW w:w="620" w:type="pct"/>
            <w:vMerge w:val="restart"/>
            <w:tcBorders>
              <w:top w:val="nil"/>
            </w:tcBorders>
            <w:shd w:val="clear" w:color="auto" w:fill="auto"/>
          </w:tcPr>
          <w:p w:rsidR="004D5CBC" w:rsidRPr="007325C2" w:rsidRDefault="004D5CBC" w:rsidP="00B17CDB">
            <w:pPr>
              <w:pStyle w:val="TableText"/>
            </w:pPr>
            <w:r w:rsidRPr="007325C2">
              <w:t>Low</w:t>
            </w:r>
          </w:p>
        </w:tc>
        <w:tc>
          <w:tcPr>
            <w:tcW w:w="456" w:type="pct"/>
            <w:vMerge w:val="restart"/>
            <w:tcBorders>
              <w:top w:val="nil"/>
              <w:right w:val="nil"/>
            </w:tcBorders>
            <w:shd w:val="clear" w:color="auto" w:fill="auto"/>
          </w:tcPr>
          <w:p w:rsidR="004D5CBC" w:rsidRPr="007325C2" w:rsidRDefault="004D5CBC" w:rsidP="00B17CDB">
            <w:pPr>
              <w:pStyle w:val="TableText"/>
              <w:rPr>
                <w:b/>
              </w:rPr>
            </w:pPr>
            <w:r>
              <w:rPr>
                <w:b/>
              </w:rPr>
              <w:t>Low</w:t>
            </w:r>
          </w:p>
        </w:tc>
      </w:tr>
      <w:tr w:rsidR="004D5CBC" w:rsidRPr="00260E8D" w:rsidTr="00A37ED2">
        <w:trPr>
          <w:trHeight w:val="66"/>
        </w:trPr>
        <w:tc>
          <w:tcPr>
            <w:tcW w:w="1060" w:type="pct"/>
            <w:tcBorders>
              <w:top w:val="nil"/>
              <w:left w:val="nil"/>
              <w:bottom w:val="nil"/>
            </w:tcBorders>
          </w:tcPr>
          <w:p w:rsidR="004D5CBC" w:rsidRPr="008E1D24" w:rsidRDefault="004D5CBC" w:rsidP="00B86DE7">
            <w:pPr>
              <w:pStyle w:val="TableText"/>
              <w:rPr>
                <w:i/>
                <w:highlight w:val="yellow"/>
              </w:rPr>
            </w:pPr>
            <w:r>
              <w:rPr>
                <w:i/>
              </w:rPr>
              <w:t xml:space="preserve">Paracoccus marginatus </w:t>
            </w:r>
            <w:r>
              <w:t>(EP)</w:t>
            </w:r>
          </w:p>
        </w:tc>
        <w:tc>
          <w:tcPr>
            <w:tcW w:w="455" w:type="pct"/>
            <w:vMerge/>
            <w:shd w:val="clear" w:color="auto" w:fill="auto"/>
          </w:tcPr>
          <w:p w:rsidR="004D5CBC" w:rsidRDefault="004D5CBC" w:rsidP="00B86DE7">
            <w:pPr>
              <w:pStyle w:val="TableText"/>
              <w:rPr>
                <w:highlight w:val="yellow"/>
              </w:rPr>
            </w:pPr>
          </w:p>
        </w:tc>
        <w:tc>
          <w:tcPr>
            <w:tcW w:w="504" w:type="pct"/>
            <w:vMerge/>
            <w:shd w:val="clear" w:color="auto" w:fill="auto"/>
          </w:tcPr>
          <w:p w:rsidR="004D5CBC" w:rsidRDefault="004D5CBC" w:rsidP="00B86DE7">
            <w:pPr>
              <w:pStyle w:val="TableText"/>
              <w:rPr>
                <w:highlight w:val="yellow"/>
              </w:rPr>
            </w:pPr>
          </w:p>
        </w:tc>
        <w:tc>
          <w:tcPr>
            <w:tcW w:w="455" w:type="pct"/>
            <w:vMerge/>
            <w:shd w:val="clear" w:color="auto" w:fill="auto"/>
          </w:tcPr>
          <w:p w:rsidR="004D5CBC" w:rsidRDefault="004D5CBC" w:rsidP="00B86DE7">
            <w:pPr>
              <w:pStyle w:val="TableText"/>
              <w:rPr>
                <w:b/>
                <w:highlight w:val="yellow"/>
              </w:rPr>
            </w:pPr>
          </w:p>
        </w:tc>
        <w:tc>
          <w:tcPr>
            <w:tcW w:w="504" w:type="pct"/>
            <w:vMerge/>
            <w:shd w:val="clear" w:color="auto" w:fill="auto"/>
          </w:tcPr>
          <w:p w:rsidR="004D5CBC" w:rsidRDefault="004D5CBC" w:rsidP="00B86DE7">
            <w:pPr>
              <w:pStyle w:val="TableText"/>
              <w:rPr>
                <w:highlight w:val="yellow"/>
              </w:rPr>
            </w:pPr>
          </w:p>
        </w:tc>
        <w:tc>
          <w:tcPr>
            <w:tcW w:w="504" w:type="pct"/>
            <w:vMerge/>
            <w:shd w:val="clear" w:color="auto" w:fill="auto"/>
          </w:tcPr>
          <w:p w:rsidR="004D5CBC" w:rsidRDefault="004D5CBC" w:rsidP="00B86DE7">
            <w:pPr>
              <w:pStyle w:val="TableText"/>
              <w:rPr>
                <w:highlight w:val="yellow"/>
              </w:rPr>
            </w:pPr>
          </w:p>
        </w:tc>
        <w:tc>
          <w:tcPr>
            <w:tcW w:w="442" w:type="pct"/>
            <w:vMerge/>
            <w:shd w:val="clear" w:color="auto" w:fill="auto"/>
          </w:tcPr>
          <w:p w:rsidR="004D5CBC" w:rsidRDefault="004D5CBC" w:rsidP="00B86DE7">
            <w:pPr>
              <w:pStyle w:val="TableText"/>
              <w:rPr>
                <w:highlight w:val="yellow"/>
              </w:rPr>
            </w:pPr>
          </w:p>
        </w:tc>
        <w:tc>
          <w:tcPr>
            <w:tcW w:w="620" w:type="pct"/>
            <w:vMerge/>
            <w:shd w:val="clear" w:color="auto" w:fill="auto"/>
          </w:tcPr>
          <w:p w:rsidR="004D5CBC" w:rsidRDefault="004D5CBC" w:rsidP="00B86DE7">
            <w:pPr>
              <w:pStyle w:val="TableText"/>
              <w:rPr>
                <w:highlight w:val="yellow"/>
              </w:rPr>
            </w:pPr>
          </w:p>
        </w:tc>
        <w:tc>
          <w:tcPr>
            <w:tcW w:w="456" w:type="pct"/>
            <w:vMerge/>
            <w:tcBorders>
              <w:right w:val="nil"/>
            </w:tcBorders>
            <w:shd w:val="clear" w:color="auto" w:fill="auto"/>
          </w:tcPr>
          <w:p w:rsidR="004D5CBC" w:rsidRDefault="004D5CBC" w:rsidP="00B86DE7">
            <w:pPr>
              <w:pStyle w:val="TableText"/>
              <w:rPr>
                <w:b/>
                <w:highlight w:val="yellow"/>
              </w:rPr>
            </w:pPr>
          </w:p>
        </w:tc>
      </w:tr>
      <w:tr w:rsidR="004D5CBC" w:rsidRPr="00260E8D" w:rsidTr="00A37ED2">
        <w:trPr>
          <w:trHeight w:val="66"/>
        </w:trPr>
        <w:tc>
          <w:tcPr>
            <w:tcW w:w="1060" w:type="pct"/>
            <w:tcBorders>
              <w:top w:val="nil"/>
              <w:left w:val="nil"/>
              <w:bottom w:val="nil"/>
            </w:tcBorders>
          </w:tcPr>
          <w:p w:rsidR="004D5CBC" w:rsidRPr="008E1D24" w:rsidRDefault="004D5CBC" w:rsidP="00B86DE7">
            <w:pPr>
              <w:pStyle w:val="TableText"/>
              <w:rPr>
                <w:i/>
                <w:highlight w:val="yellow"/>
              </w:rPr>
            </w:pPr>
            <w:r>
              <w:rPr>
                <w:i/>
              </w:rPr>
              <w:t xml:space="preserve">Planococcus lilacinus </w:t>
            </w:r>
            <w:r>
              <w:t>(EP)</w:t>
            </w:r>
          </w:p>
        </w:tc>
        <w:tc>
          <w:tcPr>
            <w:tcW w:w="455" w:type="pct"/>
            <w:vMerge/>
            <w:shd w:val="clear" w:color="auto" w:fill="auto"/>
          </w:tcPr>
          <w:p w:rsidR="004D5CBC" w:rsidRDefault="004D5CBC" w:rsidP="00B86DE7">
            <w:pPr>
              <w:pStyle w:val="TableText"/>
              <w:rPr>
                <w:highlight w:val="yellow"/>
              </w:rPr>
            </w:pPr>
          </w:p>
        </w:tc>
        <w:tc>
          <w:tcPr>
            <w:tcW w:w="504" w:type="pct"/>
            <w:vMerge/>
            <w:shd w:val="clear" w:color="auto" w:fill="auto"/>
          </w:tcPr>
          <w:p w:rsidR="004D5CBC" w:rsidRDefault="004D5CBC" w:rsidP="00B86DE7">
            <w:pPr>
              <w:pStyle w:val="TableText"/>
              <w:rPr>
                <w:highlight w:val="yellow"/>
              </w:rPr>
            </w:pPr>
          </w:p>
        </w:tc>
        <w:tc>
          <w:tcPr>
            <w:tcW w:w="455" w:type="pct"/>
            <w:vMerge/>
            <w:shd w:val="clear" w:color="auto" w:fill="auto"/>
          </w:tcPr>
          <w:p w:rsidR="004D5CBC" w:rsidRDefault="004D5CBC" w:rsidP="00B86DE7">
            <w:pPr>
              <w:pStyle w:val="TableText"/>
              <w:rPr>
                <w:b/>
                <w:highlight w:val="yellow"/>
              </w:rPr>
            </w:pPr>
          </w:p>
        </w:tc>
        <w:tc>
          <w:tcPr>
            <w:tcW w:w="504" w:type="pct"/>
            <w:vMerge/>
            <w:shd w:val="clear" w:color="auto" w:fill="auto"/>
          </w:tcPr>
          <w:p w:rsidR="004D5CBC" w:rsidRDefault="004D5CBC" w:rsidP="00B86DE7">
            <w:pPr>
              <w:pStyle w:val="TableText"/>
              <w:rPr>
                <w:highlight w:val="yellow"/>
              </w:rPr>
            </w:pPr>
          </w:p>
        </w:tc>
        <w:tc>
          <w:tcPr>
            <w:tcW w:w="504" w:type="pct"/>
            <w:vMerge/>
            <w:shd w:val="clear" w:color="auto" w:fill="auto"/>
          </w:tcPr>
          <w:p w:rsidR="004D5CBC" w:rsidRDefault="004D5CBC" w:rsidP="00B86DE7">
            <w:pPr>
              <w:pStyle w:val="TableText"/>
              <w:rPr>
                <w:highlight w:val="yellow"/>
              </w:rPr>
            </w:pPr>
          </w:p>
        </w:tc>
        <w:tc>
          <w:tcPr>
            <w:tcW w:w="442" w:type="pct"/>
            <w:vMerge/>
            <w:shd w:val="clear" w:color="auto" w:fill="auto"/>
          </w:tcPr>
          <w:p w:rsidR="004D5CBC" w:rsidRDefault="004D5CBC" w:rsidP="00B86DE7">
            <w:pPr>
              <w:pStyle w:val="TableText"/>
              <w:rPr>
                <w:highlight w:val="yellow"/>
              </w:rPr>
            </w:pPr>
          </w:p>
        </w:tc>
        <w:tc>
          <w:tcPr>
            <w:tcW w:w="620" w:type="pct"/>
            <w:vMerge/>
            <w:shd w:val="clear" w:color="auto" w:fill="auto"/>
          </w:tcPr>
          <w:p w:rsidR="004D5CBC" w:rsidRDefault="004D5CBC" w:rsidP="00B86DE7">
            <w:pPr>
              <w:pStyle w:val="TableText"/>
              <w:rPr>
                <w:highlight w:val="yellow"/>
              </w:rPr>
            </w:pPr>
          </w:p>
        </w:tc>
        <w:tc>
          <w:tcPr>
            <w:tcW w:w="456" w:type="pct"/>
            <w:vMerge/>
            <w:tcBorders>
              <w:right w:val="nil"/>
            </w:tcBorders>
            <w:shd w:val="clear" w:color="auto" w:fill="auto"/>
          </w:tcPr>
          <w:p w:rsidR="004D5CBC" w:rsidRDefault="004D5CBC" w:rsidP="00B86DE7">
            <w:pPr>
              <w:pStyle w:val="TableText"/>
              <w:rPr>
                <w:b/>
                <w:highlight w:val="yellow"/>
              </w:rPr>
            </w:pPr>
          </w:p>
        </w:tc>
      </w:tr>
      <w:tr w:rsidR="004D5CBC" w:rsidRPr="00260E8D" w:rsidTr="00A37ED2">
        <w:trPr>
          <w:trHeight w:val="66"/>
        </w:trPr>
        <w:tc>
          <w:tcPr>
            <w:tcW w:w="1060" w:type="pct"/>
            <w:tcBorders>
              <w:top w:val="nil"/>
              <w:left w:val="nil"/>
              <w:bottom w:val="nil"/>
            </w:tcBorders>
          </w:tcPr>
          <w:p w:rsidR="004D5CBC" w:rsidRPr="008E1D24" w:rsidRDefault="004D5CBC" w:rsidP="007325C2">
            <w:pPr>
              <w:pStyle w:val="TableText"/>
              <w:rPr>
                <w:i/>
                <w:highlight w:val="yellow"/>
              </w:rPr>
            </w:pPr>
            <w:r>
              <w:rPr>
                <w:i/>
              </w:rPr>
              <w:t xml:space="preserve">Planococcus minor </w:t>
            </w:r>
            <w:r>
              <w:t>(EP, WA)</w:t>
            </w:r>
          </w:p>
        </w:tc>
        <w:tc>
          <w:tcPr>
            <w:tcW w:w="455" w:type="pct"/>
            <w:vMerge/>
            <w:shd w:val="clear" w:color="auto" w:fill="auto"/>
          </w:tcPr>
          <w:p w:rsidR="004D5CBC" w:rsidRDefault="004D5CBC" w:rsidP="007325C2">
            <w:pPr>
              <w:pStyle w:val="TableText"/>
              <w:rPr>
                <w:highlight w:val="yellow"/>
              </w:rPr>
            </w:pPr>
          </w:p>
        </w:tc>
        <w:tc>
          <w:tcPr>
            <w:tcW w:w="504" w:type="pct"/>
            <w:vMerge/>
            <w:shd w:val="clear" w:color="auto" w:fill="auto"/>
          </w:tcPr>
          <w:p w:rsidR="004D5CBC" w:rsidRDefault="004D5CBC" w:rsidP="007325C2">
            <w:pPr>
              <w:pStyle w:val="TableText"/>
              <w:rPr>
                <w:highlight w:val="yellow"/>
              </w:rPr>
            </w:pPr>
          </w:p>
        </w:tc>
        <w:tc>
          <w:tcPr>
            <w:tcW w:w="455" w:type="pct"/>
            <w:vMerge/>
            <w:shd w:val="clear" w:color="auto" w:fill="auto"/>
          </w:tcPr>
          <w:p w:rsidR="004D5CBC" w:rsidRDefault="004D5CBC" w:rsidP="007325C2">
            <w:pPr>
              <w:pStyle w:val="TableText"/>
              <w:rPr>
                <w:b/>
                <w:highlight w:val="yellow"/>
              </w:rPr>
            </w:pPr>
          </w:p>
        </w:tc>
        <w:tc>
          <w:tcPr>
            <w:tcW w:w="504" w:type="pct"/>
            <w:vMerge/>
            <w:shd w:val="clear" w:color="auto" w:fill="auto"/>
          </w:tcPr>
          <w:p w:rsidR="004D5CBC" w:rsidRDefault="004D5CBC" w:rsidP="007325C2">
            <w:pPr>
              <w:pStyle w:val="TableText"/>
              <w:rPr>
                <w:highlight w:val="yellow"/>
              </w:rPr>
            </w:pPr>
          </w:p>
        </w:tc>
        <w:tc>
          <w:tcPr>
            <w:tcW w:w="504" w:type="pct"/>
            <w:vMerge/>
            <w:shd w:val="clear" w:color="auto" w:fill="auto"/>
          </w:tcPr>
          <w:p w:rsidR="004D5CBC" w:rsidRDefault="004D5CBC" w:rsidP="007325C2">
            <w:pPr>
              <w:pStyle w:val="TableText"/>
              <w:rPr>
                <w:highlight w:val="yellow"/>
              </w:rPr>
            </w:pPr>
          </w:p>
        </w:tc>
        <w:tc>
          <w:tcPr>
            <w:tcW w:w="442" w:type="pct"/>
            <w:vMerge/>
            <w:shd w:val="clear" w:color="auto" w:fill="auto"/>
          </w:tcPr>
          <w:p w:rsidR="004D5CBC" w:rsidRDefault="004D5CBC" w:rsidP="007325C2">
            <w:pPr>
              <w:pStyle w:val="TableText"/>
              <w:rPr>
                <w:highlight w:val="yellow"/>
              </w:rPr>
            </w:pPr>
          </w:p>
        </w:tc>
        <w:tc>
          <w:tcPr>
            <w:tcW w:w="620" w:type="pct"/>
            <w:vMerge/>
            <w:shd w:val="clear" w:color="auto" w:fill="auto"/>
          </w:tcPr>
          <w:p w:rsidR="004D5CBC" w:rsidRDefault="004D5CBC" w:rsidP="007325C2">
            <w:pPr>
              <w:pStyle w:val="TableText"/>
              <w:rPr>
                <w:highlight w:val="yellow"/>
              </w:rPr>
            </w:pPr>
          </w:p>
        </w:tc>
        <w:tc>
          <w:tcPr>
            <w:tcW w:w="456" w:type="pct"/>
            <w:vMerge/>
            <w:tcBorders>
              <w:right w:val="nil"/>
            </w:tcBorders>
            <w:shd w:val="clear" w:color="auto" w:fill="auto"/>
          </w:tcPr>
          <w:p w:rsidR="004D5CBC" w:rsidRDefault="004D5CBC" w:rsidP="007325C2">
            <w:pPr>
              <w:pStyle w:val="TableText"/>
              <w:rPr>
                <w:b/>
                <w:highlight w:val="yellow"/>
              </w:rPr>
            </w:pPr>
          </w:p>
        </w:tc>
      </w:tr>
      <w:tr w:rsidR="004D5CBC" w:rsidRPr="00260E8D" w:rsidTr="00A37ED2">
        <w:trPr>
          <w:trHeight w:val="66"/>
        </w:trPr>
        <w:tc>
          <w:tcPr>
            <w:tcW w:w="1060" w:type="pct"/>
            <w:tcBorders>
              <w:top w:val="nil"/>
              <w:left w:val="nil"/>
              <w:bottom w:val="single" w:sz="4" w:space="0" w:color="BFBFBF" w:themeColor="background1" w:themeShade="BF"/>
            </w:tcBorders>
          </w:tcPr>
          <w:p w:rsidR="004D5CBC" w:rsidRPr="008E1D24" w:rsidRDefault="004D5CBC" w:rsidP="007325C2">
            <w:pPr>
              <w:pStyle w:val="TableText"/>
              <w:rPr>
                <w:i/>
                <w:highlight w:val="yellow"/>
              </w:rPr>
            </w:pPr>
            <w:r>
              <w:rPr>
                <w:i/>
              </w:rPr>
              <w:t xml:space="preserve">Pseudococcus jackbeardsleyi </w:t>
            </w:r>
            <w:r>
              <w:t>(EP)</w:t>
            </w:r>
          </w:p>
        </w:tc>
        <w:tc>
          <w:tcPr>
            <w:tcW w:w="455" w:type="pct"/>
            <w:vMerge/>
            <w:tcBorders>
              <w:bottom w:val="single" w:sz="4" w:space="0" w:color="BFBFBF" w:themeColor="background1" w:themeShade="BF"/>
            </w:tcBorders>
            <w:shd w:val="clear" w:color="auto" w:fill="auto"/>
          </w:tcPr>
          <w:p w:rsidR="004D5CBC" w:rsidRDefault="004D5CBC" w:rsidP="007325C2">
            <w:pPr>
              <w:pStyle w:val="TableText"/>
              <w:rPr>
                <w:highlight w:val="yellow"/>
              </w:rPr>
            </w:pPr>
          </w:p>
        </w:tc>
        <w:tc>
          <w:tcPr>
            <w:tcW w:w="504" w:type="pct"/>
            <w:vMerge/>
            <w:tcBorders>
              <w:bottom w:val="single" w:sz="4" w:space="0" w:color="BFBFBF" w:themeColor="background1" w:themeShade="BF"/>
            </w:tcBorders>
            <w:shd w:val="clear" w:color="auto" w:fill="auto"/>
          </w:tcPr>
          <w:p w:rsidR="004D5CBC" w:rsidRDefault="004D5CBC" w:rsidP="007325C2">
            <w:pPr>
              <w:pStyle w:val="TableText"/>
              <w:rPr>
                <w:highlight w:val="yellow"/>
              </w:rPr>
            </w:pPr>
          </w:p>
        </w:tc>
        <w:tc>
          <w:tcPr>
            <w:tcW w:w="455" w:type="pct"/>
            <w:vMerge/>
            <w:tcBorders>
              <w:bottom w:val="single" w:sz="4" w:space="0" w:color="BFBFBF" w:themeColor="background1" w:themeShade="BF"/>
            </w:tcBorders>
            <w:shd w:val="clear" w:color="auto" w:fill="auto"/>
          </w:tcPr>
          <w:p w:rsidR="004D5CBC" w:rsidRDefault="004D5CBC" w:rsidP="007325C2">
            <w:pPr>
              <w:pStyle w:val="TableText"/>
              <w:rPr>
                <w:b/>
                <w:highlight w:val="yellow"/>
              </w:rPr>
            </w:pPr>
          </w:p>
        </w:tc>
        <w:tc>
          <w:tcPr>
            <w:tcW w:w="504" w:type="pct"/>
            <w:vMerge/>
            <w:tcBorders>
              <w:bottom w:val="single" w:sz="4" w:space="0" w:color="BFBFBF" w:themeColor="background1" w:themeShade="BF"/>
            </w:tcBorders>
            <w:shd w:val="clear" w:color="auto" w:fill="auto"/>
          </w:tcPr>
          <w:p w:rsidR="004D5CBC" w:rsidRDefault="004D5CBC" w:rsidP="007325C2">
            <w:pPr>
              <w:pStyle w:val="TableText"/>
              <w:rPr>
                <w:highlight w:val="yellow"/>
              </w:rPr>
            </w:pPr>
          </w:p>
        </w:tc>
        <w:tc>
          <w:tcPr>
            <w:tcW w:w="504" w:type="pct"/>
            <w:vMerge/>
            <w:tcBorders>
              <w:bottom w:val="single" w:sz="4" w:space="0" w:color="BFBFBF" w:themeColor="background1" w:themeShade="BF"/>
            </w:tcBorders>
            <w:shd w:val="clear" w:color="auto" w:fill="auto"/>
          </w:tcPr>
          <w:p w:rsidR="004D5CBC" w:rsidRDefault="004D5CBC" w:rsidP="007325C2">
            <w:pPr>
              <w:pStyle w:val="TableText"/>
              <w:rPr>
                <w:highlight w:val="yellow"/>
              </w:rPr>
            </w:pPr>
          </w:p>
        </w:tc>
        <w:tc>
          <w:tcPr>
            <w:tcW w:w="442" w:type="pct"/>
            <w:vMerge/>
            <w:tcBorders>
              <w:bottom w:val="single" w:sz="4" w:space="0" w:color="BFBFBF" w:themeColor="background1" w:themeShade="BF"/>
            </w:tcBorders>
            <w:shd w:val="clear" w:color="auto" w:fill="auto"/>
          </w:tcPr>
          <w:p w:rsidR="004D5CBC" w:rsidRDefault="004D5CBC" w:rsidP="007325C2">
            <w:pPr>
              <w:pStyle w:val="TableText"/>
              <w:rPr>
                <w:highlight w:val="yellow"/>
              </w:rPr>
            </w:pPr>
          </w:p>
        </w:tc>
        <w:tc>
          <w:tcPr>
            <w:tcW w:w="620" w:type="pct"/>
            <w:vMerge/>
            <w:tcBorders>
              <w:bottom w:val="single" w:sz="4" w:space="0" w:color="BFBFBF" w:themeColor="background1" w:themeShade="BF"/>
            </w:tcBorders>
            <w:shd w:val="clear" w:color="auto" w:fill="auto"/>
          </w:tcPr>
          <w:p w:rsidR="004D5CBC" w:rsidRDefault="004D5CBC" w:rsidP="007325C2">
            <w:pPr>
              <w:pStyle w:val="TableText"/>
              <w:rPr>
                <w:highlight w:val="yellow"/>
              </w:rPr>
            </w:pPr>
          </w:p>
        </w:tc>
        <w:tc>
          <w:tcPr>
            <w:tcW w:w="456" w:type="pct"/>
            <w:vMerge/>
            <w:tcBorders>
              <w:bottom w:val="single" w:sz="4" w:space="0" w:color="BFBFBF" w:themeColor="background1" w:themeShade="BF"/>
              <w:right w:val="nil"/>
            </w:tcBorders>
            <w:shd w:val="clear" w:color="auto" w:fill="auto"/>
          </w:tcPr>
          <w:p w:rsidR="004D5CBC" w:rsidRDefault="004D5CBC" w:rsidP="007325C2">
            <w:pPr>
              <w:pStyle w:val="TableText"/>
              <w:rPr>
                <w:b/>
                <w:highlight w:val="yellow"/>
              </w:rPr>
            </w:pPr>
          </w:p>
        </w:tc>
      </w:tr>
    </w:tbl>
    <w:p w:rsidR="004D5CBC" w:rsidRPr="00F5017A" w:rsidRDefault="004D5CBC" w:rsidP="00F52282">
      <w:pPr>
        <w:pStyle w:val="FigureTableNoteSource"/>
      </w:pPr>
      <w:r w:rsidRPr="00F5017A">
        <w:rPr>
          <w:b/>
        </w:rPr>
        <w:t>EP:</w:t>
      </w:r>
      <w:r w:rsidRPr="00F5017A">
        <w:t xml:space="preserve"> Species has been assessed previously and import policy already exists. </w:t>
      </w:r>
      <w:r w:rsidRPr="00F5017A">
        <w:rPr>
          <w:b/>
        </w:rPr>
        <w:t>WA:</w:t>
      </w:r>
      <w:r w:rsidRPr="00F5017A">
        <w:t xml:space="preserve"> Pest of quarantine concern for Western Australia.</w:t>
      </w:r>
      <w:r>
        <w:t xml:space="preserve"> </w:t>
      </w:r>
      <w:r w:rsidRPr="00F5017A">
        <w:rPr>
          <w:b/>
        </w:rPr>
        <w:t>EES:</w:t>
      </w:r>
      <w:r>
        <w:t xml:space="preserve"> Overall likelihood of entry, establishment and spread. </w:t>
      </w:r>
      <w:r w:rsidRPr="00F5017A">
        <w:rPr>
          <w:b/>
        </w:rPr>
        <w:t>URE:</w:t>
      </w:r>
      <w:r>
        <w:t xml:space="preserve"> Unrestricted risk estimate expressed on an ascending scale as explained in section 2.2.4.</w:t>
      </w:r>
    </w:p>
    <w:p w:rsidR="004D5CBC" w:rsidRDefault="004D5CBC"/>
    <w:p w:rsidR="004D5CBC" w:rsidRDefault="004D5CBC">
      <w:pPr>
        <w:sectPr w:rsidR="004D5CBC" w:rsidSect="00E310DC">
          <w:pgSz w:w="16838" w:h="11906" w:orient="landscape"/>
          <w:pgMar w:top="1418" w:right="1418" w:bottom="1418" w:left="1418" w:header="567" w:footer="283" w:gutter="0"/>
          <w:cols w:space="708"/>
          <w:docGrid w:linePitch="360"/>
        </w:sectPr>
      </w:pPr>
    </w:p>
    <w:p w:rsidR="004D5CBC" w:rsidRDefault="004D5CBC" w:rsidP="004D5CBC">
      <w:pPr>
        <w:pStyle w:val="Heading2"/>
        <w:numPr>
          <w:ilvl w:val="0"/>
          <w:numId w:val="11"/>
        </w:numPr>
      </w:pPr>
      <w:bookmarkStart w:id="87" w:name="_Toc520996430"/>
      <w:r>
        <w:lastRenderedPageBreak/>
        <w:t>Pest risk management</w:t>
      </w:r>
      <w:bookmarkEnd w:id="87"/>
    </w:p>
    <w:p w:rsidR="004D5CBC" w:rsidRDefault="004D5CBC">
      <w:r>
        <w:t xml:space="preserve">This chapter provides information on the management of quarantine pests identified as having an unrestricted </w:t>
      </w:r>
      <w:r w:rsidRPr="007711DE">
        <w:t xml:space="preserve">risk level that does not achieve the appropriate level of protection (ALOP) for Australia. The </w:t>
      </w:r>
      <w:r>
        <w:t>recommende</w:t>
      </w:r>
      <w:r w:rsidRPr="007711DE">
        <w:t>d</w:t>
      </w:r>
      <w:r>
        <w:t xml:space="preserve"> </w:t>
      </w:r>
      <w:r w:rsidRPr="007711DE">
        <w:t>risk management</w:t>
      </w:r>
      <w:r>
        <w:t xml:space="preserve"> measures are described in this chapter.</w:t>
      </w:r>
    </w:p>
    <w:p w:rsidR="004D5CBC" w:rsidRDefault="004D5CBC" w:rsidP="004D5CBC">
      <w:pPr>
        <w:pStyle w:val="Heading3"/>
        <w:numPr>
          <w:ilvl w:val="1"/>
          <w:numId w:val="11"/>
        </w:numPr>
      </w:pPr>
      <w:bookmarkStart w:id="88" w:name="_Toc520996431"/>
      <w:r>
        <w:t>Pest risk management measures and phytosanitary procedures</w:t>
      </w:r>
      <w:bookmarkEnd w:id="88"/>
    </w:p>
    <w:p w:rsidR="004D5CBC" w:rsidRPr="00BF07F7" w:rsidRDefault="004D5CBC">
      <w:r>
        <w:t xml:space="preserve">Pest risk management evaluates and selects options for measures to reduce the risk of entry, establishment or spread of quarantine pests for the PRA area, in this case Australia, where they have been assessed as having an unrestricted risk level that does not achieve the ALOP for Australia. In calculating the unrestricted risk, existing </w:t>
      </w:r>
      <w:r w:rsidRPr="00BF07F7">
        <w:t xml:space="preserve">commercial production practices </w:t>
      </w:r>
      <w:r>
        <w:t>and post</w:t>
      </w:r>
      <w:r>
        <w:noBreakHyphen/>
        <w:t xml:space="preserve">harvest procedures </w:t>
      </w:r>
      <w:r w:rsidRPr="00BF07F7">
        <w:t>in Indonesia have been considered.</w:t>
      </w:r>
    </w:p>
    <w:p w:rsidR="004D5CBC" w:rsidRDefault="004D5CBC">
      <w:r>
        <w:t>S</w:t>
      </w:r>
      <w:r w:rsidRPr="00BF07F7">
        <w:t xml:space="preserve">pecific pest risk management measures, including operational systems, are </w:t>
      </w:r>
      <w:r>
        <w:t>recommended</w:t>
      </w:r>
      <w:r w:rsidRPr="00BF07F7">
        <w:t xml:space="preserve"> to achieve the ALOP for Australia.</w:t>
      </w:r>
      <w:r>
        <w:t xml:space="preserve"> </w:t>
      </w:r>
      <w:r w:rsidRPr="00BF07F7">
        <w:t xml:space="preserve">In this chapter, the Australian Government Department of Agriculture and Water Resources has identified risk management measures that may be applied to consignments of dragon fruit sourced from Indonesia. Finalisation of the import conditions may be undertaken with input from the Australian states and territories </w:t>
      </w:r>
      <w:r>
        <w:t>as appropriate.</w:t>
      </w:r>
    </w:p>
    <w:p w:rsidR="004D5CBC" w:rsidRDefault="004D5CBC" w:rsidP="004D5CBC">
      <w:pPr>
        <w:pStyle w:val="Heading4"/>
        <w:numPr>
          <w:ilvl w:val="2"/>
          <w:numId w:val="11"/>
        </w:numPr>
      </w:pPr>
      <w:r>
        <w:t>Pest risk management for quarantine pests</w:t>
      </w:r>
    </w:p>
    <w:p w:rsidR="004D5CBC" w:rsidRDefault="004D5CBC" w:rsidP="00253323">
      <w:pPr>
        <w:rPr>
          <w:color w:val="44546A" w:themeColor="text2"/>
          <w:shd w:val="clear" w:color="auto" w:fill="DEEAF6" w:themeFill="accent1" w:themeFillTint="33"/>
        </w:rPr>
      </w:pPr>
      <w:r>
        <w:t xml:space="preserve">The pest risk analysis identified the quarantine pests listed </w:t>
      </w:r>
      <w:r w:rsidRPr="00BF07F7">
        <w:t xml:space="preserve">in </w:t>
      </w:r>
      <w:r w:rsidRPr="00BF07F7">
        <w:fldChar w:fldCharType="begin"/>
      </w:r>
      <w:r w:rsidRPr="00BF07F7">
        <w:instrText xml:space="preserve"> REF _Ref457826829 \h </w:instrText>
      </w:r>
      <w:r>
        <w:instrText xml:space="preserve"> \* MERGEFORMAT </w:instrText>
      </w:r>
      <w:r w:rsidRPr="00BF07F7">
        <w:fldChar w:fldCharType="separate"/>
      </w:r>
      <w:r w:rsidR="00502BAD" w:rsidRPr="00D4435D">
        <w:t xml:space="preserve">Table </w:t>
      </w:r>
      <w:r w:rsidR="00502BAD">
        <w:rPr>
          <w:noProof/>
        </w:rPr>
        <w:t>5.1</w:t>
      </w:r>
      <w:r w:rsidRPr="00BF07F7">
        <w:fldChar w:fldCharType="end"/>
      </w:r>
      <w:r w:rsidRPr="00BF07F7">
        <w:t xml:space="preserve"> as</w:t>
      </w:r>
      <w:r>
        <w:t xml:space="preserve"> having unrestricted risk levels that do not achieve the ALOP for Australia. Therefore, risk management measures are required to manage the risks posed by these pests, and those recommended measures are listed in </w:t>
      </w:r>
      <w:r>
        <w:fldChar w:fldCharType="begin"/>
      </w:r>
      <w:r>
        <w:instrText xml:space="preserve"> REF _Ref457826829 \h </w:instrText>
      </w:r>
      <w:r>
        <w:fldChar w:fldCharType="separate"/>
      </w:r>
      <w:r w:rsidR="00502BAD" w:rsidRPr="00D4435D">
        <w:t xml:space="preserve">Table </w:t>
      </w:r>
      <w:r w:rsidR="00502BAD">
        <w:rPr>
          <w:noProof/>
        </w:rPr>
        <w:t>5</w:t>
      </w:r>
      <w:r w:rsidR="00502BAD">
        <w:t>.</w:t>
      </w:r>
      <w:r w:rsidR="00502BAD">
        <w:rPr>
          <w:noProof/>
        </w:rPr>
        <w:t>1</w:t>
      </w:r>
      <w:r>
        <w:fldChar w:fldCharType="end"/>
      </w:r>
      <w:r>
        <w:t>.</w:t>
      </w:r>
    </w:p>
    <w:p w:rsidR="004D5CBC" w:rsidRPr="00D4435D" w:rsidRDefault="004D5CBC">
      <w:pPr>
        <w:pStyle w:val="Caption"/>
      </w:pPr>
      <w:bookmarkStart w:id="89" w:name="_Ref457826829"/>
      <w:bookmarkStart w:id="90" w:name="_Toc384979286"/>
      <w:bookmarkStart w:id="91" w:name="_Toc520996459"/>
      <w:r w:rsidRPr="00D4435D">
        <w:t xml:space="preserve">Table </w:t>
      </w:r>
      <w:r>
        <w:rPr>
          <w:noProof/>
        </w:rPr>
        <w:fldChar w:fldCharType="begin"/>
      </w:r>
      <w:r>
        <w:rPr>
          <w:noProof/>
        </w:rPr>
        <w:instrText xml:space="preserve"> STYLEREF 2 \s </w:instrText>
      </w:r>
      <w:r>
        <w:rPr>
          <w:noProof/>
        </w:rPr>
        <w:fldChar w:fldCharType="separate"/>
      </w:r>
      <w:r w:rsidR="00502BAD">
        <w:rPr>
          <w:noProof/>
        </w:rPr>
        <w:t>5</w:t>
      </w:r>
      <w:r>
        <w:rPr>
          <w:noProof/>
        </w:rPr>
        <w:fldChar w:fldCharType="end"/>
      </w:r>
      <w:r>
        <w:t>.</w:t>
      </w:r>
      <w:r>
        <w:rPr>
          <w:noProof/>
        </w:rPr>
        <w:fldChar w:fldCharType="begin"/>
      </w:r>
      <w:r>
        <w:rPr>
          <w:noProof/>
        </w:rPr>
        <w:instrText xml:space="preserve"> SEQ Table \* ARABIC \s 2 </w:instrText>
      </w:r>
      <w:r>
        <w:rPr>
          <w:noProof/>
        </w:rPr>
        <w:fldChar w:fldCharType="separate"/>
      </w:r>
      <w:r w:rsidR="00502BAD">
        <w:rPr>
          <w:noProof/>
        </w:rPr>
        <w:t>1</w:t>
      </w:r>
      <w:r>
        <w:rPr>
          <w:noProof/>
        </w:rPr>
        <w:fldChar w:fldCharType="end"/>
      </w:r>
      <w:bookmarkEnd w:id="89"/>
      <w:r w:rsidRPr="00D4435D">
        <w:t xml:space="preserve"> Risk management measures </w:t>
      </w:r>
      <w:r>
        <w:t>recommended</w:t>
      </w:r>
      <w:r w:rsidRPr="00D4435D">
        <w:t xml:space="preserve"> </w:t>
      </w:r>
      <w:bookmarkEnd w:id="90"/>
      <w:r w:rsidRPr="00D4435D">
        <w:t>for quarantine pests of dragon fruit from Indonesia</w:t>
      </w:r>
      <w:bookmarkEnd w:id="91"/>
    </w:p>
    <w:tbl>
      <w:tblPr>
        <w:tblW w:w="0" w:type="auto"/>
        <w:tblBorders>
          <w:top w:val="single" w:sz="4" w:space="0" w:color="auto"/>
          <w:bottom w:val="single" w:sz="4" w:space="0" w:color="auto"/>
        </w:tblBorders>
        <w:tblLook w:val="04A0" w:firstRow="1" w:lastRow="0" w:firstColumn="1" w:lastColumn="0" w:noHBand="0" w:noVBand="1"/>
      </w:tblPr>
      <w:tblGrid>
        <w:gridCol w:w="3024"/>
        <w:gridCol w:w="2930"/>
        <w:gridCol w:w="3116"/>
      </w:tblGrid>
      <w:tr w:rsidR="004D5CBC" w:rsidTr="00D4435D">
        <w:tc>
          <w:tcPr>
            <w:tcW w:w="3024" w:type="dxa"/>
            <w:tcBorders>
              <w:top w:val="single" w:sz="4" w:space="0" w:color="auto"/>
              <w:bottom w:val="nil"/>
            </w:tcBorders>
          </w:tcPr>
          <w:p w:rsidR="004D5CBC" w:rsidRDefault="004D5CBC" w:rsidP="00D4435D">
            <w:pPr>
              <w:pStyle w:val="TableHeading"/>
            </w:pPr>
            <w:r>
              <w:t>Pest</w:t>
            </w:r>
          </w:p>
        </w:tc>
        <w:tc>
          <w:tcPr>
            <w:tcW w:w="2930" w:type="dxa"/>
            <w:tcBorders>
              <w:top w:val="single" w:sz="4" w:space="0" w:color="auto"/>
              <w:bottom w:val="nil"/>
            </w:tcBorders>
          </w:tcPr>
          <w:p w:rsidR="004D5CBC" w:rsidRDefault="004D5CBC" w:rsidP="00D4435D">
            <w:pPr>
              <w:pStyle w:val="TableHeading"/>
            </w:pPr>
            <w:r>
              <w:t>Common name</w:t>
            </w:r>
          </w:p>
        </w:tc>
        <w:tc>
          <w:tcPr>
            <w:tcW w:w="3116" w:type="dxa"/>
            <w:tcBorders>
              <w:top w:val="single" w:sz="4" w:space="0" w:color="auto"/>
              <w:bottom w:val="nil"/>
            </w:tcBorders>
          </w:tcPr>
          <w:p w:rsidR="004D5CBC" w:rsidRDefault="004D5CBC" w:rsidP="00D4435D">
            <w:pPr>
              <w:pStyle w:val="TableHeading"/>
            </w:pPr>
            <w:r>
              <w:t>Measures</w:t>
            </w:r>
          </w:p>
        </w:tc>
      </w:tr>
      <w:tr w:rsidR="004D5CBC" w:rsidTr="00D4435D">
        <w:tc>
          <w:tcPr>
            <w:tcW w:w="9070" w:type="dxa"/>
            <w:gridSpan w:val="3"/>
            <w:tcBorders>
              <w:top w:val="single" w:sz="4" w:space="0" w:color="auto"/>
              <w:bottom w:val="nil"/>
            </w:tcBorders>
          </w:tcPr>
          <w:p w:rsidR="004D5CBC" w:rsidRDefault="004D5CBC" w:rsidP="00D4435D">
            <w:pPr>
              <w:pStyle w:val="TableHeading"/>
            </w:pPr>
            <w:r>
              <w:t>Fruit flies</w:t>
            </w:r>
          </w:p>
        </w:tc>
      </w:tr>
      <w:tr w:rsidR="004D5CBC" w:rsidTr="00D4435D">
        <w:trPr>
          <w:trHeight w:val="1516"/>
        </w:trPr>
        <w:tc>
          <w:tcPr>
            <w:tcW w:w="3024" w:type="dxa"/>
            <w:tcBorders>
              <w:top w:val="single" w:sz="4" w:space="0" w:color="D9D9D9" w:themeColor="background1" w:themeShade="D9"/>
            </w:tcBorders>
          </w:tcPr>
          <w:p w:rsidR="004D5CBC" w:rsidRPr="00387E1B" w:rsidRDefault="004D5CBC" w:rsidP="00D4435D">
            <w:pPr>
              <w:spacing w:before="60" w:after="60" w:line="240" w:lineRule="auto"/>
              <w:rPr>
                <w:sz w:val="18"/>
              </w:rPr>
            </w:pPr>
            <w:r w:rsidRPr="00387E1B">
              <w:rPr>
                <w:i/>
                <w:sz w:val="18"/>
              </w:rPr>
              <w:t>Bactrocera cucurbitae</w:t>
            </w:r>
            <w:r w:rsidRPr="00D87D40">
              <w:rPr>
                <w:i/>
              </w:rPr>
              <w:t xml:space="preserve"> </w:t>
            </w:r>
            <w:r w:rsidRPr="00387E1B">
              <w:rPr>
                <w:sz w:val="18"/>
              </w:rPr>
              <w:t>(EP)</w:t>
            </w:r>
          </w:p>
          <w:p w:rsidR="004D5CBC" w:rsidRDefault="004D5CBC" w:rsidP="00D4435D">
            <w:pPr>
              <w:pStyle w:val="TableText"/>
              <w:rPr>
                <w:highlight w:val="yellow"/>
                <w:vertAlign w:val="superscript"/>
              </w:rPr>
            </w:pPr>
            <w:r w:rsidRPr="00D87D40">
              <w:rPr>
                <w:i/>
              </w:rPr>
              <w:t xml:space="preserve">Bactrocera </w:t>
            </w:r>
            <w:r>
              <w:rPr>
                <w:i/>
              </w:rPr>
              <w:t>dorsalis</w:t>
            </w:r>
            <w:r w:rsidRPr="00D87D40">
              <w:rPr>
                <w:i/>
              </w:rPr>
              <w:t xml:space="preserve"> </w:t>
            </w:r>
            <w:r w:rsidRPr="00D87D40">
              <w:t>(EP)</w:t>
            </w:r>
          </w:p>
        </w:tc>
        <w:tc>
          <w:tcPr>
            <w:tcW w:w="2930" w:type="dxa"/>
            <w:tcBorders>
              <w:top w:val="single" w:sz="4" w:space="0" w:color="D9D9D9" w:themeColor="background1" w:themeShade="D9"/>
            </w:tcBorders>
          </w:tcPr>
          <w:p w:rsidR="004D5CBC" w:rsidRPr="001C5E95" w:rsidRDefault="004D5CBC" w:rsidP="00D4435D">
            <w:pPr>
              <w:spacing w:before="60" w:after="60" w:line="240" w:lineRule="auto"/>
              <w:rPr>
                <w:sz w:val="18"/>
              </w:rPr>
            </w:pPr>
            <w:r w:rsidRPr="001C5E95">
              <w:rPr>
                <w:sz w:val="18"/>
              </w:rPr>
              <w:t>Melon fly</w:t>
            </w:r>
          </w:p>
          <w:p w:rsidR="004D5CBC" w:rsidRDefault="004D5CBC" w:rsidP="00D4435D">
            <w:pPr>
              <w:pStyle w:val="TableText"/>
              <w:rPr>
                <w:highlight w:val="yellow"/>
              </w:rPr>
            </w:pPr>
            <w:r w:rsidRPr="001C5E95">
              <w:t>Oriental fruit fly</w:t>
            </w:r>
          </w:p>
        </w:tc>
        <w:tc>
          <w:tcPr>
            <w:tcW w:w="3116" w:type="dxa"/>
            <w:tcBorders>
              <w:top w:val="single" w:sz="4" w:space="0" w:color="D9D9D9" w:themeColor="background1" w:themeShade="D9"/>
              <w:bottom w:val="single" w:sz="4" w:space="0" w:color="D9D9D9" w:themeColor="background1" w:themeShade="D9"/>
            </w:tcBorders>
          </w:tcPr>
          <w:p w:rsidR="004D5CBC" w:rsidRDefault="004D5CBC" w:rsidP="00D4435D">
            <w:pPr>
              <w:pStyle w:val="TableText"/>
            </w:pPr>
            <w:r w:rsidRPr="00100709">
              <w:t xml:space="preserve">Area </w:t>
            </w:r>
            <w:r>
              <w:t xml:space="preserve">freedom </w:t>
            </w:r>
            <w:r>
              <w:rPr>
                <w:b/>
              </w:rPr>
              <w:t>a</w:t>
            </w:r>
          </w:p>
          <w:p w:rsidR="004D5CBC" w:rsidRPr="00380DB8" w:rsidRDefault="004D5CBC" w:rsidP="00D4435D">
            <w:pPr>
              <w:pStyle w:val="TableText"/>
            </w:pPr>
            <w:r w:rsidRPr="00566B5E">
              <w:t>OR</w:t>
            </w:r>
          </w:p>
          <w:p w:rsidR="004D5CBC" w:rsidRPr="003E33F5" w:rsidRDefault="004D5CBC" w:rsidP="00D4435D">
            <w:pPr>
              <w:pStyle w:val="TableText"/>
              <w:rPr>
                <w:highlight w:val="yellow"/>
              </w:rPr>
            </w:pPr>
            <w:r w:rsidRPr="003E33F5">
              <w:t>F</w:t>
            </w:r>
            <w:r>
              <w:t xml:space="preserve">ruit treatment considered to be effective against all life stages of fruit flies (e.g. vapour heat treatment or irradiation </w:t>
            </w:r>
            <w:r w:rsidRPr="004D32A6">
              <w:rPr>
                <w:b/>
              </w:rPr>
              <w:t>b</w:t>
            </w:r>
            <w:r>
              <w:t>)</w:t>
            </w:r>
          </w:p>
        </w:tc>
      </w:tr>
      <w:tr w:rsidR="004D5CBC" w:rsidTr="00D4435D">
        <w:trPr>
          <w:trHeight w:val="307"/>
        </w:trPr>
        <w:tc>
          <w:tcPr>
            <w:tcW w:w="9070" w:type="dxa"/>
            <w:gridSpan w:val="3"/>
            <w:tcBorders>
              <w:top w:val="single" w:sz="4" w:space="0" w:color="D9D9D9" w:themeColor="background1" w:themeShade="D9"/>
            </w:tcBorders>
          </w:tcPr>
          <w:p w:rsidR="004D5CBC" w:rsidRPr="00D27916" w:rsidRDefault="004D5CBC" w:rsidP="00D4435D">
            <w:pPr>
              <w:pStyle w:val="TableHeading"/>
            </w:pPr>
            <w:r w:rsidRPr="00D27916">
              <w:t>Mealybugs</w:t>
            </w:r>
          </w:p>
        </w:tc>
      </w:tr>
      <w:tr w:rsidR="004D5CBC" w:rsidTr="00D4435D">
        <w:trPr>
          <w:trHeight w:val="1516"/>
        </w:trPr>
        <w:tc>
          <w:tcPr>
            <w:tcW w:w="3024" w:type="dxa"/>
            <w:tcBorders>
              <w:top w:val="single" w:sz="4" w:space="0" w:color="D9D9D9" w:themeColor="background1" w:themeShade="D9"/>
              <w:bottom w:val="single" w:sz="4" w:space="0" w:color="D9D9D9" w:themeColor="background1" w:themeShade="D9"/>
            </w:tcBorders>
          </w:tcPr>
          <w:p w:rsidR="004D5CBC" w:rsidRPr="00D27916" w:rsidRDefault="004D5CBC" w:rsidP="00D4435D">
            <w:pPr>
              <w:pStyle w:val="TableText"/>
            </w:pPr>
            <w:r w:rsidRPr="00D27916">
              <w:rPr>
                <w:i/>
              </w:rPr>
              <w:t xml:space="preserve">Dysmicoccus neobrevipes </w:t>
            </w:r>
            <w:r w:rsidRPr="00D27916">
              <w:t>(EP)</w:t>
            </w:r>
          </w:p>
          <w:p w:rsidR="004D5CBC" w:rsidRPr="00D27916" w:rsidRDefault="004D5CBC" w:rsidP="00D4435D">
            <w:pPr>
              <w:pStyle w:val="TableText"/>
            </w:pPr>
            <w:r w:rsidRPr="00D27916">
              <w:rPr>
                <w:i/>
              </w:rPr>
              <w:t>Paracoccus marginatus</w:t>
            </w:r>
            <w:r w:rsidRPr="00D27916">
              <w:t xml:space="preserve"> (EP)</w:t>
            </w:r>
          </w:p>
          <w:p w:rsidR="004D5CBC" w:rsidRPr="00D27916" w:rsidRDefault="004D5CBC" w:rsidP="00D4435D">
            <w:pPr>
              <w:pStyle w:val="TableText"/>
            </w:pPr>
            <w:r w:rsidRPr="00D27916">
              <w:rPr>
                <w:i/>
              </w:rPr>
              <w:t xml:space="preserve">Planococcus lilacinus </w:t>
            </w:r>
            <w:r w:rsidRPr="00D27916">
              <w:t>(EP)</w:t>
            </w:r>
          </w:p>
          <w:p w:rsidR="004D5CBC" w:rsidRPr="00D27916" w:rsidRDefault="004D5CBC" w:rsidP="00D4435D">
            <w:pPr>
              <w:pStyle w:val="TableText"/>
            </w:pPr>
            <w:r w:rsidRPr="00D27916">
              <w:rPr>
                <w:i/>
              </w:rPr>
              <w:t xml:space="preserve">Planococcus minor </w:t>
            </w:r>
            <w:r w:rsidRPr="00D27916">
              <w:t>(EP, WA)</w:t>
            </w:r>
          </w:p>
          <w:p w:rsidR="004D5CBC" w:rsidRPr="00D27916" w:rsidRDefault="004D5CBC" w:rsidP="00D4435D">
            <w:pPr>
              <w:pStyle w:val="TableText"/>
            </w:pPr>
            <w:r w:rsidRPr="00D27916">
              <w:rPr>
                <w:i/>
              </w:rPr>
              <w:t>Pseudococcus jackbeardsleyi</w:t>
            </w:r>
            <w:r w:rsidRPr="00D27916">
              <w:t xml:space="preserve"> (EP)</w:t>
            </w:r>
          </w:p>
        </w:tc>
        <w:tc>
          <w:tcPr>
            <w:tcW w:w="2930" w:type="dxa"/>
            <w:tcBorders>
              <w:top w:val="single" w:sz="4" w:space="0" w:color="D9D9D9" w:themeColor="background1" w:themeShade="D9"/>
              <w:bottom w:val="single" w:sz="4" w:space="0" w:color="D9D9D9" w:themeColor="background1" w:themeShade="D9"/>
            </w:tcBorders>
          </w:tcPr>
          <w:p w:rsidR="004D5CBC" w:rsidRDefault="004D5CBC" w:rsidP="00D4435D">
            <w:pPr>
              <w:pStyle w:val="TableText"/>
            </w:pPr>
            <w:r>
              <w:t>Grey pineapple mealybug</w:t>
            </w:r>
          </w:p>
          <w:p w:rsidR="004D5CBC" w:rsidRDefault="004D5CBC" w:rsidP="00D4435D">
            <w:pPr>
              <w:pStyle w:val="TableText"/>
            </w:pPr>
            <w:r>
              <w:t>Papaya mealybug</w:t>
            </w:r>
          </w:p>
          <w:p w:rsidR="004D5CBC" w:rsidRDefault="004D5CBC" w:rsidP="00D4435D">
            <w:pPr>
              <w:pStyle w:val="TableText"/>
            </w:pPr>
            <w:r>
              <w:t>Coffee mealybug</w:t>
            </w:r>
          </w:p>
          <w:p w:rsidR="004D5CBC" w:rsidRDefault="004D5CBC" w:rsidP="00D4435D">
            <w:pPr>
              <w:pStyle w:val="TableText"/>
            </w:pPr>
            <w:r>
              <w:t>Pacific mealybug</w:t>
            </w:r>
          </w:p>
          <w:p w:rsidR="004D5CBC" w:rsidRPr="00511C87" w:rsidRDefault="004D5CBC" w:rsidP="00D4435D">
            <w:pPr>
              <w:pStyle w:val="TableText"/>
            </w:pPr>
            <w:r>
              <w:t>Jack Beardsley mealybug</w:t>
            </w:r>
          </w:p>
        </w:tc>
        <w:tc>
          <w:tcPr>
            <w:tcW w:w="3116" w:type="dxa"/>
            <w:tcBorders>
              <w:top w:val="single" w:sz="4" w:space="0" w:color="D9D9D9" w:themeColor="background1" w:themeShade="D9"/>
              <w:bottom w:val="single" w:sz="4" w:space="0" w:color="D9D9D9" w:themeColor="background1" w:themeShade="D9"/>
            </w:tcBorders>
          </w:tcPr>
          <w:p w:rsidR="004D5CBC" w:rsidRPr="00380DB8" w:rsidRDefault="004D5CBC">
            <w:pPr>
              <w:pStyle w:val="TableText"/>
              <w:rPr>
                <w:b/>
                <w:bCs/>
              </w:rPr>
            </w:pPr>
            <w:r w:rsidRPr="00C11EE9">
              <w:t>Consignment freedom verified by pre-export visual inspection and remedial action</w:t>
            </w:r>
            <w:r>
              <w:t xml:space="preserve"> if required</w:t>
            </w:r>
            <w:r w:rsidRPr="00C11EE9">
              <w:t xml:space="preserve"> </w:t>
            </w:r>
            <w:r w:rsidRPr="00C11EE9">
              <w:rPr>
                <w:b/>
              </w:rPr>
              <w:t>c</w:t>
            </w:r>
          </w:p>
        </w:tc>
      </w:tr>
    </w:tbl>
    <w:p w:rsidR="004D5CBC" w:rsidRDefault="004D5CBC">
      <w:pPr>
        <w:pStyle w:val="FigureTableNoteSource"/>
      </w:pPr>
      <w:proofErr w:type="gramStart"/>
      <w:r w:rsidRPr="006E7F4E">
        <w:rPr>
          <w:b/>
        </w:rPr>
        <w:t>a</w:t>
      </w:r>
      <w:proofErr w:type="gramEnd"/>
      <w:r>
        <w:rPr>
          <w:b/>
        </w:rPr>
        <w:t>:</w:t>
      </w:r>
      <w:r w:rsidRPr="006E7F4E">
        <w:rPr>
          <w:b/>
        </w:rPr>
        <w:t xml:space="preserve"> </w:t>
      </w:r>
      <w:r w:rsidRPr="006E7F4E">
        <w:t xml:space="preserve">Area freedom may include pest free areas, pest free places of </w:t>
      </w:r>
      <w:r w:rsidRPr="00BA76CE">
        <w:t>production</w:t>
      </w:r>
      <w:r>
        <w:t xml:space="preserve"> and pest free production </w:t>
      </w:r>
      <w:r w:rsidRPr="00BA76CE">
        <w:t xml:space="preserve">sites. </w:t>
      </w:r>
      <w:r>
        <w:rPr>
          <w:b/>
        </w:rPr>
        <w:t>b</w:t>
      </w:r>
      <w:r w:rsidRPr="00F923CE">
        <w:t>: </w:t>
      </w:r>
      <w:r w:rsidRPr="004D32A6">
        <w:t>The use of irradiation is subject to approval by Food Standards Australia New Zealand that irradiated dragon fruit is safe for human consumption</w:t>
      </w:r>
      <w:r w:rsidRPr="00F923CE">
        <w:rPr>
          <w:b/>
        </w:rPr>
        <w:t xml:space="preserve"> </w:t>
      </w:r>
      <w:r>
        <w:rPr>
          <w:b/>
        </w:rPr>
        <w:t>c:</w:t>
      </w:r>
      <w:r w:rsidRPr="00BA76CE">
        <w:rPr>
          <w:b/>
        </w:rPr>
        <w:t xml:space="preserve"> </w:t>
      </w:r>
      <w:r w:rsidRPr="006E7F4E">
        <w:t>Remedial action (</w:t>
      </w:r>
      <w:r>
        <w:t>by IAQA</w:t>
      </w:r>
      <w:r w:rsidRPr="006E7F4E">
        <w:t xml:space="preserve">) may include </w:t>
      </w:r>
      <w:r>
        <w:t xml:space="preserve">applying approved </w:t>
      </w:r>
      <w:r w:rsidRPr="006E7F4E">
        <w:t xml:space="preserve">treatment </w:t>
      </w:r>
      <w:r>
        <w:t>to a</w:t>
      </w:r>
      <w:r w:rsidRPr="006E7F4E">
        <w:t xml:space="preserve"> consignment to ensure that the pest is no longer viable</w:t>
      </w:r>
      <w:r>
        <w:t>,</w:t>
      </w:r>
      <w:r w:rsidRPr="006E7F4E">
        <w:t xml:space="preserve"> or withdrawing the consignment from export to Australia.</w:t>
      </w:r>
    </w:p>
    <w:p w:rsidR="004D5CBC" w:rsidRPr="00D27916" w:rsidRDefault="004D5CBC" w:rsidP="00D4435D">
      <w:r>
        <w:t xml:space="preserve">Risk </w:t>
      </w:r>
      <w:r w:rsidRPr="00B07AAF">
        <w:t xml:space="preserve">management measures </w:t>
      </w:r>
      <w:r>
        <w:t>recommended</w:t>
      </w:r>
      <w:r w:rsidRPr="00B07AAF">
        <w:t xml:space="preserve"> here are based on existing polic</w:t>
      </w:r>
      <w:r>
        <w:t>ies</w:t>
      </w:r>
      <w:r w:rsidRPr="00B07AAF">
        <w:t xml:space="preserve"> for the import of dragon fruit from Vietnam</w:t>
      </w:r>
      <w:r>
        <w:t xml:space="preserve"> </w:t>
      </w:r>
      <w:r>
        <w:rPr>
          <w:noProof/>
        </w:rPr>
        <w:t>(Department of Agriculture and Water Resources 2017a)</w:t>
      </w:r>
      <w:r>
        <w:t>,</w:t>
      </w:r>
      <w:r w:rsidRPr="00B07AAF">
        <w:t xml:space="preserve"> </w:t>
      </w:r>
      <w:r>
        <w:t xml:space="preserve">as well as </w:t>
      </w:r>
      <w:r w:rsidRPr="000B6FC0">
        <w:t>mangoes from India</w:t>
      </w:r>
      <w:r>
        <w:rPr>
          <w:noProof/>
        </w:rPr>
        <w:t xml:space="preserve"> (Biosecurity Australia 2008)</w:t>
      </w:r>
      <w:r>
        <w:t xml:space="preserve">, Indonesia, Thailand and Vietnam </w:t>
      </w:r>
      <w:r>
        <w:rPr>
          <w:noProof/>
        </w:rPr>
        <w:t xml:space="preserve">(Department </w:t>
      </w:r>
      <w:r>
        <w:rPr>
          <w:noProof/>
        </w:rPr>
        <w:lastRenderedPageBreak/>
        <w:t>of Agriculture and Water Resources 2015)</w:t>
      </w:r>
      <w:r>
        <w:t xml:space="preserve">, </w:t>
      </w:r>
      <w:r w:rsidR="004962B1">
        <w:t>m</w:t>
      </w:r>
      <w:r>
        <w:t xml:space="preserve">angosteen fruit from Indonesia </w:t>
      </w:r>
      <w:r>
        <w:rPr>
          <w:noProof/>
        </w:rPr>
        <w:t>(DAFF 2012)</w:t>
      </w:r>
      <w:r>
        <w:t>,</w:t>
      </w:r>
      <w:r w:rsidRPr="000B6FC0">
        <w:t xml:space="preserve"> </w:t>
      </w:r>
      <w:r>
        <w:t xml:space="preserve">and </w:t>
      </w:r>
      <w:r w:rsidRPr="000B6FC0">
        <w:t>lychees from Taiwan a</w:t>
      </w:r>
      <w:r>
        <w:t xml:space="preserve">nd Vietnam </w:t>
      </w:r>
      <w:r>
        <w:rPr>
          <w:noProof/>
        </w:rPr>
        <w:t>(DAFF 2013)</w:t>
      </w:r>
      <w:r w:rsidRPr="00D27916">
        <w:rPr>
          <w:noProof/>
        </w:rPr>
        <w:t xml:space="preserve">. </w:t>
      </w:r>
      <w:r w:rsidRPr="00D27916">
        <w:t xml:space="preserve">These risk analyses include consideration of all the pests identified in </w:t>
      </w:r>
      <w:r w:rsidRPr="00D27916">
        <w:fldChar w:fldCharType="begin"/>
      </w:r>
      <w:r w:rsidRPr="00D27916">
        <w:instrText xml:space="preserve"> REF _Ref457826829 \h </w:instrText>
      </w:r>
      <w:r>
        <w:instrText xml:space="preserve"> \* MERGEFORMAT </w:instrText>
      </w:r>
      <w:r w:rsidRPr="00D27916">
        <w:fldChar w:fldCharType="separate"/>
      </w:r>
      <w:r w:rsidR="00502BAD" w:rsidRPr="00D4435D">
        <w:t xml:space="preserve">Table </w:t>
      </w:r>
      <w:r w:rsidR="00502BAD">
        <w:rPr>
          <w:noProof/>
        </w:rPr>
        <w:t>5.1</w:t>
      </w:r>
      <w:r w:rsidRPr="00D27916">
        <w:fldChar w:fldCharType="end"/>
      </w:r>
      <w:r w:rsidRPr="00D27916">
        <w:t xml:space="preserve"> of this report.</w:t>
      </w:r>
    </w:p>
    <w:p w:rsidR="004D5CBC" w:rsidRDefault="004D5CBC" w:rsidP="00D4435D">
      <w:r w:rsidRPr="00D27916">
        <w:t>Outcomes of these existing risk analyses include trade in mangoes from India and Vietnam and lychees and dragon fruit from Vietnam, with</w:t>
      </w:r>
      <w:r w:rsidRPr="000A507B">
        <w:t xml:space="preserve"> over 26 tonnes of mangoes imported into Australia between 2011 and 2016 and over 55 tonnes of lychee</w:t>
      </w:r>
      <w:r>
        <w:t>s</w:t>
      </w:r>
      <w:r w:rsidRPr="000A507B">
        <w:t xml:space="preserve"> between 2015 and 2016.</w:t>
      </w:r>
      <w:r>
        <w:t xml:space="preserve"> The first imports of dragon fruit from Vietnam were in late September 2017.</w:t>
      </w:r>
      <w:r w:rsidRPr="000A507B">
        <w:t xml:space="preserve"> The risk management measures implemented for th</w:t>
      </w:r>
      <w:r>
        <w:t>o</w:t>
      </w:r>
      <w:r w:rsidRPr="000A507B">
        <w:t>se commodities have successfully managed pests associated with th</w:t>
      </w:r>
      <w:r>
        <w:t>os</w:t>
      </w:r>
      <w:r w:rsidRPr="000A507B">
        <w:t>e pathway</w:t>
      </w:r>
      <w:r>
        <w:t>s</w:t>
      </w:r>
      <w:r w:rsidRPr="000A507B">
        <w:t>. The risk management mea</w:t>
      </w:r>
      <w:r w:rsidRPr="00EC7AC8">
        <w:t xml:space="preserve">sures </w:t>
      </w:r>
      <w:r>
        <w:t>recommende</w:t>
      </w:r>
      <w:r w:rsidRPr="00EC7AC8">
        <w:t xml:space="preserve">d for dragon fruit from Indonesia are the same as those </w:t>
      </w:r>
      <w:r>
        <w:t>established</w:t>
      </w:r>
      <w:r w:rsidRPr="00EC7AC8">
        <w:t xml:space="preserve"> for dragon fruit from Vietnam.</w:t>
      </w:r>
    </w:p>
    <w:p w:rsidR="004D5CBC" w:rsidRDefault="004D5CBC" w:rsidP="00C143B1">
      <w:r w:rsidRPr="008F406E">
        <w:t xml:space="preserve">This </w:t>
      </w:r>
      <w:r>
        <w:t>review of biosecurity import requirements</w:t>
      </w:r>
      <w:r w:rsidRPr="008F406E">
        <w:t xml:space="preserve"> </w:t>
      </w:r>
      <w:r>
        <w:t>recommends</w:t>
      </w:r>
      <w:r w:rsidRPr="008F406E">
        <w:t xml:space="preserve"> that</w:t>
      </w:r>
      <w:r>
        <w:t>,</w:t>
      </w:r>
      <w:r w:rsidRPr="008F406E">
        <w:t xml:space="preserve"> when the</w:t>
      </w:r>
      <w:r>
        <w:t xml:space="preserve"> established</w:t>
      </w:r>
      <w:r w:rsidRPr="008F406E">
        <w:t xml:space="preserve"> risk management </w:t>
      </w:r>
      <w:r w:rsidRPr="00AE3665">
        <w:t>measures are followed, the restricted risk</w:t>
      </w:r>
      <w:r>
        <w:t>s</w:t>
      </w:r>
      <w:r w:rsidRPr="00AE3665">
        <w:t xml:space="preserve"> for all identified quarantine pests </w:t>
      </w:r>
      <w:r>
        <w:t>will</w:t>
      </w:r>
      <w:r w:rsidRPr="00AE3665">
        <w:t xml:space="preserve"> achieve the ALOP for Australia</w:t>
      </w:r>
      <w:r>
        <w:t>. They include:</w:t>
      </w:r>
    </w:p>
    <w:p w:rsidR="004D5CBC" w:rsidRDefault="004D5CBC" w:rsidP="00A40961">
      <w:pPr>
        <w:pStyle w:val="ListParagraph"/>
        <w:numPr>
          <w:ilvl w:val="0"/>
          <w:numId w:val="18"/>
        </w:numPr>
      </w:pPr>
      <w:r>
        <w:t>area freedom or fruit treatment (such as vapour heat treatment) for fruit flies</w:t>
      </w:r>
    </w:p>
    <w:p w:rsidR="004D5CBC" w:rsidRPr="00AE3665" w:rsidRDefault="004D5CBC" w:rsidP="00A40961">
      <w:pPr>
        <w:pStyle w:val="ListParagraph"/>
        <w:numPr>
          <w:ilvl w:val="0"/>
          <w:numId w:val="18"/>
        </w:numPr>
      </w:pPr>
      <w:proofErr w:type="gramStart"/>
      <w:r>
        <w:t>consignment</w:t>
      </w:r>
      <w:proofErr w:type="gramEnd"/>
      <w:r>
        <w:t xml:space="preserve"> freedom verified by visual inspection and, if detected, remedial action for mealybugs.</w:t>
      </w:r>
    </w:p>
    <w:p w:rsidR="004D5CBC" w:rsidRDefault="004D5CBC" w:rsidP="00591D87">
      <w:pPr>
        <w:pStyle w:val="Heading5"/>
      </w:pPr>
      <w:r>
        <w:t xml:space="preserve">Management for </w:t>
      </w:r>
      <w:r w:rsidRPr="00DD2542">
        <w:rPr>
          <w:i/>
        </w:rPr>
        <w:t>B</w:t>
      </w:r>
      <w:r>
        <w:rPr>
          <w:i/>
        </w:rPr>
        <w:t>actrocera cucurbitae</w:t>
      </w:r>
      <w:r>
        <w:t xml:space="preserve"> and </w:t>
      </w:r>
      <w:r>
        <w:rPr>
          <w:i/>
        </w:rPr>
        <w:t>Bactrocera dorsalis</w:t>
      </w:r>
    </w:p>
    <w:p w:rsidR="004D5CBC" w:rsidRDefault="004D5CBC" w:rsidP="00093CF7">
      <w:r>
        <w:t>The Australian Government D</w:t>
      </w:r>
      <w:r w:rsidRPr="00183F26">
        <w:t xml:space="preserve">epartment </w:t>
      </w:r>
      <w:r>
        <w:t>of Agriculture and Water Resources recommends the options of v</w:t>
      </w:r>
      <w:r w:rsidRPr="00F57CE9">
        <w:t>apour heat treatment</w:t>
      </w:r>
      <w:r>
        <w:t xml:space="preserve"> or area freedom as measures to reduce the risks associated with </w:t>
      </w:r>
      <w:r>
        <w:rPr>
          <w:i/>
        </w:rPr>
        <w:t>B. cucurbitae</w:t>
      </w:r>
      <w:r>
        <w:t xml:space="preserve"> and </w:t>
      </w:r>
      <w:r>
        <w:rPr>
          <w:i/>
        </w:rPr>
        <w:t>B. dorsalis</w:t>
      </w:r>
      <w:r>
        <w:t>. The objective of each of these measures is to reduce the likelihood of importation of these pests to an assessed level of at least ‘extremely low’. The restricted risk would then also be reduced to an assessed level of at least ‘very low’, which would achieve the ALOP for Australia.</w:t>
      </w:r>
    </w:p>
    <w:p w:rsidR="004D5CBC" w:rsidRDefault="004D5CBC" w:rsidP="00093CF7">
      <w:r w:rsidRPr="009216F0">
        <w:t>Irradiation treatment is considered a suitable measure for</w:t>
      </w:r>
      <w:r>
        <w:t xml:space="preserve"> fruit flies of the family Tephritidae</w:t>
      </w:r>
      <w:r>
        <w:rPr>
          <w:noProof/>
        </w:rPr>
        <w:t xml:space="preserve"> (FAO 2009)</w:t>
      </w:r>
      <w:r>
        <w:t xml:space="preserve">. </w:t>
      </w:r>
      <w:r w:rsidRPr="004D32A6">
        <w:t>However, the use of irradiation on dragon fruit has not yet been approved by Food Standards Australia New Zealand (FSANZ). Therefore, irradiation cannot be used as a measure for dragon fruit until it is approved by FSANZ.</w:t>
      </w:r>
      <w:r>
        <w:t xml:space="preserve"> Information on the irradiation of food and examples of previous FSANZ assessments can be found on the FSANZ website at </w:t>
      </w:r>
      <w:hyperlink r:id="rId36" w:history="1">
        <w:r w:rsidRPr="00160E3A">
          <w:rPr>
            <w:rStyle w:val="Hyperlink"/>
          </w:rPr>
          <w:t>http://www.foodstandards.gov.au/consumer/foodtech/irradiation/Pages/default.aspx</w:t>
        </w:r>
      </w:hyperlink>
      <w:r>
        <w:t>.</w:t>
      </w:r>
    </w:p>
    <w:p w:rsidR="004D5CBC" w:rsidRPr="00FA4B31" w:rsidRDefault="004D5CBC" w:rsidP="00093CF7">
      <w:pPr>
        <w:pStyle w:val="Heading6"/>
      </w:pPr>
      <w:r>
        <w:t>Recommended</w:t>
      </w:r>
      <w:r w:rsidRPr="00FA4B31">
        <w:t xml:space="preserve"> measure </w:t>
      </w:r>
      <w:r>
        <w:t>1</w:t>
      </w:r>
      <w:r w:rsidRPr="00FA4B31">
        <w:t>: Vapour heat treatment</w:t>
      </w:r>
    </w:p>
    <w:p w:rsidR="004D5CBC" w:rsidRDefault="004D5CBC" w:rsidP="00093CF7">
      <w:r w:rsidRPr="00FC0AE9">
        <w:t>The Australian Government Department of Agriculture and Water Resources</w:t>
      </w:r>
      <w:r>
        <w:t xml:space="preserve"> has reviewed efficacy data in support of use of vapour heat treatment and considered it suitable to manage </w:t>
      </w:r>
      <w:r w:rsidRPr="00FD00E1">
        <w:rPr>
          <w:i/>
        </w:rPr>
        <w:t>B. cucurbitae</w:t>
      </w:r>
      <w:r>
        <w:t xml:space="preserve"> and </w:t>
      </w:r>
      <w:r w:rsidRPr="00FD00E1">
        <w:rPr>
          <w:i/>
        </w:rPr>
        <w:t>B. dorsalis</w:t>
      </w:r>
      <w:r>
        <w:t xml:space="preserve"> in dragon fruit. The recommended treatment is:</w:t>
      </w:r>
    </w:p>
    <w:p w:rsidR="004D5CBC" w:rsidRDefault="004D5CBC" w:rsidP="00093CF7">
      <w:pPr>
        <w:pStyle w:val="ListParagraph"/>
        <w:numPr>
          <w:ilvl w:val="0"/>
          <w:numId w:val="16"/>
        </w:numPr>
        <w:ind w:left="357" w:hanging="357"/>
      </w:pPr>
      <w:proofErr w:type="gramStart"/>
      <w:r>
        <w:t>f</w:t>
      </w:r>
      <w:r w:rsidRPr="000450D5">
        <w:t>orty</w:t>
      </w:r>
      <w:proofErr w:type="gramEnd"/>
      <w:r w:rsidRPr="000450D5">
        <w:t xml:space="preserve"> minutes at a pulp temperature of 46.</w:t>
      </w:r>
      <w:r>
        <w:t>5</w:t>
      </w:r>
      <w:r w:rsidRPr="000450D5">
        <w:t> °C or greater</w:t>
      </w:r>
      <w:r>
        <w:t xml:space="preserve"> </w:t>
      </w:r>
      <w:r w:rsidRPr="000450D5">
        <w:t>with relative humidity 90</w:t>
      </w:r>
      <w:r>
        <w:t> per cent</w:t>
      </w:r>
      <w:r w:rsidRPr="000450D5">
        <w:t xml:space="preserve"> or</w:t>
      </w:r>
      <w:r>
        <w:t xml:space="preserve"> above.</w:t>
      </w:r>
    </w:p>
    <w:p w:rsidR="004D5CBC" w:rsidRPr="00FA4B31" w:rsidRDefault="004D5CBC" w:rsidP="00093CF7">
      <w:pPr>
        <w:pStyle w:val="Heading6"/>
      </w:pPr>
      <w:r>
        <w:t>Recommended</w:t>
      </w:r>
      <w:r w:rsidRPr="00FA4B31">
        <w:t xml:space="preserve"> measure </w:t>
      </w:r>
      <w:r>
        <w:t>2</w:t>
      </w:r>
      <w:r w:rsidRPr="00FA4B31">
        <w:t>: Area freedom</w:t>
      </w:r>
    </w:p>
    <w:p w:rsidR="004D5CBC" w:rsidRDefault="004D5CBC" w:rsidP="00093CF7">
      <w:r w:rsidRPr="00B41383">
        <w:t xml:space="preserve">The </w:t>
      </w:r>
      <w:r>
        <w:t xml:space="preserve">requirements for establishing pest free areas, pest free places of production </w:t>
      </w:r>
      <w:r w:rsidRPr="0043718A">
        <w:t>or pest free production sites are set out in ISPM</w:t>
      </w:r>
      <w:r>
        <w:t> </w:t>
      </w:r>
      <w:r w:rsidRPr="0043718A">
        <w:t xml:space="preserve">4: </w:t>
      </w:r>
      <w:r w:rsidRPr="0043718A">
        <w:rPr>
          <w:i/>
        </w:rPr>
        <w:t>Requirements for the establishment of pest free areas</w:t>
      </w:r>
      <w:r>
        <w:t xml:space="preserve"> </w:t>
      </w:r>
      <w:r>
        <w:rPr>
          <w:noProof/>
        </w:rPr>
        <w:t>(FAO 2016b)</w:t>
      </w:r>
      <w:r>
        <w:t xml:space="preserve">, </w:t>
      </w:r>
      <w:r w:rsidRPr="0043718A">
        <w:t>ISPM</w:t>
      </w:r>
      <w:r>
        <w:t> </w:t>
      </w:r>
      <w:r w:rsidRPr="0043718A">
        <w:t xml:space="preserve">10: </w:t>
      </w:r>
      <w:r w:rsidRPr="0043718A">
        <w:rPr>
          <w:i/>
        </w:rPr>
        <w:t xml:space="preserve">Requirements for the establishment of pest free places of production and pest </w:t>
      </w:r>
      <w:r w:rsidRPr="0043718A">
        <w:rPr>
          <w:i/>
        </w:rPr>
        <w:lastRenderedPageBreak/>
        <w:t>free production sites</w:t>
      </w:r>
      <w:r>
        <w:t xml:space="preserve"> </w:t>
      </w:r>
      <w:r>
        <w:rPr>
          <w:noProof/>
        </w:rPr>
        <w:t>(FAO 2016d)</w:t>
      </w:r>
      <w:r>
        <w:t xml:space="preserve"> and, more specifically, ISPM 26: </w:t>
      </w:r>
      <w:r>
        <w:rPr>
          <w:i/>
        </w:rPr>
        <w:t>Establishment of pest free areas for fruit flies (Tephritidae)</w:t>
      </w:r>
      <w:r>
        <w:rPr>
          <w:noProof/>
        </w:rPr>
        <w:t xml:space="preserve"> (FAO 2016e)</w:t>
      </w:r>
      <w:r>
        <w:t>.</w:t>
      </w:r>
    </w:p>
    <w:p w:rsidR="004D5CBC" w:rsidRDefault="004D5CBC" w:rsidP="00093CF7">
      <w:r w:rsidRPr="00FD00E1">
        <w:rPr>
          <w:i/>
        </w:rPr>
        <w:t>Ba</w:t>
      </w:r>
      <w:r>
        <w:rPr>
          <w:i/>
        </w:rPr>
        <w:t xml:space="preserve">ctrocera </w:t>
      </w:r>
      <w:r w:rsidRPr="00FD00E1">
        <w:rPr>
          <w:i/>
        </w:rPr>
        <w:t>cucurbitae</w:t>
      </w:r>
      <w:r>
        <w:t xml:space="preserve"> and </w:t>
      </w:r>
      <w:r w:rsidRPr="00FD00E1">
        <w:rPr>
          <w:i/>
        </w:rPr>
        <w:t>B. </w:t>
      </w:r>
      <w:r w:rsidRPr="009D745A">
        <w:rPr>
          <w:i/>
        </w:rPr>
        <w:t>dorsalis</w:t>
      </w:r>
      <w:r w:rsidRPr="009D745A">
        <w:t xml:space="preserve"> are widespread in Indonesia</w:t>
      </w:r>
      <w:r w:rsidRPr="009D745A">
        <w:rPr>
          <w:noProof/>
        </w:rPr>
        <w:t xml:space="preserve"> </w:t>
      </w:r>
      <w:r>
        <w:rPr>
          <w:noProof/>
        </w:rPr>
        <w:t>(CABI 2018; Drew &amp; Romig 2013)</w:t>
      </w:r>
      <w:r w:rsidRPr="009D745A">
        <w:t>. Therefore, area freedom may not be a viable option for these species in Indonesia. Should Indonesia wish to use area freedom as</w:t>
      </w:r>
      <w:r>
        <w:t xml:space="preserve"> a measure to manage the risks posed by </w:t>
      </w:r>
      <w:r w:rsidRPr="00FD00E1">
        <w:rPr>
          <w:i/>
        </w:rPr>
        <w:t>B. cucurbitae</w:t>
      </w:r>
      <w:r>
        <w:t xml:space="preserve"> and </w:t>
      </w:r>
      <w:r w:rsidRPr="00FD00E1">
        <w:rPr>
          <w:i/>
        </w:rPr>
        <w:t>B. dorsalis</w:t>
      </w:r>
      <w:r>
        <w:t xml:space="preserve">, IAQA would need to provide a submission demonstrating area freedom to the Australian Government Department of Agriculture and Water Resources. Any submission intended to demonstrate area freedom must fulfil requirements set out in ISPM 4 </w:t>
      </w:r>
      <w:r>
        <w:rPr>
          <w:noProof/>
        </w:rPr>
        <w:t>(FAO 2016b)</w:t>
      </w:r>
      <w:r>
        <w:t xml:space="preserve">, ISPM 10 </w:t>
      </w:r>
      <w:r>
        <w:rPr>
          <w:noProof/>
        </w:rPr>
        <w:t>(FAO 2016d)</w:t>
      </w:r>
      <w:r>
        <w:t xml:space="preserve"> and ISPM 26 </w:t>
      </w:r>
      <w:r>
        <w:rPr>
          <w:noProof/>
        </w:rPr>
        <w:t>(FAO 2016e)</w:t>
      </w:r>
      <w:r>
        <w:t xml:space="preserve"> and would be subject to approval by the Australian Government Department of Agriculture and Water Resources.</w:t>
      </w:r>
    </w:p>
    <w:p w:rsidR="004D5CBC" w:rsidRPr="00FA4B31" w:rsidRDefault="004D5CBC" w:rsidP="00093CF7">
      <w:pPr>
        <w:pStyle w:val="Heading6"/>
      </w:pPr>
      <w:r>
        <w:t>Recommended</w:t>
      </w:r>
      <w:r w:rsidRPr="00FA4B31">
        <w:t xml:space="preserve"> measure 3: Irradiation</w:t>
      </w:r>
    </w:p>
    <w:p w:rsidR="004D5CBC" w:rsidRDefault="004D5CBC" w:rsidP="006229E5">
      <w:r w:rsidRPr="009216F0">
        <w:t xml:space="preserve">The Australian Government Department of Agriculture and Water Resources </w:t>
      </w:r>
      <w:r>
        <w:t>recommends</w:t>
      </w:r>
      <w:r w:rsidRPr="009216F0">
        <w:t xml:space="preserve"> a treatment schedule of 150 gray minimum absorbed dose, consistent with ISPM</w:t>
      </w:r>
      <w:r>
        <w:t> </w:t>
      </w:r>
      <w:r w:rsidRPr="009216F0">
        <w:t xml:space="preserve">28 Annex 7: </w:t>
      </w:r>
      <w:r w:rsidRPr="009216F0">
        <w:rPr>
          <w:i/>
        </w:rPr>
        <w:t>Irradiation treatment for fruit flies of the family Tephritidae (generic)</w:t>
      </w:r>
      <w:r>
        <w:t xml:space="preserve"> </w:t>
      </w:r>
      <w:r>
        <w:rPr>
          <w:noProof/>
        </w:rPr>
        <w:t>(FAO 2009)</w:t>
      </w:r>
      <w:r>
        <w:t xml:space="preserve"> for </w:t>
      </w:r>
      <w:r w:rsidRPr="00FD00E1">
        <w:rPr>
          <w:i/>
        </w:rPr>
        <w:t>B. cucurbitae</w:t>
      </w:r>
      <w:r>
        <w:t xml:space="preserve"> and </w:t>
      </w:r>
      <w:r w:rsidRPr="00FD00E1">
        <w:rPr>
          <w:i/>
        </w:rPr>
        <w:t>B. </w:t>
      </w:r>
      <w:r w:rsidRPr="005F2950">
        <w:rPr>
          <w:i/>
        </w:rPr>
        <w:t>dorsalis</w:t>
      </w:r>
      <w:r>
        <w:t>, subject to FSANZ approval of this treatment for dragon fruit.</w:t>
      </w:r>
    </w:p>
    <w:p w:rsidR="004D5CBC" w:rsidRDefault="004D5CBC" w:rsidP="00591D87">
      <w:pPr>
        <w:pStyle w:val="Heading5"/>
      </w:pPr>
      <w:r>
        <w:t xml:space="preserve">Management for </w:t>
      </w:r>
      <w:r>
        <w:rPr>
          <w:i/>
        </w:rPr>
        <w:t>Dysmicoccus neobrevipes</w:t>
      </w:r>
      <w:r>
        <w:t xml:space="preserve">, </w:t>
      </w:r>
      <w:r>
        <w:rPr>
          <w:i/>
        </w:rPr>
        <w:t>Paracoccus marginatus</w:t>
      </w:r>
      <w:r>
        <w:t xml:space="preserve">, </w:t>
      </w:r>
      <w:r>
        <w:rPr>
          <w:i/>
        </w:rPr>
        <w:t>Planococcus lilacinus</w:t>
      </w:r>
      <w:r>
        <w:t xml:space="preserve">, </w:t>
      </w:r>
      <w:r>
        <w:rPr>
          <w:i/>
        </w:rPr>
        <w:t>Planococcus minor</w:t>
      </w:r>
      <w:r>
        <w:t xml:space="preserve"> and </w:t>
      </w:r>
      <w:r>
        <w:rPr>
          <w:i/>
        </w:rPr>
        <w:t>Pseudococcus jackbeardsleyi</w:t>
      </w:r>
    </w:p>
    <w:p w:rsidR="004D5CBC" w:rsidRDefault="004D5CBC" w:rsidP="00093CF7">
      <w:r>
        <w:t xml:space="preserve">The Australian Government </w:t>
      </w:r>
      <w:r w:rsidRPr="00C11EE9">
        <w:t xml:space="preserve">Department of Agriculture and Water Resources recommends consignment freedom verified by </w:t>
      </w:r>
      <w:r>
        <w:t xml:space="preserve">standard </w:t>
      </w:r>
      <w:r w:rsidRPr="00C11EE9">
        <w:t xml:space="preserve">visual inspection to confirm the absence of these pests and, if detected, application of remedial action as a measure for </w:t>
      </w:r>
      <w:r w:rsidRPr="00C11EE9">
        <w:rPr>
          <w:i/>
        </w:rPr>
        <w:t>Dysmicoccus neobrevipes</w:t>
      </w:r>
      <w:r w:rsidRPr="00C11EE9">
        <w:t xml:space="preserve"> (grey pineapple mealybug), </w:t>
      </w:r>
      <w:r w:rsidRPr="00C11EE9">
        <w:rPr>
          <w:i/>
        </w:rPr>
        <w:t>Paracoccus marginatus</w:t>
      </w:r>
      <w:r w:rsidRPr="00C11EE9">
        <w:t xml:space="preserve"> (papaya mealybug), </w:t>
      </w:r>
      <w:r w:rsidRPr="00C11EE9">
        <w:rPr>
          <w:i/>
        </w:rPr>
        <w:t>Planococcus lilacinus</w:t>
      </w:r>
      <w:r w:rsidRPr="00C11EE9">
        <w:t xml:space="preserve"> (coffee mealybug), </w:t>
      </w:r>
      <w:r w:rsidRPr="00C11EE9">
        <w:rPr>
          <w:i/>
        </w:rPr>
        <w:t>Planococcus minor</w:t>
      </w:r>
      <w:r w:rsidRPr="00C11EE9">
        <w:t xml:space="preserve"> (Pacific mealybug) and </w:t>
      </w:r>
      <w:r w:rsidRPr="00C11EE9">
        <w:rPr>
          <w:i/>
        </w:rPr>
        <w:t>Pseudococcus jackbeardsleyi</w:t>
      </w:r>
      <w:r w:rsidRPr="00C11EE9">
        <w:t xml:space="preserve"> (Jack Beardsley mealybug). The appropriate</w:t>
      </w:r>
      <w:r w:rsidRPr="00DF7B7A">
        <w:t xml:space="preserve"> remedial action will reduce the risk associated with these pests to at least ‘very low’, which </w:t>
      </w:r>
      <w:r>
        <w:t>will</w:t>
      </w:r>
      <w:r w:rsidRPr="00DF7B7A">
        <w:t xml:space="preserve"> achieve </w:t>
      </w:r>
      <w:r>
        <w:t xml:space="preserve">the ALOP for </w:t>
      </w:r>
      <w:r w:rsidRPr="00DF7B7A">
        <w:t>Australia.</w:t>
      </w:r>
    </w:p>
    <w:p w:rsidR="004D5CBC" w:rsidRPr="00FA4B31" w:rsidRDefault="004D5CBC" w:rsidP="00093CF7">
      <w:pPr>
        <w:pStyle w:val="Heading6"/>
      </w:pPr>
      <w:r>
        <w:t>Recommended measure</w:t>
      </w:r>
      <w:r w:rsidRPr="00FA4B31">
        <w:t>: Pre-export visual inspection and remedial action</w:t>
      </w:r>
      <w:r>
        <w:t xml:space="preserve"> by IAQA</w:t>
      </w:r>
    </w:p>
    <w:p w:rsidR="004D5CBC" w:rsidRDefault="004D5CBC" w:rsidP="00093CF7">
      <w:r w:rsidRPr="00640709">
        <w:t>All</w:t>
      </w:r>
      <w:r>
        <w:t xml:space="preserve"> consignments of dragon fruit for export to Australia must be inspected by IAQA and found free of these species of mealybugs. Export consignments found to contain any of these pests must be subjected to remedial action. Remedial action may include withdrawing the consignment from export to Australia or treating the export consignment in such a way as to ensure that the pest is no longer viable, such as irradiation with a minimum absorbed dose of 400 gray (Subject to FSANZ approval).</w:t>
      </w:r>
    </w:p>
    <w:p w:rsidR="004D5CBC" w:rsidRPr="00D27916" w:rsidRDefault="004D5CBC" w:rsidP="004D5CBC">
      <w:pPr>
        <w:pStyle w:val="Heading4"/>
        <w:numPr>
          <w:ilvl w:val="2"/>
          <w:numId w:val="11"/>
        </w:numPr>
      </w:pPr>
      <w:r w:rsidRPr="00D27916">
        <w:t>Consideration of alternative measures</w:t>
      </w:r>
    </w:p>
    <w:p w:rsidR="004D5CBC" w:rsidRDefault="004D5CBC">
      <w:r w:rsidRPr="00D27916">
        <w:t>Consistent with the principle of equivalence detailed in ISPM</w:t>
      </w:r>
      <w:r>
        <w:t xml:space="preserve"> 11: </w:t>
      </w:r>
      <w:r>
        <w:rPr>
          <w:i/>
        </w:rPr>
        <w:t>Pest risk analysis for quarantine pests</w:t>
      </w:r>
      <w:r>
        <w:t xml:space="preserve"> </w:t>
      </w:r>
      <w:r>
        <w:rPr>
          <w:noProof/>
        </w:rPr>
        <w:t>(FAO 2017b)</w:t>
      </w:r>
      <w:r>
        <w:t xml:space="preserve">, the Australian Government Department of Agriculture and Water Resources will consider any </w:t>
      </w:r>
      <w:r w:rsidRPr="00093CF7">
        <w:t xml:space="preserve">alternative measure proposed by IAQA, providing that it manages the target pest </w:t>
      </w:r>
      <w:r>
        <w:t xml:space="preserve">in order </w:t>
      </w:r>
      <w:r w:rsidRPr="00093CF7">
        <w:t xml:space="preserve">to achieve the ALOP for Australia. Evaluation of such measures will require a technical submission from IAQA that </w:t>
      </w:r>
      <w:r>
        <w:t>details the proposed measures and includes appropriate information to support the efficacy.</w:t>
      </w:r>
    </w:p>
    <w:p w:rsidR="004D5CBC" w:rsidRDefault="004D5CBC" w:rsidP="004D5CBC">
      <w:pPr>
        <w:pStyle w:val="Heading3"/>
        <w:numPr>
          <w:ilvl w:val="1"/>
          <w:numId w:val="11"/>
        </w:numPr>
      </w:pPr>
      <w:bookmarkStart w:id="92" w:name="_Toc520996432"/>
      <w:r>
        <w:lastRenderedPageBreak/>
        <w:t>Operational system for the maintenance and verification of phytosanitary status</w:t>
      </w:r>
      <w:bookmarkEnd w:id="92"/>
    </w:p>
    <w:p w:rsidR="004D5CBC" w:rsidRPr="00744A6D" w:rsidRDefault="004D5CBC">
      <w:r>
        <w:t xml:space="preserve">A system of operational procedures is necessary to maintain and verify the phytosanitary status of </w:t>
      </w:r>
      <w:r w:rsidRPr="006876F9">
        <w:t>dragon fruit from Indonesia</w:t>
      </w:r>
      <w:r>
        <w:t xml:space="preserve">. This system will ensure that the recommended risk management measures have been met and continue to be </w:t>
      </w:r>
      <w:r w:rsidRPr="00744A6D">
        <w:t>maintained.</w:t>
      </w:r>
    </w:p>
    <w:p w:rsidR="004D5CBC" w:rsidRPr="00744A6D" w:rsidRDefault="004D5CBC" w:rsidP="004D5CBC">
      <w:pPr>
        <w:pStyle w:val="Heading4"/>
        <w:numPr>
          <w:ilvl w:val="2"/>
          <w:numId w:val="11"/>
        </w:numPr>
      </w:pPr>
      <w:r w:rsidRPr="00744A6D">
        <w:t>A system of traceability to source farms</w:t>
      </w:r>
    </w:p>
    <w:p w:rsidR="004D5CBC" w:rsidRPr="00744A6D" w:rsidRDefault="004D5CBC" w:rsidP="00C01C44">
      <w:r w:rsidRPr="00744A6D">
        <w:t>The objectives of the recommended procedure are to ensure that:</w:t>
      </w:r>
    </w:p>
    <w:p w:rsidR="004D5CBC" w:rsidRPr="00744A6D" w:rsidRDefault="004D5CBC" w:rsidP="004D5CBC">
      <w:pPr>
        <w:pStyle w:val="ListBullet"/>
        <w:numPr>
          <w:ilvl w:val="0"/>
          <w:numId w:val="7"/>
        </w:numPr>
      </w:pPr>
      <w:r w:rsidRPr="00744A6D">
        <w:t>dragon fruit are sourced only from farms producing commercial quality fruit</w:t>
      </w:r>
    </w:p>
    <w:p w:rsidR="004D5CBC" w:rsidRPr="00744A6D" w:rsidRDefault="004D5CBC" w:rsidP="004D5CBC">
      <w:pPr>
        <w:pStyle w:val="ListBullet"/>
        <w:numPr>
          <w:ilvl w:val="0"/>
          <w:numId w:val="7"/>
        </w:numPr>
      </w:pPr>
      <w:proofErr w:type="gramStart"/>
      <w:r w:rsidRPr="00744A6D">
        <w:t>farms</w:t>
      </w:r>
      <w:proofErr w:type="gramEnd"/>
      <w:r w:rsidRPr="00744A6D">
        <w:t xml:space="preserve"> from which dragon fruit are sourced can be identified so</w:t>
      </w:r>
      <w:r>
        <w:t xml:space="preserve"> any</w:t>
      </w:r>
      <w:r w:rsidRPr="00744A6D">
        <w:t xml:space="preserve"> investigation and corrective action can be targeted rather than </w:t>
      </w:r>
      <w:r>
        <w:t>being applied</w:t>
      </w:r>
      <w:r w:rsidRPr="00744A6D">
        <w:t xml:space="preserve"> to all contributing export farms</w:t>
      </w:r>
      <w:r>
        <w:t>,</w:t>
      </w:r>
      <w:r w:rsidRPr="00744A6D">
        <w:t xml:space="preserve"> in the event that live pests are intercepted.</w:t>
      </w:r>
    </w:p>
    <w:p w:rsidR="004D5CBC" w:rsidRPr="00ED0EE7" w:rsidRDefault="004D5CBC" w:rsidP="00D0712F">
      <w:pPr>
        <w:pBdr>
          <w:top w:val="single" w:sz="4" w:space="1" w:color="auto"/>
          <w:left w:val="single" w:sz="4" w:space="4" w:color="auto"/>
          <w:bottom w:val="single" w:sz="4" w:space="1" w:color="auto"/>
          <w:right w:val="single" w:sz="4" w:space="4" w:color="auto"/>
        </w:pBdr>
      </w:pPr>
      <w:r>
        <w:t xml:space="preserve">IAQA must ensure that dragon fruit for export to Australia can be traced back to farm level. </w:t>
      </w:r>
      <w:r w:rsidRPr="00744A6D">
        <w:t xml:space="preserve">IAQA would be responsible for ensuring that export </w:t>
      </w:r>
      <w:r>
        <w:t>dragon fruit</w:t>
      </w:r>
      <w:r w:rsidRPr="00744A6D">
        <w:t xml:space="preserve"> growers are </w:t>
      </w:r>
      <w:r w:rsidRPr="00AF1C51">
        <w:t xml:space="preserve">aware of pests of quarantine concern to Australia and </w:t>
      </w:r>
      <w:r>
        <w:t xml:space="preserve">the </w:t>
      </w:r>
      <w:r w:rsidRPr="00AF1C51">
        <w:t>risk management measures</w:t>
      </w:r>
      <w:r>
        <w:t xml:space="preserve"> applicable</w:t>
      </w:r>
      <w:r w:rsidRPr="00ED0EE7">
        <w:t>.</w:t>
      </w:r>
    </w:p>
    <w:p w:rsidR="004D5CBC" w:rsidRDefault="004D5CBC" w:rsidP="004D5CBC">
      <w:pPr>
        <w:pStyle w:val="Heading4"/>
        <w:numPr>
          <w:ilvl w:val="2"/>
          <w:numId w:val="11"/>
        </w:numPr>
      </w:pPr>
      <w:r>
        <w:t>Registration of treatment providers and auditing of procedures</w:t>
      </w:r>
    </w:p>
    <w:p w:rsidR="004D5CBC" w:rsidRDefault="004D5CBC" w:rsidP="00C01C44">
      <w:r>
        <w:t>The objectives of this recommended procedure are to ensure that:</w:t>
      </w:r>
    </w:p>
    <w:p w:rsidR="004D5CBC" w:rsidRDefault="004D5CBC" w:rsidP="004D5CBC">
      <w:pPr>
        <w:pStyle w:val="ListBullet"/>
        <w:numPr>
          <w:ilvl w:val="0"/>
          <w:numId w:val="7"/>
        </w:numPr>
        <w:rPr>
          <w:color w:val="000000"/>
        </w:rPr>
      </w:pPr>
      <w:r w:rsidRPr="008634D0">
        <w:t>dragon fruit are sourced only from treatment providers processing commercial quality dragon fruit approved by</w:t>
      </w:r>
      <w:r w:rsidRPr="00515196">
        <w:t xml:space="preserve"> IAQA</w:t>
      </w:r>
    </w:p>
    <w:p w:rsidR="004D5CBC" w:rsidRDefault="004D5CBC" w:rsidP="004D5CBC">
      <w:pPr>
        <w:pStyle w:val="ListBullet"/>
        <w:numPr>
          <w:ilvl w:val="0"/>
          <w:numId w:val="7"/>
        </w:numPr>
        <w:rPr>
          <w:color w:val="000000"/>
        </w:rPr>
      </w:pPr>
      <w:proofErr w:type="gramStart"/>
      <w:r>
        <w:rPr>
          <w:color w:val="000000"/>
        </w:rPr>
        <w:t>treatment</w:t>
      </w:r>
      <w:proofErr w:type="gramEnd"/>
      <w:r>
        <w:rPr>
          <w:color w:val="000000"/>
        </w:rPr>
        <w:t xml:space="preserve"> providers are capable of applying a treatment that effectively manages the target pests.</w:t>
      </w:r>
    </w:p>
    <w:p w:rsidR="004D5CBC" w:rsidRPr="00515196" w:rsidRDefault="004D5CBC" w:rsidP="00C058F9">
      <w:pPr>
        <w:pBdr>
          <w:top w:val="single" w:sz="4" w:space="1" w:color="auto"/>
          <w:left w:val="single" w:sz="4" w:space="4" w:color="auto"/>
          <w:bottom w:val="single" w:sz="4" w:space="1" w:color="auto"/>
          <w:right w:val="single" w:sz="4" w:space="4" w:color="auto"/>
        </w:pBdr>
      </w:pPr>
      <w:r>
        <w:t>Treatment of</w:t>
      </w:r>
      <w:r w:rsidRPr="00515196">
        <w:t xml:space="preserve"> dragon fruit must be undertaken by the treatment providers that have been registered with and audited by IAQA for that purpose. Records of IAQA registration requirements and audits are to be made available to the Australian Government Department of Agriculture and Water Resources upon request.</w:t>
      </w:r>
    </w:p>
    <w:p w:rsidR="004D5CBC" w:rsidRPr="00515196" w:rsidRDefault="004D5CBC" w:rsidP="00C058F9">
      <w:pPr>
        <w:pBdr>
          <w:top w:val="single" w:sz="4" w:space="1" w:color="auto"/>
          <w:left w:val="single" w:sz="4" w:space="4" w:color="auto"/>
          <w:bottom w:val="single" w:sz="4" w:space="1" w:color="auto"/>
          <w:right w:val="single" w:sz="4" w:space="4" w:color="auto"/>
        </w:pBdr>
      </w:pPr>
      <w:r w:rsidRPr="00515196">
        <w:t>Approval for treatment providers is subject to suitable systems to ensure compliance with the treatment requirements. This may include:</w:t>
      </w:r>
    </w:p>
    <w:p w:rsidR="004D5CBC" w:rsidRPr="00515196" w:rsidRDefault="004D5CBC" w:rsidP="00C058F9">
      <w:pPr>
        <w:pStyle w:val="ListBullet"/>
        <w:numPr>
          <w:ilvl w:val="0"/>
          <w:numId w:val="12"/>
        </w:numPr>
        <w:pBdr>
          <w:top w:val="single" w:sz="4" w:space="1" w:color="auto"/>
          <w:left w:val="single" w:sz="4" w:space="4" w:color="auto"/>
          <w:bottom w:val="single" w:sz="4" w:space="1" w:color="auto"/>
          <w:right w:val="single" w:sz="4" w:space="4" w:color="auto"/>
        </w:pBdr>
      </w:pPr>
      <w:r w:rsidRPr="00515196">
        <w:t>documented procedures to ensure dragon fruit is appropriately treated and safeguarded post</w:t>
      </w:r>
      <w:r>
        <w:noBreakHyphen/>
      </w:r>
      <w:r w:rsidRPr="00515196">
        <w:t>treatment</w:t>
      </w:r>
    </w:p>
    <w:p w:rsidR="004D5CBC" w:rsidRPr="00515196" w:rsidRDefault="004D5CBC" w:rsidP="00C058F9">
      <w:pPr>
        <w:pStyle w:val="ListBullet"/>
        <w:numPr>
          <w:ilvl w:val="0"/>
          <w:numId w:val="12"/>
        </w:numPr>
        <w:pBdr>
          <w:top w:val="single" w:sz="4" w:space="1" w:color="auto"/>
          <w:left w:val="single" w:sz="4" w:space="4" w:color="auto"/>
          <w:bottom w:val="single" w:sz="4" w:space="1" w:color="auto"/>
          <w:right w:val="single" w:sz="4" w:space="4" w:color="auto"/>
        </w:pBdr>
      </w:pPr>
      <w:r w:rsidRPr="00515196">
        <w:t>staff training to ensure compliance with procedures</w:t>
      </w:r>
    </w:p>
    <w:p w:rsidR="004D5CBC" w:rsidRPr="00515196" w:rsidRDefault="004D5CBC" w:rsidP="00C058F9">
      <w:pPr>
        <w:pStyle w:val="ListBullet"/>
        <w:numPr>
          <w:ilvl w:val="0"/>
          <w:numId w:val="12"/>
        </w:numPr>
        <w:pBdr>
          <w:top w:val="single" w:sz="4" w:space="1" w:color="auto"/>
          <w:left w:val="single" w:sz="4" w:space="4" w:color="auto"/>
          <w:bottom w:val="single" w:sz="4" w:space="1" w:color="auto"/>
          <w:right w:val="single" w:sz="4" w:space="4" w:color="auto"/>
        </w:pBdr>
      </w:pPr>
      <w:r w:rsidRPr="00515196">
        <w:t>record keeping procedures</w:t>
      </w:r>
    </w:p>
    <w:p w:rsidR="004D5CBC" w:rsidRPr="00515196" w:rsidRDefault="004D5CBC" w:rsidP="00C058F9">
      <w:pPr>
        <w:pStyle w:val="ListBullet"/>
        <w:numPr>
          <w:ilvl w:val="0"/>
          <w:numId w:val="12"/>
        </w:numPr>
        <w:pBdr>
          <w:top w:val="single" w:sz="4" w:space="1" w:color="auto"/>
          <w:left w:val="single" w:sz="4" w:space="4" w:color="auto"/>
          <w:bottom w:val="single" w:sz="4" w:space="1" w:color="auto"/>
          <w:right w:val="single" w:sz="4" w:space="4" w:color="auto"/>
        </w:pBdr>
      </w:pPr>
      <w:r w:rsidRPr="00515196">
        <w:t xml:space="preserve">facilities and equipment </w:t>
      </w:r>
      <w:r>
        <w:t>are</w:t>
      </w:r>
      <w:r w:rsidRPr="00515196">
        <w:t xml:space="preserve"> suitable</w:t>
      </w:r>
    </w:p>
    <w:p w:rsidR="004D5CBC" w:rsidRPr="006817C3" w:rsidRDefault="004D5CBC" w:rsidP="00C058F9">
      <w:pPr>
        <w:pStyle w:val="ListBullet"/>
        <w:numPr>
          <w:ilvl w:val="0"/>
          <w:numId w:val="12"/>
        </w:numPr>
        <w:pBdr>
          <w:top w:val="single" w:sz="4" w:space="1" w:color="auto"/>
          <w:left w:val="single" w:sz="4" w:space="4" w:color="auto"/>
          <w:bottom w:val="single" w:sz="4" w:space="1" w:color="auto"/>
          <w:right w:val="single" w:sz="4" w:space="4" w:color="auto"/>
        </w:pBdr>
      </w:pPr>
      <w:r w:rsidRPr="00515196">
        <w:t xml:space="preserve">IAQA system of oversight of treatment application or </w:t>
      </w:r>
      <w:r>
        <w:t xml:space="preserve">an alternative </w:t>
      </w:r>
      <w:r w:rsidRPr="00515196">
        <w:t xml:space="preserve">system </w:t>
      </w:r>
      <w:r>
        <w:t xml:space="preserve">of </w:t>
      </w:r>
      <w:r w:rsidRPr="00515196">
        <w:t>authorisation of treatment oversight.</w:t>
      </w:r>
    </w:p>
    <w:p w:rsidR="004D5CBC" w:rsidRDefault="004D5CBC" w:rsidP="004D5CBC">
      <w:pPr>
        <w:pStyle w:val="Heading4"/>
        <w:numPr>
          <w:ilvl w:val="2"/>
          <w:numId w:val="11"/>
        </w:numPr>
      </w:pPr>
      <w:r>
        <w:t>Packaging and labelling</w:t>
      </w:r>
    </w:p>
    <w:p w:rsidR="004D5CBC" w:rsidRPr="0017336D" w:rsidRDefault="004D5CBC" w:rsidP="00C01C44">
      <w:r>
        <w:t xml:space="preserve">The objectives of this </w:t>
      </w:r>
      <w:r w:rsidRPr="0017336D">
        <w:t>recommended procedure are to ensure that:</w:t>
      </w:r>
    </w:p>
    <w:p w:rsidR="004D5CBC" w:rsidRPr="0017336D" w:rsidRDefault="004D5CBC" w:rsidP="004D5CBC">
      <w:pPr>
        <w:pStyle w:val="ListBullet"/>
        <w:numPr>
          <w:ilvl w:val="0"/>
          <w:numId w:val="7"/>
        </w:numPr>
      </w:pPr>
      <w:r>
        <w:t>D</w:t>
      </w:r>
      <w:r w:rsidRPr="0017336D">
        <w:t xml:space="preserve">ragon fruit proposed for export to Australia and all associated packaging is not contaminated by quarantine pests or regulated articles (as defined in ISPM 5: Glossary of phytosanitary terms </w:t>
      </w:r>
      <w:r>
        <w:rPr>
          <w:noProof/>
        </w:rPr>
        <w:t>(FAO 2017a)</w:t>
      </w:r>
      <w:r w:rsidRPr="0017336D">
        <w:t>)</w:t>
      </w:r>
      <w:r>
        <w:t>.</w:t>
      </w:r>
    </w:p>
    <w:p w:rsidR="004D5CBC" w:rsidRPr="0017336D" w:rsidRDefault="004D5CBC" w:rsidP="004D5CBC">
      <w:pPr>
        <w:pStyle w:val="ListBullet"/>
        <w:numPr>
          <w:ilvl w:val="0"/>
          <w:numId w:val="7"/>
        </w:numPr>
      </w:pPr>
      <w:r>
        <w:lastRenderedPageBreak/>
        <w:t>U</w:t>
      </w:r>
      <w:r w:rsidRPr="0017336D">
        <w:t>nprocessed packaging material</w:t>
      </w:r>
      <w:r>
        <w:t>,</w:t>
      </w:r>
      <w:r w:rsidRPr="0017336D">
        <w:t xml:space="preserve"> for example unprocessed plant material—which are not permitted entry or </w:t>
      </w:r>
      <w:r>
        <w:t xml:space="preserve">which </w:t>
      </w:r>
      <w:r w:rsidRPr="0017336D">
        <w:t>may vector pests identified as not being on the pathway or pests not known to be associated with dragon fruit—is not imported with the dragon fruit</w:t>
      </w:r>
      <w:r>
        <w:t>.</w:t>
      </w:r>
    </w:p>
    <w:p w:rsidR="004D5CBC" w:rsidRPr="0017336D" w:rsidRDefault="004D5CBC" w:rsidP="004D5CBC">
      <w:pPr>
        <w:pStyle w:val="ListBullet"/>
        <w:numPr>
          <w:ilvl w:val="0"/>
          <w:numId w:val="7"/>
        </w:numPr>
      </w:pPr>
      <w:r>
        <w:t>A</w:t>
      </w:r>
      <w:r w:rsidRPr="0017336D">
        <w:t xml:space="preserve">ll wood material used in packaging of dragon fruit complies with the Australian Government Department of Agriculture and Water Resources </w:t>
      </w:r>
      <w:r>
        <w:t xml:space="preserve">import </w:t>
      </w:r>
      <w:r w:rsidRPr="0017336D">
        <w:t>conditions</w:t>
      </w:r>
      <w:r>
        <w:t>.</w:t>
      </w:r>
    </w:p>
    <w:p w:rsidR="004D5CBC" w:rsidRPr="0017336D" w:rsidRDefault="004D5CBC" w:rsidP="004D5CBC">
      <w:pPr>
        <w:pStyle w:val="ListBullet"/>
        <w:numPr>
          <w:ilvl w:val="0"/>
          <w:numId w:val="7"/>
        </w:numPr>
      </w:pPr>
      <w:r>
        <w:t>S</w:t>
      </w:r>
      <w:r w:rsidRPr="0017336D">
        <w:t>ecure packaging is used during storage and transport to Australia to prevent re-infestation during storage and transport and escape of pests during clearance procedures on arrival in Australia. Packaging must meet Australia’s general import conditions for fresh fruits and vegetables, available on the Australian Government Department of Agriculture and Water Resources website</w:t>
      </w:r>
      <w:r>
        <w:t>.</w:t>
      </w:r>
    </w:p>
    <w:p w:rsidR="004D5CBC" w:rsidRPr="0017336D" w:rsidRDefault="004D5CBC" w:rsidP="004D5CBC">
      <w:pPr>
        <w:pStyle w:val="ListBullet"/>
        <w:numPr>
          <w:ilvl w:val="0"/>
          <w:numId w:val="7"/>
        </w:numPr>
      </w:pPr>
      <w:r>
        <w:t>T</w:t>
      </w:r>
      <w:r w:rsidRPr="0017336D">
        <w:t>he packaged dragon fruit are labelled with sufficient identification information for the purposes of traceability. This may include:</w:t>
      </w:r>
    </w:p>
    <w:p w:rsidR="004D5CBC" w:rsidRPr="0017336D" w:rsidRDefault="004D5CBC" w:rsidP="004D5CBC">
      <w:pPr>
        <w:pStyle w:val="ListBullet2"/>
        <w:numPr>
          <w:ilvl w:val="1"/>
          <w:numId w:val="7"/>
        </w:numPr>
        <w:ind w:left="794" w:hanging="397"/>
      </w:pPr>
      <w:r w:rsidRPr="0017336D">
        <w:t>for treated product: the treatment facility name/number and treatment identification reference/number</w:t>
      </w:r>
    </w:p>
    <w:p w:rsidR="004D5CBC" w:rsidRPr="0017336D" w:rsidRDefault="004D5CBC" w:rsidP="004D5CBC">
      <w:pPr>
        <w:pStyle w:val="ListBullet2"/>
        <w:numPr>
          <w:ilvl w:val="1"/>
          <w:numId w:val="7"/>
        </w:numPr>
        <w:ind w:left="794" w:hanging="397"/>
      </w:pPr>
      <w:r w:rsidRPr="0017336D">
        <w:t>for commodity where the measures include farm freedom/area freedom: the farm reference/number</w:t>
      </w:r>
    </w:p>
    <w:p w:rsidR="004D5CBC" w:rsidRPr="0017336D" w:rsidRDefault="004D5CBC" w:rsidP="004D5CBC">
      <w:pPr>
        <w:pStyle w:val="ListBullet2"/>
        <w:numPr>
          <w:ilvl w:val="1"/>
          <w:numId w:val="7"/>
        </w:numPr>
        <w:ind w:left="794" w:hanging="397"/>
      </w:pPr>
      <w:proofErr w:type="gramStart"/>
      <w:r w:rsidRPr="0017336D">
        <w:t>for</w:t>
      </w:r>
      <w:proofErr w:type="gramEnd"/>
      <w:r w:rsidRPr="0017336D">
        <w:t xml:space="preserve"> commodity where phytosanitary measures are applied at the packing</w:t>
      </w:r>
      <w:r>
        <w:t xml:space="preserve"> </w:t>
      </w:r>
      <w:r w:rsidRPr="0017336D">
        <w:t xml:space="preserve">house: </w:t>
      </w:r>
      <w:r>
        <w:t>packing house reference/number.</w:t>
      </w:r>
    </w:p>
    <w:p w:rsidR="004D5CBC" w:rsidRDefault="004D5CBC" w:rsidP="00D0712F">
      <w:pPr>
        <w:pBdr>
          <w:top w:val="single" w:sz="4" w:space="1" w:color="auto"/>
          <w:left w:val="single" w:sz="4" w:space="4" w:color="auto"/>
          <w:bottom w:val="single" w:sz="4" w:space="1" w:color="auto"/>
          <w:right w:val="single" w:sz="4" w:space="4" w:color="auto"/>
        </w:pBdr>
      </w:pPr>
      <w:r>
        <w:rPr>
          <w:color w:val="000000"/>
        </w:rPr>
        <w:t>Export packing houses and treatment providers (where applicable) ensure packaging and labelling are suitable to maintain phytosanitary status of the export consignments.</w:t>
      </w:r>
    </w:p>
    <w:p w:rsidR="004D5CBC" w:rsidRDefault="004D5CBC" w:rsidP="004D5CBC">
      <w:pPr>
        <w:pStyle w:val="Heading4"/>
        <w:numPr>
          <w:ilvl w:val="2"/>
          <w:numId w:val="11"/>
        </w:numPr>
      </w:pPr>
      <w:r>
        <w:t>Specific conditions for storage and movement</w:t>
      </w:r>
    </w:p>
    <w:p w:rsidR="004D5CBC" w:rsidRDefault="004D5CBC" w:rsidP="00EA67F1">
      <w:r>
        <w:t>The objective of this recommended procedure is to ensure that the quarantine integrity of the commodity is maintained during storage and movement.</w:t>
      </w:r>
    </w:p>
    <w:p w:rsidR="004D5CBC" w:rsidRDefault="004D5CBC" w:rsidP="00EA67F1">
      <w:pPr>
        <w:pBdr>
          <w:top w:val="single" w:sz="4" w:space="1" w:color="auto"/>
          <w:left w:val="single" w:sz="4" w:space="4" w:color="auto"/>
          <w:bottom w:val="single" w:sz="4" w:space="1" w:color="auto"/>
          <w:right w:val="single" w:sz="4" w:space="4" w:color="auto"/>
        </w:pBdr>
      </w:pPr>
      <w:r w:rsidRPr="009D7836">
        <w:t xml:space="preserve">Dragon fruit for export </w:t>
      </w:r>
      <w:r w:rsidRPr="00DD4B2D">
        <w:t xml:space="preserve">to Australia that have been treated and/or inspected must be kept secure and segregated at all times from any fruit for domestic or other markets, </w:t>
      </w:r>
      <w:r>
        <w:t xml:space="preserve">and </w:t>
      </w:r>
      <w:r w:rsidRPr="00DD4B2D">
        <w:t>untreated/non pre-inspected product to prevent mixing or cross-contaminatio</w:t>
      </w:r>
      <w:r>
        <w:t>n.</w:t>
      </w:r>
    </w:p>
    <w:p w:rsidR="004D5CBC" w:rsidRDefault="004D5CBC" w:rsidP="004D5CBC">
      <w:pPr>
        <w:pStyle w:val="Heading4"/>
        <w:numPr>
          <w:ilvl w:val="2"/>
          <w:numId w:val="11"/>
        </w:numPr>
      </w:pPr>
      <w:r>
        <w:t>Freedom from trash</w:t>
      </w:r>
    </w:p>
    <w:p w:rsidR="004D5CBC" w:rsidRPr="009D7836" w:rsidRDefault="004D5CBC" w:rsidP="00C01C44">
      <w:r>
        <w:t xml:space="preserve">The objective of this recommended procedure is to </w:t>
      </w:r>
      <w:r w:rsidRPr="009D7836">
        <w:t>ensure that dragon fruit for export are free from trash (for example, stem and leaf material, seeds, soil, animal matter/parts or other extraneou</w:t>
      </w:r>
      <w:r>
        <w:t>s material) and foreign matter.</w:t>
      </w:r>
    </w:p>
    <w:p w:rsidR="004D5CBC" w:rsidRPr="009D7836" w:rsidRDefault="004D5CBC" w:rsidP="00D2067E">
      <w:pPr>
        <w:pBdr>
          <w:top w:val="single" w:sz="4" w:space="1" w:color="auto"/>
          <w:left w:val="single" w:sz="4" w:space="4" w:color="auto"/>
          <w:bottom w:val="single" w:sz="4" w:space="1" w:color="auto"/>
          <w:right w:val="single" w:sz="4" w:space="4" w:color="auto"/>
        </w:pBdr>
      </w:pPr>
      <w:r w:rsidRPr="009D7836">
        <w:t xml:space="preserve">Freedom from trash will be confirmed by </w:t>
      </w:r>
      <w:r>
        <w:t>pre-export</w:t>
      </w:r>
      <w:r w:rsidRPr="009D7836">
        <w:t xml:space="preserve"> inspection procedures. Export lots or consignments found to contain trash or foreign matter should be withdrawn from export unless approved remedial action such as reconditioning is available and applied to the export consignment</w:t>
      </w:r>
      <w:r>
        <w:t>,</w:t>
      </w:r>
      <w:r w:rsidRPr="009D7836">
        <w:t xml:space="preserve"> </w:t>
      </w:r>
      <w:r>
        <w:t>which is</w:t>
      </w:r>
      <w:r w:rsidRPr="009D7836">
        <w:t xml:space="preserve"> then re-inspected.</w:t>
      </w:r>
    </w:p>
    <w:p w:rsidR="004D5CBC" w:rsidRPr="009D7836" w:rsidRDefault="004D5CBC" w:rsidP="004D5CBC">
      <w:pPr>
        <w:pStyle w:val="Heading4"/>
        <w:numPr>
          <w:ilvl w:val="2"/>
          <w:numId w:val="11"/>
        </w:numPr>
      </w:pPr>
      <w:r w:rsidRPr="009D7836">
        <w:t>Pre-export phytosanitary inspection and certification by IAQA</w:t>
      </w:r>
    </w:p>
    <w:p w:rsidR="004D5CBC" w:rsidRDefault="004D5CBC" w:rsidP="00106D30">
      <w:r>
        <w:t>The objectives of this recommended procedure are to ensure that Australia’s import conditions have been met.</w:t>
      </w:r>
    </w:p>
    <w:p w:rsidR="004D5CBC" w:rsidRDefault="004D5CBC" w:rsidP="00D2067E">
      <w:pPr>
        <w:pStyle w:val="ListBullet"/>
        <w:pBdr>
          <w:top w:val="single" w:sz="4" w:space="1" w:color="auto"/>
          <w:left w:val="single" w:sz="4" w:space="4" w:color="auto"/>
          <w:bottom w:val="single" w:sz="4" w:space="1" w:color="auto"/>
          <w:right w:val="single" w:sz="4" w:space="4" w:color="auto"/>
        </w:pBdr>
        <w:tabs>
          <w:tab w:val="clear" w:pos="567"/>
        </w:tabs>
        <w:spacing w:line="276" w:lineRule="auto"/>
        <w:ind w:left="0" w:firstLine="0"/>
      </w:pPr>
      <w:r>
        <w:t>All consignments must have been inspected in accordance with official procedures for visually detectable quarantine pests and other regulated articles (including soil, animal and plant debris) at a standard 600 unit sampling rate per phytosanitary certificate, or equivalent.</w:t>
      </w:r>
    </w:p>
    <w:p w:rsidR="004D5CBC" w:rsidRDefault="004D5CBC" w:rsidP="00D2067E">
      <w:pPr>
        <w:pStyle w:val="ListBullet"/>
        <w:pBdr>
          <w:top w:val="single" w:sz="4" w:space="1" w:color="auto"/>
          <w:left w:val="single" w:sz="4" w:space="4" w:color="auto"/>
          <w:bottom w:val="single" w:sz="4" w:space="1" w:color="auto"/>
          <w:right w:val="single" w:sz="4" w:space="4" w:color="auto"/>
        </w:pBdr>
        <w:tabs>
          <w:tab w:val="clear" w:pos="567"/>
        </w:tabs>
        <w:spacing w:line="276" w:lineRule="auto"/>
        <w:ind w:left="0" w:firstLine="0"/>
      </w:pPr>
      <w:r>
        <w:lastRenderedPageBreak/>
        <w:t>An international phytosanitary certificate (IPC) is issued for each consignment upon completion of pre-export inspection to verify that the required risk management measures have been undertaken offshore and that the consignment meets Australia’s import requirements.</w:t>
      </w:r>
    </w:p>
    <w:p w:rsidR="004D5CBC" w:rsidRDefault="004D5CBC" w:rsidP="00D2067E">
      <w:pPr>
        <w:pStyle w:val="ListBullet"/>
        <w:pBdr>
          <w:top w:val="single" w:sz="4" w:space="1" w:color="auto"/>
          <w:left w:val="single" w:sz="4" w:space="4" w:color="auto"/>
          <w:bottom w:val="single" w:sz="4" w:space="1" w:color="auto"/>
          <w:right w:val="single" w:sz="4" w:space="4" w:color="auto"/>
        </w:pBdr>
        <w:tabs>
          <w:tab w:val="clear" w:pos="567"/>
        </w:tabs>
        <w:spacing w:line="276" w:lineRule="auto"/>
        <w:ind w:left="0" w:firstLine="0"/>
      </w:pPr>
      <w:r>
        <w:t>Each IPC includes:</w:t>
      </w:r>
    </w:p>
    <w:p w:rsidR="004D5CBC" w:rsidRPr="00A42883" w:rsidRDefault="004D5CBC" w:rsidP="00D2067E">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r w:rsidRPr="004852CC">
        <w:t xml:space="preserve">a description of the consignment (including </w:t>
      </w:r>
      <w:r>
        <w:t>traceability information</w:t>
      </w:r>
      <w:r w:rsidRPr="004852CC">
        <w:t>)</w:t>
      </w:r>
    </w:p>
    <w:p w:rsidR="004D5CBC" w:rsidRPr="004852CC" w:rsidRDefault="004D5CBC" w:rsidP="00D2067E">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r w:rsidRPr="00F566DE">
        <w:t xml:space="preserve">details of disinfestation treatments (for example, </w:t>
      </w:r>
      <w:r>
        <w:t>vapour heat treatment</w:t>
      </w:r>
      <w:r w:rsidRPr="00F566DE">
        <w:t>)</w:t>
      </w:r>
      <w:r>
        <w:t>,</w:t>
      </w:r>
      <w:r w:rsidRPr="00F566DE">
        <w:t xml:space="preserve"> </w:t>
      </w:r>
      <w:r>
        <w:t>including</w:t>
      </w:r>
      <w:r w:rsidRPr="00F566DE">
        <w:t xml:space="preserve"> date</w:t>
      </w:r>
      <w:r>
        <w:t>, temperature, duration and/or attached treatment certificate (as appropriate)</w:t>
      </w:r>
    </w:p>
    <w:p w:rsidR="004D5CBC" w:rsidRPr="00106D30" w:rsidRDefault="004D5CBC" w:rsidP="00D2067E">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proofErr w:type="gramStart"/>
      <w:r w:rsidRPr="00106D30">
        <w:t>other</w:t>
      </w:r>
      <w:proofErr w:type="gramEnd"/>
      <w:r w:rsidRPr="00106D30">
        <w:t xml:space="preserve"> s</w:t>
      </w:r>
      <w:r>
        <w:t>tatements that may be required.</w:t>
      </w:r>
    </w:p>
    <w:p w:rsidR="004D5CBC" w:rsidRDefault="004D5CBC" w:rsidP="004D5CBC">
      <w:pPr>
        <w:pStyle w:val="Heading4"/>
        <w:numPr>
          <w:ilvl w:val="2"/>
          <w:numId w:val="11"/>
        </w:numPr>
      </w:pPr>
      <w:r>
        <w:t>Phytosanitary inspection by the Australian Government Department of Agriculture and Water Resources</w:t>
      </w:r>
    </w:p>
    <w:p w:rsidR="004D5CBC" w:rsidRDefault="004D5CBC" w:rsidP="00C01C44">
      <w:r>
        <w:t>The objectives of this recommended procedure are to ensure that:</w:t>
      </w:r>
    </w:p>
    <w:p w:rsidR="004D5CBC" w:rsidRDefault="004D5CBC" w:rsidP="004D5CBC">
      <w:pPr>
        <w:pStyle w:val="ListBullet"/>
        <w:numPr>
          <w:ilvl w:val="0"/>
          <w:numId w:val="7"/>
        </w:numPr>
      </w:pPr>
      <w:r>
        <w:t>consignments comply with Australian import requirements</w:t>
      </w:r>
    </w:p>
    <w:p w:rsidR="004D5CBC" w:rsidRDefault="004D5CBC" w:rsidP="004D5CBC">
      <w:pPr>
        <w:pStyle w:val="ListBullet"/>
        <w:numPr>
          <w:ilvl w:val="0"/>
          <w:numId w:val="7"/>
        </w:numPr>
      </w:pPr>
      <w:proofErr w:type="gramStart"/>
      <w:r>
        <w:t>consignments</w:t>
      </w:r>
      <w:proofErr w:type="gramEnd"/>
      <w:r>
        <w:t xml:space="preserve"> are as described on the phytosanitary certificate and quarantine integrity has been maintained.</w:t>
      </w:r>
    </w:p>
    <w:p w:rsidR="004D5CBC" w:rsidRDefault="004D5CBC" w:rsidP="0009635F">
      <w:pPr>
        <w:pBdr>
          <w:top w:val="single" w:sz="4" w:space="1" w:color="auto"/>
          <w:left w:val="single" w:sz="4" w:space="4" w:color="auto"/>
          <w:bottom w:val="single" w:sz="4" w:space="1" w:color="auto"/>
          <w:right w:val="single" w:sz="4" w:space="4" w:color="auto"/>
        </w:pBdr>
        <w:rPr>
          <w:color w:val="000000"/>
        </w:rPr>
      </w:pPr>
      <w:r>
        <w:t xml:space="preserve">On arrival in Australia, the </w:t>
      </w:r>
      <w:r>
        <w:rPr>
          <w:color w:val="000000"/>
        </w:rPr>
        <w:t>Australian Government Department of Agriculture and Water Resources will:</w:t>
      </w:r>
    </w:p>
    <w:p w:rsidR="004D5CBC" w:rsidRPr="0009635F" w:rsidRDefault="004D5CBC" w:rsidP="0009635F">
      <w:pPr>
        <w:pStyle w:val="ListBullet"/>
        <w:numPr>
          <w:ilvl w:val="0"/>
          <w:numId w:val="12"/>
        </w:numPr>
        <w:pBdr>
          <w:top w:val="single" w:sz="4" w:space="1" w:color="auto"/>
          <w:left w:val="single" w:sz="4" w:space="4" w:color="auto"/>
          <w:bottom w:val="single" w:sz="4" w:space="1" w:color="auto"/>
          <w:right w:val="single" w:sz="4" w:space="4" w:color="auto"/>
        </w:pBdr>
      </w:pPr>
      <w:r w:rsidRPr="0009635F">
        <w:t>assess documentation to verify that the consignment is as described on the phytosanitary certificate, that required phytosanita</w:t>
      </w:r>
      <w:r>
        <w:t>ry actions have been undertaken,</w:t>
      </w:r>
      <w:r w:rsidRPr="0009635F">
        <w:t xml:space="preserve"> and that product security has been maintained</w:t>
      </w:r>
    </w:p>
    <w:p w:rsidR="004D5CBC" w:rsidRDefault="004D5CBC" w:rsidP="0009635F">
      <w:pPr>
        <w:pStyle w:val="ListBullet"/>
        <w:numPr>
          <w:ilvl w:val="0"/>
          <w:numId w:val="12"/>
        </w:numPr>
        <w:pBdr>
          <w:top w:val="single" w:sz="4" w:space="1" w:color="auto"/>
          <w:left w:val="single" w:sz="4" w:space="4" w:color="auto"/>
          <w:bottom w:val="single" w:sz="4" w:space="1" w:color="auto"/>
          <w:right w:val="single" w:sz="4" w:space="4" w:color="auto"/>
        </w:pBdr>
      </w:pPr>
      <w:proofErr w:type="gramStart"/>
      <w:r>
        <w:t>complete</w:t>
      </w:r>
      <w:proofErr w:type="gramEnd"/>
      <w:r>
        <w:t xml:space="preserve"> an inspection </w:t>
      </w:r>
      <w:r w:rsidRPr="00BD446D">
        <w:t xml:space="preserve">of dragon fruit consignments to verify that </w:t>
      </w:r>
      <w:r>
        <w:t xml:space="preserve">the </w:t>
      </w:r>
      <w:r w:rsidRPr="00BD446D">
        <w:t>biosecurity status of consignments of dragon fruit from Indonesia meet</w:t>
      </w:r>
      <w:r>
        <w:t>s</w:t>
      </w:r>
      <w:r w:rsidRPr="00BD446D">
        <w:t xml:space="preserve"> Australia’s import conditions, </w:t>
      </w:r>
      <w:r>
        <w:t>through the inspection of a</w:t>
      </w:r>
      <w:r w:rsidRPr="00BD446D">
        <w:t xml:space="preserve"> random sample of 600 unit</w:t>
      </w:r>
      <w:r>
        <w:t>s of fruit</w:t>
      </w:r>
      <w:r w:rsidRPr="00BD446D">
        <w:t xml:space="preserve"> per phytosanitary certificate</w:t>
      </w:r>
      <w:r>
        <w:t>.</w:t>
      </w:r>
    </w:p>
    <w:p w:rsidR="004D5CBC" w:rsidRDefault="004D5CBC" w:rsidP="004D5CBC">
      <w:pPr>
        <w:pStyle w:val="Heading4"/>
        <w:numPr>
          <w:ilvl w:val="2"/>
          <w:numId w:val="11"/>
        </w:numPr>
      </w:pPr>
      <w:r>
        <w:t>Remedial action(s) for non-compliance</w:t>
      </w:r>
    </w:p>
    <w:p w:rsidR="004D5CBC" w:rsidRDefault="004D5CBC">
      <w:r>
        <w:t>The objectives of remedial action(s) for non-compliance are to ensure that:</w:t>
      </w:r>
    </w:p>
    <w:p w:rsidR="004D5CBC" w:rsidRDefault="004D5CBC" w:rsidP="004D5CBC">
      <w:pPr>
        <w:pStyle w:val="ListBullet"/>
        <w:numPr>
          <w:ilvl w:val="0"/>
          <w:numId w:val="7"/>
        </w:numPr>
      </w:pPr>
      <w:r>
        <w:t>any quarantine pest or regulated article is addressed by remedial action, as appropriate</w:t>
      </w:r>
    </w:p>
    <w:p w:rsidR="004D5CBC" w:rsidRDefault="004D5CBC" w:rsidP="004D5CBC">
      <w:pPr>
        <w:pStyle w:val="ListBullet"/>
        <w:numPr>
          <w:ilvl w:val="0"/>
          <w:numId w:val="7"/>
        </w:numPr>
      </w:pPr>
      <w:proofErr w:type="gramStart"/>
      <w:r>
        <w:t>non-compliance</w:t>
      </w:r>
      <w:proofErr w:type="gramEnd"/>
      <w:r>
        <w:t xml:space="preserve"> with import requirements is addressed, as appropriate.</w:t>
      </w:r>
    </w:p>
    <w:p w:rsidR="004D5CBC" w:rsidRDefault="004D5CBC" w:rsidP="00453325">
      <w:pPr>
        <w:pBdr>
          <w:top w:val="single" w:sz="4" w:space="1" w:color="auto"/>
          <w:left w:val="single" w:sz="4" w:space="4" w:color="auto"/>
          <w:bottom w:val="single" w:sz="4" w:space="1" w:color="auto"/>
          <w:right w:val="single" w:sz="4" w:space="4" w:color="auto"/>
        </w:pBdr>
      </w:pPr>
      <w:r>
        <w:t>Any consignment that fails to meet Australia’s import conditions is subject to a suitable remedial treatment (if one is available), destroyed or exported in order to manage the biosecurity risk.</w:t>
      </w:r>
    </w:p>
    <w:p w:rsidR="004D5CBC" w:rsidRPr="0003290C" w:rsidRDefault="004D5CBC">
      <w:r>
        <w:t xml:space="preserve">Other actions may be taken depending on the specific pest intercepted and the risk management </w:t>
      </w:r>
      <w:r w:rsidRPr="0003290C">
        <w:t xml:space="preserve">strategy put in place </w:t>
      </w:r>
      <w:r>
        <w:t>for</w:t>
      </w:r>
      <w:r w:rsidRPr="0003290C">
        <w:t xml:space="preserve"> that pest.</w:t>
      </w:r>
    </w:p>
    <w:p w:rsidR="004D5CBC" w:rsidRDefault="004D5CBC">
      <w:r w:rsidRPr="0003290C">
        <w:t xml:space="preserve">If dragon fruit consignments are repeatedly non-compliant, the Australian Government Department </w:t>
      </w:r>
      <w:r>
        <w:t>of Agriculture and Water Resources reserves the right to suspend imports (either all imports or imports from specific pathways) and conduct an audit of the risk management systems. Imports will be allowed to recommence only when the Australian Government Department of Agriculture and Water Resources is satisfied that appropriate corrective action has been undertaken.</w:t>
      </w:r>
    </w:p>
    <w:p w:rsidR="004D5CBC" w:rsidRDefault="004D5CBC" w:rsidP="004D5CBC">
      <w:pPr>
        <w:pStyle w:val="Heading3"/>
        <w:numPr>
          <w:ilvl w:val="1"/>
          <w:numId w:val="11"/>
        </w:numPr>
      </w:pPr>
      <w:bookmarkStart w:id="93" w:name="_Toc389741459"/>
      <w:bookmarkStart w:id="94" w:name="_Toc520996433"/>
      <w:r>
        <w:lastRenderedPageBreak/>
        <w:t>Uncategorised pests</w:t>
      </w:r>
      <w:bookmarkEnd w:id="93"/>
      <w:bookmarkEnd w:id="94"/>
    </w:p>
    <w:p w:rsidR="004D5CBC" w:rsidRDefault="004D5CBC" w:rsidP="00C01C44">
      <w:r>
        <w:t xml:space="preserve">Any organism </w:t>
      </w:r>
      <w:r w:rsidRPr="0003290C">
        <w:t xml:space="preserve">that has not been categorised, including </w:t>
      </w:r>
      <w:r>
        <w:t xml:space="preserve">a </w:t>
      </w:r>
      <w:r w:rsidRPr="0003290C">
        <w:t>contaminant pest, detected on dragon fruit either in Indonesia or on</w:t>
      </w:r>
      <w:r>
        <w:t xml:space="preserve"> arrival in Australia, will require assessment by</w:t>
      </w:r>
      <w:r w:rsidRPr="002E2E4A">
        <w:t xml:space="preserve"> </w:t>
      </w:r>
      <w:r>
        <w:t>the Australian Government Department of Agriculture and Water Resources to determine its quarantine status and whether phytosanitary action is required.</w:t>
      </w:r>
    </w:p>
    <w:p w:rsidR="004D5CBC" w:rsidRDefault="004D5CBC" w:rsidP="00C01C44">
      <w:r>
        <w:t>Assessment will also be required for any detected species that was categorised as not likely to be on the import pathway. The detection of any pests of quarantine concern not already identified in this analysis may result in remedial action and/or temporary suspension of trade while a review is conducted in order to ensure that the applied measures continue to provide the appropriate level of protection for Australia.</w:t>
      </w:r>
    </w:p>
    <w:p w:rsidR="004D5CBC" w:rsidRDefault="004D5CBC" w:rsidP="004D5CBC">
      <w:pPr>
        <w:pStyle w:val="Heading3"/>
        <w:numPr>
          <w:ilvl w:val="1"/>
          <w:numId w:val="11"/>
        </w:numPr>
      </w:pPr>
      <w:bookmarkStart w:id="95" w:name="_Toc520996434"/>
      <w:r>
        <w:t>Review of processes</w:t>
      </w:r>
      <w:bookmarkEnd w:id="95"/>
    </w:p>
    <w:p w:rsidR="004D5CBC" w:rsidRDefault="004D5CBC" w:rsidP="004D5CBC">
      <w:pPr>
        <w:pStyle w:val="Heading4"/>
        <w:numPr>
          <w:ilvl w:val="2"/>
          <w:numId w:val="11"/>
        </w:numPr>
      </w:pPr>
      <w:r>
        <w:t>Verification of protocol</w:t>
      </w:r>
    </w:p>
    <w:p w:rsidR="004D5CBC" w:rsidRPr="00846DB3" w:rsidRDefault="004D5CBC" w:rsidP="00C01C44">
      <w:pPr>
        <w:rPr>
          <w:shd w:val="clear" w:color="auto" w:fill="DEEAF6" w:themeFill="accent1" w:themeFillTint="33"/>
        </w:rPr>
      </w:pPr>
      <w:r>
        <w:t xml:space="preserve">Prior to or during the first season of trade, the Australian Government </w:t>
      </w:r>
      <w:r w:rsidRPr="00F10C46">
        <w:t xml:space="preserve">Department of Agriculture and Water Resources </w:t>
      </w:r>
      <w:r>
        <w:t xml:space="preserve">will verify the implementation of agreed import conditions and phytosanitary measures including registration, operational procedures and treatment providers, </w:t>
      </w:r>
      <w:r w:rsidRPr="00596346">
        <w:t xml:space="preserve">where applicable. This may involve representatives from the Australian Government Department of Agriculture and Water Resources visiting areas in Indonesia that produce dragon fruit for export </w:t>
      </w:r>
      <w:r>
        <w:t>to Australia.</w:t>
      </w:r>
    </w:p>
    <w:p w:rsidR="004D5CBC" w:rsidRDefault="004D5CBC" w:rsidP="004D5CBC">
      <w:pPr>
        <w:pStyle w:val="Heading4"/>
        <w:numPr>
          <w:ilvl w:val="2"/>
          <w:numId w:val="11"/>
        </w:numPr>
      </w:pPr>
      <w:r>
        <w:t>Review of policy</w:t>
      </w:r>
    </w:p>
    <w:p w:rsidR="004D5CBC" w:rsidRPr="00596346" w:rsidRDefault="004D5CBC">
      <w:r>
        <w:t xml:space="preserve">The Australian Government </w:t>
      </w:r>
      <w:r w:rsidRPr="00596346">
        <w:t>Department of Agriculture and Water Resources will review the import policy after the first year of trade</w:t>
      </w:r>
      <w:r>
        <w:t xml:space="preserve"> to ensure it is achieving the required biosecurity outcomes</w:t>
      </w:r>
      <w:r w:rsidRPr="00596346">
        <w:t xml:space="preserve">. In addition, the department reserves the right to review the import policy as deemed necessary, </w:t>
      </w:r>
      <w:r>
        <w:t>for example, if</w:t>
      </w:r>
      <w:r w:rsidRPr="00596346">
        <w:t xml:space="preserve"> there is reason to believe that </w:t>
      </w:r>
      <w:r>
        <w:t>any</w:t>
      </w:r>
      <w:r w:rsidRPr="00596346">
        <w:t xml:space="preserve"> pest or phytosanitary status in Indonesia has changed.</w:t>
      </w:r>
    </w:p>
    <w:p w:rsidR="004D5CBC" w:rsidRPr="00596346" w:rsidRDefault="004D5CBC">
      <w:r w:rsidRPr="00596346">
        <w:t>IAQA must inform the Australian Government Department of Agriculture and Water Resources immediately on detection in Indonesia of any new pests of dragon fruit that are of potential quarantine concern to Australia.</w:t>
      </w:r>
    </w:p>
    <w:p w:rsidR="004D5CBC" w:rsidRDefault="004D5CBC" w:rsidP="004D5CBC">
      <w:pPr>
        <w:pStyle w:val="Heading3"/>
        <w:numPr>
          <w:ilvl w:val="1"/>
          <w:numId w:val="11"/>
        </w:numPr>
      </w:pPr>
      <w:bookmarkStart w:id="96" w:name="_Toc520996435"/>
      <w:r>
        <w:t>Meeting Australia’s food laws</w:t>
      </w:r>
      <w:bookmarkEnd w:id="96"/>
    </w:p>
    <w:p w:rsidR="004D5CBC" w:rsidRDefault="004D5CBC" w:rsidP="00547500">
      <w:pPr>
        <w:rPr>
          <w:rFonts w:eastAsiaTheme="minorEastAsia" w:cs="Times New Roman"/>
        </w:rPr>
      </w:pPr>
      <w:r>
        <w:t xml:space="preserve">Imported food for human consumption must comply with the requirements of the </w:t>
      </w:r>
      <w:r>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rsidR="004D5CBC" w:rsidRDefault="004D5CBC" w:rsidP="00547500">
      <w:r>
        <w:t xml:space="preserve">The Australian Government Department of Agriculture and Water Resources administers the </w:t>
      </w:r>
      <w:r>
        <w:rPr>
          <w:i/>
          <w:iCs/>
        </w:rPr>
        <w:t>Imported Food Control Act 1992</w:t>
      </w:r>
      <w:r>
        <w:t xml:space="preserve">. This legislation provides for the inspection and control of imported food using a risk-based border inspection program, the Imported Food Inspection Scheme. More information on this inspection scheme, including the testing of imported food, is available from the </w:t>
      </w:r>
      <w:hyperlink r:id="rId37" w:history="1">
        <w:r>
          <w:rPr>
            <w:rStyle w:val="Hyperlink"/>
          </w:rPr>
          <w:t>department’s website</w:t>
        </w:r>
      </w:hyperlink>
      <w:r>
        <w:t>.</w:t>
      </w:r>
    </w:p>
    <w:p w:rsidR="004D5CBC" w:rsidRDefault="004D5CBC" w:rsidP="00547500">
      <w:r>
        <w:t xml:space="preserve">Food Standards Australia New Zealand (FSANZ) is responsible for developing and maintaining the Code, including Standard 1.4.2 - Agvet chemicals. This standard is available on the </w:t>
      </w:r>
      <w:hyperlink r:id="rId38" w:history="1">
        <w:r>
          <w:rPr>
            <w:rStyle w:val="Hyperlink"/>
          </w:rPr>
          <w:t>Federal Register of Legislation</w:t>
        </w:r>
      </w:hyperlink>
      <w:r>
        <w:t xml:space="preserve"> or through the </w:t>
      </w:r>
      <w:hyperlink r:id="rId39" w:history="1">
        <w:r>
          <w:rPr>
            <w:rStyle w:val="Hyperlink"/>
          </w:rPr>
          <w:t>FSANZ website</w:t>
        </w:r>
      </w:hyperlink>
      <w:r>
        <w:t>.</w:t>
      </w:r>
    </w:p>
    <w:p w:rsidR="004D5CBC" w:rsidRDefault="004D5CBC" w:rsidP="00547500">
      <w:r>
        <w:lastRenderedPageBreak/>
        <w:t>Standard 1.4.2 and Schedules 20 and 21 of the Code set out the maximum residue limits (MRLs) and extraneous residue limits (ERLs) for agricultural or veterinary chemicals that are permitted in food, including imported food.</w:t>
      </w:r>
    </w:p>
    <w:p w:rsidR="004D5CBC" w:rsidRDefault="004D5CBC" w:rsidP="00547500">
      <w:r>
        <w:t>Standard 1.1.1 of the Code specifies that a food must not have, as an ingredient or a component, a detectable amount of an Agvet chemical or a metabolite or a degradation product of the Agvet chemical unless expressly permitted by the Code.</w:t>
      </w:r>
    </w:p>
    <w:p w:rsidR="004D5CBC" w:rsidRDefault="004D5CBC" w:rsidP="00547500">
      <w:r>
        <w:t>Standard 1.5.3 of the code stipulates the mandatory requirements where irradiation is applied as a phytosanitary measure, including the permitted fruit and vegetables, sources of irradiation, minimum and a maximum absorbed dose, and the record keeping and labelling requirements for irradiated produce.</w:t>
      </w:r>
    </w:p>
    <w:p w:rsidR="004D5CBC" w:rsidRDefault="004D5CBC">
      <w:pPr>
        <w:sectPr w:rsidR="004D5CBC" w:rsidSect="00E44380">
          <w:headerReference w:type="default" r:id="rId40"/>
          <w:pgSz w:w="11906" w:h="16838"/>
          <w:pgMar w:top="1418" w:right="1418" w:bottom="1418" w:left="1418" w:header="567" w:footer="283" w:gutter="0"/>
          <w:cols w:space="708"/>
          <w:docGrid w:linePitch="360"/>
        </w:sectPr>
      </w:pPr>
    </w:p>
    <w:p w:rsidR="004D5CBC" w:rsidRDefault="004D5CBC" w:rsidP="004D5CBC">
      <w:pPr>
        <w:pStyle w:val="Heading2"/>
        <w:numPr>
          <w:ilvl w:val="0"/>
          <w:numId w:val="11"/>
        </w:numPr>
      </w:pPr>
      <w:bookmarkStart w:id="97" w:name="_Toc520996436"/>
      <w:r>
        <w:lastRenderedPageBreak/>
        <w:t>Conclusion</w:t>
      </w:r>
      <w:bookmarkEnd w:id="97"/>
    </w:p>
    <w:p w:rsidR="004D5CBC" w:rsidRPr="00F201BE" w:rsidRDefault="004D5CBC" w:rsidP="003C32C4">
      <w:r>
        <w:t xml:space="preserve">The findings of </w:t>
      </w:r>
      <w:r w:rsidRPr="00F201BE">
        <w:t xml:space="preserve">this </w:t>
      </w:r>
      <w:r>
        <w:rPr>
          <w:i/>
        </w:rPr>
        <w:t>Final</w:t>
      </w:r>
      <w:r w:rsidRPr="004D32A6">
        <w:rPr>
          <w:i/>
        </w:rPr>
        <w:t xml:space="preserve"> report for the review of biosecurity import requirements for dragon fruit from Indonesia</w:t>
      </w:r>
      <w:r w:rsidRPr="00F201BE">
        <w:t xml:space="preserve"> are</w:t>
      </w:r>
      <w:r>
        <w:t xml:space="preserve"> based on a comprehensive </w:t>
      </w:r>
      <w:r w:rsidRPr="00F201BE">
        <w:t>scientific a</w:t>
      </w:r>
      <w:r>
        <w:t>nalysis of relevant literature.</w:t>
      </w:r>
    </w:p>
    <w:p w:rsidR="004D5CBC" w:rsidRPr="00F201BE" w:rsidRDefault="004D5CBC" w:rsidP="003C32C4">
      <w:r w:rsidRPr="00F201BE">
        <w:t xml:space="preserve">The Australian Government Department of Agriculture and Water Resources considers that the risk management measures </w:t>
      </w:r>
      <w:r>
        <w:t>recommended</w:t>
      </w:r>
      <w:r w:rsidRPr="00F201BE">
        <w:t xml:space="preserve"> in this report will provide an appropriate level of protection against the pests identified as associated with the trade of dragon fruit from Indonesia.</w:t>
      </w:r>
    </w:p>
    <w:p w:rsidR="004D5CBC" w:rsidRDefault="004D5CBC" w:rsidP="003C32C4"/>
    <w:p w:rsidR="004D5CBC" w:rsidRDefault="004D5CBC" w:rsidP="003C32C4">
      <w:pPr>
        <w:sectPr w:rsidR="004D5CBC">
          <w:headerReference w:type="default" r:id="rId41"/>
          <w:pgSz w:w="11906" w:h="16838"/>
          <w:pgMar w:top="1418" w:right="1418" w:bottom="1418" w:left="1418" w:header="567" w:footer="283" w:gutter="0"/>
          <w:cols w:space="708"/>
          <w:docGrid w:linePitch="360"/>
        </w:sectPr>
      </w:pPr>
    </w:p>
    <w:p w:rsidR="004D5CBC" w:rsidRDefault="004D5CBC" w:rsidP="003C32C4">
      <w:pPr>
        <w:pStyle w:val="Heading2"/>
        <w:tabs>
          <w:tab w:val="clear" w:pos="794"/>
        </w:tabs>
        <w:ind w:left="0" w:firstLine="0"/>
      </w:pPr>
      <w:bookmarkStart w:id="98" w:name="_Toc520996437"/>
      <w:r>
        <w:lastRenderedPageBreak/>
        <w:t xml:space="preserve">Appendix A: Categorisation of pests of fresh </w:t>
      </w:r>
      <w:r w:rsidRPr="00EA4A26">
        <w:t>dragon fruit</w:t>
      </w:r>
      <w:r>
        <w:t xml:space="preserve"> from </w:t>
      </w:r>
      <w:r w:rsidRPr="00EA4A26">
        <w:t>Indonesia</w:t>
      </w:r>
      <w:bookmarkEnd w:id="98"/>
    </w:p>
    <w:p w:rsidR="004D5CBC" w:rsidRDefault="004D5CBC" w:rsidP="00EA4A26">
      <w:r>
        <w:t>The following pest categorisation table lists</w:t>
      </w:r>
      <w:r w:rsidRPr="00F80908">
        <w:t xml:space="preserve"> pests of </w:t>
      </w:r>
      <w:r>
        <w:t xml:space="preserve">dragon fruit from </w:t>
      </w:r>
      <w:r w:rsidRPr="00F80908">
        <w:t>Indonesia</w:t>
      </w:r>
      <w:r>
        <w:t>. The steps in the initiation and categorisation processes are considered sequentially, with the assessment terminating at ‘Yes’ for column 3 (except for pests that are present, but under official control and/or pests of regional concern) or at the first ‘No’ for columns 4, 5 or 6.</w:t>
      </w:r>
    </w:p>
    <w:p w:rsidR="004D5CBC" w:rsidRDefault="004D5CBC" w:rsidP="00EA4A26">
      <w:r>
        <w:t xml:space="preserve">In the final column of the table (column 7) the </w:t>
      </w:r>
      <w:r w:rsidRPr="007227C6">
        <w:t>acronyms ‘</w:t>
      </w:r>
      <w:r w:rsidRPr="007227C6">
        <w:rPr>
          <w:color w:val="000000" w:themeColor="text1"/>
        </w:rPr>
        <w:t>EP’ and ‘WA</w:t>
      </w:r>
      <w:r w:rsidRPr="007227C6">
        <w:t>’ are used.</w:t>
      </w:r>
      <w:r>
        <w:t xml:space="preserve"> </w:t>
      </w:r>
      <w:r w:rsidRPr="00F80908">
        <w:t>The acronym EP (</w:t>
      </w:r>
      <w:r w:rsidRPr="005D2527">
        <w:t>existing policy) is used for pests that had previously been assessed by Australia and for which policy existed before the publication of the dragon fruit from Vietnam</w:t>
      </w:r>
      <w:r>
        <w:t xml:space="preserve"> report and final</w:t>
      </w:r>
      <w:r w:rsidRPr="005D2527">
        <w:t xml:space="preserve"> policy. </w:t>
      </w:r>
      <w:r>
        <w:t>T</w:t>
      </w:r>
      <w:r w:rsidRPr="005D2527">
        <w:t>he acronym WA is used to identify organisms that have been recorded in some regions of Australia but, due to interstate quarantine regulations, are considered pests of regional concern to Western Australia.</w:t>
      </w:r>
    </w:p>
    <w:p w:rsidR="004D5CBC" w:rsidRDefault="004D5CBC" w:rsidP="003C32C4">
      <w:r>
        <w:t>Details of the method used in this risk analysis are given in Section 2: Method for pest risk analysis.</w:t>
      </w:r>
    </w:p>
    <w:p w:rsidR="004D5CBC" w:rsidRDefault="004D5CBC" w:rsidP="003C32C4">
      <w:r>
        <w:t xml:space="preserve">The </w:t>
      </w:r>
      <w:r w:rsidRPr="0005181C">
        <w:rPr>
          <w:i/>
        </w:rPr>
        <w:t>Final group pest risk analysis for thrips and orthotospoviruses on fresh fruit, vegetable, cut-flower and foliage imports</w:t>
      </w:r>
      <w:r>
        <w:t xml:space="preserve"> </w:t>
      </w:r>
      <w:r>
        <w:rPr>
          <w:noProof/>
        </w:rPr>
        <w:t>(Australian Government Department of Agriculture and Water Resources 2017)</w:t>
      </w:r>
      <w:r>
        <w:t xml:space="preserve"> has been applied in this risk analysis.</w:t>
      </w:r>
    </w:p>
    <w:p w:rsidR="004D5CBC" w:rsidRDefault="004D5CBC" w:rsidP="00EA4A26">
      <w:r w:rsidRPr="005D2527">
        <w:t xml:space="preserve">For the purposes of pest categorisation, the table </w:t>
      </w:r>
      <w:r>
        <w:t>does</w:t>
      </w:r>
      <w:r w:rsidRPr="005D2527">
        <w:t xml:space="preserve"> not</w:t>
      </w:r>
      <w:r>
        <w:t xml:space="preserve"> provide</w:t>
      </w:r>
      <w:r w:rsidRPr="005D2527">
        <w:t xml:space="preserve"> a comprehensive list of all species associated with the entire plant, but concentrates on pests that could be on the </w:t>
      </w:r>
      <w:r>
        <w:t>fresh dragon fruit import pathway</w:t>
      </w:r>
      <w:r w:rsidRPr="005D2527">
        <w:t>. Reference</w:t>
      </w:r>
      <w:r>
        <w:t>s</w:t>
      </w:r>
      <w:r w:rsidRPr="005D2527">
        <w:t xml:space="preserve"> </w:t>
      </w:r>
      <w:r w:rsidRPr="00B17A7D">
        <w:t>to soil</w:t>
      </w:r>
      <w:r w:rsidRPr="00B17A7D">
        <w:noBreakHyphen/>
        <w:t>borne nematodes, soil</w:t>
      </w:r>
      <w:r w:rsidRPr="00B17A7D">
        <w:noBreakHyphen/>
        <w:t>borne pathogens, wood</w:t>
      </w:r>
      <w:r w:rsidRPr="00B17A7D">
        <w:noBreakHyphen/>
        <w:t>borer pests, root pests or pathogens, stored product pests and secondary pests have not been listed, as they</w:t>
      </w:r>
      <w:r>
        <w:t xml:space="preserve"> are not directly related to the import pathway of the fresh dragon fruit commodity and would be addressed by Australia’s current approach to contaminating pests.</w:t>
      </w:r>
    </w:p>
    <w:p w:rsidR="004D5CBC" w:rsidRDefault="004D5CBC" w:rsidP="004423EE">
      <w:pPr>
        <w:sectPr w:rsidR="004D5CBC" w:rsidSect="0093516D">
          <w:headerReference w:type="default" r:id="rId42"/>
          <w:footerReference w:type="default" r:id="rId43"/>
          <w:pgSz w:w="11906" w:h="16838" w:code="9"/>
          <w:pgMar w:top="1418" w:right="1418" w:bottom="1418" w:left="1418" w:header="567" w:footer="284" w:gutter="0"/>
          <w:cols w:space="708"/>
          <w:docGrid w:linePitch="360"/>
        </w:sectPr>
      </w:pPr>
      <w:r w:rsidRPr="006C18C4">
        <w:t>The department is aware of the recent changes in fungal nomenclature</w:t>
      </w:r>
      <w:r>
        <w:t>,</w:t>
      </w:r>
      <w:r w:rsidRPr="006C18C4">
        <w:t xml:space="preserve"> which ended the separate naming of diffe</w:t>
      </w:r>
      <w:r>
        <w:t>rent states of fungi with a ple</w:t>
      </w:r>
      <w:r w:rsidRPr="006C18C4">
        <w:t>omorphic life cycle.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w:t>
      </w:r>
      <w:r>
        <w:t>al names become available, the</w:t>
      </w:r>
      <w:r w:rsidRPr="006C18C4">
        <w:t xml:space="preserve"> accepted names will be adopted.</w:t>
      </w:r>
    </w:p>
    <w:tbl>
      <w:tblPr>
        <w:tblW w:w="4811"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2269"/>
        <w:gridCol w:w="1701"/>
        <w:gridCol w:w="2126"/>
        <w:gridCol w:w="2126"/>
        <w:gridCol w:w="2126"/>
        <w:gridCol w:w="1843"/>
        <w:gridCol w:w="1282"/>
      </w:tblGrid>
      <w:tr w:rsidR="004D5CBC" w:rsidTr="00240BBE">
        <w:trPr>
          <w:cantSplit/>
          <w:tblHeader/>
          <w:jc w:val="center"/>
        </w:trPr>
        <w:tc>
          <w:tcPr>
            <w:tcW w:w="2269" w:type="dxa"/>
            <w:shd w:val="clear" w:color="auto" w:fill="auto"/>
            <w:vAlign w:val="bottom"/>
          </w:tcPr>
          <w:p w:rsidR="004D5CBC" w:rsidRDefault="004D5CBC" w:rsidP="0047179D">
            <w:pPr>
              <w:pStyle w:val="TableHeading"/>
            </w:pPr>
            <w:r>
              <w:lastRenderedPageBreak/>
              <w:t>Pest</w:t>
            </w:r>
          </w:p>
        </w:tc>
        <w:tc>
          <w:tcPr>
            <w:tcW w:w="1701" w:type="dxa"/>
            <w:shd w:val="clear" w:color="auto" w:fill="auto"/>
            <w:vAlign w:val="bottom"/>
          </w:tcPr>
          <w:p w:rsidR="004D5CBC" w:rsidRDefault="004D5CBC" w:rsidP="00A75CCE">
            <w:pPr>
              <w:pStyle w:val="TableHeading"/>
            </w:pPr>
            <w:r w:rsidRPr="00F60D06">
              <w:t>Presen</w:t>
            </w:r>
            <w:r>
              <w:t>t</w:t>
            </w:r>
            <w:r w:rsidRPr="00F60D06">
              <w:t xml:space="preserve"> in </w:t>
            </w:r>
            <w:r>
              <w:t>Indonesia</w:t>
            </w:r>
          </w:p>
        </w:tc>
        <w:tc>
          <w:tcPr>
            <w:tcW w:w="2126" w:type="dxa"/>
            <w:shd w:val="clear" w:color="auto" w:fill="auto"/>
            <w:vAlign w:val="bottom"/>
          </w:tcPr>
          <w:p w:rsidR="004D5CBC" w:rsidRDefault="004D5CBC" w:rsidP="0047179D">
            <w:pPr>
              <w:pStyle w:val="TableHeading"/>
            </w:pPr>
            <w:r>
              <w:t>Present within Australia</w:t>
            </w:r>
          </w:p>
        </w:tc>
        <w:tc>
          <w:tcPr>
            <w:tcW w:w="2126" w:type="dxa"/>
            <w:shd w:val="clear" w:color="auto" w:fill="auto"/>
            <w:vAlign w:val="bottom"/>
          </w:tcPr>
          <w:p w:rsidR="004D5CBC" w:rsidRDefault="004D5CBC" w:rsidP="0047179D">
            <w:pPr>
              <w:pStyle w:val="TableHeading"/>
            </w:pPr>
            <w:r>
              <w:t>Potential to be on pathway</w:t>
            </w:r>
          </w:p>
        </w:tc>
        <w:tc>
          <w:tcPr>
            <w:tcW w:w="2126" w:type="dxa"/>
            <w:shd w:val="clear" w:color="auto" w:fill="auto"/>
            <w:vAlign w:val="bottom"/>
          </w:tcPr>
          <w:p w:rsidR="004D5CBC" w:rsidRDefault="004D5CBC" w:rsidP="0047179D">
            <w:pPr>
              <w:pStyle w:val="TableHeading"/>
            </w:pPr>
            <w:r>
              <w:t>Potential for establishment and spread</w:t>
            </w:r>
          </w:p>
        </w:tc>
        <w:tc>
          <w:tcPr>
            <w:tcW w:w="1843" w:type="dxa"/>
            <w:shd w:val="clear" w:color="auto" w:fill="auto"/>
            <w:vAlign w:val="bottom"/>
          </w:tcPr>
          <w:p w:rsidR="004D5CBC" w:rsidRDefault="004D5CBC" w:rsidP="0047179D">
            <w:pPr>
              <w:pStyle w:val="TableHeading"/>
            </w:pPr>
            <w:r>
              <w:t>Potential for economic consequences</w:t>
            </w:r>
          </w:p>
        </w:tc>
        <w:tc>
          <w:tcPr>
            <w:tcW w:w="1282" w:type="dxa"/>
            <w:shd w:val="clear" w:color="auto" w:fill="auto"/>
            <w:vAlign w:val="bottom"/>
          </w:tcPr>
          <w:p w:rsidR="004D5CBC" w:rsidRDefault="004D5CBC" w:rsidP="0047179D">
            <w:pPr>
              <w:pStyle w:val="TableHeading"/>
            </w:pPr>
            <w:r>
              <w:t>Pest risk assessment required</w:t>
            </w:r>
          </w:p>
        </w:tc>
      </w:tr>
      <w:tr w:rsidR="004D5CBC" w:rsidTr="00240BBE">
        <w:trPr>
          <w:cantSplit/>
          <w:jc w:val="center"/>
        </w:trPr>
        <w:tc>
          <w:tcPr>
            <w:tcW w:w="13473" w:type="dxa"/>
            <w:gridSpan w:val="7"/>
            <w:shd w:val="clear" w:color="auto" w:fill="auto"/>
          </w:tcPr>
          <w:p w:rsidR="004D5CBC" w:rsidRPr="0056567F" w:rsidRDefault="004D5CBC" w:rsidP="004A603B">
            <w:pPr>
              <w:pStyle w:val="TableText"/>
              <w:keepNext/>
              <w:rPr>
                <w:b/>
                <w:lang w:val="pt-BR"/>
              </w:rPr>
            </w:pPr>
            <w:r w:rsidRPr="0056567F">
              <w:rPr>
                <w:b/>
                <w:lang w:val="pt-BR"/>
              </w:rPr>
              <w:t>ARTHROPODS</w:t>
            </w:r>
          </w:p>
        </w:tc>
      </w:tr>
      <w:tr w:rsidR="004D5CBC" w:rsidRPr="004A603B" w:rsidTr="00240BBE">
        <w:trPr>
          <w:cantSplit/>
          <w:jc w:val="center"/>
        </w:trPr>
        <w:tc>
          <w:tcPr>
            <w:tcW w:w="13473" w:type="dxa"/>
            <w:gridSpan w:val="7"/>
            <w:shd w:val="clear" w:color="auto" w:fill="auto"/>
          </w:tcPr>
          <w:p w:rsidR="004D5CBC" w:rsidRPr="004A603B" w:rsidRDefault="004D5CBC" w:rsidP="004A603B">
            <w:pPr>
              <w:pStyle w:val="TableText"/>
              <w:keepNext/>
            </w:pPr>
            <w:r w:rsidRPr="004A603B">
              <w:rPr>
                <w:bCs/>
              </w:rPr>
              <w:t>Diptera</w:t>
            </w:r>
          </w:p>
        </w:tc>
      </w:tr>
      <w:tr w:rsidR="004D5CBC" w:rsidTr="00240BBE">
        <w:trPr>
          <w:cantSplit/>
          <w:trHeight w:val="75"/>
          <w:jc w:val="center"/>
        </w:trPr>
        <w:tc>
          <w:tcPr>
            <w:tcW w:w="2269" w:type="dxa"/>
            <w:shd w:val="clear" w:color="auto" w:fill="auto"/>
          </w:tcPr>
          <w:p w:rsidR="004D5CBC" w:rsidRPr="0047179D" w:rsidRDefault="004D5CBC" w:rsidP="0047179D">
            <w:pPr>
              <w:pStyle w:val="TableText"/>
              <w:rPr>
                <w:iCs/>
                <w:lang w:val="pt-BR"/>
              </w:rPr>
            </w:pPr>
            <w:r w:rsidRPr="0047179D">
              <w:rPr>
                <w:i/>
                <w:lang w:val="pt-BR"/>
              </w:rPr>
              <w:t xml:space="preserve">Bactrocera cucurbitae </w:t>
            </w:r>
            <w:r w:rsidRPr="0047179D">
              <w:rPr>
                <w:lang w:val="pt-BR"/>
              </w:rPr>
              <w:t>(</w:t>
            </w:r>
            <w:r w:rsidRPr="0047179D">
              <w:rPr>
                <w:iCs/>
                <w:lang w:val="pt-BR"/>
              </w:rPr>
              <w:t>Coquillett, 1899)</w:t>
            </w:r>
          </w:p>
          <w:p w:rsidR="004D5CBC" w:rsidRDefault="004D5CBC" w:rsidP="00C2204E">
            <w:pPr>
              <w:pStyle w:val="TableText"/>
              <w:rPr>
                <w:iCs/>
                <w:lang w:val="pt-BR"/>
              </w:rPr>
            </w:pPr>
            <w:r w:rsidRPr="0047179D">
              <w:rPr>
                <w:iCs/>
                <w:lang w:val="pt-BR"/>
              </w:rPr>
              <w:t>[Tephritidae]</w:t>
            </w:r>
          </w:p>
          <w:p w:rsidR="004D5CBC" w:rsidRPr="0047179D" w:rsidRDefault="004D5CBC" w:rsidP="0047179D">
            <w:pPr>
              <w:pStyle w:val="TableText"/>
            </w:pPr>
            <w:r>
              <w:rPr>
                <w:iCs/>
                <w:lang w:val="pt-BR"/>
              </w:rPr>
              <w:t>Melon fly</w:t>
            </w:r>
          </w:p>
        </w:tc>
        <w:tc>
          <w:tcPr>
            <w:tcW w:w="1701" w:type="dxa"/>
            <w:shd w:val="clear" w:color="auto" w:fill="auto"/>
          </w:tcPr>
          <w:p w:rsidR="004D5CBC" w:rsidRPr="00DC57B3" w:rsidRDefault="004D5CBC" w:rsidP="00EF2C72">
            <w:pPr>
              <w:pStyle w:val="TableText"/>
            </w:pPr>
            <w:r>
              <w:t>Yes</w:t>
            </w:r>
            <w:r w:rsidRPr="00973015">
              <w:t xml:space="preserve"> </w:t>
            </w:r>
            <w:r>
              <w:rPr>
                <w:noProof/>
              </w:rPr>
              <w:t>(CABI 2018; Drew &amp; Romig 2013)</w:t>
            </w:r>
          </w:p>
        </w:tc>
        <w:tc>
          <w:tcPr>
            <w:tcW w:w="2126" w:type="dxa"/>
            <w:shd w:val="clear" w:color="auto" w:fill="auto"/>
          </w:tcPr>
          <w:p w:rsidR="004D5CBC" w:rsidRPr="00DC57B3" w:rsidRDefault="004D5CBC" w:rsidP="00EF2C72">
            <w:pPr>
              <w:pStyle w:val="TableText"/>
            </w:pPr>
            <w:r w:rsidRPr="000E712F">
              <w:t xml:space="preserve">No. Records of </w:t>
            </w:r>
            <w:r w:rsidRPr="00DC57B3">
              <w:rPr>
                <w:i/>
              </w:rPr>
              <w:t>Bactrocera cucurbitae</w:t>
            </w:r>
            <w:r w:rsidRPr="000E712F">
              <w:t xml:space="preserve"> in Australia refer to Christmas Island and occasional outbreaks in the Torres Strait Islands </w:t>
            </w:r>
            <w:r>
              <w:rPr>
                <w:noProof/>
              </w:rPr>
              <w:t>(CSIRO 2017)</w:t>
            </w:r>
            <w:r w:rsidRPr="000E712F">
              <w:t xml:space="preserve">. The Torres Strait Islands </w:t>
            </w:r>
            <w:r>
              <w:t>are</w:t>
            </w:r>
            <w:r w:rsidRPr="000E712F">
              <w:t xml:space="preserve"> a group of more than 270 islands in a narrow channel (150 km wide) between Australia and Papua New Guinea. There are quarantine measures in place to prevent the spread of </w:t>
            </w:r>
            <w:r w:rsidRPr="00DC57B3">
              <w:rPr>
                <w:i/>
              </w:rPr>
              <w:t>B. cucurbitae</w:t>
            </w:r>
            <w:r w:rsidRPr="000E712F">
              <w:t xml:space="preserve"> to mainland Au</w:t>
            </w:r>
            <w:r>
              <w:t>stralia from the Torres Strait I</w:t>
            </w:r>
            <w:r w:rsidRPr="000E712F">
              <w:t xml:space="preserve">slands </w:t>
            </w:r>
            <w:r>
              <w:rPr>
                <w:noProof/>
              </w:rPr>
              <w:t>(Department of Agriculture and Water Resources 2017b)</w:t>
            </w:r>
            <w:r w:rsidRPr="000E712F">
              <w:t>. Christmas Island is an external territory of Australia situated in the Indian Ocean lying more than 1500 km northwest of the mainland.</w:t>
            </w:r>
          </w:p>
        </w:tc>
        <w:tc>
          <w:tcPr>
            <w:tcW w:w="2126" w:type="dxa"/>
            <w:shd w:val="clear" w:color="auto" w:fill="auto"/>
          </w:tcPr>
          <w:p w:rsidR="004D5CBC" w:rsidRPr="000E712F" w:rsidRDefault="004D5CBC" w:rsidP="00EF2C72">
            <w:pPr>
              <w:pStyle w:val="TableText"/>
              <w:rPr>
                <w:lang w:val="pt-BR"/>
              </w:rPr>
            </w:pPr>
            <w:r w:rsidRPr="000E712F">
              <w:t xml:space="preserve">Yes. This species has been intercepted in infested </w:t>
            </w:r>
            <w:r>
              <w:t xml:space="preserve">fruit of commercial </w:t>
            </w:r>
            <w:r w:rsidRPr="000E712F">
              <w:t>dragon fruit consignments</w:t>
            </w:r>
            <w:r w:rsidRPr="000E712F">
              <w:rPr>
                <w:noProof/>
              </w:rPr>
              <w:t xml:space="preserve"> </w:t>
            </w:r>
            <w:r>
              <w:rPr>
                <w:noProof/>
              </w:rPr>
              <w:t>(McQuate 2010)</w:t>
            </w:r>
            <w:r w:rsidRPr="000E712F">
              <w:t>.</w:t>
            </w:r>
          </w:p>
        </w:tc>
        <w:tc>
          <w:tcPr>
            <w:tcW w:w="2126" w:type="dxa"/>
            <w:shd w:val="clear" w:color="auto" w:fill="auto"/>
          </w:tcPr>
          <w:p w:rsidR="004D5CBC" w:rsidRDefault="004D5CBC" w:rsidP="00EF2C72">
            <w:pPr>
              <w:pStyle w:val="TableText"/>
            </w:pPr>
            <w:r w:rsidRPr="00973015">
              <w:t xml:space="preserve">Yes. </w:t>
            </w:r>
            <w:r w:rsidRPr="00F60D06">
              <w:rPr>
                <w:i/>
              </w:rPr>
              <w:t>Bactrocera cucurbitae</w:t>
            </w:r>
            <w:r w:rsidRPr="00973015">
              <w:t xml:space="preserve"> infests commercially grown cucurbit species including squash, cucumber and watermelon</w:t>
            </w:r>
            <w:r>
              <w:t xml:space="preserve"> </w:t>
            </w:r>
            <w:r>
              <w:rPr>
                <w:noProof/>
              </w:rPr>
              <w:t>(White &amp; Elson-Harris 1992)</w:t>
            </w:r>
            <w:r w:rsidRPr="00973015">
              <w:t>. It is widely distributed th</w:t>
            </w:r>
            <w:r>
              <w:t>roughout India, South East Asia</w:t>
            </w:r>
            <w:r w:rsidRPr="00973015">
              <w:t xml:space="preserve"> and Central Africa </w:t>
            </w:r>
            <w:r>
              <w:rPr>
                <w:noProof/>
              </w:rPr>
              <w:t>(CABI 2018; Dhillon et al. 2005)</w:t>
            </w:r>
            <w:r w:rsidRPr="00973015">
              <w:t>. The host range and current geographic distribution</w:t>
            </w:r>
            <w:r>
              <w:t xml:space="preserve"> of this pest suggest</w:t>
            </w:r>
            <w:r w:rsidRPr="00973015">
              <w:t xml:space="preserve"> that there are </w:t>
            </w:r>
            <w:r>
              <w:t xml:space="preserve">suitable </w:t>
            </w:r>
            <w:r w:rsidRPr="00973015">
              <w:t>environments for this pest to est</w:t>
            </w:r>
            <w:r>
              <w:t>ablish and spread in Australia.</w:t>
            </w:r>
          </w:p>
        </w:tc>
        <w:tc>
          <w:tcPr>
            <w:tcW w:w="1843" w:type="dxa"/>
            <w:shd w:val="clear" w:color="auto" w:fill="auto"/>
          </w:tcPr>
          <w:p w:rsidR="004D5CBC" w:rsidRDefault="004D5CBC" w:rsidP="00EF2C72">
            <w:pPr>
              <w:pStyle w:val="TableText"/>
            </w:pPr>
            <w:r w:rsidRPr="00973015">
              <w:t xml:space="preserve">Yes. Depending on the host and season, losses </w:t>
            </w:r>
            <w:r>
              <w:t xml:space="preserve">due </w:t>
            </w:r>
            <w:r w:rsidRPr="00973015">
              <w:t xml:space="preserve">to </w:t>
            </w:r>
            <w:r w:rsidRPr="00F60D06">
              <w:rPr>
                <w:i/>
              </w:rPr>
              <w:t>Bactrocera cucurbitae</w:t>
            </w:r>
            <w:r w:rsidRPr="00973015">
              <w:t xml:space="preserve"> can be up to 100% of a crop </w:t>
            </w:r>
            <w:r>
              <w:rPr>
                <w:noProof/>
              </w:rPr>
              <w:t>(Dhillon et al. 2005)</w:t>
            </w:r>
            <w:r w:rsidRPr="00973015">
              <w:t>.</w:t>
            </w:r>
          </w:p>
        </w:tc>
        <w:tc>
          <w:tcPr>
            <w:tcW w:w="1282" w:type="dxa"/>
            <w:shd w:val="clear" w:color="auto" w:fill="auto"/>
          </w:tcPr>
          <w:p w:rsidR="004D5CBC" w:rsidRDefault="004D5CBC" w:rsidP="003C32C4">
            <w:pPr>
              <w:pStyle w:val="TableText"/>
            </w:pPr>
            <w:r w:rsidRPr="00973015">
              <w:t>Yes (EP)</w:t>
            </w:r>
          </w:p>
        </w:tc>
      </w:tr>
      <w:tr w:rsidR="004D5CBC" w:rsidTr="00240BBE">
        <w:trPr>
          <w:cantSplit/>
          <w:trHeight w:val="75"/>
          <w:jc w:val="center"/>
        </w:trPr>
        <w:tc>
          <w:tcPr>
            <w:tcW w:w="2269" w:type="dxa"/>
            <w:shd w:val="clear" w:color="auto" w:fill="auto"/>
          </w:tcPr>
          <w:p w:rsidR="004D5CBC" w:rsidRPr="00B65F46" w:rsidRDefault="004D5CBC" w:rsidP="00DA08BB">
            <w:pPr>
              <w:pStyle w:val="TableText"/>
              <w:rPr>
                <w:i/>
                <w:iCs/>
                <w:lang w:val="pt-BR"/>
              </w:rPr>
            </w:pPr>
            <w:r w:rsidRPr="00B65F46">
              <w:rPr>
                <w:i/>
                <w:lang w:val="pt-BR"/>
              </w:rPr>
              <w:lastRenderedPageBreak/>
              <w:t xml:space="preserve">Bactrocera dorsalis </w:t>
            </w:r>
            <w:r w:rsidRPr="00B65F46">
              <w:rPr>
                <w:lang w:val="pt-BR"/>
              </w:rPr>
              <w:t>(</w:t>
            </w:r>
            <w:r w:rsidRPr="00B65F46">
              <w:rPr>
                <w:iCs/>
                <w:lang w:val="pt-BR"/>
              </w:rPr>
              <w:t>Hendel, 1912)</w:t>
            </w:r>
          </w:p>
          <w:p w:rsidR="004D5CBC" w:rsidRPr="00B65F46" w:rsidRDefault="004D5CBC" w:rsidP="00DA08BB">
            <w:pPr>
              <w:pStyle w:val="TableText"/>
              <w:rPr>
                <w:iCs/>
                <w:lang w:val="pt-BR"/>
              </w:rPr>
            </w:pPr>
            <w:r w:rsidRPr="00B65F46">
              <w:rPr>
                <w:iCs/>
                <w:lang w:val="pt-BR"/>
              </w:rPr>
              <w:t xml:space="preserve">Synonyms: </w:t>
            </w:r>
            <w:r w:rsidRPr="00B65F46">
              <w:rPr>
                <w:i/>
                <w:iCs/>
                <w:lang w:val="pt-BR"/>
              </w:rPr>
              <w:t>Bactrocera invadens</w:t>
            </w:r>
            <w:r w:rsidRPr="00B65F46">
              <w:rPr>
                <w:iCs/>
                <w:lang w:val="pt-BR"/>
              </w:rPr>
              <w:t xml:space="preserve"> Drew, Tsuruta &amp; White, 2005, </w:t>
            </w:r>
            <w:r w:rsidRPr="00B65F46">
              <w:rPr>
                <w:i/>
                <w:iCs/>
                <w:lang w:val="pt-BR"/>
              </w:rPr>
              <w:t>B. papayae</w:t>
            </w:r>
            <w:r w:rsidRPr="00B65F46">
              <w:rPr>
                <w:iCs/>
                <w:lang w:val="pt-BR"/>
              </w:rPr>
              <w:t xml:space="preserve"> Drew &amp; Hancock, 1994 and </w:t>
            </w:r>
            <w:r w:rsidRPr="00B65F46">
              <w:rPr>
                <w:i/>
                <w:iCs/>
                <w:lang w:val="pt-BR"/>
              </w:rPr>
              <w:t>B. philippinensis</w:t>
            </w:r>
            <w:r w:rsidRPr="00B65F46">
              <w:rPr>
                <w:iCs/>
                <w:lang w:val="pt-BR"/>
              </w:rPr>
              <w:t xml:space="preserve"> Drew &amp; Hancock, 1994 have recently been synonymised with </w:t>
            </w:r>
            <w:r w:rsidRPr="00B65F46">
              <w:rPr>
                <w:i/>
                <w:iCs/>
                <w:lang w:val="pt-BR"/>
              </w:rPr>
              <w:t xml:space="preserve">B. dorsalis </w:t>
            </w:r>
            <w:r>
              <w:rPr>
                <w:iCs/>
                <w:noProof/>
                <w:lang w:val="pt-BR"/>
              </w:rPr>
              <w:t>(Schutze et al. 2014).</w:t>
            </w:r>
          </w:p>
          <w:p w:rsidR="004D5CBC" w:rsidRPr="00B65F46" w:rsidRDefault="004D5CBC" w:rsidP="00DA08BB">
            <w:pPr>
              <w:pStyle w:val="TableText"/>
              <w:rPr>
                <w:iCs/>
                <w:lang w:val="pt-BR"/>
              </w:rPr>
            </w:pPr>
            <w:r w:rsidRPr="00B65F46">
              <w:rPr>
                <w:iCs/>
                <w:lang w:val="pt-BR"/>
              </w:rPr>
              <w:t>[Tephritidae]</w:t>
            </w:r>
          </w:p>
          <w:p w:rsidR="004D5CBC" w:rsidRPr="00B65F46" w:rsidRDefault="004D5CBC" w:rsidP="00DA08BB">
            <w:pPr>
              <w:pStyle w:val="TableText"/>
              <w:rPr>
                <w:highlight w:val="yellow"/>
              </w:rPr>
            </w:pPr>
            <w:r w:rsidRPr="00B65F46">
              <w:rPr>
                <w:iCs/>
                <w:lang w:val="pt-BR"/>
              </w:rPr>
              <w:t>Oriental fruit fly</w:t>
            </w:r>
          </w:p>
        </w:tc>
        <w:tc>
          <w:tcPr>
            <w:tcW w:w="1701" w:type="dxa"/>
            <w:shd w:val="clear" w:color="auto" w:fill="auto"/>
          </w:tcPr>
          <w:p w:rsidR="004D5CBC" w:rsidRPr="00975212" w:rsidRDefault="004D5CBC" w:rsidP="00EF2C72">
            <w:pPr>
              <w:pStyle w:val="TableText"/>
              <w:rPr>
                <w:noProof/>
                <w:lang w:val="pt-BR"/>
              </w:rPr>
            </w:pPr>
            <w:r>
              <w:rPr>
                <w:noProof/>
                <w:lang w:val="pt-BR"/>
              </w:rPr>
              <w:t>Yes (Drew &amp; Hancock 1994; IAQA 2016)</w:t>
            </w:r>
          </w:p>
        </w:tc>
        <w:tc>
          <w:tcPr>
            <w:tcW w:w="2126" w:type="dxa"/>
            <w:shd w:val="clear" w:color="auto" w:fill="auto"/>
          </w:tcPr>
          <w:p w:rsidR="004D5CBC" w:rsidRPr="00975212" w:rsidRDefault="004D5CBC" w:rsidP="00EF2C72">
            <w:pPr>
              <w:pStyle w:val="TableText"/>
              <w:rPr>
                <w:noProof/>
                <w:lang w:val="pt-BR"/>
              </w:rPr>
            </w:pPr>
            <w:r w:rsidRPr="00975212">
              <w:rPr>
                <w:noProof/>
                <w:lang w:val="pt-BR"/>
              </w:rPr>
              <w:t xml:space="preserve">No. </w:t>
            </w:r>
            <w:r>
              <w:rPr>
                <w:noProof/>
                <w:lang w:val="pt-BR"/>
              </w:rPr>
              <w:t>An incursion into Australia was e</w:t>
            </w:r>
            <w:r w:rsidRPr="00975212">
              <w:rPr>
                <w:noProof/>
                <w:lang w:val="pt-BR"/>
              </w:rPr>
              <w:t>radicated</w:t>
            </w:r>
            <w:r>
              <w:rPr>
                <w:noProof/>
                <w:lang w:val="pt-BR"/>
              </w:rPr>
              <w:t xml:space="preserve"> in 1996</w:t>
            </w:r>
            <w:r w:rsidRPr="00975212">
              <w:rPr>
                <w:noProof/>
                <w:lang w:val="pt-BR"/>
              </w:rPr>
              <w:t xml:space="preserve"> </w:t>
            </w:r>
            <w:r>
              <w:rPr>
                <w:noProof/>
                <w:lang w:val="pt-BR"/>
              </w:rPr>
              <w:t>(Hancock et al. 2000)</w:t>
            </w:r>
          </w:p>
        </w:tc>
        <w:tc>
          <w:tcPr>
            <w:tcW w:w="2126" w:type="dxa"/>
            <w:shd w:val="clear" w:color="auto" w:fill="auto"/>
          </w:tcPr>
          <w:p w:rsidR="004D5CBC" w:rsidRDefault="004D5CBC" w:rsidP="00EF2C72">
            <w:pPr>
              <w:pStyle w:val="TableText"/>
              <w:rPr>
                <w:lang w:val="pt-BR"/>
              </w:rPr>
            </w:pPr>
            <w:r w:rsidRPr="00123137">
              <w:t xml:space="preserve">Yes. This species is known to infest </w:t>
            </w:r>
            <w:r>
              <w:t xml:space="preserve">the fruit of </w:t>
            </w:r>
            <w:r w:rsidRPr="00123137">
              <w:t>dragon fruit in</w:t>
            </w:r>
            <w:r>
              <w:t xml:space="preserve"> Indonesia </w:t>
            </w:r>
            <w:r>
              <w:rPr>
                <w:noProof/>
                <w:lang w:val="pt-BR"/>
              </w:rPr>
              <w:t>(IAQA 2016).</w:t>
            </w:r>
          </w:p>
        </w:tc>
        <w:tc>
          <w:tcPr>
            <w:tcW w:w="2126" w:type="dxa"/>
            <w:shd w:val="clear" w:color="auto" w:fill="auto"/>
          </w:tcPr>
          <w:p w:rsidR="004D5CBC" w:rsidRDefault="004D5CBC" w:rsidP="00EF2C72">
            <w:pPr>
              <w:pStyle w:val="TableText"/>
            </w:pPr>
            <w:r w:rsidRPr="00123137">
              <w:t xml:space="preserve">Yes. </w:t>
            </w:r>
            <w:r w:rsidRPr="00FC063A">
              <w:rPr>
                <w:i/>
              </w:rPr>
              <w:t>Bactrocera dorsalis</w:t>
            </w:r>
            <w:r w:rsidRPr="00123137">
              <w:t xml:space="preserve"> attacks over 300 cultivated and wild fruits, </w:t>
            </w:r>
            <w:r>
              <w:t xml:space="preserve">and </w:t>
            </w:r>
            <w:r w:rsidRPr="00123137">
              <w:t>has a broad global distribution due to its ability to establish when introduced into new environments</w:t>
            </w:r>
            <w:r>
              <w:rPr>
                <w:noProof/>
              </w:rPr>
              <w:t xml:space="preserve"> (Mau &amp; Martin Kessing 2007)</w:t>
            </w:r>
            <w:r w:rsidRPr="00123137">
              <w:t>.</w:t>
            </w:r>
          </w:p>
        </w:tc>
        <w:tc>
          <w:tcPr>
            <w:tcW w:w="1843" w:type="dxa"/>
            <w:shd w:val="clear" w:color="auto" w:fill="auto"/>
          </w:tcPr>
          <w:p w:rsidR="004D5CBC" w:rsidRDefault="004D5CBC" w:rsidP="00EF2C72">
            <w:pPr>
              <w:pStyle w:val="TableText"/>
            </w:pPr>
            <w:r w:rsidRPr="00123137">
              <w:t xml:space="preserve">Yes. Feeding by </w:t>
            </w:r>
            <w:r w:rsidRPr="00FC063A">
              <w:rPr>
                <w:i/>
              </w:rPr>
              <w:t>Bactrocera dorsalis</w:t>
            </w:r>
            <w:r w:rsidRPr="00123137">
              <w:t xml:space="preserve"> larvae directly damages fruit and causes rotting due to bacteria and fungi </w:t>
            </w:r>
            <w:r>
              <w:rPr>
                <w:noProof/>
              </w:rPr>
              <w:t>(Mau &amp; Martin Kessing 2007).</w:t>
            </w:r>
            <w:r>
              <w:t xml:space="preserve"> </w:t>
            </w:r>
            <w:r w:rsidRPr="00564B2B">
              <w:rPr>
                <w:i/>
                <w:noProof/>
              </w:rPr>
              <w:t>B</w:t>
            </w:r>
            <w:r>
              <w:rPr>
                <w:i/>
                <w:noProof/>
              </w:rPr>
              <w:t xml:space="preserve">actrocera </w:t>
            </w:r>
            <w:r w:rsidRPr="00564B2B">
              <w:rPr>
                <w:i/>
                <w:noProof/>
              </w:rPr>
              <w:t>dorsalis</w:t>
            </w:r>
            <w:r w:rsidRPr="0027458F">
              <w:rPr>
                <w:noProof/>
              </w:rPr>
              <w:t xml:space="preserve"> can infest unprotected fruit crops with rates up to 100% </w:t>
            </w:r>
            <w:r>
              <w:rPr>
                <w:noProof/>
              </w:rPr>
              <w:t>(CABI 2018)</w:t>
            </w:r>
            <w:r w:rsidRPr="0027458F">
              <w:rPr>
                <w:noProof/>
              </w:rPr>
              <w:t>.</w:t>
            </w:r>
          </w:p>
        </w:tc>
        <w:tc>
          <w:tcPr>
            <w:tcW w:w="1282" w:type="dxa"/>
            <w:shd w:val="clear" w:color="auto" w:fill="auto"/>
          </w:tcPr>
          <w:p w:rsidR="004D5CBC" w:rsidRDefault="004D5CBC" w:rsidP="00DA08BB">
            <w:pPr>
              <w:pStyle w:val="TableText"/>
            </w:pPr>
            <w:r w:rsidRPr="00123137">
              <w:t>Yes (EP)</w:t>
            </w:r>
          </w:p>
        </w:tc>
      </w:tr>
      <w:tr w:rsidR="004D5CBC" w:rsidRPr="00DA08BB" w:rsidTr="00240BBE">
        <w:trPr>
          <w:cantSplit/>
          <w:trHeight w:val="75"/>
          <w:jc w:val="center"/>
        </w:trPr>
        <w:tc>
          <w:tcPr>
            <w:tcW w:w="13473" w:type="dxa"/>
            <w:gridSpan w:val="7"/>
            <w:shd w:val="clear" w:color="auto" w:fill="auto"/>
          </w:tcPr>
          <w:p w:rsidR="004D5CBC" w:rsidRPr="00DA08BB" w:rsidRDefault="004D5CBC" w:rsidP="00DA08BB">
            <w:pPr>
              <w:pStyle w:val="TableText"/>
              <w:keepNext/>
            </w:pPr>
            <w:r w:rsidRPr="00DA08BB">
              <w:t>Hemiptera</w:t>
            </w:r>
          </w:p>
        </w:tc>
      </w:tr>
      <w:tr w:rsidR="004D5CBC" w:rsidRPr="00DA08BB" w:rsidTr="00240BBE">
        <w:trPr>
          <w:cantSplit/>
          <w:trHeight w:val="75"/>
          <w:jc w:val="center"/>
        </w:trPr>
        <w:tc>
          <w:tcPr>
            <w:tcW w:w="2269" w:type="dxa"/>
            <w:shd w:val="clear" w:color="auto" w:fill="auto"/>
          </w:tcPr>
          <w:p w:rsidR="004D5CBC" w:rsidRPr="00E34839" w:rsidRDefault="004D5CBC" w:rsidP="00DA08BB">
            <w:pPr>
              <w:pStyle w:val="TableText"/>
              <w:rPr>
                <w:iCs/>
                <w:lang w:val="pt-BR"/>
              </w:rPr>
            </w:pPr>
            <w:r w:rsidRPr="00C80EB1">
              <w:rPr>
                <w:i/>
                <w:lang w:val="pt-BR"/>
              </w:rPr>
              <w:t xml:space="preserve">Aphis gossypii </w:t>
            </w:r>
            <w:r w:rsidRPr="00E34839">
              <w:rPr>
                <w:iCs/>
                <w:lang w:val="pt-BR"/>
              </w:rPr>
              <w:t>Glover, 1877</w:t>
            </w:r>
          </w:p>
          <w:p w:rsidR="004D5CBC" w:rsidRPr="00E34839" w:rsidRDefault="004D5CBC" w:rsidP="00DA08BB">
            <w:pPr>
              <w:pStyle w:val="TableText"/>
              <w:rPr>
                <w:iCs/>
                <w:lang w:val="pt-BR"/>
              </w:rPr>
            </w:pPr>
            <w:r w:rsidRPr="00E34839">
              <w:rPr>
                <w:iCs/>
                <w:lang w:val="pt-BR"/>
              </w:rPr>
              <w:t>[Aphididae]</w:t>
            </w:r>
          </w:p>
          <w:p w:rsidR="004D5CBC" w:rsidRPr="00DA08BB" w:rsidRDefault="004D5CBC" w:rsidP="00DA08BB">
            <w:pPr>
              <w:pStyle w:val="TableText"/>
              <w:rPr>
                <w:i/>
                <w:lang w:val="en-US"/>
              </w:rPr>
            </w:pPr>
            <w:r w:rsidRPr="00E34839">
              <w:rPr>
                <w:iCs/>
                <w:lang w:val="pt-BR"/>
              </w:rPr>
              <w:t>Cotton aphid</w:t>
            </w:r>
          </w:p>
        </w:tc>
        <w:tc>
          <w:tcPr>
            <w:tcW w:w="1701" w:type="dxa"/>
            <w:shd w:val="clear" w:color="auto" w:fill="auto"/>
          </w:tcPr>
          <w:p w:rsidR="004D5CBC" w:rsidRPr="00DA08BB" w:rsidRDefault="004D5CBC" w:rsidP="00EF2C72">
            <w:pPr>
              <w:pStyle w:val="TableText"/>
            </w:pPr>
            <w:r>
              <w:t>Yes</w:t>
            </w:r>
            <w:r w:rsidRPr="00870443">
              <w:t xml:space="preserve"> </w:t>
            </w:r>
            <w:r>
              <w:rPr>
                <w:noProof/>
              </w:rPr>
              <w:t>(CABI 2018; Waterhouse 1993)</w:t>
            </w:r>
          </w:p>
        </w:tc>
        <w:tc>
          <w:tcPr>
            <w:tcW w:w="2126" w:type="dxa"/>
            <w:shd w:val="clear" w:color="auto" w:fill="auto"/>
          </w:tcPr>
          <w:p w:rsidR="004D5CBC" w:rsidRPr="00DA08BB" w:rsidRDefault="004D5CBC" w:rsidP="00EF2C72">
            <w:pPr>
              <w:pStyle w:val="TableText"/>
            </w:pPr>
            <w:r w:rsidRPr="00870443">
              <w:t xml:space="preserve">Yes. NSW, NT, Qld, SA, Tas., Vic., WA </w:t>
            </w:r>
            <w:r>
              <w:rPr>
                <w:noProof/>
              </w:rPr>
              <w:t>(Plant Health Australia 2018)</w:t>
            </w:r>
          </w:p>
        </w:tc>
        <w:tc>
          <w:tcPr>
            <w:tcW w:w="2126" w:type="dxa"/>
            <w:shd w:val="clear" w:color="auto" w:fill="auto"/>
          </w:tcPr>
          <w:p w:rsidR="004D5CBC" w:rsidRPr="00DA08BB" w:rsidRDefault="004D5CBC" w:rsidP="00DA08BB">
            <w:pPr>
              <w:pStyle w:val="TableText"/>
            </w:pPr>
            <w:r w:rsidRPr="00870443">
              <w:t>Assessment not required</w:t>
            </w:r>
          </w:p>
        </w:tc>
        <w:tc>
          <w:tcPr>
            <w:tcW w:w="2126" w:type="dxa"/>
            <w:shd w:val="clear" w:color="auto" w:fill="auto"/>
          </w:tcPr>
          <w:p w:rsidR="004D5CBC" w:rsidRPr="00DA08BB" w:rsidRDefault="004D5CBC" w:rsidP="00DA08BB">
            <w:pPr>
              <w:pStyle w:val="TableText"/>
            </w:pPr>
            <w:r w:rsidRPr="00870443">
              <w:t>Assessment not required</w:t>
            </w:r>
          </w:p>
        </w:tc>
        <w:tc>
          <w:tcPr>
            <w:tcW w:w="1843" w:type="dxa"/>
            <w:shd w:val="clear" w:color="auto" w:fill="auto"/>
          </w:tcPr>
          <w:p w:rsidR="004D5CBC" w:rsidRPr="00DA08BB" w:rsidRDefault="004D5CBC" w:rsidP="00DA08BB">
            <w:pPr>
              <w:pStyle w:val="TableText"/>
            </w:pPr>
            <w:r w:rsidRPr="00870443">
              <w:t>Assessment not required</w:t>
            </w:r>
          </w:p>
        </w:tc>
        <w:tc>
          <w:tcPr>
            <w:tcW w:w="1282" w:type="dxa"/>
            <w:shd w:val="clear" w:color="auto" w:fill="auto"/>
          </w:tcPr>
          <w:p w:rsidR="004D5CBC" w:rsidRPr="00DA08BB" w:rsidRDefault="004D5CBC" w:rsidP="00DA08BB">
            <w:pPr>
              <w:pStyle w:val="TableText"/>
            </w:pPr>
            <w:r w:rsidRPr="00870443">
              <w:t>No</w:t>
            </w:r>
          </w:p>
        </w:tc>
      </w:tr>
      <w:tr w:rsidR="004D5CBC" w:rsidRPr="00DA08BB" w:rsidTr="00673938">
        <w:trPr>
          <w:cantSplit/>
          <w:trHeight w:val="75"/>
          <w:jc w:val="center"/>
        </w:trPr>
        <w:tc>
          <w:tcPr>
            <w:tcW w:w="2269" w:type="dxa"/>
            <w:shd w:val="clear" w:color="auto" w:fill="auto"/>
          </w:tcPr>
          <w:p w:rsidR="004D5CBC" w:rsidRPr="00116286" w:rsidRDefault="004D5CBC" w:rsidP="004738CD">
            <w:pPr>
              <w:pStyle w:val="TableText"/>
              <w:rPr>
                <w:szCs w:val="18"/>
                <w:lang w:val="pt-BR"/>
              </w:rPr>
            </w:pPr>
            <w:r>
              <w:rPr>
                <w:i/>
                <w:szCs w:val="18"/>
                <w:lang w:val="pt-BR"/>
              </w:rPr>
              <w:t>Atrococcus mamillariae</w:t>
            </w:r>
            <w:r>
              <w:rPr>
                <w:szCs w:val="18"/>
                <w:lang w:val="pt-BR"/>
              </w:rPr>
              <w:t xml:space="preserve"> (Bouche, 1844)</w:t>
            </w:r>
          </w:p>
          <w:p w:rsidR="004D5CBC" w:rsidRPr="00D27916" w:rsidRDefault="004D5CBC" w:rsidP="004738CD">
            <w:pPr>
              <w:pStyle w:val="TableText"/>
              <w:rPr>
                <w:szCs w:val="18"/>
                <w:lang w:val="pt-BR"/>
              </w:rPr>
            </w:pPr>
            <w:r>
              <w:rPr>
                <w:szCs w:val="18"/>
                <w:lang w:val="pt-BR"/>
              </w:rPr>
              <w:t xml:space="preserve">Synonym: </w:t>
            </w:r>
            <w:r w:rsidRPr="00D27916">
              <w:rPr>
                <w:i/>
                <w:szCs w:val="18"/>
                <w:lang w:val="pt-BR"/>
              </w:rPr>
              <w:t>Spilococcus mamillariae</w:t>
            </w:r>
            <w:r w:rsidRPr="00D27916">
              <w:rPr>
                <w:szCs w:val="18"/>
                <w:lang w:val="pt-BR"/>
              </w:rPr>
              <w:t xml:space="preserve"> (Bouche, 1844)</w:t>
            </w:r>
          </w:p>
          <w:p w:rsidR="004D5CBC" w:rsidRPr="00D27916" w:rsidRDefault="004D5CBC" w:rsidP="004738CD">
            <w:pPr>
              <w:pStyle w:val="TableText"/>
              <w:rPr>
                <w:szCs w:val="18"/>
                <w:lang w:val="pt-BR"/>
              </w:rPr>
            </w:pPr>
            <w:r w:rsidRPr="00D27916">
              <w:rPr>
                <w:szCs w:val="18"/>
                <w:lang w:val="pt-BR"/>
              </w:rPr>
              <w:t>[Pseudococcidae]</w:t>
            </w:r>
          </w:p>
          <w:p w:rsidR="004D5CBC" w:rsidRPr="00D27916" w:rsidRDefault="004D5CBC" w:rsidP="004738CD">
            <w:pPr>
              <w:pStyle w:val="TableText"/>
              <w:rPr>
                <w:i/>
                <w:lang w:val="pt-BR"/>
              </w:rPr>
            </w:pPr>
            <w:r w:rsidRPr="00D27916">
              <w:rPr>
                <w:szCs w:val="18"/>
              </w:rPr>
              <w:t>Cactus Mealybug</w:t>
            </w:r>
          </w:p>
        </w:tc>
        <w:tc>
          <w:tcPr>
            <w:tcW w:w="1701" w:type="dxa"/>
            <w:shd w:val="clear" w:color="auto" w:fill="auto"/>
          </w:tcPr>
          <w:p w:rsidR="004D5CBC" w:rsidRPr="00D27916" w:rsidRDefault="004D5CBC" w:rsidP="00EF2C72">
            <w:pPr>
              <w:pStyle w:val="TableText"/>
              <w:rPr>
                <w:lang w:val="pt-BR"/>
              </w:rPr>
            </w:pPr>
            <w:r>
              <w:rPr>
                <w:noProof/>
                <w:szCs w:val="18"/>
                <w:lang w:val="pt-BR"/>
              </w:rPr>
              <w:t>Yes</w:t>
            </w:r>
            <w:r w:rsidRPr="00D27916">
              <w:rPr>
                <w:noProof/>
                <w:szCs w:val="18"/>
                <w:lang w:val="pt-BR"/>
              </w:rPr>
              <w:t xml:space="preserve"> </w:t>
            </w:r>
            <w:r>
              <w:rPr>
                <w:noProof/>
                <w:szCs w:val="18"/>
                <w:lang w:val="pt-BR"/>
              </w:rPr>
              <w:t>(Suh, Yu &amp; Hong 2013)</w:t>
            </w:r>
          </w:p>
        </w:tc>
        <w:tc>
          <w:tcPr>
            <w:tcW w:w="2126" w:type="dxa"/>
            <w:shd w:val="clear" w:color="auto" w:fill="auto"/>
          </w:tcPr>
          <w:p w:rsidR="004D5CBC" w:rsidRPr="00DA08BB" w:rsidRDefault="004D5CBC" w:rsidP="00EF2C72">
            <w:pPr>
              <w:pStyle w:val="TableText"/>
              <w:rPr>
                <w:szCs w:val="16"/>
              </w:rPr>
            </w:pPr>
            <w:r w:rsidRPr="00FE1787">
              <w:rPr>
                <w:szCs w:val="18"/>
              </w:rPr>
              <w:t>Yes</w:t>
            </w:r>
            <w:r>
              <w:rPr>
                <w:szCs w:val="18"/>
              </w:rPr>
              <w:t>.</w:t>
            </w:r>
            <w:r w:rsidRPr="00FE1787">
              <w:rPr>
                <w:szCs w:val="18"/>
              </w:rPr>
              <w:t xml:space="preserve"> </w:t>
            </w:r>
            <w:r>
              <w:rPr>
                <w:szCs w:val="18"/>
              </w:rPr>
              <w:t xml:space="preserve">NSW, SA, Tas. </w:t>
            </w:r>
            <w:r>
              <w:rPr>
                <w:noProof/>
              </w:rPr>
              <w:t>(García et al. 2018; Plant Health Australia 2018)</w:t>
            </w:r>
          </w:p>
        </w:tc>
        <w:tc>
          <w:tcPr>
            <w:tcW w:w="2126" w:type="dxa"/>
            <w:shd w:val="clear" w:color="auto" w:fill="auto"/>
          </w:tcPr>
          <w:p w:rsidR="004D5CBC" w:rsidRPr="00DA08BB" w:rsidRDefault="004D5CBC" w:rsidP="004738CD">
            <w:pPr>
              <w:pStyle w:val="TableText"/>
            </w:pPr>
            <w:r w:rsidRPr="00FE58B4">
              <w:rPr>
                <w:szCs w:val="18"/>
              </w:rPr>
              <w:t>Assessment not required</w:t>
            </w:r>
          </w:p>
        </w:tc>
        <w:tc>
          <w:tcPr>
            <w:tcW w:w="2126" w:type="dxa"/>
            <w:shd w:val="clear" w:color="auto" w:fill="auto"/>
          </w:tcPr>
          <w:p w:rsidR="004D5CBC" w:rsidRPr="00DA08BB" w:rsidRDefault="004D5CBC" w:rsidP="004738CD">
            <w:pPr>
              <w:pStyle w:val="TableText"/>
            </w:pPr>
            <w:r w:rsidRPr="00FE58B4">
              <w:rPr>
                <w:szCs w:val="18"/>
              </w:rPr>
              <w:t>Assessment not required</w:t>
            </w:r>
          </w:p>
        </w:tc>
        <w:tc>
          <w:tcPr>
            <w:tcW w:w="1843" w:type="dxa"/>
            <w:shd w:val="clear" w:color="auto" w:fill="auto"/>
          </w:tcPr>
          <w:p w:rsidR="004D5CBC" w:rsidRPr="00DA08BB" w:rsidRDefault="004D5CBC" w:rsidP="004738CD">
            <w:pPr>
              <w:pStyle w:val="TableText"/>
            </w:pPr>
            <w:r w:rsidRPr="00FE58B4">
              <w:rPr>
                <w:szCs w:val="18"/>
              </w:rPr>
              <w:t>Assessment not required</w:t>
            </w:r>
          </w:p>
        </w:tc>
        <w:tc>
          <w:tcPr>
            <w:tcW w:w="1282" w:type="dxa"/>
            <w:shd w:val="clear" w:color="auto" w:fill="auto"/>
          </w:tcPr>
          <w:p w:rsidR="004D5CBC" w:rsidRPr="00DA08BB" w:rsidRDefault="004D5CBC" w:rsidP="004738CD">
            <w:pPr>
              <w:pStyle w:val="TableText"/>
            </w:pPr>
            <w:r w:rsidRPr="00CD6D8B">
              <w:rPr>
                <w:szCs w:val="18"/>
              </w:rPr>
              <w:t>No</w:t>
            </w:r>
          </w:p>
        </w:tc>
      </w:tr>
      <w:tr w:rsidR="004D5CBC" w:rsidRPr="00DA08BB" w:rsidTr="00673938">
        <w:trPr>
          <w:cantSplit/>
          <w:trHeight w:val="75"/>
          <w:jc w:val="center"/>
        </w:trPr>
        <w:tc>
          <w:tcPr>
            <w:tcW w:w="2269" w:type="dxa"/>
            <w:shd w:val="clear" w:color="auto" w:fill="auto"/>
          </w:tcPr>
          <w:p w:rsidR="004D5CBC" w:rsidRDefault="004D5CBC" w:rsidP="00E91272">
            <w:pPr>
              <w:pStyle w:val="TableText"/>
              <w:rPr>
                <w:iCs/>
                <w:lang w:val="pt-BR"/>
              </w:rPr>
            </w:pPr>
            <w:r w:rsidRPr="009C20AB">
              <w:rPr>
                <w:i/>
                <w:lang w:val="pt-BR"/>
              </w:rPr>
              <w:t>Bemisia tabaci</w:t>
            </w:r>
            <w:r>
              <w:rPr>
                <w:i/>
                <w:lang w:val="pt-BR"/>
              </w:rPr>
              <w:t xml:space="preserve">, </w:t>
            </w:r>
            <w:r>
              <w:rPr>
                <w:lang w:val="pt-BR"/>
              </w:rPr>
              <w:t>(</w:t>
            </w:r>
            <w:r>
              <w:rPr>
                <w:iCs/>
                <w:lang w:val="pt-BR"/>
              </w:rPr>
              <w:t>Gennadius, 1889)</w:t>
            </w:r>
          </w:p>
          <w:p w:rsidR="004D5CBC" w:rsidRDefault="004D5CBC" w:rsidP="00E91272">
            <w:pPr>
              <w:pStyle w:val="TableText"/>
              <w:rPr>
                <w:iCs/>
                <w:lang w:val="pt-BR"/>
              </w:rPr>
            </w:pPr>
            <w:r>
              <w:rPr>
                <w:iCs/>
                <w:lang w:val="pt-BR"/>
              </w:rPr>
              <w:t>[Aleyrodidae]</w:t>
            </w:r>
          </w:p>
          <w:p w:rsidR="004D5CBC" w:rsidRPr="00DA08BB" w:rsidRDefault="004D5CBC" w:rsidP="00E91272">
            <w:pPr>
              <w:pStyle w:val="TableText"/>
              <w:rPr>
                <w:i/>
                <w:lang w:val="pt-BR"/>
              </w:rPr>
            </w:pPr>
            <w:r>
              <w:rPr>
                <w:iCs/>
                <w:lang w:val="pt-BR"/>
              </w:rPr>
              <w:t>Tobacco whitefly</w:t>
            </w:r>
          </w:p>
        </w:tc>
        <w:tc>
          <w:tcPr>
            <w:tcW w:w="1701" w:type="dxa"/>
            <w:shd w:val="clear" w:color="auto" w:fill="auto"/>
          </w:tcPr>
          <w:p w:rsidR="004D5CBC" w:rsidRPr="00DA08BB" w:rsidRDefault="004D5CBC" w:rsidP="00EF2C72">
            <w:pPr>
              <w:pStyle w:val="TableText"/>
              <w:rPr>
                <w:lang w:val="pt-BR"/>
              </w:rPr>
            </w:pPr>
            <w:r>
              <w:rPr>
                <w:lang w:val="pt-BR"/>
              </w:rPr>
              <w:t xml:space="preserve">Yes </w:t>
            </w:r>
            <w:r>
              <w:rPr>
                <w:noProof/>
                <w:lang w:val="pt-BR"/>
              </w:rPr>
              <w:t>(IAQA 2016)</w:t>
            </w:r>
          </w:p>
        </w:tc>
        <w:tc>
          <w:tcPr>
            <w:tcW w:w="2126" w:type="dxa"/>
            <w:shd w:val="clear" w:color="auto" w:fill="auto"/>
          </w:tcPr>
          <w:p w:rsidR="004D5CBC" w:rsidRPr="00DA08BB" w:rsidRDefault="004D5CBC" w:rsidP="00EF2C72">
            <w:pPr>
              <w:pStyle w:val="TableText"/>
              <w:rPr>
                <w:szCs w:val="16"/>
              </w:rPr>
            </w:pPr>
            <w:r>
              <w:t xml:space="preserve">Yes. NSW, NT, Qld, SA, WA </w:t>
            </w:r>
            <w:r>
              <w:rPr>
                <w:noProof/>
              </w:rPr>
              <w:t>(Plant Health Australia 2018)</w:t>
            </w:r>
          </w:p>
        </w:tc>
        <w:tc>
          <w:tcPr>
            <w:tcW w:w="2126" w:type="dxa"/>
            <w:shd w:val="clear" w:color="auto" w:fill="auto"/>
          </w:tcPr>
          <w:p w:rsidR="004D5CBC" w:rsidRPr="00DA08BB" w:rsidRDefault="004D5CBC" w:rsidP="00E91272">
            <w:pPr>
              <w:pStyle w:val="TableText"/>
            </w:pPr>
            <w:r w:rsidRPr="007A2B65">
              <w:t>Assessment not required</w:t>
            </w:r>
          </w:p>
        </w:tc>
        <w:tc>
          <w:tcPr>
            <w:tcW w:w="2126" w:type="dxa"/>
            <w:shd w:val="clear" w:color="auto" w:fill="auto"/>
          </w:tcPr>
          <w:p w:rsidR="004D5CBC" w:rsidRPr="00DA08BB" w:rsidRDefault="004D5CBC" w:rsidP="00E91272">
            <w:pPr>
              <w:pStyle w:val="TableText"/>
            </w:pPr>
            <w:r w:rsidRPr="007A2B65">
              <w:t>Assessment not required</w:t>
            </w:r>
          </w:p>
        </w:tc>
        <w:tc>
          <w:tcPr>
            <w:tcW w:w="1843" w:type="dxa"/>
            <w:shd w:val="clear" w:color="auto" w:fill="auto"/>
          </w:tcPr>
          <w:p w:rsidR="004D5CBC" w:rsidRPr="00DA08BB" w:rsidRDefault="004D5CBC" w:rsidP="00E91272">
            <w:pPr>
              <w:pStyle w:val="TableText"/>
            </w:pPr>
            <w:r w:rsidRPr="007A2B65">
              <w:t>Assessment not required</w:t>
            </w:r>
          </w:p>
        </w:tc>
        <w:tc>
          <w:tcPr>
            <w:tcW w:w="1282" w:type="dxa"/>
            <w:shd w:val="clear" w:color="auto" w:fill="auto"/>
          </w:tcPr>
          <w:p w:rsidR="004D5CBC" w:rsidRPr="00DA08BB" w:rsidRDefault="004D5CBC" w:rsidP="00E91272">
            <w:pPr>
              <w:pStyle w:val="TableText"/>
            </w:pPr>
            <w:r w:rsidRPr="007A2B65">
              <w:t>No</w:t>
            </w:r>
          </w:p>
        </w:tc>
      </w:tr>
      <w:tr w:rsidR="004D5CBC" w:rsidRPr="00DA08BB" w:rsidTr="00F87A14">
        <w:trPr>
          <w:cantSplit/>
          <w:trHeight w:val="75"/>
          <w:jc w:val="center"/>
        </w:trPr>
        <w:tc>
          <w:tcPr>
            <w:tcW w:w="2269" w:type="dxa"/>
            <w:shd w:val="clear" w:color="auto" w:fill="auto"/>
          </w:tcPr>
          <w:p w:rsidR="004D5CBC" w:rsidRDefault="004D5CBC" w:rsidP="00E91272">
            <w:pPr>
              <w:pStyle w:val="TableText"/>
              <w:rPr>
                <w:iCs/>
                <w:lang w:val="pt-BR"/>
              </w:rPr>
            </w:pPr>
            <w:r>
              <w:rPr>
                <w:i/>
                <w:lang w:val="pt-BR"/>
              </w:rPr>
              <w:lastRenderedPageBreak/>
              <w:t xml:space="preserve">Brachycaudus helichrysi </w:t>
            </w:r>
            <w:r>
              <w:rPr>
                <w:lang w:val="pt-BR"/>
              </w:rPr>
              <w:t>(</w:t>
            </w:r>
            <w:r>
              <w:rPr>
                <w:iCs/>
                <w:lang w:val="pt-BR"/>
              </w:rPr>
              <w:t>Kaltenbach, 1843)</w:t>
            </w:r>
          </w:p>
          <w:p w:rsidR="004D5CBC" w:rsidRDefault="004D5CBC" w:rsidP="00E91272">
            <w:pPr>
              <w:pStyle w:val="TableText"/>
              <w:rPr>
                <w:iCs/>
                <w:lang w:val="pt-BR"/>
              </w:rPr>
            </w:pPr>
            <w:r>
              <w:rPr>
                <w:iCs/>
                <w:lang w:val="pt-BR"/>
              </w:rPr>
              <w:t>[Aphididae]</w:t>
            </w:r>
          </w:p>
          <w:p w:rsidR="004D5CBC" w:rsidRPr="00DA08BB" w:rsidRDefault="004D5CBC" w:rsidP="00E91272">
            <w:pPr>
              <w:pStyle w:val="TableText"/>
              <w:rPr>
                <w:i/>
                <w:lang w:val="pt-BR"/>
              </w:rPr>
            </w:pPr>
            <w:r>
              <w:rPr>
                <w:iCs/>
                <w:lang w:val="pt-BR"/>
              </w:rPr>
              <w:t>Leaf-curl plum aphid</w:t>
            </w:r>
          </w:p>
        </w:tc>
        <w:tc>
          <w:tcPr>
            <w:tcW w:w="1701" w:type="dxa"/>
            <w:shd w:val="clear" w:color="auto" w:fill="auto"/>
          </w:tcPr>
          <w:p w:rsidR="004D5CBC" w:rsidRPr="00DA08BB" w:rsidRDefault="004D5CBC" w:rsidP="00EF2C72">
            <w:pPr>
              <w:pStyle w:val="TableText"/>
              <w:rPr>
                <w:lang w:val="pt-BR"/>
              </w:rPr>
            </w:pPr>
            <w:r>
              <w:rPr>
                <w:lang w:val="pt-BR"/>
              </w:rPr>
              <w:t xml:space="preserve">Yes </w:t>
            </w:r>
            <w:r>
              <w:rPr>
                <w:noProof/>
                <w:lang w:val="pt-BR"/>
              </w:rPr>
              <w:t>(IAQA 2016)</w:t>
            </w:r>
          </w:p>
        </w:tc>
        <w:tc>
          <w:tcPr>
            <w:tcW w:w="2126" w:type="dxa"/>
            <w:shd w:val="clear" w:color="auto" w:fill="auto"/>
          </w:tcPr>
          <w:p w:rsidR="004D5CBC" w:rsidRPr="00DA08BB" w:rsidRDefault="004D5CBC" w:rsidP="00EF2C72">
            <w:pPr>
              <w:pStyle w:val="TableText"/>
              <w:rPr>
                <w:szCs w:val="16"/>
              </w:rPr>
            </w:pPr>
            <w:r w:rsidRPr="00110900">
              <w:t xml:space="preserve">Yes. </w:t>
            </w:r>
            <w:r>
              <w:t xml:space="preserve">NSW, Qld, SA, Tas., Vic., WA </w:t>
            </w:r>
            <w:r>
              <w:rPr>
                <w:noProof/>
              </w:rPr>
              <w:t>(Plant Health Australia 2018)</w:t>
            </w:r>
          </w:p>
        </w:tc>
        <w:tc>
          <w:tcPr>
            <w:tcW w:w="2126" w:type="dxa"/>
            <w:shd w:val="clear" w:color="auto" w:fill="auto"/>
          </w:tcPr>
          <w:p w:rsidR="004D5CBC" w:rsidRPr="00DA08BB" w:rsidRDefault="004D5CBC" w:rsidP="00E91272">
            <w:pPr>
              <w:pStyle w:val="TableText"/>
            </w:pPr>
            <w:r w:rsidRPr="007A2B65">
              <w:t>Assessment not required</w:t>
            </w:r>
          </w:p>
        </w:tc>
        <w:tc>
          <w:tcPr>
            <w:tcW w:w="2126" w:type="dxa"/>
            <w:shd w:val="clear" w:color="auto" w:fill="auto"/>
          </w:tcPr>
          <w:p w:rsidR="004D5CBC" w:rsidRPr="00DA08BB" w:rsidRDefault="004D5CBC" w:rsidP="00E91272">
            <w:pPr>
              <w:pStyle w:val="TableText"/>
            </w:pPr>
            <w:r w:rsidRPr="007A2B65">
              <w:t>Assessment not required</w:t>
            </w:r>
          </w:p>
        </w:tc>
        <w:tc>
          <w:tcPr>
            <w:tcW w:w="1843" w:type="dxa"/>
            <w:shd w:val="clear" w:color="auto" w:fill="auto"/>
          </w:tcPr>
          <w:p w:rsidR="004D5CBC" w:rsidRPr="00DA08BB" w:rsidRDefault="004D5CBC" w:rsidP="00E91272">
            <w:pPr>
              <w:pStyle w:val="TableText"/>
            </w:pPr>
            <w:r w:rsidRPr="007A2B65">
              <w:t>Assessment not required</w:t>
            </w:r>
          </w:p>
        </w:tc>
        <w:tc>
          <w:tcPr>
            <w:tcW w:w="1282" w:type="dxa"/>
            <w:shd w:val="clear" w:color="auto" w:fill="auto"/>
          </w:tcPr>
          <w:p w:rsidR="004D5CBC" w:rsidRPr="00DA08BB" w:rsidRDefault="004D5CBC" w:rsidP="00E91272">
            <w:pPr>
              <w:pStyle w:val="TableText"/>
            </w:pPr>
            <w:r w:rsidRPr="007A2B65">
              <w:t>No</w:t>
            </w:r>
          </w:p>
        </w:tc>
      </w:tr>
      <w:tr w:rsidR="004D5CBC" w:rsidRPr="00DA08BB" w:rsidTr="00240BBE">
        <w:trPr>
          <w:cantSplit/>
          <w:trHeight w:val="75"/>
          <w:jc w:val="center"/>
        </w:trPr>
        <w:tc>
          <w:tcPr>
            <w:tcW w:w="2269" w:type="dxa"/>
            <w:shd w:val="clear" w:color="auto" w:fill="auto"/>
          </w:tcPr>
          <w:p w:rsidR="004D5CBC" w:rsidRPr="00E34839" w:rsidRDefault="004D5CBC" w:rsidP="00DA08BB">
            <w:pPr>
              <w:pStyle w:val="TableText"/>
              <w:rPr>
                <w:iCs/>
                <w:lang w:val="pt-BR"/>
              </w:rPr>
            </w:pPr>
            <w:r w:rsidRPr="00C80EB1">
              <w:rPr>
                <w:i/>
                <w:lang w:val="pt-BR"/>
              </w:rPr>
              <w:t xml:space="preserve">Coccus hesperidum </w:t>
            </w:r>
            <w:r w:rsidRPr="00E34839">
              <w:rPr>
                <w:iCs/>
                <w:lang w:val="pt-BR"/>
              </w:rPr>
              <w:t>Linnaeus, 1758</w:t>
            </w:r>
          </w:p>
          <w:p w:rsidR="004D5CBC" w:rsidRPr="00E34839" w:rsidRDefault="004D5CBC" w:rsidP="00DA08BB">
            <w:pPr>
              <w:pStyle w:val="TableText"/>
              <w:rPr>
                <w:iCs/>
                <w:lang w:val="pt-BR"/>
              </w:rPr>
            </w:pPr>
            <w:r w:rsidRPr="00E34839">
              <w:rPr>
                <w:iCs/>
                <w:lang w:val="pt-BR"/>
              </w:rPr>
              <w:t>[Coccidae]</w:t>
            </w:r>
          </w:p>
          <w:p w:rsidR="004D5CBC" w:rsidRPr="00DA08BB" w:rsidRDefault="004D5CBC" w:rsidP="00DA08BB">
            <w:pPr>
              <w:pStyle w:val="TableText"/>
              <w:rPr>
                <w:i/>
                <w:lang w:val="pt-BR"/>
              </w:rPr>
            </w:pPr>
            <w:r w:rsidRPr="00E34839">
              <w:rPr>
                <w:iCs/>
                <w:lang w:val="pt-BR"/>
              </w:rPr>
              <w:t>Brown soft scale</w:t>
            </w:r>
          </w:p>
        </w:tc>
        <w:tc>
          <w:tcPr>
            <w:tcW w:w="1701" w:type="dxa"/>
            <w:shd w:val="clear" w:color="auto" w:fill="auto"/>
          </w:tcPr>
          <w:p w:rsidR="004D5CBC" w:rsidRPr="00DA08BB" w:rsidRDefault="004D5CBC" w:rsidP="00EF2C72">
            <w:pPr>
              <w:pStyle w:val="TableText"/>
              <w:rPr>
                <w:lang w:val="pt-BR"/>
              </w:rPr>
            </w:pPr>
            <w:r>
              <w:t xml:space="preserve">Yes </w:t>
            </w:r>
            <w:r>
              <w:rPr>
                <w:noProof/>
              </w:rPr>
              <w:t>(García et al. 2018)</w:t>
            </w:r>
          </w:p>
        </w:tc>
        <w:tc>
          <w:tcPr>
            <w:tcW w:w="2126" w:type="dxa"/>
            <w:shd w:val="clear" w:color="auto" w:fill="auto"/>
          </w:tcPr>
          <w:p w:rsidR="004D5CBC" w:rsidRPr="00DA08BB" w:rsidRDefault="004D5CBC" w:rsidP="00EF2C72">
            <w:pPr>
              <w:pStyle w:val="TableText"/>
              <w:rPr>
                <w:szCs w:val="16"/>
              </w:rPr>
            </w:pPr>
            <w:r w:rsidRPr="00422CE7">
              <w:t xml:space="preserve">Yes. ACT, NSW, NT, Qld, SA, Tas., Vic., WA </w:t>
            </w:r>
            <w:r>
              <w:rPr>
                <w:noProof/>
              </w:rPr>
              <w:t>(Plant Health Australia 2018)</w:t>
            </w:r>
          </w:p>
        </w:tc>
        <w:tc>
          <w:tcPr>
            <w:tcW w:w="2126" w:type="dxa"/>
            <w:shd w:val="clear" w:color="auto" w:fill="auto"/>
          </w:tcPr>
          <w:p w:rsidR="004D5CBC" w:rsidRPr="00DA08BB" w:rsidRDefault="004D5CBC" w:rsidP="00DA08BB">
            <w:pPr>
              <w:pStyle w:val="TableText"/>
            </w:pPr>
            <w:r w:rsidRPr="00422CE7">
              <w:t>Assessment not required</w:t>
            </w:r>
          </w:p>
        </w:tc>
        <w:tc>
          <w:tcPr>
            <w:tcW w:w="2126" w:type="dxa"/>
            <w:shd w:val="clear" w:color="auto" w:fill="auto"/>
          </w:tcPr>
          <w:p w:rsidR="004D5CBC" w:rsidRPr="00DA08BB" w:rsidRDefault="004D5CBC" w:rsidP="00DA08BB">
            <w:pPr>
              <w:pStyle w:val="TableText"/>
            </w:pPr>
            <w:r w:rsidRPr="00422CE7">
              <w:t>Assessment not required</w:t>
            </w:r>
          </w:p>
        </w:tc>
        <w:tc>
          <w:tcPr>
            <w:tcW w:w="1843" w:type="dxa"/>
            <w:shd w:val="clear" w:color="auto" w:fill="auto"/>
          </w:tcPr>
          <w:p w:rsidR="004D5CBC" w:rsidRPr="00DA08BB" w:rsidRDefault="004D5CBC" w:rsidP="00DA08BB">
            <w:pPr>
              <w:pStyle w:val="TableText"/>
            </w:pPr>
            <w:r w:rsidRPr="00422CE7">
              <w:t>Assessment not required</w:t>
            </w:r>
          </w:p>
        </w:tc>
        <w:tc>
          <w:tcPr>
            <w:tcW w:w="1282" w:type="dxa"/>
            <w:shd w:val="clear" w:color="auto" w:fill="auto"/>
          </w:tcPr>
          <w:p w:rsidR="004D5CBC" w:rsidRPr="00DA08BB" w:rsidRDefault="004D5CBC" w:rsidP="00DA08BB">
            <w:pPr>
              <w:pStyle w:val="TableText"/>
            </w:pPr>
            <w:r w:rsidRPr="00422CE7">
              <w:t>No</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310D85">
              <w:rPr>
                <w:i/>
                <w:lang w:val="pt-BR"/>
              </w:rPr>
              <w:t xml:space="preserve">Dysmicoccus brevipes </w:t>
            </w:r>
            <w:r>
              <w:rPr>
                <w:lang w:val="pt-BR"/>
              </w:rPr>
              <w:t>(</w:t>
            </w:r>
            <w:r w:rsidRPr="00E34839">
              <w:rPr>
                <w:iCs/>
                <w:lang w:val="pt-BR"/>
              </w:rPr>
              <w:t>Cockerell, 1893</w:t>
            </w:r>
            <w:r>
              <w:rPr>
                <w:iCs/>
                <w:lang w:val="pt-BR"/>
              </w:rPr>
              <w:t>)</w:t>
            </w:r>
          </w:p>
          <w:p w:rsidR="004D5CBC" w:rsidRPr="00E34839" w:rsidRDefault="004D5CBC" w:rsidP="003B49E7">
            <w:pPr>
              <w:pStyle w:val="TableText"/>
              <w:rPr>
                <w:iCs/>
                <w:lang w:val="pt-BR"/>
              </w:rPr>
            </w:pPr>
            <w:r w:rsidRPr="00E34839">
              <w:rPr>
                <w:iCs/>
                <w:lang w:val="pt-BR"/>
              </w:rPr>
              <w:t>Synonym:</w:t>
            </w:r>
            <w:r w:rsidRPr="00310D85">
              <w:rPr>
                <w:i/>
                <w:lang w:val="pt-BR"/>
              </w:rPr>
              <w:t xml:space="preserve"> Pseudococcus brevipes </w:t>
            </w:r>
            <w:r w:rsidRPr="00E34839">
              <w:rPr>
                <w:iCs/>
                <w:lang w:val="pt-BR"/>
              </w:rPr>
              <w:t>Fernald, 1903</w:t>
            </w:r>
          </w:p>
          <w:p w:rsidR="004D5CBC" w:rsidRPr="00E34839" w:rsidRDefault="004D5CBC" w:rsidP="003B49E7">
            <w:pPr>
              <w:pStyle w:val="TableText"/>
              <w:rPr>
                <w:iCs/>
                <w:lang w:val="pt-BR"/>
              </w:rPr>
            </w:pPr>
            <w:r w:rsidRPr="00E34839">
              <w:rPr>
                <w:iCs/>
                <w:lang w:val="pt-BR"/>
              </w:rPr>
              <w:t>[Pseudococcidae]</w:t>
            </w:r>
          </w:p>
          <w:p w:rsidR="004D5CBC" w:rsidRPr="00DA08BB" w:rsidRDefault="004D5CBC" w:rsidP="003B49E7">
            <w:pPr>
              <w:pStyle w:val="TableText"/>
              <w:rPr>
                <w:i/>
                <w:lang w:val="pt-BR"/>
              </w:rPr>
            </w:pPr>
            <w:r w:rsidRPr="00E34839">
              <w:rPr>
                <w:iCs/>
                <w:lang w:val="pt-BR"/>
              </w:rPr>
              <w:t>Pineapple mealybug</w:t>
            </w:r>
          </w:p>
        </w:tc>
        <w:tc>
          <w:tcPr>
            <w:tcW w:w="1701" w:type="dxa"/>
            <w:shd w:val="clear" w:color="auto" w:fill="auto"/>
          </w:tcPr>
          <w:p w:rsidR="004D5CBC" w:rsidRPr="00DA08BB" w:rsidRDefault="004D5CBC" w:rsidP="00EF2C72">
            <w:pPr>
              <w:pStyle w:val="TableText"/>
              <w:rPr>
                <w:lang w:val="pt-BR"/>
              </w:rPr>
            </w:pPr>
            <w:r>
              <w:t>Yes</w:t>
            </w:r>
            <w:r w:rsidRPr="006303D8">
              <w:t xml:space="preserve"> </w:t>
            </w:r>
            <w:r>
              <w:rPr>
                <w:noProof/>
              </w:rPr>
              <w:t>(García et al. 2018)</w:t>
            </w:r>
          </w:p>
        </w:tc>
        <w:tc>
          <w:tcPr>
            <w:tcW w:w="2126" w:type="dxa"/>
            <w:shd w:val="clear" w:color="auto" w:fill="auto"/>
          </w:tcPr>
          <w:p w:rsidR="004D5CBC" w:rsidRPr="00DA08BB" w:rsidRDefault="004D5CBC" w:rsidP="00EF2C72">
            <w:pPr>
              <w:pStyle w:val="TableText"/>
              <w:rPr>
                <w:szCs w:val="16"/>
              </w:rPr>
            </w:pPr>
            <w:r w:rsidRPr="006303D8">
              <w:t xml:space="preserve">Yes. NSW, NT, Qld, SA, WA </w:t>
            </w:r>
            <w:r>
              <w:rPr>
                <w:noProof/>
              </w:rPr>
              <w:t>(Plant Health Australia 2018)</w:t>
            </w:r>
          </w:p>
        </w:tc>
        <w:tc>
          <w:tcPr>
            <w:tcW w:w="2126" w:type="dxa"/>
            <w:shd w:val="clear" w:color="auto" w:fill="auto"/>
          </w:tcPr>
          <w:p w:rsidR="004D5CBC" w:rsidRPr="00DA08BB" w:rsidRDefault="004D5CBC" w:rsidP="003B49E7">
            <w:pPr>
              <w:pStyle w:val="TableText"/>
            </w:pPr>
            <w:r w:rsidRPr="006303D8">
              <w:t>Assessment not required</w:t>
            </w:r>
          </w:p>
        </w:tc>
        <w:tc>
          <w:tcPr>
            <w:tcW w:w="2126" w:type="dxa"/>
            <w:shd w:val="clear" w:color="auto" w:fill="auto"/>
          </w:tcPr>
          <w:p w:rsidR="004D5CBC" w:rsidRPr="00DA08BB" w:rsidRDefault="004D5CBC" w:rsidP="003B49E7">
            <w:pPr>
              <w:pStyle w:val="TableText"/>
            </w:pPr>
            <w:r w:rsidRPr="006303D8">
              <w:t>Assessment not required</w:t>
            </w:r>
          </w:p>
        </w:tc>
        <w:tc>
          <w:tcPr>
            <w:tcW w:w="1843" w:type="dxa"/>
            <w:shd w:val="clear" w:color="auto" w:fill="auto"/>
          </w:tcPr>
          <w:p w:rsidR="004D5CBC" w:rsidRPr="00DA08BB" w:rsidRDefault="004D5CBC" w:rsidP="003B49E7">
            <w:pPr>
              <w:pStyle w:val="TableText"/>
            </w:pPr>
            <w:r w:rsidRPr="006303D8">
              <w:t>Assessment not required</w:t>
            </w:r>
          </w:p>
        </w:tc>
        <w:tc>
          <w:tcPr>
            <w:tcW w:w="1282" w:type="dxa"/>
            <w:shd w:val="clear" w:color="auto" w:fill="auto"/>
          </w:tcPr>
          <w:p w:rsidR="004D5CBC" w:rsidRPr="00DA08BB" w:rsidRDefault="004D5CBC" w:rsidP="003B49E7">
            <w:pPr>
              <w:pStyle w:val="TableText"/>
            </w:pPr>
            <w:r w:rsidRPr="006303D8">
              <w:t>No</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310D85">
              <w:rPr>
                <w:i/>
                <w:lang w:val="pt-BR"/>
              </w:rPr>
              <w:t xml:space="preserve">Dysmicoccus neobrevipes </w:t>
            </w:r>
            <w:r w:rsidRPr="00E34839">
              <w:rPr>
                <w:iCs/>
                <w:lang w:val="pt-BR"/>
              </w:rPr>
              <w:t>Beardsley, 1959</w:t>
            </w:r>
          </w:p>
          <w:p w:rsidR="004D5CBC" w:rsidRPr="00E34839" w:rsidRDefault="004D5CBC" w:rsidP="003B49E7">
            <w:pPr>
              <w:pStyle w:val="TableText"/>
              <w:rPr>
                <w:iCs/>
                <w:lang w:val="pt-BR"/>
              </w:rPr>
            </w:pPr>
            <w:r w:rsidRPr="00E34839">
              <w:rPr>
                <w:iCs/>
                <w:lang w:val="pt-BR"/>
              </w:rPr>
              <w:t>[Pseudococcidae]</w:t>
            </w:r>
          </w:p>
          <w:p w:rsidR="004D5CBC" w:rsidRPr="00DA08BB" w:rsidRDefault="004D5CBC" w:rsidP="003B49E7">
            <w:pPr>
              <w:pStyle w:val="TableText"/>
              <w:rPr>
                <w:i/>
                <w:lang w:val="pt-BR"/>
              </w:rPr>
            </w:pPr>
            <w:r w:rsidRPr="00E34839">
              <w:rPr>
                <w:iCs/>
                <w:lang w:val="pt-BR"/>
              </w:rPr>
              <w:t>Grey pineapple mealybug</w:t>
            </w:r>
          </w:p>
        </w:tc>
        <w:tc>
          <w:tcPr>
            <w:tcW w:w="1701" w:type="dxa"/>
            <w:shd w:val="clear" w:color="auto" w:fill="auto"/>
          </w:tcPr>
          <w:p w:rsidR="004D5CBC" w:rsidRPr="00DA08BB" w:rsidRDefault="004D5CBC" w:rsidP="00EF2C72">
            <w:pPr>
              <w:pStyle w:val="TableText"/>
              <w:rPr>
                <w:lang w:val="pt-BR"/>
              </w:rPr>
            </w:pPr>
            <w:r>
              <w:t>Yes</w:t>
            </w:r>
            <w:r w:rsidRPr="003D13F9">
              <w:t xml:space="preserve"> </w:t>
            </w:r>
            <w:r>
              <w:rPr>
                <w:noProof/>
              </w:rPr>
              <w:t>(García et al. 2018; Kuswadi et al. 2016)</w:t>
            </w:r>
          </w:p>
        </w:tc>
        <w:tc>
          <w:tcPr>
            <w:tcW w:w="2126" w:type="dxa"/>
            <w:shd w:val="clear" w:color="auto" w:fill="auto"/>
          </w:tcPr>
          <w:p w:rsidR="004D5CBC" w:rsidRPr="00DA08BB" w:rsidRDefault="004D5CBC" w:rsidP="003B49E7">
            <w:pPr>
              <w:pStyle w:val="TableText"/>
              <w:rPr>
                <w:szCs w:val="16"/>
              </w:rPr>
            </w:pPr>
            <w:r w:rsidRPr="003D13F9">
              <w:t>No records found</w:t>
            </w:r>
          </w:p>
        </w:tc>
        <w:tc>
          <w:tcPr>
            <w:tcW w:w="2126" w:type="dxa"/>
            <w:shd w:val="clear" w:color="auto" w:fill="auto"/>
          </w:tcPr>
          <w:p w:rsidR="004D5CBC" w:rsidRPr="00DA08BB" w:rsidRDefault="004D5CBC" w:rsidP="00EF2C72">
            <w:pPr>
              <w:pStyle w:val="TableText"/>
            </w:pPr>
            <w:r w:rsidRPr="003D13F9">
              <w:t xml:space="preserve">Yes. Attacks the flowers, fruit and stems of dragon fruit </w:t>
            </w:r>
            <w:r>
              <w:rPr>
                <w:noProof/>
                <w:lang w:val="pt-BR"/>
              </w:rPr>
              <w:t>(PPD 2010)</w:t>
            </w:r>
            <w:r w:rsidRPr="003D13F9">
              <w:t>.</w:t>
            </w:r>
          </w:p>
        </w:tc>
        <w:tc>
          <w:tcPr>
            <w:tcW w:w="2126" w:type="dxa"/>
            <w:shd w:val="clear" w:color="auto" w:fill="auto"/>
          </w:tcPr>
          <w:p w:rsidR="004D5CBC" w:rsidRPr="00DA08BB" w:rsidRDefault="004D5CBC" w:rsidP="00EF2C72">
            <w:pPr>
              <w:pStyle w:val="TableText"/>
            </w:pPr>
            <w:r w:rsidRPr="003D13F9">
              <w:t xml:space="preserve">Yes. </w:t>
            </w:r>
            <w:r w:rsidRPr="00F60D06">
              <w:rPr>
                <w:i/>
              </w:rPr>
              <w:t>Dysmicoccus neobrevipes</w:t>
            </w:r>
            <w:r w:rsidRPr="003D13F9">
              <w:t xml:space="preserve"> feeds on a wide range of host plants including citrus and mango, and has been reported as an important economic pest of pineapple and banana throughout its pantropical distribution </w:t>
            </w:r>
            <w:r>
              <w:rPr>
                <w:noProof/>
              </w:rPr>
              <w:t>(CABI 2018)</w:t>
            </w:r>
            <w:r w:rsidRPr="003D13F9">
              <w:t xml:space="preserve">. The host range and current geographic distribution of this pest suggest that there are </w:t>
            </w:r>
            <w:r>
              <w:t xml:space="preserve">suitable </w:t>
            </w:r>
            <w:r w:rsidRPr="003D13F9">
              <w:t xml:space="preserve">environments for </w:t>
            </w:r>
            <w:r>
              <w:t>it</w:t>
            </w:r>
            <w:r w:rsidRPr="003D13F9">
              <w:t xml:space="preserve"> to est</w:t>
            </w:r>
            <w:r>
              <w:t>ablish and spread in Australia.</w:t>
            </w:r>
          </w:p>
        </w:tc>
        <w:tc>
          <w:tcPr>
            <w:tcW w:w="1843" w:type="dxa"/>
            <w:shd w:val="clear" w:color="auto" w:fill="auto"/>
          </w:tcPr>
          <w:p w:rsidR="004D5CBC" w:rsidRPr="00DA08BB" w:rsidRDefault="004D5CBC" w:rsidP="00EF2C72">
            <w:pPr>
              <w:pStyle w:val="TableText"/>
            </w:pPr>
            <w:r w:rsidRPr="003D13F9">
              <w:t xml:space="preserve">Yes. Mealybugs directly damage their plant hosts, reducing productivity. </w:t>
            </w:r>
            <w:r w:rsidRPr="00F60D06">
              <w:rPr>
                <w:i/>
              </w:rPr>
              <w:t>Dysmicoccus neobrevipes</w:t>
            </w:r>
            <w:r w:rsidRPr="003D13F9">
              <w:t xml:space="preserve"> is an important pest of pineapple and is a vector of pineapple wilt disease </w:t>
            </w:r>
            <w:r>
              <w:rPr>
                <w:noProof/>
              </w:rPr>
              <w:t>(Khoo, Ooi &amp; Ho 1991; Williams 2004)</w:t>
            </w:r>
          </w:p>
        </w:tc>
        <w:tc>
          <w:tcPr>
            <w:tcW w:w="1282" w:type="dxa"/>
            <w:shd w:val="clear" w:color="auto" w:fill="auto"/>
          </w:tcPr>
          <w:p w:rsidR="004D5CBC" w:rsidRPr="00DA08BB" w:rsidRDefault="004D5CBC" w:rsidP="003B49E7">
            <w:pPr>
              <w:pStyle w:val="TableText"/>
            </w:pPr>
            <w:r w:rsidRPr="003D13F9">
              <w:t>Yes (EP)</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ED7780">
              <w:rPr>
                <w:i/>
                <w:lang w:val="pt-BR"/>
              </w:rPr>
              <w:lastRenderedPageBreak/>
              <w:t xml:space="preserve">Ferrisia virgata </w:t>
            </w:r>
            <w:r>
              <w:rPr>
                <w:lang w:val="pt-BR"/>
              </w:rPr>
              <w:t>(</w:t>
            </w:r>
            <w:r w:rsidRPr="00E34839">
              <w:rPr>
                <w:iCs/>
                <w:lang w:val="pt-BR"/>
              </w:rPr>
              <w:t>Cockerell, 1893</w:t>
            </w:r>
            <w:r>
              <w:rPr>
                <w:iCs/>
                <w:lang w:val="pt-BR"/>
              </w:rPr>
              <w:t>)</w:t>
            </w:r>
          </w:p>
          <w:p w:rsidR="004D5CBC" w:rsidRPr="00E34839" w:rsidRDefault="004D5CBC" w:rsidP="003B49E7">
            <w:pPr>
              <w:pStyle w:val="TableText"/>
              <w:rPr>
                <w:iCs/>
                <w:lang w:val="pt-BR"/>
              </w:rPr>
            </w:pPr>
            <w:r w:rsidRPr="00E34839">
              <w:rPr>
                <w:iCs/>
                <w:lang w:val="pt-BR"/>
              </w:rPr>
              <w:t>[Pseudococcidae]</w:t>
            </w:r>
          </w:p>
          <w:p w:rsidR="004D5CBC" w:rsidRPr="00DA08BB" w:rsidRDefault="004D5CBC" w:rsidP="003B49E7">
            <w:pPr>
              <w:pStyle w:val="TableText"/>
              <w:rPr>
                <w:i/>
                <w:lang w:val="pt-BR"/>
              </w:rPr>
            </w:pPr>
            <w:r w:rsidRPr="00E34839">
              <w:rPr>
                <w:iCs/>
                <w:lang w:val="pt-BR"/>
              </w:rPr>
              <w:t>Striped mealybug</w:t>
            </w:r>
          </w:p>
        </w:tc>
        <w:tc>
          <w:tcPr>
            <w:tcW w:w="1701" w:type="dxa"/>
            <w:shd w:val="clear" w:color="auto" w:fill="auto"/>
          </w:tcPr>
          <w:p w:rsidR="004D5CBC" w:rsidRPr="00DA08BB" w:rsidRDefault="004D5CBC" w:rsidP="00EF2C72">
            <w:pPr>
              <w:pStyle w:val="TableText"/>
              <w:rPr>
                <w:lang w:val="pt-BR"/>
              </w:rPr>
            </w:pPr>
            <w:r>
              <w:t xml:space="preserve">Yes </w:t>
            </w:r>
            <w:r>
              <w:rPr>
                <w:noProof/>
              </w:rPr>
              <w:t>(García et al. 2018)</w:t>
            </w:r>
          </w:p>
        </w:tc>
        <w:tc>
          <w:tcPr>
            <w:tcW w:w="2126" w:type="dxa"/>
            <w:shd w:val="clear" w:color="auto" w:fill="auto"/>
          </w:tcPr>
          <w:p w:rsidR="004D5CBC" w:rsidRPr="00DA08BB" w:rsidRDefault="004D5CBC" w:rsidP="00EF2C72">
            <w:pPr>
              <w:pStyle w:val="TableText"/>
              <w:rPr>
                <w:szCs w:val="16"/>
              </w:rPr>
            </w:pPr>
            <w:r w:rsidRPr="00216FD3">
              <w:t xml:space="preserve">Yes. NSW, NT, Qld, WA </w:t>
            </w:r>
            <w:r>
              <w:rPr>
                <w:noProof/>
              </w:rPr>
              <w:t>(Plant Health Australia 2018; Poole 2010)</w:t>
            </w:r>
          </w:p>
        </w:tc>
        <w:tc>
          <w:tcPr>
            <w:tcW w:w="2126" w:type="dxa"/>
            <w:shd w:val="clear" w:color="auto" w:fill="auto"/>
          </w:tcPr>
          <w:p w:rsidR="004D5CBC" w:rsidRPr="00DA08BB" w:rsidRDefault="004D5CBC" w:rsidP="003B49E7">
            <w:pPr>
              <w:pStyle w:val="TableText"/>
            </w:pPr>
            <w:r w:rsidRPr="00216FD3">
              <w:t>Assessment not required</w:t>
            </w:r>
          </w:p>
        </w:tc>
        <w:tc>
          <w:tcPr>
            <w:tcW w:w="2126" w:type="dxa"/>
            <w:shd w:val="clear" w:color="auto" w:fill="auto"/>
          </w:tcPr>
          <w:p w:rsidR="004D5CBC" w:rsidRPr="00DA08BB" w:rsidRDefault="004D5CBC" w:rsidP="003B49E7">
            <w:pPr>
              <w:pStyle w:val="TableText"/>
            </w:pPr>
            <w:r w:rsidRPr="00216FD3">
              <w:t>Assessment not required</w:t>
            </w:r>
          </w:p>
        </w:tc>
        <w:tc>
          <w:tcPr>
            <w:tcW w:w="1843" w:type="dxa"/>
            <w:shd w:val="clear" w:color="auto" w:fill="auto"/>
          </w:tcPr>
          <w:p w:rsidR="004D5CBC" w:rsidRPr="00DA08BB" w:rsidRDefault="004D5CBC" w:rsidP="003B49E7">
            <w:pPr>
              <w:pStyle w:val="TableText"/>
            </w:pPr>
            <w:r w:rsidRPr="00216FD3">
              <w:t>Assessment not required</w:t>
            </w:r>
          </w:p>
        </w:tc>
        <w:tc>
          <w:tcPr>
            <w:tcW w:w="1282" w:type="dxa"/>
            <w:shd w:val="clear" w:color="auto" w:fill="auto"/>
          </w:tcPr>
          <w:p w:rsidR="004D5CBC" w:rsidRPr="00DA08BB" w:rsidRDefault="004D5CBC" w:rsidP="003B49E7">
            <w:pPr>
              <w:pStyle w:val="TableText"/>
            </w:pPr>
            <w:r w:rsidRPr="00216FD3">
              <w:t>No</w:t>
            </w:r>
          </w:p>
        </w:tc>
      </w:tr>
      <w:tr w:rsidR="004D5CBC" w:rsidRPr="00DA08BB" w:rsidTr="00B968E8">
        <w:trPr>
          <w:cantSplit/>
          <w:trHeight w:val="75"/>
          <w:jc w:val="center"/>
        </w:trPr>
        <w:tc>
          <w:tcPr>
            <w:tcW w:w="2269" w:type="dxa"/>
            <w:shd w:val="clear" w:color="auto" w:fill="auto"/>
          </w:tcPr>
          <w:p w:rsidR="004D5CBC" w:rsidRPr="00DD3EE2" w:rsidRDefault="004D5CBC" w:rsidP="00E91272">
            <w:pPr>
              <w:pStyle w:val="TableText"/>
              <w:rPr>
                <w:iCs/>
                <w:szCs w:val="18"/>
                <w:lang w:val="pt-BR"/>
              </w:rPr>
            </w:pPr>
            <w:r w:rsidRPr="00DD3EE2">
              <w:rPr>
                <w:i/>
                <w:szCs w:val="18"/>
                <w:lang w:val="pt-BR"/>
              </w:rPr>
              <w:t>Maconellicoccus hirsutus</w:t>
            </w:r>
            <w:r w:rsidRPr="00DD3EE2">
              <w:rPr>
                <w:iCs/>
                <w:szCs w:val="18"/>
                <w:lang w:val="pt-BR"/>
              </w:rPr>
              <w:t xml:space="preserve"> </w:t>
            </w:r>
            <w:r>
              <w:rPr>
                <w:iCs/>
                <w:szCs w:val="18"/>
                <w:lang w:val="pt-BR"/>
              </w:rPr>
              <w:t>(</w:t>
            </w:r>
            <w:r w:rsidRPr="00DD3EE2">
              <w:rPr>
                <w:iCs/>
                <w:szCs w:val="18"/>
                <w:lang w:val="pt-BR"/>
              </w:rPr>
              <w:t>Green, 1908</w:t>
            </w:r>
            <w:r>
              <w:rPr>
                <w:iCs/>
                <w:szCs w:val="18"/>
                <w:lang w:val="pt-BR"/>
              </w:rPr>
              <w:t>)</w:t>
            </w:r>
          </w:p>
          <w:p w:rsidR="004D5CBC" w:rsidRPr="00DD3EE2" w:rsidRDefault="004D5CBC" w:rsidP="00E91272">
            <w:pPr>
              <w:pStyle w:val="TableText"/>
              <w:rPr>
                <w:iCs/>
                <w:szCs w:val="18"/>
                <w:lang w:val="pt-BR"/>
              </w:rPr>
            </w:pPr>
            <w:r w:rsidRPr="00DD3EE2">
              <w:rPr>
                <w:iCs/>
                <w:szCs w:val="18"/>
                <w:lang w:val="pt-BR"/>
              </w:rPr>
              <w:t>[</w:t>
            </w:r>
            <w:r>
              <w:rPr>
                <w:iCs/>
                <w:szCs w:val="18"/>
                <w:lang w:val="pt-BR"/>
              </w:rPr>
              <w:t>P</w:t>
            </w:r>
            <w:r w:rsidRPr="00DD3EE2">
              <w:rPr>
                <w:iCs/>
                <w:szCs w:val="18"/>
                <w:lang w:val="pt-BR"/>
              </w:rPr>
              <w:t>seudococcidae]</w:t>
            </w:r>
          </w:p>
          <w:p w:rsidR="004D5CBC" w:rsidRPr="00DA08BB" w:rsidRDefault="004D5CBC" w:rsidP="00E91272">
            <w:pPr>
              <w:pStyle w:val="TableText"/>
              <w:rPr>
                <w:i/>
                <w:lang w:val="pt-BR"/>
              </w:rPr>
            </w:pPr>
            <w:r w:rsidRPr="00DD3EE2">
              <w:rPr>
                <w:iCs/>
                <w:szCs w:val="18"/>
                <w:lang w:val="pt-BR"/>
              </w:rPr>
              <w:t>Pink hibiscus mealybug</w:t>
            </w:r>
          </w:p>
        </w:tc>
        <w:tc>
          <w:tcPr>
            <w:tcW w:w="1701" w:type="dxa"/>
            <w:shd w:val="clear" w:color="auto" w:fill="auto"/>
          </w:tcPr>
          <w:p w:rsidR="004D5CBC" w:rsidRPr="00DA08BB" w:rsidRDefault="004D5CBC" w:rsidP="00EF2C72">
            <w:pPr>
              <w:pStyle w:val="TableText"/>
              <w:rPr>
                <w:lang w:val="pt-BR"/>
              </w:rPr>
            </w:pPr>
            <w:r>
              <w:rPr>
                <w:szCs w:val="18"/>
                <w:lang w:val="pt-BR"/>
              </w:rPr>
              <w:t>Yes</w:t>
            </w:r>
            <w:r w:rsidRPr="00DD3EE2">
              <w:rPr>
                <w:szCs w:val="18"/>
                <w:lang w:val="pt-BR"/>
              </w:rPr>
              <w:t xml:space="preserve"> </w:t>
            </w:r>
            <w:r>
              <w:rPr>
                <w:noProof/>
              </w:rPr>
              <w:t>(CABI 2018; García et al. 2018; Kalshoven 1981)</w:t>
            </w:r>
          </w:p>
        </w:tc>
        <w:tc>
          <w:tcPr>
            <w:tcW w:w="2126" w:type="dxa"/>
            <w:shd w:val="clear" w:color="auto" w:fill="auto"/>
          </w:tcPr>
          <w:p w:rsidR="004D5CBC" w:rsidRPr="00DA08BB" w:rsidRDefault="004D5CBC" w:rsidP="00EF2C72">
            <w:pPr>
              <w:pStyle w:val="TableText"/>
              <w:rPr>
                <w:szCs w:val="16"/>
              </w:rPr>
            </w:pPr>
            <w:r>
              <w:rPr>
                <w:szCs w:val="18"/>
                <w:lang w:val="pt-BR"/>
              </w:rPr>
              <w:t xml:space="preserve">Yes. NSW, NT, Qld, Vic., WA </w:t>
            </w:r>
            <w:r>
              <w:rPr>
                <w:noProof/>
              </w:rPr>
              <w:t>(Plant Health Australia 2018)</w:t>
            </w:r>
          </w:p>
        </w:tc>
        <w:tc>
          <w:tcPr>
            <w:tcW w:w="2126" w:type="dxa"/>
            <w:shd w:val="clear" w:color="auto" w:fill="auto"/>
          </w:tcPr>
          <w:p w:rsidR="004D5CBC" w:rsidRPr="00DA08BB" w:rsidRDefault="004D5CBC" w:rsidP="00E91272">
            <w:pPr>
              <w:pStyle w:val="TableText"/>
            </w:pPr>
            <w:r w:rsidRPr="00A06AA5">
              <w:rPr>
                <w:szCs w:val="18"/>
                <w:lang w:val="pt-BR"/>
              </w:rPr>
              <w:t>Assessment not required</w:t>
            </w:r>
          </w:p>
        </w:tc>
        <w:tc>
          <w:tcPr>
            <w:tcW w:w="2126" w:type="dxa"/>
            <w:shd w:val="clear" w:color="auto" w:fill="auto"/>
          </w:tcPr>
          <w:p w:rsidR="004D5CBC" w:rsidRPr="00DA08BB" w:rsidRDefault="004D5CBC" w:rsidP="00E91272">
            <w:pPr>
              <w:pStyle w:val="TableText"/>
            </w:pPr>
            <w:r w:rsidRPr="00A06AA5">
              <w:rPr>
                <w:szCs w:val="18"/>
                <w:lang w:val="pt-BR"/>
              </w:rPr>
              <w:t>Assessment not required</w:t>
            </w:r>
          </w:p>
        </w:tc>
        <w:tc>
          <w:tcPr>
            <w:tcW w:w="1843" w:type="dxa"/>
            <w:shd w:val="clear" w:color="auto" w:fill="auto"/>
          </w:tcPr>
          <w:p w:rsidR="004D5CBC" w:rsidRPr="00DA08BB" w:rsidRDefault="004D5CBC" w:rsidP="00E91272">
            <w:pPr>
              <w:pStyle w:val="TableText"/>
            </w:pPr>
            <w:r w:rsidRPr="00A06AA5">
              <w:rPr>
                <w:szCs w:val="18"/>
                <w:lang w:val="pt-BR"/>
              </w:rPr>
              <w:t>Assessment not required</w:t>
            </w:r>
          </w:p>
        </w:tc>
        <w:tc>
          <w:tcPr>
            <w:tcW w:w="1282" w:type="dxa"/>
            <w:shd w:val="clear" w:color="auto" w:fill="auto"/>
          </w:tcPr>
          <w:p w:rsidR="004D5CBC" w:rsidRPr="00DA08BB" w:rsidRDefault="004D5CBC" w:rsidP="00E91272">
            <w:pPr>
              <w:pStyle w:val="TableText"/>
            </w:pPr>
            <w:r w:rsidRPr="00423736">
              <w:t>No</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ED7780">
              <w:rPr>
                <w:i/>
                <w:lang w:val="pt-BR"/>
              </w:rPr>
              <w:t xml:space="preserve">Mictis longicornis </w:t>
            </w:r>
            <w:r w:rsidRPr="00E34839">
              <w:rPr>
                <w:iCs/>
                <w:lang w:val="pt-BR"/>
              </w:rPr>
              <w:t>Westwood, 1842</w:t>
            </w:r>
          </w:p>
          <w:p w:rsidR="004D5CBC" w:rsidRPr="00E34839" w:rsidRDefault="004D5CBC" w:rsidP="003B49E7">
            <w:pPr>
              <w:pStyle w:val="TableText"/>
              <w:rPr>
                <w:iCs/>
                <w:lang w:val="pt-BR"/>
              </w:rPr>
            </w:pPr>
            <w:r w:rsidRPr="00E34839">
              <w:rPr>
                <w:iCs/>
                <w:lang w:val="pt-BR"/>
              </w:rPr>
              <w:t>[Coreidae]</w:t>
            </w:r>
          </w:p>
          <w:p w:rsidR="004D5CBC" w:rsidRPr="00DA08BB" w:rsidRDefault="004D5CBC" w:rsidP="003B49E7">
            <w:pPr>
              <w:pStyle w:val="TableText"/>
              <w:rPr>
                <w:i/>
                <w:lang w:val="pt-BR"/>
              </w:rPr>
            </w:pPr>
            <w:r w:rsidRPr="00E34839">
              <w:rPr>
                <w:iCs/>
                <w:lang w:val="pt-BR"/>
              </w:rPr>
              <w:t>Rose coreid</w:t>
            </w:r>
          </w:p>
        </w:tc>
        <w:tc>
          <w:tcPr>
            <w:tcW w:w="1701" w:type="dxa"/>
            <w:shd w:val="clear" w:color="auto" w:fill="auto"/>
          </w:tcPr>
          <w:p w:rsidR="004D5CBC" w:rsidRPr="00DA08BB" w:rsidRDefault="004D5CBC" w:rsidP="00EF2C72">
            <w:pPr>
              <w:pStyle w:val="TableText"/>
              <w:rPr>
                <w:lang w:val="pt-BR"/>
              </w:rPr>
            </w:pPr>
            <w:r>
              <w:t>Yes</w:t>
            </w:r>
            <w:r w:rsidRPr="00B85504">
              <w:t xml:space="preserve"> </w:t>
            </w:r>
            <w:r>
              <w:rPr>
                <w:noProof/>
              </w:rPr>
              <w:t>(CABI 2018; Kalshoven 1981)</w:t>
            </w:r>
          </w:p>
        </w:tc>
        <w:tc>
          <w:tcPr>
            <w:tcW w:w="2126" w:type="dxa"/>
            <w:shd w:val="clear" w:color="auto" w:fill="auto"/>
          </w:tcPr>
          <w:p w:rsidR="004D5CBC" w:rsidRPr="00DA08BB" w:rsidRDefault="004D5CBC" w:rsidP="003B49E7">
            <w:pPr>
              <w:pStyle w:val="TableText"/>
              <w:rPr>
                <w:szCs w:val="16"/>
              </w:rPr>
            </w:pPr>
            <w:r w:rsidRPr="00B85504">
              <w:t>No records found</w:t>
            </w:r>
          </w:p>
        </w:tc>
        <w:tc>
          <w:tcPr>
            <w:tcW w:w="2126" w:type="dxa"/>
            <w:shd w:val="clear" w:color="auto" w:fill="auto"/>
          </w:tcPr>
          <w:p w:rsidR="004D5CBC" w:rsidRPr="00DA08BB" w:rsidRDefault="004D5CBC" w:rsidP="00EF2C72">
            <w:pPr>
              <w:pStyle w:val="TableText"/>
            </w:pPr>
            <w:r w:rsidRPr="00B85504">
              <w:t xml:space="preserve">No. </w:t>
            </w:r>
            <w:r>
              <w:t>Attacks</w:t>
            </w:r>
            <w:r w:rsidRPr="00B85504">
              <w:t xml:space="preserve"> the stem and shoots of dragon fruit </w:t>
            </w:r>
            <w:r>
              <w:rPr>
                <w:noProof/>
                <w:lang w:val="pt-BR"/>
              </w:rPr>
              <w:t>(PPD 2010)</w:t>
            </w:r>
            <w:r w:rsidRPr="00B85504">
              <w:t>.</w:t>
            </w:r>
          </w:p>
        </w:tc>
        <w:tc>
          <w:tcPr>
            <w:tcW w:w="2126" w:type="dxa"/>
            <w:shd w:val="clear" w:color="auto" w:fill="auto"/>
          </w:tcPr>
          <w:p w:rsidR="004D5CBC" w:rsidRPr="00DA08BB" w:rsidRDefault="004D5CBC" w:rsidP="003B49E7">
            <w:pPr>
              <w:pStyle w:val="TableText"/>
            </w:pPr>
            <w:r w:rsidRPr="00B85504">
              <w:t>Assessment not required</w:t>
            </w:r>
          </w:p>
        </w:tc>
        <w:tc>
          <w:tcPr>
            <w:tcW w:w="1843" w:type="dxa"/>
            <w:shd w:val="clear" w:color="auto" w:fill="auto"/>
          </w:tcPr>
          <w:p w:rsidR="004D5CBC" w:rsidRPr="00DA08BB" w:rsidRDefault="004D5CBC" w:rsidP="003B49E7">
            <w:pPr>
              <w:pStyle w:val="TableText"/>
            </w:pPr>
            <w:r w:rsidRPr="00B85504">
              <w:t>Assessment not required</w:t>
            </w:r>
          </w:p>
        </w:tc>
        <w:tc>
          <w:tcPr>
            <w:tcW w:w="1282" w:type="dxa"/>
            <w:shd w:val="clear" w:color="auto" w:fill="auto"/>
          </w:tcPr>
          <w:p w:rsidR="004D5CBC" w:rsidRPr="00DA08BB" w:rsidRDefault="004D5CBC" w:rsidP="003B49E7">
            <w:pPr>
              <w:pStyle w:val="TableText"/>
            </w:pPr>
            <w:r w:rsidRPr="00B85504">
              <w:t>No</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ED7780">
              <w:rPr>
                <w:i/>
                <w:lang w:val="pt-BR"/>
              </w:rPr>
              <w:t>Nezara viridula</w:t>
            </w:r>
            <w:r w:rsidRPr="00E34839">
              <w:rPr>
                <w:iCs/>
                <w:lang w:val="pt-BR"/>
              </w:rPr>
              <w:t xml:space="preserve"> </w:t>
            </w:r>
            <w:r>
              <w:rPr>
                <w:iCs/>
                <w:lang w:val="pt-BR"/>
              </w:rPr>
              <w:t>(</w:t>
            </w:r>
            <w:r w:rsidRPr="00E34839">
              <w:rPr>
                <w:iCs/>
                <w:lang w:val="pt-BR"/>
              </w:rPr>
              <w:t>Linnaeus, 1758</w:t>
            </w:r>
            <w:r>
              <w:rPr>
                <w:iCs/>
                <w:lang w:val="pt-BR"/>
              </w:rPr>
              <w:t>)</w:t>
            </w:r>
          </w:p>
          <w:p w:rsidR="004D5CBC" w:rsidRPr="00E34839" w:rsidRDefault="004D5CBC" w:rsidP="003B49E7">
            <w:pPr>
              <w:pStyle w:val="TableText"/>
              <w:rPr>
                <w:iCs/>
                <w:lang w:val="pt-BR"/>
              </w:rPr>
            </w:pPr>
            <w:r w:rsidRPr="00E34839">
              <w:rPr>
                <w:iCs/>
                <w:lang w:val="pt-BR"/>
              </w:rPr>
              <w:t>[Pentatomidae]</w:t>
            </w:r>
          </w:p>
          <w:p w:rsidR="004D5CBC" w:rsidRPr="00DA08BB" w:rsidRDefault="004D5CBC" w:rsidP="003B49E7">
            <w:pPr>
              <w:pStyle w:val="TableText"/>
              <w:rPr>
                <w:i/>
                <w:lang w:val="pt-BR"/>
              </w:rPr>
            </w:pPr>
            <w:r w:rsidRPr="00E34839">
              <w:rPr>
                <w:iCs/>
                <w:lang w:val="pt-BR"/>
              </w:rPr>
              <w:t>Green vegetable bug</w:t>
            </w:r>
          </w:p>
        </w:tc>
        <w:tc>
          <w:tcPr>
            <w:tcW w:w="1701" w:type="dxa"/>
            <w:shd w:val="clear" w:color="auto" w:fill="auto"/>
          </w:tcPr>
          <w:p w:rsidR="004D5CBC" w:rsidRPr="00DA08BB" w:rsidRDefault="004D5CBC" w:rsidP="00EF2C72">
            <w:pPr>
              <w:pStyle w:val="TableText"/>
              <w:rPr>
                <w:lang w:val="pt-BR"/>
              </w:rPr>
            </w:pPr>
            <w:r>
              <w:t>Yes</w:t>
            </w:r>
            <w:r w:rsidRPr="00475B4D">
              <w:t xml:space="preserve"> </w:t>
            </w:r>
            <w:r>
              <w:rPr>
                <w:noProof/>
              </w:rPr>
              <w:t>(CABI 2018; Kalshoven 1981)</w:t>
            </w:r>
          </w:p>
        </w:tc>
        <w:tc>
          <w:tcPr>
            <w:tcW w:w="2126" w:type="dxa"/>
            <w:shd w:val="clear" w:color="auto" w:fill="auto"/>
          </w:tcPr>
          <w:p w:rsidR="004D5CBC" w:rsidRPr="00DA08BB" w:rsidRDefault="004D5CBC" w:rsidP="00EF2C72">
            <w:pPr>
              <w:pStyle w:val="TableText"/>
              <w:rPr>
                <w:szCs w:val="16"/>
              </w:rPr>
            </w:pPr>
            <w:r w:rsidRPr="00475B4D">
              <w:t xml:space="preserve">Yes. ACT, NSW, NT, Qld, SA, Tas., Vic., WA </w:t>
            </w:r>
            <w:r>
              <w:rPr>
                <w:noProof/>
              </w:rPr>
              <w:t>(Plant Health Australia 2018)</w:t>
            </w:r>
          </w:p>
        </w:tc>
        <w:tc>
          <w:tcPr>
            <w:tcW w:w="2126" w:type="dxa"/>
            <w:shd w:val="clear" w:color="auto" w:fill="auto"/>
          </w:tcPr>
          <w:p w:rsidR="004D5CBC" w:rsidRPr="00DA08BB" w:rsidRDefault="004D5CBC" w:rsidP="003B49E7">
            <w:pPr>
              <w:pStyle w:val="TableText"/>
            </w:pPr>
            <w:r w:rsidRPr="00475B4D">
              <w:t>Assessment not required</w:t>
            </w:r>
          </w:p>
        </w:tc>
        <w:tc>
          <w:tcPr>
            <w:tcW w:w="2126" w:type="dxa"/>
            <w:shd w:val="clear" w:color="auto" w:fill="auto"/>
          </w:tcPr>
          <w:p w:rsidR="004D5CBC" w:rsidRPr="00DA08BB" w:rsidRDefault="004D5CBC" w:rsidP="003B49E7">
            <w:pPr>
              <w:pStyle w:val="TableText"/>
            </w:pPr>
            <w:r w:rsidRPr="00475B4D">
              <w:t>Assessment not required</w:t>
            </w:r>
          </w:p>
        </w:tc>
        <w:tc>
          <w:tcPr>
            <w:tcW w:w="1843" w:type="dxa"/>
            <w:shd w:val="clear" w:color="auto" w:fill="auto"/>
          </w:tcPr>
          <w:p w:rsidR="004D5CBC" w:rsidRPr="00DA08BB" w:rsidRDefault="004D5CBC" w:rsidP="003B49E7">
            <w:pPr>
              <w:pStyle w:val="TableText"/>
            </w:pPr>
            <w:r w:rsidRPr="00475B4D">
              <w:t>Assessment not required</w:t>
            </w:r>
          </w:p>
        </w:tc>
        <w:tc>
          <w:tcPr>
            <w:tcW w:w="1282" w:type="dxa"/>
            <w:shd w:val="clear" w:color="auto" w:fill="auto"/>
          </w:tcPr>
          <w:p w:rsidR="004D5CBC" w:rsidRPr="00DA08BB" w:rsidRDefault="004D5CBC" w:rsidP="003B49E7">
            <w:pPr>
              <w:pStyle w:val="TableText"/>
            </w:pPr>
            <w:r w:rsidRPr="00475B4D">
              <w:t>No</w:t>
            </w:r>
          </w:p>
        </w:tc>
      </w:tr>
      <w:tr w:rsidR="004D5CBC" w:rsidRPr="00DA08BB" w:rsidTr="00B968E8">
        <w:trPr>
          <w:cantSplit/>
          <w:trHeight w:val="75"/>
          <w:jc w:val="center"/>
        </w:trPr>
        <w:tc>
          <w:tcPr>
            <w:tcW w:w="2269" w:type="dxa"/>
            <w:shd w:val="clear" w:color="auto" w:fill="auto"/>
          </w:tcPr>
          <w:p w:rsidR="004D5CBC" w:rsidRDefault="004D5CBC" w:rsidP="00D37501">
            <w:pPr>
              <w:pStyle w:val="TableText"/>
              <w:rPr>
                <w:iCs/>
                <w:lang w:val="pt-BR"/>
              </w:rPr>
            </w:pPr>
            <w:r w:rsidRPr="00415008">
              <w:rPr>
                <w:i/>
                <w:lang w:val="pt-BR"/>
              </w:rPr>
              <w:t>Paracoccus marginatus</w:t>
            </w:r>
            <w:r w:rsidRPr="00415008">
              <w:rPr>
                <w:iCs/>
                <w:lang w:val="pt-BR"/>
              </w:rPr>
              <w:t xml:space="preserve"> </w:t>
            </w:r>
            <w:r w:rsidRPr="00483DE5">
              <w:rPr>
                <w:iCs/>
                <w:lang w:val="pt-BR"/>
              </w:rPr>
              <w:t>Williams &amp; Granara de Willink, 1992</w:t>
            </w:r>
          </w:p>
          <w:p w:rsidR="004D5CBC" w:rsidRDefault="004D5CBC" w:rsidP="00D37501">
            <w:pPr>
              <w:pStyle w:val="TableText"/>
              <w:rPr>
                <w:iCs/>
                <w:lang w:val="pt-BR"/>
              </w:rPr>
            </w:pPr>
            <w:r>
              <w:rPr>
                <w:iCs/>
                <w:lang w:val="pt-BR"/>
              </w:rPr>
              <w:t>[Pseudococcidae]</w:t>
            </w:r>
          </w:p>
          <w:p w:rsidR="004D5CBC" w:rsidRPr="00DA08BB" w:rsidRDefault="004D5CBC" w:rsidP="00D37501">
            <w:pPr>
              <w:pStyle w:val="TableText"/>
              <w:rPr>
                <w:i/>
                <w:lang w:val="pt-BR"/>
              </w:rPr>
            </w:pPr>
            <w:r>
              <w:rPr>
                <w:iCs/>
                <w:lang w:val="pt-BR"/>
              </w:rPr>
              <w:t>Papaya mealybug</w:t>
            </w:r>
          </w:p>
        </w:tc>
        <w:tc>
          <w:tcPr>
            <w:tcW w:w="1701" w:type="dxa"/>
            <w:shd w:val="clear" w:color="auto" w:fill="auto"/>
          </w:tcPr>
          <w:p w:rsidR="004D5CBC" w:rsidRPr="00DA08BB" w:rsidRDefault="004D5CBC" w:rsidP="00EF2C72">
            <w:pPr>
              <w:pStyle w:val="TableText"/>
              <w:rPr>
                <w:lang w:val="pt-BR"/>
              </w:rPr>
            </w:pPr>
            <w:r>
              <w:rPr>
                <w:lang w:val="pt-BR"/>
              </w:rPr>
              <w:t>Yes</w:t>
            </w:r>
            <w:r w:rsidRPr="00415008">
              <w:rPr>
                <w:lang w:val="pt-BR"/>
              </w:rPr>
              <w:t xml:space="preserve"> </w:t>
            </w:r>
            <w:r>
              <w:rPr>
                <w:noProof/>
                <w:lang w:val="pt-BR"/>
              </w:rPr>
              <w:t>(IAQA 2016; Plant Health Australia 2018)</w:t>
            </w:r>
          </w:p>
        </w:tc>
        <w:tc>
          <w:tcPr>
            <w:tcW w:w="2126" w:type="dxa"/>
            <w:shd w:val="clear" w:color="auto" w:fill="auto"/>
          </w:tcPr>
          <w:p w:rsidR="004D5CBC" w:rsidRPr="00DA08BB" w:rsidRDefault="004D5CBC" w:rsidP="00D37501">
            <w:pPr>
              <w:pStyle w:val="TableText"/>
              <w:rPr>
                <w:szCs w:val="16"/>
              </w:rPr>
            </w:pPr>
            <w:r>
              <w:rPr>
                <w:szCs w:val="18"/>
              </w:rPr>
              <w:t>No records found</w:t>
            </w:r>
          </w:p>
        </w:tc>
        <w:tc>
          <w:tcPr>
            <w:tcW w:w="2126" w:type="dxa"/>
            <w:shd w:val="clear" w:color="auto" w:fill="auto"/>
          </w:tcPr>
          <w:p w:rsidR="004D5CBC" w:rsidRPr="00DA08BB" w:rsidRDefault="004D5CBC" w:rsidP="00EF2C72">
            <w:pPr>
              <w:pStyle w:val="TableText"/>
            </w:pPr>
            <w:r>
              <w:rPr>
                <w:szCs w:val="18"/>
                <w:lang w:val="pt-BR"/>
              </w:rPr>
              <w:t xml:space="preserve">Yes. Attacks the stem and fruit of dragon fruit </w:t>
            </w:r>
            <w:r>
              <w:rPr>
                <w:noProof/>
                <w:lang w:val="pt-BR"/>
              </w:rPr>
              <w:t>(IAQA 2016)</w:t>
            </w:r>
            <w:r>
              <w:rPr>
                <w:szCs w:val="18"/>
                <w:lang w:val="pt-BR"/>
              </w:rPr>
              <w:t>.</w:t>
            </w:r>
          </w:p>
        </w:tc>
        <w:tc>
          <w:tcPr>
            <w:tcW w:w="2126" w:type="dxa"/>
            <w:shd w:val="clear" w:color="auto" w:fill="auto"/>
          </w:tcPr>
          <w:p w:rsidR="004D5CBC" w:rsidRPr="00DA08BB" w:rsidRDefault="004D5CBC" w:rsidP="00EF2C72">
            <w:pPr>
              <w:pStyle w:val="TableText"/>
            </w:pPr>
            <w:r>
              <w:rPr>
                <w:szCs w:val="18"/>
                <w:lang w:val="pt-BR"/>
              </w:rPr>
              <w:t xml:space="preserve">Yes. </w:t>
            </w:r>
            <w:r>
              <w:rPr>
                <w:i/>
                <w:iCs/>
                <w:szCs w:val="18"/>
                <w:lang w:val="pt-BR"/>
              </w:rPr>
              <w:t>Paracoccus marginatus</w:t>
            </w:r>
            <w:r>
              <w:rPr>
                <w:szCs w:val="18"/>
                <w:lang w:val="pt-BR"/>
              </w:rPr>
              <w:t xml:space="preserve"> is widely distributed throughout the tropics and feeds on a broad range of hosts including papaya, hibiscus, pineapple, orange and avocado </w:t>
            </w:r>
            <w:r>
              <w:rPr>
                <w:noProof/>
              </w:rPr>
              <w:t>(CABI 2018)</w:t>
            </w:r>
            <w:r>
              <w:rPr>
                <w:szCs w:val="18"/>
                <w:lang w:val="pt-BR"/>
              </w:rPr>
              <w:t>.</w:t>
            </w:r>
            <w:r w:rsidRPr="003D13F9">
              <w:t xml:space="preserve"> The host range and current geographic di</w:t>
            </w:r>
            <w:r>
              <w:t>stribution of this pest suggest</w:t>
            </w:r>
            <w:r w:rsidRPr="003D13F9">
              <w:t xml:space="preserve"> that there are </w:t>
            </w:r>
            <w:r>
              <w:t xml:space="preserve">suitable </w:t>
            </w:r>
            <w:r w:rsidRPr="003D13F9">
              <w:t>environments for this pest to est</w:t>
            </w:r>
            <w:r>
              <w:t>ablish and spread in Australia.</w:t>
            </w:r>
          </w:p>
        </w:tc>
        <w:tc>
          <w:tcPr>
            <w:tcW w:w="1843" w:type="dxa"/>
            <w:shd w:val="clear" w:color="auto" w:fill="auto"/>
          </w:tcPr>
          <w:p w:rsidR="004D5CBC" w:rsidRPr="00DA08BB" w:rsidRDefault="004D5CBC" w:rsidP="00EF2C72">
            <w:pPr>
              <w:pStyle w:val="TableText"/>
            </w:pPr>
            <w:r>
              <w:rPr>
                <w:szCs w:val="18"/>
                <w:lang w:val="pt-BR"/>
              </w:rPr>
              <w:t xml:space="preserve">Yes. </w:t>
            </w:r>
            <w:r w:rsidRPr="003D13F9">
              <w:t>Mealybugs directly damage their plant hosts, reducing productivity</w:t>
            </w:r>
            <w:r>
              <w:t>.</w:t>
            </w:r>
            <w:r>
              <w:rPr>
                <w:i/>
                <w:iCs/>
                <w:szCs w:val="18"/>
                <w:lang w:val="pt-BR"/>
              </w:rPr>
              <w:t xml:space="preserve"> Paracoccus</w:t>
            </w:r>
            <w:r w:rsidDel="00456C9D">
              <w:rPr>
                <w:i/>
                <w:iCs/>
                <w:szCs w:val="18"/>
                <w:lang w:val="pt-BR"/>
              </w:rPr>
              <w:t xml:space="preserve"> </w:t>
            </w:r>
            <w:r>
              <w:rPr>
                <w:i/>
                <w:iCs/>
                <w:szCs w:val="18"/>
                <w:lang w:val="pt-BR"/>
              </w:rPr>
              <w:t xml:space="preserve">marginatus </w:t>
            </w:r>
            <w:r>
              <w:rPr>
                <w:szCs w:val="18"/>
                <w:lang w:val="pt-BR"/>
              </w:rPr>
              <w:t xml:space="preserve">is an important pest of papaya and cassava across its tropical distribution </w:t>
            </w:r>
            <w:r>
              <w:rPr>
                <w:noProof/>
              </w:rPr>
              <w:t>(CABI 2018)</w:t>
            </w:r>
            <w:r>
              <w:rPr>
                <w:szCs w:val="18"/>
                <w:lang w:val="pt-BR"/>
              </w:rPr>
              <w:t>.</w:t>
            </w:r>
          </w:p>
        </w:tc>
        <w:tc>
          <w:tcPr>
            <w:tcW w:w="1282" w:type="dxa"/>
            <w:shd w:val="clear" w:color="auto" w:fill="auto"/>
          </w:tcPr>
          <w:p w:rsidR="004D5CBC" w:rsidRPr="00DA08BB" w:rsidRDefault="004D5CBC" w:rsidP="00D37501">
            <w:pPr>
              <w:pStyle w:val="TableText"/>
            </w:pPr>
            <w:r>
              <w:rPr>
                <w:szCs w:val="18"/>
              </w:rPr>
              <w:t>Yes (EP)</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ED7780">
              <w:rPr>
                <w:i/>
                <w:lang w:val="pt-BR"/>
              </w:rPr>
              <w:lastRenderedPageBreak/>
              <w:t xml:space="preserve">Pentalonia nigronervosa </w:t>
            </w:r>
            <w:r w:rsidRPr="00E34839">
              <w:rPr>
                <w:iCs/>
                <w:lang w:val="pt-BR"/>
              </w:rPr>
              <w:t>Coquerel, 1859</w:t>
            </w:r>
          </w:p>
          <w:p w:rsidR="004D5CBC" w:rsidRPr="00E34839" w:rsidRDefault="004D5CBC" w:rsidP="003B49E7">
            <w:pPr>
              <w:pStyle w:val="TableText"/>
              <w:rPr>
                <w:iCs/>
                <w:lang w:val="pt-BR"/>
              </w:rPr>
            </w:pPr>
            <w:r w:rsidRPr="00E34839">
              <w:rPr>
                <w:iCs/>
                <w:lang w:val="pt-BR"/>
              </w:rPr>
              <w:t>[Aphididae]</w:t>
            </w:r>
          </w:p>
          <w:p w:rsidR="004D5CBC" w:rsidRPr="00DA08BB" w:rsidRDefault="004D5CBC" w:rsidP="003B49E7">
            <w:pPr>
              <w:pStyle w:val="TableText"/>
              <w:rPr>
                <w:i/>
                <w:lang w:val="pt-BR"/>
              </w:rPr>
            </w:pPr>
            <w:r w:rsidRPr="00E34839">
              <w:rPr>
                <w:iCs/>
                <w:lang w:val="pt-BR"/>
              </w:rPr>
              <w:t>Banana aphid</w:t>
            </w:r>
          </w:p>
        </w:tc>
        <w:tc>
          <w:tcPr>
            <w:tcW w:w="1701" w:type="dxa"/>
            <w:shd w:val="clear" w:color="auto" w:fill="auto"/>
          </w:tcPr>
          <w:p w:rsidR="004D5CBC" w:rsidRPr="00DA08BB" w:rsidRDefault="004D5CBC" w:rsidP="00EF2C72">
            <w:pPr>
              <w:pStyle w:val="TableText"/>
              <w:rPr>
                <w:lang w:val="pt-BR"/>
              </w:rPr>
            </w:pPr>
            <w:r>
              <w:t>Yes</w:t>
            </w:r>
            <w:r w:rsidRPr="000C67FC">
              <w:t xml:space="preserve"> </w:t>
            </w:r>
            <w:r>
              <w:rPr>
                <w:noProof/>
              </w:rPr>
              <w:t>(CABI 2018; Kalshoven 1981)</w:t>
            </w:r>
          </w:p>
        </w:tc>
        <w:tc>
          <w:tcPr>
            <w:tcW w:w="2126" w:type="dxa"/>
            <w:shd w:val="clear" w:color="auto" w:fill="auto"/>
          </w:tcPr>
          <w:p w:rsidR="004D5CBC" w:rsidRPr="00DA08BB" w:rsidRDefault="004D5CBC" w:rsidP="00EF2C72">
            <w:pPr>
              <w:pStyle w:val="TableText"/>
              <w:rPr>
                <w:szCs w:val="16"/>
              </w:rPr>
            </w:pPr>
            <w:r w:rsidRPr="000C67FC">
              <w:t xml:space="preserve">Yes. NSW, NT, Qld, limited distribution in WA </w:t>
            </w:r>
            <w:r>
              <w:rPr>
                <w:noProof/>
              </w:rPr>
              <w:t>(Plant Health Australia 2018)</w:t>
            </w:r>
            <w:r w:rsidRPr="000C67FC">
              <w:t xml:space="preserve">. </w:t>
            </w:r>
            <w:r>
              <w:t>Regulated</w:t>
            </w:r>
            <w:r w:rsidRPr="000C67FC">
              <w:t xml:space="preserve"> as a Declared Organism (Prohibited (</w:t>
            </w:r>
            <w:proofErr w:type="gramStart"/>
            <w:r w:rsidRPr="000C67FC">
              <w:t>s22(</w:t>
            </w:r>
            <w:proofErr w:type="gramEnd"/>
            <w:r w:rsidRPr="000C67FC">
              <w:t xml:space="preserve">2))) of WA Biosecurity and Agriculture Management Act (2007) </w:t>
            </w:r>
            <w:r>
              <w:rPr>
                <w:noProof/>
              </w:rPr>
              <w:t>(Government of Western Australia 2017)</w:t>
            </w:r>
            <w:r w:rsidRPr="000C67FC">
              <w:t>.</w:t>
            </w:r>
          </w:p>
        </w:tc>
        <w:tc>
          <w:tcPr>
            <w:tcW w:w="2126" w:type="dxa"/>
            <w:shd w:val="clear" w:color="auto" w:fill="auto"/>
          </w:tcPr>
          <w:p w:rsidR="004D5CBC" w:rsidRPr="00DA08BB" w:rsidRDefault="004D5CBC" w:rsidP="00EF2C72">
            <w:pPr>
              <w:pStyle w:val="TableText"/>
            </w:pPr>
            <w:r w:rsidRPr="00523702">
              <w:t xml:space="preserve">No. Attacks the stems of dragon fruit </w:t>
            </w:r>
            <w:r>
              <w:rPr>
                <w:noProof/>
                <w:lang w:val="pt-BR"/>
              </w:rPr>
              <w:t>(PPD 2010)</w:t>
            </w:r>
            <w:r w:rsidRPr="00523702">
              <w:t xml:space="preserve">. </w:t>
            </w:r>
          </w:p>
        </w:tc>
        <w:tc>
          <w:tcPr>
            <w:tcW w:w="2126" w:type="dxa"/>
            <w:shd w:val="clear" w:color="auto" w:fill="auto"/>
          </w:tcPr>
          <w:p w:rsidR="004D5CBC" w:rsidRPr="00DA08BB" w:rsidRDefault="004D5CBC" w:rsidP="003B49E7">
            <w:pPr>
              <w:pStyle w:val="TableText"/>
            </w:pPr>
            <w:r w:rsidRPr="00523702">
              <w:t>Assessment not required</w:t>
            </w:r>
          </w:p>
        </w:tc>
        <w:tc>
          <w:tcPr>
            <w:tcW w:w="1843" w:type="dxa"/>
            <w:shd w:val="clear" w:color="auto" w:fill="auto"/>
          </w:tcPr>
          <w:p w:rsidR="004D5CBC" w:rsidRPr="00DA08BB" w:rsidRDefault="004D5CBC" w:rsidP="003B49E7">
            <w:pPr>
              <w:pStyle w:val="TableText"/>
            </w:pPr>
            <w:r w:rsidRPr="00523702">
              <w:t>Assessment not required</w:t>
            </w:r>
          </w:p>
        </w:tc>
        <w:tc>
          <w:tcPr>
            <w:tcW w:w="1282" w:type="dxa"/>
            <w:shd w:val="clear" w:color="auto" w:fill="auto"/>
          </w:tcPr>
          <w:p w:rsidR="004D5CBC" w:rsidRPr="00DA08BB" w:rsidRDefault="004D5CBC" w:rsidP="003B49E7">
            <w:pPr>
              <w:pStyle w:val="TableText"/>
            </w:pPr>
            <w:r w:rsidRPr="00523702">
              <w:t>No</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ED7780">
              <w:rPr>
                <w:i/>
                <w:lang w:val="pt-BR"/>
              </w:rPr>
              <w:t xml:space="preserve">Planococcus citri </w:t>
            </w:r>
            <w:r>
              <w:rPr>
                <w:lang w:val="pt-BR"/>
              </w:rPr>
              <w:t>(</w:t>
            </w:r>
            <w:r w:rsidRPr="00E34839">
              <w:rPr>
                <w:iCs/>
                <w:lang w:val="pt-BR"/>
              </w:rPr>
              <w:t>Risso, 1813</w:t>
            </w:r>
            <w:r>
              <w:rPr>
                <w:iCs/>
                <w:lang w:val="pt-BR"/>
              </w:rPr>
              <w:t>)</w:t>
            </w:r>
          </w:p>
          <w:p w:rsidR="004D5CBC" w:rsidRPr="00E34839" w:rsidRDefault="004D5CBC" w:rsidP="003B49E7">
            <w:pPr>
              <w:pStyle w:val="TableText"/>
              <w:rPr>
                <w:iCs/>
                <w:lang w:val="pt-BR"/>
              </w:rPr>
            </w:pPr>
            <w:r w:rsidRPr="00E34839">
              <w:rPr>
                <w:iCs/>
                <w:lang w:val="pt-BR"/>
              </w:rPr>
              <w:t>[Pseudococccidae]</w:t>
            </w:r>
          </w:p>
          <w:p w:rsidR="004D5CBC" w:rsidRPr="00DA08BB" w:rsidRDefault="004D5CBC" w:rsidP="003B49E7">
            <w:pPr>
              <w:pStyle w:val="TableText"/>
              <w:rPr>
                <w:i/>
                <w:lang w:val="pt-BR"/>
              </w:rPr>
            </w:pPr>
            <w:r w:rsidRPr="00E34839">
              <w:rPr>
                <w:iCs/>
                <w:lang w:val="pt-BR"/>
              </w:rPr>
              <w:t>Citrus mealybug</w:t>
            </w:r>
          </w:p>
        </w:tc>
        <w:tc>
          <w:tcPr>
            <w:tcW w:w="1701" w:type="dxa"/>
            <w:shd w:val="clear" w:color="auto" w:fill="auto"/>
          </w:tcPr>
          <w:p w:rsidR="004D5CBC" w:rsidRPr="00DA08BB" w:rsidRDefault="004D5CBC" w:rsidP="00EF2C72">
            <w:pPr>
              <w:pStyle w:val="TableText"/>
              <w:rPr>
                <w:lang w:val="pt-BR"/>
              </w:rPr>
            </w:pPr>
            <w:r>
              <w:t>Yes</w:t>
            </w:r>
            <w:r w:rsidRPr="00AC44E0">
              <w:t xml:space="preserve"> </w:t>
            </w:r>
            <w:r>
              <w:rPr>
                <w:noProof/>
              </w:rPr>
              <w:t>(CABI 2018; García et al. 2018; Kalshoven 1981)</w:t>
            </w:r>
          </w:p>
        </w:tc>
        <w:tc>
          <w:tcPr>
            <w:tcW w:w="2126" w:type="dxa"/>
            <w:shd w:val="clear" w:color="auto" w:fill="auto"/>
          </w:tcPr>
          <w:p w:rsidR="004D5CBC" w:rsidRPr="00DA08BB" w:rsidRDefault="004D5CBC" w:rsidP="00EF2C72">
            <w:pPr>
              <w:pStyle w:val="TableText"/>
              <w:rPr>
                <w:szCs w:val="16"/>
              </w:rPr>
            </w:pPr>
            <w:r w:rsidRPr="00AC44E0">
              <w:t>Yes</w:t>
            </w:r>
            <w:r>
              <w:t>.</w:t>
            </w:r>
            <w:r w:rsidRPr="00AC44E0">
              <w:t xml:space="preserve"> NSW, NT, Qld, SA, Tas., Vic., WA </w:t>
            </w:r>
            <w:r>
              <w:rPr>
                <w:noProof/>
              </w:rPr>
              <w:t>(Plant Health Australia 2018)</w:t>
            </w:r>
          </w:p>
        </w:tc>
        <w:tc>
          <w:tcPr>
            <w:tcW w:w="2126" w:type="dxa"/>
            <w:shd w:val="clear" w:color="auto" w:fill="auto"/>
          </w:tcPr>
          <w:p w:rsidR="004D5CBC" w:rsidRPr="00DA08BB" w:rsidRDefault="004D5CBC" w:rsidP="003B49E7">
            <w:pPr>
              <w:pStyle w:val="TableText"/>
            </w:pPr>
            <w:r w:rsidRPr="00AC44E0">
              <w:t>Assessment not required</w:t>
            </w:r>
          </w:p>
        </w:tc>
        <w:tc>
          <w:tcPr>
            <w:tcW w:w="2126" w:type="dxa"/>
            <w:shd w:val="clear" w:color="auto" w:fill="auto"/>
          </w:tcPr>
          <w:p w:rsidR="004D5CBC" w:rsidRPr="00DA08BB" w:rsidRDefault="004D5CBC" w:rsidP="003B49E7">
            <w:pPr>
              <w:pStyle w:val="TableText"/>
            </w:pPr>
            <w:r w:rsidRPr="00AC44E0">
              <w:t>Assessment not required</w:t>
            </w:r>
          </w:p>
        </w:tc>
        <w:tc>
          <w:tcPr>
            <w:tcW w:w="1843" w:type="dxa"/>
            <w:shd w:val="clear" w:color="auto" w:fill="auto"/>
          </w:tcPr>
          <w:p w:rsidR="004D5CBC" w:rsidRPr="00DA08BB" w:rsidRDefault="004D5CBC" w:rsidP="003B49E7">
            <w:pPr>
              <w:pStyle w:val="TableText"/>
            </w:pPr>
            <w:r w:rsidRPr="00AC44E0">
              <w:t>Assessment not required</w:t>
            </w:r>
          </w:p>
        </w:tc>
        <w:tc>
          <w:tcPr>
            <w:tcW w:w="1282" w:type="dxa"/>
            <w:shd w:val="clear" w:color="auto" w:fill="auto"/>
          </w:tcPr>
          <w:p w:rsidR="004D5CBC" w:rsidRPr="00DA08BB" w:rsidRDefault="004D5CBC" w:rsidP="003B49E7">
            <w:pPr>
              <w:pStyle w:val="TableText"/>
            </w:pPr>
            <w:r w:rsidRPr="00AC44E0">
              <w:t>No</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ED7780">
              <w:rPr>
                <w:i/>
                <w:lang w:val="pt-BR"/>
              </w:rPr>
              <w:t xml:space="preserve">Planococcus lilacinus </w:t>
            </w:r>
            <w:r>
              <w:rPr>
                <w:lang w:val="pt-BR"/>
              </w:rPr>
              <w:t>(</w:t>
            </w:r>
            <w:r w:rsidRPr="00E34839">
              <w:rPr>
                <w:iCs/>
                <w:lang w:val="pt-BR"/>
              </w:rPr>
              <w:t>Cockerell, 1905</w:t>
            </w:r>
            <w:r>
              <w:rPr>
                <w:iCs/>
                <w:lang w:val="pt-BR"/>
              </w:rPr>
              <w:t>)</w:t>
            </w:r>
          </w:p>
          <w:p w:rsidR="004D5CBC" w:rsidRPr="00E34839" w:rsidRDefault="004D5CBC" w:rsidP="003B49E7">
            <w:pPr>
              <w:pStyle w:val="TableText"/>
              <w:rPr>
                <w:iCs/>
                <w:lang w:val="pt-BR"/>
              </w:rPr>
            </w:pPr>
            <w:r w:rsidRPr="00E34839">
              <w:rPr>
                <w:iCs/>
                <w:lang w:val="pt-BR"/>
              </w:rPr>
              <w:t>[Pseudococcidae]</w:t>
            </w:r>
          </w:p>
          <w:p w:rsidR="004D5CBC" w:rsidRPr="00DA08BB" w:rsidRDefault="004D5CBC" w:rsidP="003B49E7">
            <w:pPr>
              <w:pStyle w:val="TableText"/>
              <w:rPr>
                <w:i/>
                <w:lang w:val="pt-BR"/>
              </w:rPr>
            </w:pPr>
            <w:r w:rsidRPr="00E34839">
              <w:rPr>
                <w:iCs/>
                <w:lang w:val="pt-BR"/>
              </w:rPr>
              <w:t>Coffee mealybug</w:t>
            </w:r>
          </w:p>
        </w:tc>
        <w:tc>
          <w:tcPr>
            <w:tcW w:w="1701" w:type="dxa"/>
            <w:shd w:val="clear" w:color="auto" w:fill="auto"/>
          </w:tcPr>
          <w:p w:rsidR="004D5CBC" w:rsidRPr="00DA08BB" w:rsidRDefault="004D5CBC" w:rsidP="00EF2C72">
            <w:pPr>
              <w:pStyle w:val="TableText"/>
              <w:rPr>
                <w:lang w:val="pt-BR"/>
              </w:rPr>
            </w:pPr>
            <w:r>
              <w:t>Yes</w:t>
            </w:r>
            <w:r w:rsidRPr="00B459BA">
              <w:t xml:space="preserve"> </w:t>
            </w:r>
            <w:r>
              <w:rPr>
                <w:noProof/>
              </w:rPr>
              <w:t>(García et al. 2018; Plant Health Australia 2018)</w:t>
            </w:r>
          </w:p>
        </w:tc>
        <w:tc>
          <w:tcPr>
            <w:tcW w:w="2126" w:type="dxa"/>
            <w:shd w:val="clear" w:color="auto" w:fill="auto"/>
          </w:tcPr>
          <w:p w:rsidR="004D5CBC" w:rsidRPr="00DA08BB" w:rsidRDefault="004D5CBC" w:rsidP="007F3A08">
            <w:pPr>
              <w:pStyle w:val="TableText"/>
              <w:rPr>
                <w:szCs w:val="16"/>
              </w:rPr>
            </w:pPr>
            <w:r w:rsidRPr="00AC3E79">
              <w:t xml:space="preserve">Yes. </w:t>
            </w:r>
            <w:r>
              <w:t>However, d</w:t>
            </w:r>
            <w:r w:rsidRPr="00AC3E79">
              <w:t>istribution is limited to the northern tip of Cape York</w:t>
            </w:r>
            <w:r>
              <w:t xml:space="preserve"> </w:t>
            </w:r>
            <w:r>
              <w:rPr>
                <w:noProof/>
              </w:rPr>
              <w:t>(Government of Queensland 2016)</w:t>
            </w:r>
            <w:r>
              <w:t xml:space="preserve"> and</w:t>
            </w:r>
            <w:r w:rsidRPr="00AC3E79">
              <w:t xml:space="preserve"> there </w:t>
            </w:r>
            <w:r>
              <w:t>is legislation</w:t>
            </w:r>
            <w:r w:rsidRPr="00AC3E79">
              <w:t xml:space="preserve"> in place to prevent the </w:t>
            </w:r>
            <w:r w:rsidRPr="007F3A08">
              <w:t>spread of this species</w:t>
            </w:r>
            <w:r w:rsidR="007F3A08" w:rsidRPr="007F3A08">
              <w:rPr>
                <w:bCs/>
              </w:rPr>
              <w:t xml:space="preserve"> </w:t>
            </w:r>
            <w:r w:rsidRPr="007F3A08">
              <w:rPr>
                <w:noProof/>
              </w:rPr>
              <w:t>(Department</w:t>
            </w:r>
            <w:r>
              <w:rPr>
                <w:noProof/>
              </w:rPr>
              <w:t xml:space="preserve"> of Agriculture and Water Resources 2017b; Office of the Queensland Parliamentary Counsel 2016)</w:t>
            </w:r>
            <w:r w:rsidRPr="00B459BA">
              <w:t>.</w:t>
            </w:r>
          </w:p>
        </w:tc>
        <w:tc>
          <w:tcPr>
            <w:tcW w:w="2126" w:type="dxa"/>
            <w:shd w:val="clear" w:color="auto" w:fill="auto"/>
          </w:tcPr>
          <w:p w:rsidR="004D5CBC" w:rsidRPr="00DA08BB" w:rsidRDefault="004D5CBC" w:rsidP="00EF2C72">
            <w:pPr>
              <w:pStyle w:val="TableText"/>
            </w:pPr>
            <w:r w:rsidRPr="00B459BA">
              <w:t xml:space="preserve">Yes. </w:t>
            </w:r>
            <w:r w:rsidRPr="000916FC">
              <w:rPr>
                <w:i/>
              </w:rPr>
              <w:t>Planococcus lilacinus</w:t>
            </w:r>
            <w:r>
              <w:t xml:space="preserve"> attacks the fruit</w:t>
            </w:r>
            <w:r w:rsidRPr="00B459BA">
              <w:t xml:space="preserve"> </w:t>
            </w:r>
            <w:r>
              <w:t xml:space="preserve">of dragon fruit </w:t>
            </w:r>
            <w:r>
              <w:rPr>
                <w:noProof/>
              </w:rPr>
              <w:t>(USDA-APHIS 2008)</w:t>
            </w:r>
            <w:r w:rsidRPr="00B459BA">
              <w:t>.</w:t>
            </w:r>
          </w:p>
        </w:tc>
        <w:tc>
          <w:tcPr>
            <w:tcW w:w="2126" w:type="dxa"/>
            <w:shd w:val="clear" w:color="auto" w:fill="auto"/>
          </w:tcPr>
          <w:p w:rsidR="004D5CBC" w:rsidRPr="00DA08BB" w:rsidRDefault="004D5CBC" w:rsidP="00EF2C72">
            <w:pPr>
              <w:pStyle w:val="TableText"/>
            </w:pPr>
            <w:r w:rsidRPr="00B459BA">
              <w:t xml:space="preserve">Yes. </w:t>
            </w:r>
            <w:r w:rsidRPr="000916FC">
              <w:rPr>
                <w:i/>
              </w:rPr>
              <w:t>Planococcus lilacinus</w:t>
            </w:r>
            <w:r w:rsidRPr="00B459BA">
              <w:t xml:space="preserve"> has a wide host range and is distributed throughout many tropical areas </w:t>
            </w:r>
            <w:r>
              <w:rPr>
                <w:noProof/>
              </w:rPr>
              <w:t>(Entwistle 1972)</w:t>
            </w:r>
            <w:r w:rsidRPr="00B459BA">
              <w:t xml:space="preserve">. Reproduction is usually parthenogenetic </w:t>
            </w:r>
            <w:r>
              <w:rPr>
                <w:noProof/>
              </w:rPr>
              <w:t>(Khoo, Ooi &amp; Ho 1991)</w:t>
            </w:r>
            <w:r w:rsidRPr="00B459BA">
              <w:t>.</w:t>
            </w:r>
          </w:p>
        </w:tc>
        <w:tc>
          <w:tcPr>
            <w:tcW w:w="1843" w:type="dxa"/>
            <w:shd w:val="clear" w:color="auto" w:fill="auto"/>
          </w:tcPr>
          <w:p w:rsidR="004D5CBC" w:rsidRPr="00DA08BB" w:rsidRDefault="004D5CBC" w:rsidP="00EF2C72">
            <w:pPr>
              <w:pStyle w:val="TableText"/>
            </w:pPr>
            <w:r w:rsidRPr="00B459BA">
              <w:t xml:space="preserve">Yes. </w:t>
            </w:r>
            <w:r w:rsidRPr="000916FC">
              <w:rPr>
                <w:i/>
              </w:rPr>
              <w:t>Planococcus lilacinus</w:t>
            </w:r>
            <w:r w:rsidRPr="00B459BA">
              <w:t xml:space="preserve"> is common in </w:t>
            </w:r>
            <w:r>
              <w:t>s</w:t>
            </w:r>
            <w:r w:rsidRPr="00B459BA">
              <w:t xml:space="preserve">outhern Asia and has been reported attacking many economically important crops </w:t>
            </w:r>
            <w:r>
              <w:rPr>
                <w:noProof/>
              </w:rPr>
              <w:t>(Williams 2004)</w:t>
            </w:r>
            <w:r w:rsidRPr="00B459BA">
              <w:t xml:space="preserve">. It is considered a major threat to agriculture </w:t>
            </w:r>
            <w:r>
              <w:rPr>
                <w:noProof/>
              </w:rPr>
              <w:t>(Miller, Miller &amp; Watson 2002)</w:t>
            </w:r>
            <w:r w:rsidRPr="00B459BA">
              <w:t>.</w:t>
            </w:r>
          </w:p>
        </w:tc>
        <w:tc>
          <w:tcPr>
            <w:tcW w:w="1282" w:type="dxa"/>
            <w:shd w:val="clear" w:color="auto" w:fill="auto"/>
          </w:tcPr>
          <w:p w:rsidR="004D5CBC" w:rsidRPr="00DA08BB" w:rsidRDefault="004D5CBC" w:rsidP="003B49E7">
            <w:pPr>
              <w:pStyle w:val="TableText"/>
            </w:pPr>
            <w:r w:rsidRPr="00B459BA">
              <w:t>Yes (EP)</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ED7780">
              <w:rPr>
                <w:i/>
                <w:lang w:val="pt-BR"/>
              </w:rPr>
              <w:lastRenderedPageBreak/>
              <w:t xml:space="preserve">Planococcus minor </w:t>
            </w:r>
            <w:r>
              <w:rPr>
                <w:lang w:val="pt-BR"/>
              </w:rPr>
              <w:t>(</w:t>
            </w:r>
            <w:r w:rsidRPr="00E34839">
              <w:rPr>
                <w:iCs/>
                <w:lang w:val="pt-BR"/>
              </w:rPr>
              <w:t>Maskell, 1897</w:t>
            </w:r>
            <w:r>
              <w:rPr>
                <w:iCs/>
                <w:lang w:val="pt-BR"/>
              </w:rPr>
              <w:t>)</w:t>
            </w:r>
          </w:p>
          <w:p w:rsidR="004D5CBC" w:rsidRPr="00E34839" w:rsidRDefault="004D5CBC" w:rsidP="003B49E7">
            <w:pPr>
              <w:pStyle w:val="TableText"/>
              <w:rPr>
                <w:iCs/>
                <w:lang w:val="pt-BR"/>
              </w:rPr>
            </w:pPr>
            <w:r w:rsidRPr="00E34839">
              <w:rPr>
                <w:iCs/>
                <w:lang w:val="pt-BR"/>
              </w:rPr>
              <w:t>[Pseudococcidae]</w:t>
            </w:r>
          </w:p>
          <w:p w:rsidR="004D5CBC" w:rsidRPr="00DA08BB" w:rsidRDefault="004D5CBC" w:rsidP="003B49E7">
            <w:pPr>
              <w:pStyle w:val="TableText"/>
              <w:rPr>
                <w:i/>
                <w:lang w:val="pt-BR"/>
              </w:rPr>
            </w:pPr>
            <w:r w:rsidRPr="00E34839">
              <w:rPr>
                <w:iCs/>
                <w:lang w:val="pt-BR"/>
              </w:rPr>
              <w:t>Pacific mealybug</w:t>
            </w:r>
          </w:p>
        </w:tc>
        <w:tc>
          <w:tcPr>
            <w:tcW w:w="1701" w:type="dxa"/>
            <w:shd w:val="clear" w:color="auto" w:fill="auto"/>
          </w:tcPr>
          <w:p w:rsidR="004D5CBC" w:rsidRPr="00DA08BB" w:rsidRDefault="004D5CBC" w:rsidP="00EF2C72">
            <w:pPr>
              <w:pStyle w:val="TableText"/>
              <w:rPr>
                <w:lang w:val="pt-BR"/>
              </w:rPr>
            </w:pPr>
            <w:r>
              <w:t>Yes</w:t>
            </w:r>
            <w:r w:rsidRPr="00A51AAB">
              <w:t xml:space="preserve"> </w:t>
            </w:r>
            <w:r>
              <w:rPr>
                <w:noProof/>
              </w:rPr>
              <w:t>(García et al. 2018)</w:t>
            </w:r>
          </w:p>
        </w:tc>
        <w:tc>
          <w:tcPr>
            <w:tcW w:w="2126" w:type="dxa"/>
            <w:shd w:val="clear" w:color="auto" w:fill="auto"/>
          </w:tcPr>
          <w:p w:rsidR="004D5CBC" w:rsidRPr="00DA08BB" w:rsidRDefault="004D5CBC" w:rsidP="00EF2C72">
            <w:pPr>
              <w:pStyle w:val="TableText"/>
              <w:rPr>
                <w:szCs w:val="16"/>
              </w:rPr>
            </w:pPr>
            <w:r w:rsidRPr="00A51AAB">
              <w:t>Yes. ACT, NSW, NT, Qld, SA, Vic</w:t>
            </w:r>
            <w:r>
              <w:t>.</w:t>
            </w:r>
            <w:r w:rsidRPr="00A51AAB">
              <w:t xml:space="preserve"> </w:t>
            </w:r>
            <w:r>
              <w:rPr>
                <w:noProof/>
              </w:rPr>
              <w:t>(Plant Health Australia 2018).</w:t>
            </w:r>
            <w:r w:rsidRPr="00A51AAB">
              <w:t xml:space="preserve"> </w:t>
            </w:r>
            <w:r>
              <w:t>Regulated</w:t>
            </w:r>
            <w:r w:rsidRPr="000C67FC">
              <w:t xml:space="preserve"> as a Declared Organism (Prohibited (</w:t>
            </w:r>
            <w:r>
              <w:t>s12</w:t>
            </w:r>
            <w:r w:rsidRPr="000C67FC">
              <w:t xml:space="preserve">)) of WA Biosecurity and Agriculture Management Act (2007) </w:t>
            </w:r>
            <w:r>
              <w:rPr>
                <w:noProof/>
              </w:rPr>
              <w:t>(Government of Western Australia 2017)</w:t>
            </w:r>
            <w:r w:rsidRPr="000C67FC">
              <w:t>.</w:t>
            </w:r>
          </w:p>
        </w:tc>
        <w:tc>
          <w:tcPr>
            <w:tcW w:w="2126" w:type="dxa"/>
            <w:shd w:val="clear" w:color="auto" w:fill="auto"/>
          </w:tcPr>
          <w:p w:rsidR="004D5CBC" w:rsidRPr="00DA08BB" w:rsidRDefault="004D5CBC" w:rsidP="00EF2C72">
            <w:pPr>
              <w:pStyle w:val="TableText"/>
            </w:pPr>
            <w:r w:rsidRPr="00A51AAB">
              <w:t xml:space="preserve">Yes. </w:t>
            </w:r>
            <w:r>
              <w:t>As this species attacks</w:t>
            </w:r>
            <w:r w:rsidRPr="00A51AAB">
              <w:t xml:space="preserve"> the fruit of dragon fruit </w:t>
            </w:r>
            <w:r>
              <w:t xml:space="preserve">in Vietnam </w:t>
            </w:r>
            <w:r>
              <w:rPr>
                <w:noProof/>
                <w:lang w:val="pt-BR"/>
              </w:rPr>
              <w:t>(PPD 2010)</w:t>
            </w:r>
            <w:r>
              <w:rPr>
                <w:noProof/>
              </w:rPr>
              <w:t xml:space="preserve"> it is likely to be asociated with dragon fruit across its distribution</w:t>
            </w:r>
            <w:r w:rsidRPr="00A51AAB">
              <w:t>.</w:t>
            </w:r>
          </w:p>
        </w:tc>
        <w:tc>
          <w:tcPr>
            <w:tcW w:w="2126" w:type="dxa"/>
            <w:shd w:val="clear" w:color="auto" w:fill="auto"/>
          </w:tcPr>
          <w:p w:rsidR="004D5CBC" w:rsidRPr="00DA08BB" w:rsidRDefault="004D5CBC" w:rsidP="00EF2C72">
            <w:pPr>
              <w:pStyle w:val="TableText"/>
            </w:pPr>
            <w:r w:rsidRPr="00A51AAB">
              <w:t xml:space="preserve">Yes. </w:t>
            </w:r>
            <w:r w:rsidRPr="000916FC">
              <w:rPr>
                <w:i/>
              </w:rPr>
              <w:t>Planococcus minor</w:t>
            </w:r>
            <w:r w:rsidRPr="00A51AAB">
              <w:t xml:space="preserve"> has a wide host range including mango, banana, mandarin, potato and grapevine </w:t>
            </w:r>
            <w:r>
              <w:rPr>
                <w:noProof/>
              </w:rPr>
              <w:t>(CABI 2018)</w:t>
            </w:r>
            <w:r>
              <w:t>. It</w:t>
            </w:r>
            <w:r w:rsidRPr="00A51AAB">
              <w:t xml:space="preserve"> is distributed in the Australian states and territories of ACT, NSW, NT, Qld, SA and Vic. Internationally it is distributed in most of Asia, Eastern Europe and parts of Africa in environments ranging from temperate to tropical </w:t>
            </w:r>
            <w:r>
              <w:rPr>
                <w:noProof/>
              </w:rPr>
              <w:t>(García et al. 2018).</w:t>
            </w:r>
          </w:p>
        </w:tc>
        <w:tc>
          <w:tcPr>
            <w:tcW w:w="1843" w:type="dxa"/>
            <w:shd w:val="clear" w:color="auto" w:fill="auto"/>
          </w:tcPr>
          <w:p w:rsidR="004D5CBC" w:rsidRPr="00DA08BB" w:rsidRDefault="004D5CBC" w:rsidP="00EF2C72">
            <w:pPr>
              <w:pStyle w:val="TableText"/>
            </w:pPr>
            <w:r w:rsidRPr="00A51AAB">
              <w:t xml:space="preserve">Yes. </w:t>
            </w:r>
            <w:r w:rsidRPr="000916FC">
              <w:rPr>
                <w:i/>
              </w:rPr>
              <w:t>Planococcus minor</w:t>
            </w:r>
            <w:r w:rsidRPr="00A51AAB">
              <w:t xml:space="preserve"> is a significant pest of over 250 plant species,</w:t>
            </w:r>
            <w:r>
              <w:t xml:space="preserve"> across almost 80 families, and</w:t>
            </w:r>
            <w:r w:rsidRPr="00A51AAB">
              <w:t xml:space="preserve"> including several commercial crops </w:t>
            </w:r>
            <w:r>
              <w:rPr>
                <w:noProof/>
              </w:rPr>
              <w:t>(Venette &amp; Davis 2004)</w:t>
            </w:r>
            <w:r w:rsidRPr="00A51AAB">
              <w:t>.</w:t>
            </w:r>
            <w:r>
              <w:rPr>
                <w:noProof/>
              </w:rPr>
              <w:t>(Roda et al. 2013)</w:t>
            </w:r>
            <w:r>
              <w:t xml:space="preserve"> </w:t>
            </w:r>
          </w:p>
        </w:tc>
        <w:tc>
          <w:tcPr>
            <w:tcW w:w="1282" w:type="dxa"/>
            <w:shd w:val="clear" w:color="auto" w:fill="auto"/>
          </w:tcPr>
          <w:p w:rsidR="004D5CBC" w:rsidRPr="00DA08BB" w:rsidRDefault="004D5CBC" w:rsidP="003B49E7">
            <w:pPr>
              <w:pStyle w:val="TableText"/>
            </w:pPr>
            <w:r w:rsidRPr="00A51AAB">
              <w:t>Yes (EP</w:t>
            </w:r>
            <w:r>
              <w:t>,</w:t>
            </w:r>
            <w:r w:rsidRPr="00A51AAB">
              <w:t xml:space="preserve"> </w:t>
            </w:r>
            <w:r>
              <w:t>WA</w:t>
            </w:r>
            <w:r w:rsidRPr="00A51AAB">
              <w:t>)</w:t>
            </w:r>
          </w:p>
        </w:tc>
      </w:tr>
      <w:tr w:rsidR="004D5CBC" w:rsidRPr="00DA08BB" w:rsidTr="00240BBE">
        <w:trPr>
          <w:cantSplit/>
          <w:trHeight w:val="75"/>
          <w:jc w:val="center"/>
        </w:trPr>
        <w:tc>
          <w:tcPr>
            <w:tcW w:w="2269" w:type="dxa"/>
            <w:shd w:val="clear" w:color="auto" w:fill="auto"/>
          </w:tcPr>
          <w:p w:rsidR="004D5CBC" w:rsidRPr="00E34839" w:rsidRDefault="004D5CBC" w:rsidP="003B49E7">
            <w:pPr>
              <w:pStyle w:val="TableText"/>
              <w:rPr>
                <w:iCs/>
                <w:lang w:val="pt-BR"/>
              </w:rPr>
            </w:pPr>
            <w:r w:rsidRPr="00ED7780">
              <w:rPr>
                <w:i/>
                <w:lang w:val="pt-BR"/>
              </w:rPr>
              <w:t xml:space="preserve">Pseudococcus jackbeardsleyi </w:t>
            </w:r>
            <w:r w:rsidRPr="00E34839">
              <w:rPr>
                <w:iCs/>
                <w:lang w:val="pt-BR"/>
              </w:rPr>
              <w:t>Gimpel &amp; Miller, 1996</w:t>
            </w:r>
          </w:p>
          <w:p w:rsidR="004D5CBC" w:rsidRPr="00E34839" w:rsidRDefault="004D5CBC" w:rsidP="003B49E7">
            <w:pPr>
              <w:pStyle w:val="TableText"/>
              <w:rPr>
                <w:iCs/>
                <w:lang w:val="pt-BR"/>
              </w:rPr>
            </w:pPr>
            <w:r w:rsidRPr="00E34839">
              <w:rPr>
                <w:iCs/>
                <w:lang w:val="pt-BR"/>
              </w:rPr>
              <w:t>[Pseudococcidae]</w:t>
            </w:r>
          </w:p>
          <w:p w:rsidR="004D5CBC" w:rsidRPr="00DA08BB" w:rsidRDefault="004D5CBC" w:rsidP="003B49E7">
            <w:pPr>
              <w:pStyle w:val="TableText"/>
              <w:rPr>
                <w:i/>
                <w:lang w:val="pt-BR"/>
              </w:rPr>
            </w:pPr>
            <w:r w:rsidRPr="00E34839">
              <w:rPr>
                <w:iCs/>
                <w:lang w:val="pt-BR"/>
              </w:rPr>
              <w:t>Jack Beardsley mealybug</w:t>
            </w:r>
          </w:p>
        </w:tc>
        <w:tc>
          <w:tcPr>
            <w:tcW w:w="1701" w:type="dxa"/>
            <w:shd w:val="clear" w:color="auto" w:fill="auto"/>
          </w:tcPr>
          <w:p w:rsidR="004D5CBC" w:rsidRPr="00DA08BB" w:rsidRDefault="004D5CBC" w:rsidP="00EF2C72">
            <w:pPr>
              <w:pStyle w:val="TableText"/>
              <w:rPr>
                <w:lang w:val="pt-BR"/>
              </w:rPr>
            </w:pPr>
            <w:r>
              <w:t>Yes</w:t>
            </w:r>
            <w:r w:rsidRPr="00F52E55">
              <w:t xml:space="preserve"> </w:t>
            </w:r>
            <w:r>
              <w:rPr>
                <w:noProof/>
              </w:rPr>
              <w:t>(García et al. 2018)</w:t>
            </w:r>
          </w:p>
        </w:tc>
        <w:tc>
          <w:tcPr>
            <w:tcW w:w="2126" w:type="dxa"/>
            <w:shd w:val="clear" w:color="auto" w:fill="auto"/>
          </w:tcPr>
          <w:p w:rsidR="004D5CBC" w:rsidRPr="00DA08BB" w:rsidRDefault="004D5CBC" w:rsidP="00EF2C72">
            <w:pPr>
              <w:pStyle w:val="TableText"/>
              <w:rPr>
                <w:szCs w:val="16"/>
              </w:rPr>
            </w:pPr>
            <w:r w:rsidRPr="00AC3E79">
              <w:t xml:space="preserve">Yes. </w:t>
            </w:r>
            <w:r>
              <w:t>However, d</w:t>
            </w:r>
            <w:r w:rsidRPr="00AC3E79">
              <w:t>istribution is limited to the northern tip of Cape York</w:t>
            </w:r>
            <w:r>
              <w:t xml:space="preserve"> </w:t>
            </w:r>
            <w:r>
              <w:rPr>
                <w:noProof/>
              </w:rPr>
              <w:t>(Government of Queensland 2016)</w:t>
            </w:r>
            <w:r>
              <w:t xml:space="preserve"> and</w:t>
            </w:r>
            <w:r w:rsidRPr="00AC3E79">
              <w:t xml:space="preserve"> there </w:t>
            </w:r>
            <w:r>
              <w:t>is legislation</w:t>
            </w:r>
            <w:r w:rsidRPr="00AC3E79">
              <w:t xml:space="preserve"> in place to prevent the spread of this species</w:t>
            </w:r>
            <w:r w:rsidRPr="007F3A08">
              <w:rPr>
                <w:bCs/>
              </w:rPr>
              <w:t xml:space="preserve"> </w:t>
            </w:r>
            <w:r>
              <w:rPr>
                <w:noProof/>
              </w:rPr>
              <w:t>(Department of Agriculture and Water Resources 2017b; Office of the Queensland Parliamentary Counsel 2016)</w:t>
            </w:r>
            <w:r w:rsidRPr="00B459BA">
              <w:t>.</w:t>
            </w:r>
          </w:p>
        </w:tc>
        <w:tc>
          <w:tcPr>
            <w:tcW w:w="2126" w:type="dxa"/>
            <w:shd w:val="clear" w:color="auto" w:fill="auto"/>
          </w:tcPr>
          <w:p w:rsidR="004D5CBC" w:rsidRPr="00DA08BB" w:rsidRDefault="004D5CBC" w:rsidP="00EF2C72">
            <w:pPr>
              <w:pStyle w:val="TableText"/>
            </w:pPr>
            <w:r w:rsidRPr="00F52E55">
              <w:t xml:space="preserve">Yes. </w:t>
            </w:r>
            <w:r>
              <w:t>As this species attacks</w:t>
            </w:r>
            <w:r w:rsidRPr="00A51AAB">
              <w:t xml:space="preserve"> the </w:t>
            </w:r>
            <w:r>
              <w:t xml:space="preserve">flowers, </w:t>
            </w:r>
            <w:r w:rsidRPr="00A51AAB">
              <w:t>fruit</w:t>
            </w:r>
            <w:r>
              <w:t xml:space="preserve"> and stems</w:t>
            </w:r>
            <w:r w:rsidRPr="00A51AAB">
              <w:t xml:space="preserve"> of dragon fruit </w:t>
            </w:r>
            <w:r>
              <w:t xml:space="preserve">in Vietnam </w:t>
            </w:r>
            <w:r>
              <w:rPr>
                <w:noProof/>
                <w:lang w:val="pt-BR"/>
              </w:rPr>
              <w:t>(PPD 2010)</w:t>
            </w:r>
            <w:r>
              <w:rPr>
                <w:noProof/>
              </w:rPr>
              <w:t xml:space="preserve"> it is likely to be asociated with dragon fruit across its distribution</w:t>
            </w:r>
            <w:r w:rsidRPr="00A51AAB">
              <w:t>.</w:t>
            </w:r>
          </w:p>
        </w:tc>
        <w:tc>
          <w:tcPr>
            <w:tcW w:w="2126" w:type="dxa"/>
            <w:shd w:val="clear" w:color="auto" w:fill="auto"/>
          </w:tcPr>
          <w:p w:rsidR="004D5CBC" w:rsidRPr="00DA08BB" w:rsidRDefault="004D5CBC" w:rsidP="00EF2C72">
            <w:pPr>
              <w:pStyle w:val="TableText"/>
            </w:pPr>
            <w:r w:rsidRPr="00F52E55">
              <w:t xml:space="preserve">Yes. </w:t>
            </w:r>
            <w:r w:rsidRPr="000916FC">
              <w:rPr>
                <w:i/>
              </w:rPr>
              <w:t>Pseudococcus jackbeardsleyi</w:t>
            </w:r>
            <w:r w:rsidRPr="00F52E55">
              <w:t xml:space="preserve"> feeds on a wide variety of commercial fruit, including </w:t>
            </w:r>
            <w:r>
              <w:t>b</w:t>
            </w:r>
            <w:r w:rsidRPr="00F52E55">
              <w:t xml:space="preserve">anana, tomato and hibiscus </w:t>
            </w:r>
            <w:r>
              <w:rPr>
                <w:noProof/>
              </w:rPr>
              <w:t>(CABI 2018)</w:t>
            </w:r>
            <w:r w:rsidRPr="00F52E55">
              <w:t xml:space="preserve">. It is widely distributed over both tropical and temperate environments </w:t>
            </w:r>
            <w:r>
              <w:rPr>
                <w:noProof/>
              </w:rPr>
              <w:t>(García et al. 2018)</w:t>
            </w:r>
            <w:r w:rsidRPr="00F52E55">
              <w:t>.</w:t>
            </w:r>
            <w:r>
              <w:t xml:space="preserve"> </w:t>
            </w:r>
            <w:r w:rsidRPr="003D13F9">
              <w:t>The host range and current geographic di</w:t>
            </w:r>
            <w:r>
              <w:t>stribution of this pest suggest</w:t>
            </w:r>
            <w:r w:rsidRPr="003D13F9">
              <w:t xml:space="preserve"> that there are </w:t>
            </w:r>
            <w:r>
              <w:t xml:space="preserve">suitable </w:t>
            </w:r>
            <w:r w:rsidRPr="003D13F9">
              <w:t>environments for this pest to est</w:t>
            </w:r>
            <w:r>
              <w:t>ablish and spread in Australia.</w:t>
            </w:r>
          </w:p>
        </w:tc>
        <w:tc>
          <w:tcPr>
            <w:tcW w:w="1843" w:type="dxa"/>
            <w:shd w:val="clear" w:color="auto" w:fill="auto"/>
          </w:tcPr>
          <w:p w:rsidR="004D5CBC" w:rsidRPr="00DA08BB" w:rsidRDefault="004D5CBC" w:rsidP="00EF2C72">
            <w:pPr>
              <w:pStyle w:val="TableText"/>
            </w:pPr>
            <w:r w:rsidRPr="00F52E55">
              <w:t xml:space="preserve">Yes. </w:t>
            </w:r>
            <w:r w:rsidRPr="00047069">
              <w:rPr>
                <w:i/>
              </w:rPr>
              <w:t>Pseudococcus jackbeardsleyi</w:t>
            </w:r>
            <w:r w:rsidRPr="00F52E55">
              <w:t xml:space="preserve"> is reported on many vegetable and ornamental crop species including banana, tomato, potato, pepper and Hibiscus </w:t>
            </w:r>
            <w:r>
              <w:rPr>
                <w:noProof/>
              </w:rPr>
              <w:t>(García et al. 2018)</w:t>
            </w:r>
            <w:r w:rsidRPr="00F52E55">
              <w:t>.</w:t>
            </w:r>
          </w:p>
        </w:tc>
        <w:tc>
          <w:tcPr>
            <w:tcW w:w="1282" w:type="dxa"/>
            <w:shd w:val="clear" w:color="auto" w:fill="auto"/>
          </w:tcPr>
          <w:p w:rsidR="004D5CBC" w:rsidRPr="00DA08BB" w:rsidRDefault="004D5CBC" w:rsidP="003B49E7">
            <w:pPr>
              <w:pStyle w:val="TableText"/>
            </w:pPr>
            <w:r w:rsidRPr="00F52E55">
              <w:t>Yes (EP)</w:t>
            </w:r>
          </w:p>
        </w:tc>
      </w:tr>
      <w:tr w:rsidR="004D5CBC" w:rsidRPr="00DA08BB" w:rsidTr="00A03099">
        <w:trPr>
          <w:cantSplit/>
          <w:trHeight w:val="75"/>
          <w:jc w:val="center"/>
        </w:trPr>
        <w:tc>
          <w:tcPr>
            <w:tcW w:w="2269" w:type="dxa"/>
            <w:shd w:val="clear" w:color="auto" w:fill="auto"/>
          </w:tcPr>
          <w:p w:rsidR="004D5CBC" w:rsidRPr="00D27916" w:rsidRDefault="004D5CBC" w:rsidP="004738CD">
            <w:pPr>
              <w:pStyle w:val="TableText"/>
              <w:rPr>
                <w:szCs w:val="18"/>
                <w:lang w:val="pt-BR"/>
              </w:rPr>
            </w:pPr>
            <w:r w:rsidRPr="00D27916">
              <w:rPr>
                <w:i/>
                <w:szCs w:val="18"/>
                <w:lang w:val="pt-BR"/>
              </w:rPr>
              <w:lastRenderedPageBreak/>
              <w:t>Pseudococcus viburni</w:t>
            </w:r>
            <w:r w:rsidRPr="00D27916">
              <w:rPr>
                <w:szCs w:val="18"/>
                <w:lang w:val="pt-BR"/>
              </w:rPr>
              <w:t xml:space="preserve"> (Signoret, 1875)</w:t>
            </w:r>
          </w:p>
          <w:p w:rsidR="004D5CBC" w:rsidRPr="00D27916" w:rsidRDefault="004D5CBC" w:rsidP="004738CD">
            <w:pPr>
              <w:pStyle w:val="TableText"/>
              <w:rPr>
                <w:szCs w:val="18"/>
                <w:lang w:val="pt-BR"/>
              </w:rPr>
            </w:pPr>
            <w:r w:rsidRPr="00D27916">
              <w:rPr>
                <w:szCs w:val="18"/>
                <w:lang w:val="pt-BR"/>
              </w:rPr>
              <w:t xml:space="preserve">Synonym: </w:t>
            </w:r>
            <w:r w:rsidRPr="00D27916">
              <w:rPr>
                <w:i/>
                <w:szCs w:val="18"/>
                <w:lang w:val="pt-BR"/>
              </w:rPr>
              <w:t>Pseudococcus affinis</w:t>
            </w:r>
            <w:r w:rsidRPr="00D27916">
              <w:rPr>
                <w:szCs w:val="18"/>
                <w:lang w:val="pt-BR"/>
              </w:rPr>
              <w:t xml:space="preserve"> (Maskell, 1894)</w:t>
            </w:r>
          </w:p>
          <w:p w:rsidR="004D5CBC" w:rsidRPr="00D27916" w:rsidRDefault="004D5CBC" w:rsidP="004738CD">
            <w:pPr>
              <w:pStyle w:val="TableText"/>
              <w:rPr>
                <w:i/>
                <w:lang w:val="pt-BR"/>
              </w:rPr>
            </w:pPr>
            <w:r w:rsidRPr="00D27916">
              <w:rPr>
                <w:szCs w:val="18"/>
                <w:lang w:val="pt-BR"/>
              </w:rPr>
              <w:t>[Pseudococcidae]</w:t>
            </w:r>
          </w:p>
        </w:tc>
        <w:tc>
          <w:tcPr>
            <w:tcW w:w="1701" w:type="dxa"/>
            <w:shd w:val="clear" w:color="auto" w:fill="auto"/>
          </w:tcPr>
          <w:p w:rsidR="004D5CBC" w:rsidRPr="00D27916" w:rsidRDefault="004D5CBC" w:rsidP="00EF2C72">
            <w:pPr>
              <w:pStyle w:val="TableText"/>
              <w:rPr>
                <w:lang w:val="pt-BR"/>
              </w:rPr>
            </w:pPr>
            <w:r>
              <w:rPr>
                <w:szCs w:val="18"/>
                <w:lang w:val="pt-BR"/>
              </w:rPr>
              <w:t>Yes</w:t>
            </w:r>
            <w:r w:rsidRPr="00D27916">
              <w:rPr>
                <w:szCs w:val="18"/>
                <w:lang w:val="pt-BR"/>
              </w:rPr>
              <w:t xml:space="preserve"> </w:t>
            </w:r>
            <w:r>
              <w:rPr>
                <w:noProof/>
              </w:rPr>
              <w:t>(García et al. 2018)</w:t>
            </w:r>
          </w:p>
        </w:tc>
        <w:tc>
          <w:tcPr>
            <w:tcW w:w="2126" w:type="dxa"/>
            <w:shd w:val="clear" w:color="auto" w:fill="auto"/>
          </w:tcPr>
          <w:p w:rsidR="004D5CBC" w:rsidRPr="00DA08BB" w:rsidRDefault="004D5CBC" w:rsidP="00EF2C72">
            <w:pPr>
              <w:pStyle w:val="TableText"/>
              <w:rPr>
                <w:szCs w:val="16"/>
              </w:rPr>
            </w:pPr>
            <w:r w:rsidRPr="00432AC4">
              <w:rPr>
                <w:szCs w:val="18"/>
              </w:rPr>
              <w:t>Yes</w:t>
            </w:r>
            <w:r>
              <w:rPr>
                <w:szCs w:val="18"/>
              </w:rPr>
              <w:t>.</w:t>
            </w:r>
            <w:r w:rsidRPr="00432AC4">
              <w:rPr>
                <w:szCs w:val="18"/>
              </w:rPr>
              <w:t xml:space="preserve"> </w:t>
            </w:r>
            <w:r>
              <w:rPr>
                <w:szCs w:val="18"/>
              </w:rPr>
              <w:t xml:space="preserve">NSW, NT, Qld, SA, Tas., Vic., WA </w:t>
            </w:r>
            <w:r>
              <w:rPr>
                <w:noProof/>
              </w:rPr>
              <w:t>(Plant Health Australia 2018)</w:t>
            </w:r>
          </w:p>
        </w:tc>
        <w:tc>
          <w:tcPr>
            <w:tcW w:w="2126" w:type="dxa"/>
            <w:shd w:val="clear" w:color="auto" w:fill="auto"/>
          </w:tcPr>
          <w:p w:rsidR="004D5CBC" w:rsidRPr="00DA08BB" w:rsidRDefault="004D5CBC" w:rsidP="004738CD">
            <w:pPr>
              <w:pStyle w:val="TableText"/>
            </w:pPr>
            <w:r w:rsidRPr="00CD6D8B">
              <w:rPr>
                <w:szCs w:val="18"/>
              </w:rPr>
              <w:t>A</w:t>
            </w:r>
            <w:r>
              <w:rPr>
                <w:szCs w:val="18"/>
              </w:rPr>
              <w:t>s</w:t>
            </w:r>
            <w:r w:rsidRPr="00CD6D8B">
              <w:rPr>
                <w:szCs w:val="18"/>
              </w:rPr>
              <w:t>sessment not required</w:t>
            </w:r>
          </w:p>
        </w:tc>
        <w:tc>
          <w:tcPr>
            <w:tcW w:w="2126" w:type="dxa"/>
            <w:shd w:val="clear" w:color="auto" w:fill="auto"/>
          </w:tcPr>
          <w:p w:rsidR="004D5CBC" w:rsidRPr="00DA08BB" w:rsidRDefault="004D5CBC" w:rsidP="004738CD">
            <w:pPr>
              <w:pStyle w:val="TableText"/>
            </w:pPr>
            <w:r w:rsidRPr="00532520">
              <w:rPr>
                <w:szCs w:val="18"/>
              </w:rPr>
              <w:t>A</w:t>
            </w:r>
            <w:r>
              <w:rPr>
                <w:szCs w:val="18"/>
              </w:rPr>
              <w:t>s</w:t>
            </w:r>
            <w:r w:rsidRPr="00532520">
              <w:rPr>
                <w:szCs w:val="18"/>
              </w:rPr>
              <w:t>sessment not required</w:t>
            </w:r>
          </w:p>
        </w:tc>
        <w:tc>
          <w:tcPr>
            <w:tcW w:w="1843" w:type="dxa"/>
            <w:shd w:val="clear" w:color="auto" w:fill="auto"/>
          </w:tcPr>
          <w:p w:rsidR="004D5CBC" w:rsidRPr="00DA08BB" w:rsidRDefault="004D5CBC" w:rsidP="004738CD">
            <w:pPr>
              <w:pStyle w:val="TableText"/>
            </w:pPr>
            <w:r w:rsidRPr="00186395">
              <w:rPr>
                <w:szCs w:val="18"/>
              </w:rPr>
              <w:t>Assessment not required</w:t>
            </w:r>
          </w:p>
        </w:tc>
        <w:tc>
          <w:tcPr>
            <w:tcW w:w="1282" w:type="dxa"/>
            <w:shd w:val="clear" w:color="auto" w:fill="auto"/>
          </w:tcPr>
          <w:p w:rsidR="004D5CBC" w:rsidRPr="00DA08BB" w:rsidRDefault="004D5CBC" w:rsidP="004738CD">
            <w:pPr>
              <w:pStyle w:val="TableText"/>
            </w:pPr>
            <w:r w:rsidRPr="00CD6D8B">
              <w:rPr>
                <w:szCs w:val="18"/>
              </w:rPr>
              <w:t>No</w:t>
            </w:r>
          </w:p>
        </w:tc>
      </w:tr>
      <w:tr w:rsidR="004D5CBC" w:rsidRPr="00CC469B" w:rsidTr="00240BBE">
        <w:trPr>
          <w:cantSplit/>
          <w:trHeight w:val="75"/>
          <w:jc w:val="center"/>
        </w:trPr>
        <w:tc>
          <w:tcPr>
            <w:tcW w:w="13473" w:type="dxa"/>
            <w:gridSpan w:val="7"/>
            <w:shd w:val="clear" w:color="auto" w:fill="auto"/>
          </w:tcPr>
          <w:p w:rsidR="004D5CBC" w:rsidRPr="00CC469B" w:rsidRDefault="004D5CBC" w:rsidP="00CC469B">
            <w:pPr>
              <w:pStyle w:val="TableText"/>
              <w:keepNext/>
            </w:pPr>
            <w:r w:rsidRPr="00CC469B">
              <w:t>Thysanoptera</w:t>
            </w:r>
          </w:p>
        </w:tc>
      </w:tr>
      <w:tr w:rsidR="004D5CBC" w:rsidTr="00907B01">
        <w:trPr>
          <w:cantSplit/>
          <w:trHeight w:val="75"/>
          <w:jc w:val="center"/>
        </w:trPr>
        <w:tc>
          <w:tcPr>
            <w:tcW w:w="13473" w:type="dxa"/>
            <w:gridSpan w:val="7"/>
            <w:shd w:val="clear" w:color="auto" w:fill="auto"/>
          </w:tcPr>
          <w:p w:rsidR="004D5CBC" w:rsidRPr="006B30B4" w:rsidRDefault="004D5CBC" w:rsidP="00EF2C72">
            <w:pPr>
              <w:pStyle w:val="TableText"/>
            </w:pPr>
            <w:r w:rsidRPr="00876631">
              <w:t xml:space="preserve">No thrips species associated with dragon fruit were identified by Indonesia. Application of the </w:t>
            </w:r>
            <w:r w:rsidRPr="0005181C">
              <w:rPr>
                <w:i/>
              </w:rPr>
              <w:t>Final group pest risk analysis for thrips and orthotospoviruses on fresh fruit, vegetable, cut-flower and foliage import</w:t>
            </w:r>
            <w:r w:rsidRPr="00876631">
              <w:t xml:space="preserve">s </w:t>
            </w:r>
            <w:r>
              <w:rPr>
                <w:noProof/>
              </w:rPr>
              <w:t>(Australian Government Department of Agriculture and Water Resources 2017)</w:t>
            </w:r>
            <w:r w:rsidRPr="00876631">
              <w:t xml:space="preserve"> did not identify any thrips that are associated with the fresh dragon fruit export pathway from Indonesia. A further literature search found no thrips species that are likely to be present on the fresh dragon fruit pathway.</w:t>
            </w:r>
            <w:r>
              <w:t xml:space="preserve"> </w:t>
            </w:r>
          </w:p>
        </w:tc>
      </w:tr>
      <w:tr w:rsidR="004D5CBC" w:rsidTr="00240BBE">
        <w:trPr>
          <w:cantSplit/>
          <w:jc w:val="center"/>
        </w:trPr>
        <w:tc>
          <w:tcPr>
            <w:tcW w:w="13473" w:type="dxa"/>
            <w:gridSpan w:val="7"/>
            <w:shd w:val="clear" w:color="auto" w:fill="auto"/>
          </w:tcPr>
          <w:p w:rsidR="004D5CBC" w:rsidRPr="0056567F" w:rsidRDefault="004D5CBC" w:rsidP="004D0D2A">
            <w:pPr>
              <w:pStyle w:val="TableText"/>
              <w:keepNext/>
              <w:rPr>
                <w:b/>
              </w:rPr>
            </w:pPr>
            <w:r w:rsidRPr="0056567F">
              <w:rPr>
                <w:b/>
              </w:rPr>
              <w:t>BACTERIA</w:t>
            </w:r>
          </w:p>
        </w:tc>
      </w:tr>
      <w:tr w:rsidR="004D5CBC" w:rsidTr="00240BBE">
        <w:trPr>
          <w:cantSplit/>
          <w:jc w:val="center"/>
        </w:trPr>
        <w:tc>
          <w:tcPr>
            <w:tcW w:w="2269" w:type="dxa"/>
            <w:shd w:val="clear" w:color="auto" w:fill="auto"/>
          </w:tcPr>
          <w:p w:rsidR="004D5CBC" w:rsidRPr="00E34839" w:rsidRDefault="004D5CBC" w:rsidP="00020E68">
            <w:pPr>
              <w:pStyle w:val="TableText"/>
              <w:rPr>
                <w:iCs/>
                <w:lang w:val="pt-BR"/>
              </w:rPr>
            </w:pPr>
            <w:r w:rsidRPr="00C20389">
              <w:rPr>
                <w:i/>
                <w:lang w:val="pt-BR"/>
              </w:rPr>
              <w:t xml:space="preserve">Enterobacter cloacae </w:t>
            </w:r>
            <w:r w:rsidRPr="00E34839">
              <w:rPr>
                <w:iCs/>
                <w:lang w:val="pt-BR"/>
              </w:rPr>
              <w:t>(Jordan</w:t>
            </w:r>
            <w:r>
              <w:rPr>
                <w:iCs/>
                <w:lang w:val="pt-BR"/>
              </w:rPr>
              <w:t>,</w:t>
            </w:r>
            <w:r w:rsidRPr="00E34839">
              <w:rPr>
                <w:iCs/>
                <w:lang w:val="pt-BR"/>
              </w:rPr>
              <w:t xml:space="preserve"> 1890)</w:t>
            </w:r>
            <w:r>
              <w:rPr>
                <w:iCs/>
                <w:lang w:val="pt-BR"/>
              </w:rPr>
              <w:t xml:space="preserve"> Hormaeche and Edwards 1960</w:t>
            </w:r>
          </w:p>
          <w:p w:rsidR="004D5CBC" w:rsidRDefault="004D5CBC" w:rsidP="00020E68">
            <w:pPr>
              <w:pStyle w:val="TableText"/>
              <w:rPr>
                <w:color w:val="44546A" w:themeColor="text2"/>
                <w:highlight w:val="cyan"/>
              </w:rPr>
            </w:pPr>
            <w:r w:rsidRPr="00E34839">
              <w:rPr>
                <w:iCs/>
                <w:lang w:val="pt-BR"/>
              </w:rPr>
              <w:t>[Enterobacteriales: Enterobacteriaceae]</w:t>
            </w:r>
          </w:p>
        </w:tc>
        <w:tc>
          <w:tcPr>
            <w:tcW w:w="1701" w:type="dxa"/>
            <w:shd w:val="clear" w:color="auto" w:fill="auto"/>
          </w:tcPr>
          <w:p w:rsidR="004D5CBC" w:rsidRDefault="004D5CBC" w:rsidP="00EF2C72">
            <w:pPr>
              <w:pStyle w:val="TableText"/>
            </w:pPr>
            <w:r>
              <w:t>Yes</w:t>
            </w:r>
            <w:r w:rsidRPr="000E7134">
              <w:t xml:space="preserve"> </w:t>
            </w:r>
            <w:r>
              <w:rPr>
                <w:noProof/>
                <w:szCs w:val="18"/>
                <w:lang w:val="pt-BR"/>
              </w:rPr>
              <w:t>(Suprapta, Maulina &amp; Khalimi 2014)</w:t>
            </w:r>
          </w:p>
        </w:tc>
        <w:tc>
          <w:tcPr>
            <w:tcW w:w="2126" w:type="dxa"/>
            <w:shd w:val="clear" w:color="auto" w:fill="auto"/>
          </w:tcPr>
          <w:p w:rsidR="004D5CBC" w:rsidRDefault="004D5CBC" w:rsidP="00EF2C72">
            <w:pPr>
              <w:pStyle w:val="TableText"/>
            </w:pPr>
            <w:r w:rsidRPr="000E7134">
              <w:t>Yes. NSW, Qld, WA</w:t>
            </w:r>
            <w:r>
              <w:t xml:space="preserve"> </w:t>
            </w:r>
            <w:r>
              <w:rPr>
                <w:noProof/>
              </w:rPr>
              <w:t>(Plant Health Australia 2018)</w:t>
            </w:r>
          </w:p>
        </w:tc>
        <w:tc>
          <w:tcPr>
            <w:tcW w:w="2126" w:type="dxa"/>
            <w:shd w:val="clear" w:color="auto" w:fill="auto"/>
          </w:tcPr>
          <w:p w:rsidR="004D5CBC" w:rsidRDefault="004D5CBC" w:rsidP="00020E68">
            <w:pPr>
              <w:pStyle w:val="TableText"/>
            </w:pPr>
            <w:r w:rsidRPr="000E7134">
              <w:t>Assessment not required</w:t>
            </w:r>
          </w:p>
        </w:tc>
        <w:tc>
          <w:tcPr>
            <w:tcW w:w="2126" w:type="dxa"/>
            <w:shd w:val="clear" w:color="auto" w:fill="auto"/>
          </w:tcPr>
          <w:p w:rsidR="004D5CBC" w:rsidRDefault="004D5CBC" w:rsidP="00020E68">
            <w:pPr>
              <w:pStyle w:val="TableText"/>
            </w:pPr>
            <w:r w:rsidRPr="000E7134">
              <w:t>Assessment not required</w:t>
            </w:r>
          </w:p>
        </w:tc>
        <w:tc>
          <w:tcPr>
            <w:tcW w:w="1843" w:type="dxa"/>
            <w:shd w:val="clear" w:color="auto" w:fill="auto"/>
          </w:tcPr>
          <w:p w:rsidR="004D5CBC" w:rsidRDefault="004D5CBC" w:rsidP="00020E68">
            <w:pPr>
              <w:pStyle w:val="TableText"/>
            </w:pPr>
            <w:r w:rsidRPr="000E7134">
              <w:t>Assessment not required</w:t>
            </w:r>
          </w:p>
        </w:tc>
        <w:tc>
          <w:tcPr>
            <w:tcW w:w="1282" w:type="dxa"/>
            <w:shd w:val="clear" w:color="auto" w:fill="auto"/>
          </w:tcPr>
          <w:p w:rsidR="004D5CBC" w:rsidRDefault="004D5CBC" w:rsidP="00020E68">
            <w:pPr>
              <w:pStyle w:val="TableText"/>
            </w:pPr>
            <w:r w:rsidRPr="000E7134">
              <w:t>No</w:t>
            </w:r>
          </w:p>
        </w:tc>
      </w:tr>
      <w:tr w:rsidR="004D5CBC" w:rsidTr="00240BBE">
        <w:trPr>
          <w:cantSplit/>
          <w:jc w:val="center"/>
        </w:trPr>
        <w:tc>
          <w:tcPr>
            <w:tcW w:w="2269" w:type="dxa"/>
            <w:shd w:val="clear" w:color="auto" w:fill="auto"/>
          </w:tcPr>
          <w:p w:rsidR="004D5CBC" w:rsidRPr="00020E68" w:rsidRDefault="004D5CBC" w:rsidP="00020E68">
            <w:pPr>
              <w:pStyle w:val="TableText"/>
              <w:rPr>
                <w:iCs/>
                <w:lang w:val="pt-BR"/>
              </w:rPr>
            </w:pPr>
            <w:r w:rsidRPr="00020E68">
              <w:rPr>
                <w:i/>
                <w:lang w:val="pt-BR"/>
              </w:rPr>
              <w:t xml:space="preserve">Erwinia chrysanthemi </w:t>
            </w:r>
            <w:r w:rsidRPr="00020E68">
              <w:rPr>
                <w:iCs/>
                <w:lang w:val="pt-BR"/>
              </w:rPr>
              <w:t xml:space="preserve">Burkholder </w:t>
            </w:r>
            <w:r w:rsidRPr="00020E68">
              <w:rPr>
                <w:i/>
                <w:iCs/>
                <w:lang w:val="pt-BR"/>
              </w:rPr>
              <w:t>et al.</w:t>
            </w:r>
            <w:r w:rsidRPr="00020E68">
              <w:rPr>
                <w:iCs/>
                <w:lang w:val="pt-BR"/>
              </w:rPr>
              <w:t>, 1953</w:t>
            </w:r>
          </w:p>
          <w:p w:rsidR="004D5CBC" w:rsidRPr="00020E68" w:rsidRDefault="004D5CBC" w:rsidP="00020E68">
            <w:pPr>
              <w:pStyle w:val="TableText"/>
              <w:rPr>
                <w:iCs/>
                <w:lang w:val="pt-BR"/>
              </w:rPr>
            </w:pPr>
            <w:r w:rsidRPr="00020E68">
              <w:rPr>
                <w:iCs/>
                <w:lang w:val="pt-BR"/>
              </w:rPr>
              <w:t>[Enterobacteriales: Enterobacteriaceae]</w:t>
            </w:r>
          </w:p>
          <w:p w:rsidR="004D5CBC" w:rsidRPr="00020E68" w:rsidRDefault="004D5CBC" w:rsidP="00020E68">
            <w:pPr>
              <w:pStyle w:val="TableText"/>
            </w:pPr>
            <w:r w:rsidRPr="00020E68">
              <w:t>Fruit soft rot</w:t>
            </w:r>
          </w:p>
          <w:p w:rsidR="004D5CBC" w:rsidRPr="00020E68" w:rsidRDefault="004D5CBC" w:rsidP="00431F15">
            <w:pPr>
              <w:pStyle w:val="TableText"/>
              <w:rPr>
                <w:i/>
                <w:highlight w:val="yellow"/>
                <w:lang w:val="pt-BR"/>
              </w:rPr>
            </w:pPr>
            <w:r w:rsidRPr="00020E68">
              <w:t xml:space="preserve">Note: </w:t>
            </w:r>
            <w:r w:rsidRPr="00020E68">
              <w:rPr>
                <w:i/>
              </w:rPr>
              <w:t>Erwinia chrysanthemi</w:t>
            </w:r>
            <w:r w:rsidRPr="00020E68">
              <w:t xml:space="preserve"> has been split into at least six </w:t>
            </w:r>
            <w:r w:rsidRPr="00020E68">
              <w:rPr>
                <w:i/>
              </w:rPr>
              <w:t>Dickeya</w:t>
            </w:r>
            <w:r w:rsidRPr="00020E68">
              <w:t xml:space="preserve"> species. It is not certain which </w:t>
            </w:r>
            <w:r w:rsidRPr="00020E68">
              <w:rPr>
                <w:i/>
              </w:rPr>
              <w:t>Dickeya</w:t>
            </w:r>
            <w:r w:rsidRPr="00020E68">
              <w:t xml:space="preserve"> species the records </w:t>
            </w:r>
            <w:r>
              <w:t xml:space="preserve">reported here </w:t>
            </w:r>
            <w:r w:rsidRPr="00020E68">
              <w:t>refer to.</w:t>
            </w:r>
          </w:p>
        </w:tc>
        <w:tc>
          <w:tcPr>
            <w:tcW w:w="1701" w:type="dxa"/>
            <w:shd w:val="clear" w:color="auto" w:fill="auto"/>
          </w:tcPr>
          <w:p w:rsidR="004D5CBC" w:rsidRPr="00020E68" w:rsidRDefault="004D5CBC" w:rsidP="00EF2C72">
            <w:pPr>
              <w:pStyle w:val="TableText"/>
              <w:rPr>
                <w:highlight w:val="yellow"/>
                <w:lang w:val="pt-BR"/>
              </w:rPr>
            </w:pPr>
            <w:r>
              <w:t>Yes</w:t>
            </w:r>
            <w:r w:rsidRPr="00020E68">
              <w:t xml:space="preserve"> </w:t>
            </w:r>
            <w:r>
              <w:rPr>
                <w:noProof/>
              </w:rPr>
              <w:t>(Haerani &amp; Damayanti 2015)</w:t>
            </w:r>
          </w:p>
        </w:tc>
        <w:tc>
          <w:tcPr>
            <w:tcW w:w="2126" w:type="dxa"/>
            <w:shd w:val="clear" w:color="auto" w:fill="auto"/>
          </w:tcPr>
          <w:p w:rsidR="004D5CBC" w:rsidRDefault="004D5CBC" w:rsidP="00EF2C72">
            <w:pPr>
              <w:pStyle w:val="TableText"/>
              <w:rPr>
                <w:szCs w:val="16"/>
                <w:highlight w:val="yellow"/>
              </w:rPr>
            </w:pPr>
            <w:r>
              <w:t>No.</w:t>
            </w:r>
            <w:r w:rsidRPr="00D15A12">
              <w:t xml:space="preserve"> </w:t>
            </w:r>
            <w:r>
              <w:t xml:space="preserve">This </w:t>
            </w:r>
            <w:r w:rsidRPr="00D15A12">
              <w:t xml:space="preserve">species </w:t>
            </w:r>
            <w:r>
              <w:t xml:space="preserve">has been reclassified into multiple species within a new genus </w:t>
            </w:r>
            <w:r>
              <w:rPr>
                <w:noProof/>
              </w:rPr>
              <w:t>(Marrero et al. 2013; Samson et al. 2005)</w:t>
            </w:r>
            <w:r>
              <w:t>. Due to the uncertainty around the taxonomy of this complex, the identity of the species recorded from either Australia or Indonesia cannot be confidently assessed without in</w:t>
            </w:r>
            <w:r>
              <w:noBreakHyphen/>
              <w:t>depth molecular examination.</w:t>
            </w:r>
          </w:p>
        </w:tc>
        <w:tc>
          <w:tcPr>
            <w:tcW w:w="2126" w:type="dxa"/>
            <w:shd w:val="clear" w:color="auto" w:fill="auto"/>
          </w:tcPr>
          <w:p w:rsidR="004D5CBC" w:rsidRDefault="004D5CBC" w:rsidP="00EF2C72">
            <w:pPr>
              <w:pStyle w:val="TableText"/>
              <w:spacing w:after="0"/>
              <w:rPr>
                <w:highlight w:val="yellow"/>
              </w:rPr>
            </w:pPr>
            <w:r>
              <w:t xml:space="preserve">No. This species infects flowers and young fruit, forming water-soak blisters and obvious secondary infections that can spread to the whole </w:t>
            </w:r>
            <w:r w:rsidRPr="003D4C1B">
              <w:t>fruit w</w:t>
            </w:r>
            <w:r>
              <w:t>ithin 12</w:t>
            </w:r>
            <w:r>
              <w:noBreakHyphen/>
              <w:t>24 </w:t>
            </w:r>
            <w:r w:rsidRPr="003D4C1B">
              <w:t xml:space="preserve">hours </w:t>
            </w:r>
            <w:r>
              <w:rPr>
                <w:noProof/>
              </w:rPr>
              <w:t>(Hieu &amp; Hoa 2015; Hoa et al. 2014)</w:t>
            </w:r>
            <w:r w:rsidRPr="003D4C1B">
              <w:t xml:space="preserve">. </w:t>
            </w:r>
            <w:r>
              <w:t>Infected fruits will be culled during standard commercial production practices.</w:t>
            </w:r>
          </w:p>
        </w:tc>
        <w:tc>
          <w:tcPr>
            <w:tcW w:w="2126" w:type="dxa"/>
            <w:shd w:val="clear" w:color="auto" w:fill="auto"/>
          </w:tcPr>
          <w:p w:rsidR="004D5CBC" w:rsidRDefault="004D5CBC" w:rsidP="00020E68">
            <w:pPr>
              <w:pStyle w:val="TableText"/>
              <w:rPr>
                <w:highlight w:val="yellow"/>
              </w:rPr>
            </w:pPr>
            <w:r w:rsidRPr="00241EDA">
              <w:t>Assessment not required</w:t>
            </w:r>
          </w:p>
        </w:tc>
        <w:tc>
          <w:tcPr>
            <w:tcW w:w="1843" w:type="dxa"/>
            <w:shd w:val="clear" w:color="auto" w:fill="auto"/>
          </w:tcPr>
          <w:p w:rsidR="004D5CBC" w:rsidRDefault="004D5CBC" w:rsidP="00020E68">
            <w:pPr>
              <w:pStyle w:val="TableText"/>
              <w:rPr>
                <w:highlight w:val="yellow"/>
              </w:rPr>
            </w:pPr>
            <w:r w:rsidRPr="00241EDA">
              <w:t>Assessment not required</w:t>
            </w:r>
          </w:p>
        </w:tc>
        <w:tc>
          <w:tcPr>
            <w:tcW w:w="1282" w:type="dxa"/>
            <w:shd w:val="clear" w:color="auto" w:fill="auto"/>
          </w:tcPr>
          <w:p w:rsidR="004D5CBC" w:rsidRDefault="004D5CBC" w:rsidP="00020E68">
            <w:pPr>
              <w:pStyle w:val="TableText"/>
              <w:rPr>
                <w:highlight w:val="yellow"/>
              </w:rPr>
            </w:pPr>
            <w:r w:rsidRPr="00241EDA">
              <w:t>No</w:t>
            </w:r>
          </w:p>
        </w:tc>
      </w:tr>
      <w:tr w:rsidR="004D5CBC" w:rsidTr="00240BBE">
        <w:trPr>
          <w:cantSplit/>
          <w:jc w:val="center"/>
        </w:trPr>
        <w:tc>
          <w:tcPr>
            <w:tcW w:w="2269" w:type="dxa"/>
            <w:shd w:val="clear" w:color="auto" w:fill="auto"/>
          </w:tcPr>
          <w:p w:rsidR="004D5CBC" w:rsidRPr="00E34839" w:rsidRDefault="004D5CBC" w:rsidP="00020E68">
            <w:pPr>
              <w:pStyle w:val="TableText"/>
              <w:rPr>
                <w:iCs/>
                <w:lang w:val="pt-BR"/>
              </w:rPr>
            </w:pPr>
            <w:r w:rsidRPr="00C20389">
              <w:rPr>
                <w:i/>
                <w:lang w:val="pt-BR"/>
              </w:rPr>
              <w:lastRenderedPageBreak/>
              <w:t xml:space="preserve">Pectobacterium carotovorum </w:t>
            </w:r>
            <w:r>
              <w:rPr>
                <w:iCs/>
                <w:lang w:val="pt-BR"/>
              </w:rPr>
              <w:t xml:space="preserve">(Jones, </w:t>
            </w:r>
            <w:r w:rsidRPr="00E34839">
              <w:rPr>
                <w:iCs/>
                <w:lang w:val="pt-BR"/>
              </w:rPr>
              <w:t>1901)</w:t>
            </w:r>
            <w:r>
              <w:rPr>
                <w:iCs/>
                <w:lang w:val="pt-BR"/>
              </w:rPr>
              <w:t xml:space="preserve"> Waldee 1945 (approved lists) emend. Hauben </w:t>
            </w:r>
            <w:r w:rsidRPr="00B653E6">
              <w:rPr>
                <w:i/>
                <w:iCs/>
                <w:lang w:val="pt-BR"/>
              </w:rPr>
              <w:t>et al.</w:t>
            </w:r>
            <w:r>
              <w:rPr>
                <w:iCs/>
                <w:lang w:val="pt-BR"/>
              </w:rPr>
              <w:t xml:space="preserve"> 1998</w:t>
            </w:r>
          </w:p>
          <w:p w:rsidR="004D5CBC" w:rsidRPr="00E34839" w:rsidRDefault="004D5CBC" w:rsidP="00020E68">
            <w:pPr>
              <w:pStyle w:val="TableText"/>
              <w:rPr>
                <w:iCs/>
                <w:lang w:val="pt-BR"/>
              </w:rPr>
            </w:pPr>
            <w:r w:rsidRPr="00E34839">
              <w:rPr>
                <w:iCs/>
                <w:lang w:val="pt-BR"/>
              </w:rPr>
              <w:t>Synonym:</w:t>
            </w:r>
            <w:r w:rsidRPr="00C20389">
              <w:rPr>
                <w:i/>
                <w:lang w:val="pt-BR"/>
              </w:rPr>
              <w:t xml:space="preserve"> Erwinia carotovora </w:t>
            </w:r>
            <w:r w:rsidRPr="00E34839">
              <w:rPr>
                <w:iCs/>
                <w:lang w:val="pt-BR"/>
              </w:rPr>
              <w:t>(Jones</w:t>
            </w:r>
            <w:r>
              <w:rPr>
                <w:iCs/>
                <w:lang w:val="pt-BR"/>
              </w:rPr>
              <w:t>,</w:t>
            </w:r>
            <w:r w:rsidRPr="00E34839">
              <w:rPr>
                <w:iCs/>
                <w:lang w:val="pt-BR"/>
              </w:rPr>
              <w:t xml:space="preserve"> 1901)</w:t>
            </w:r>
            <w:r>
              <w:rPr>
                <w:iCs/>
                <w:lang w:val="pt-BR"/>
              </w:rPr>
              <w:t xml:space="preserve"> Berge </w:t>
            </w:r>
            <w:r w:rsidRPr="00B653E6">
              <w:rPr>
                <w:i/>
                <w:iCs/>
                <w:lang w:val="pt-BR"/>
              </w:rPr>
              <w:t>et al</w:t>
            </w:r>
            <w:r>
              <w:rPr>
                <w:iCs/>
                <w:lang w:val="pt-BR"/>
              </w:rPr>
              <w:t>. 1923 (Approved lists 1980)</w:t>
            </w:r>
          </w:p>
          <w:p w:rsidR="004D5CBC" w:rsidRDefault="004D5CBC" w:rsidP="00020E68">
            <w:pPr>
              <w:pStyle w:val="TableText"/>
            </w:pPr>
            <w:r w:rsidRPr="00E34839">
              <w:rPr>
                <w:iCs/>
                <w:lang w:val="pt-BR"/>
              </w:rPr>
              <w:t>[Enterobacteriales: Enterobacteriaceae]</w:t>
            </w:r>
          </w:p>
        </w:tc>
        <w:tc>
          <w:tcPr>
            <w:tcW w:w="1701" w:type="dxa"/>
            <w:shd w:val="clear" w:color="auto" w:fill="auto"/>
          </w:tcPr>
          <w:p w:rsidR="004D5CBC" w:rsidRDefault="004D5CBC" w:rsidP="00EF2C72">
            <w:pPr>
              <w:pStyle w:val="TableText"/>
            </w:pPr>
            <w:r>
              <w:t xml:space="preserve">Yes </w:t>
            </w:r>
            <w:r>
              <w:rPr>
                <w:noProof/>
                <w:lang w:val="pt-BR"/>
              </w:rPr>
              <w:t>(IAQA 2016)</w:t>
            </w:r>
          </w:p>
        </w:tc>
        <w:tc>
          <w:tcPr>
            <w:tcW w:w="2126" w:type="dxa"/>
            <w:shd w:val="clear" w:color="auto" w:fill="auto"/>
          </w:tcPr>
          <w:p w:rsidR="004D5CBC" w:rsidRDefault="004D5CBC" w:rsidP="00EF2C72">
            <w:pPr>
              <w:pStyle w:val="TableText"/>
              <w:rPr>
                <w:sz w:val="16"/>
              </w:rPr>
            </w:pPr>
            <w:r w:rsidRPr="000B07A1">
              <w:t>Yes. NSW, Qld, SA, Vic., WA</w:t>
            </w:r>
            <w:r>
              <w:t xml:space="preserve"> </w:t>
            </w:r>
            <w:r>
              <w:rPr>
                <w:noProof/>
              </w:rPr>
              <w:t>(Plant Health Australia 2018)</w:t>
            </w:r>
          </w:p>
        </w:tc>
        <w:tc>
          <w:tcPr>
            <w:tcW w:w="2126" w:type="dxa"/>
            <w:shd w:val="clear" w:color="auto" w:fill="auto"/>
          </w:tcPr>
          <w:p w:rsidR="004D5CBC" w:rsidRDefault="004D5CBC" w:rsidP="00020E68">
            <w:pPr>
              <w:pStyle w:val="TableText"/>
            </w:pPr>
            <w:r w:rsidRPr="000B07A1">
              <w:t>Assessment not required</w:t>
            </w:r>
          </w:p>
        </w:tc>
        <w:tc>
          <w:tcPr>
            <w:tcW w:w="2126" w:type="dxa"/>
            <w:shd w:val="clear" w:color="auto" w:fill="auto"/>
          </w:tcPr>
          <w:p w:rsidR="004D5CBC" w:rsidRDefault="004D5CBC" w:rsidP="00020E68">
            <w:pPr>
              <w:pStyle w:val="TableText"/>
            </w:pPr>
            <w:r w:rsidRPr="000B07A1">
              <w:t>Assessment not required</w:t>
            </w:r>
          </w:p>
        </w:tc>
        <w:tc>
          <w:tcPr>
            <w:tcW w:w="1843" w:type="dxa"/>
            <w:shd w:val="clear" w:color="auto" w:fill="auto"/>
          </w:tcPr>
          <w:p w:rsidR="004D5CBC" w:rsidRDefault="004D5CBC" w:rsidP="00020E68">
            <w:pPr>
              <w:pStyle w:val="TableText"/>
            </w:pPr>
            <w:r w:rsidRPr="000B07A1">
              <w:t>Assessment not required</w:t>
            </w:r>
          </w:p>
        </w:tc>
        <w:tc>
          <w:tcPr>
            <w:tcW w:w="1282" w:type="dxa"/>
            <w:shd w:val="clear" w:color="auto" w:fill="auto"/>
          </w:tcPr>
          <w:p w:rsidR="004D5CBC" w:rsidRDefault="004D5CBC" w:rsidP="00020E68">
            <w:pPr>
              <w:pStyle w:val="TableText"/>
            </w:pPr>
            <w:r w:rsidRPr="000B07A1">
              <w:t>No</w:t>
            </w:r>
          </w:p>
        </w:tc>
      </w:tr>
      <w:tr w:rsidR="004D5CBC" w:rsidTr="00240BBE">
        <w:trPr>
          <w:cantSplit/>
          <w:jc w:val="center"/>
        </w:trPr>
        <w:tc>
          <w:tcPr>
            <w:tcW w:w="13473" w:type="dxa"/>
            <w:gridSpan w:val="7"/>
            <w:shd w:val="clear" w:color="auto" w:fill="auto"/>
          </w:tcPr>
          <w:p w:rsidR="004D5CBC" w:rsidRPr="0056567F" w:rsidRDefault="004D5CBC" w:rsidP="00020E68">
            <w:pPr>
              <w:pStyle w:val="TableText"/>
              <w:keepNext/>
              <w:rPr>
                <w:b/>
                <w:highlight w:val="yellow"/>
              </w:rPr>
            </w:pPr>
            <w:r w:rsidRPr="0056567F">
              <w:rPr>
                <w:b/>
              </w:rPr>
              <w:t>CHROMALVEOLATA</w:t>
            </w:r>
          </w:p>
        </w:tc>
      </w:tr>
      <w:tr w:rsidR="004D5CBC" w:rsidTr="00240BBE">
        <w:trPr>
          <w:cantSplit/>
          <w:jc w:val="center"/>
        </w:trPr>
        <w:tc>
          <w:tcPr>
            <w:tcW w:w="2269" w:type="dxa"/>
            <w:shd w:val="clear" w:color="auto" w:fill="auto"/>
          </w:tcPr>
          <w:p w:rsidR="004D5CBC" w:rsidRPr="001A7D72" w:rsidRDefault="004D5CBC" w:rsidP="001A7D72">
            <w:pPr>
              <w:pStyle w:val="TableText"/>
              <w:rPr>
                <w:iCs/>
                <w:lang w:val="pt-BR"/>
              </w:rPr>
            </w:pPr>
            <w:r w:rsidRPr="001A7D72">
              <w:rPr>
                <w:i/>
                <w:lang w:val="pt-BR"/>
              </w:rPr>
              <w:t xml:space="preserve">Phytophthora cactorum </w:t>
            </w:r>
            <w:r w:rsidRPr="001A7D72">
              <w:rPr>
                <w:iCs/>
                <w:lang w:val="pt-BR"/>
              </w:rPr>
              <w:t>(Lebert &amp; Cohn) J. Schröt.</w:t>
            </w:r>
          </w:p>
          <w:p w:rsidR="004D5CBC" w:rsidRPr="001A7D72" w:rsidRDefault="004D5CBC" w:rsidP="001A7D72">
            <w:pPr>
              <w:pStyle w:val="TableText"/>
              <w:rPr>
                <w:iCs/>
                <w:lang w:val="pt-BR"/>
              </w:rPr>
            </w:pPr>
            <w:r w:rsidRPr="001A7D72">
              <w:rPr>
                <w:iCs/>
                <w:lang w:val="pt-BR"/>
              </w:rPr>
              <w:t>[Peronosporales: Peronosporaceae]</w:t>
            </w:r>
          </w:p>
          <w:p w:rsidR="004D5CBC" w:rsidRPr="001A7D72" w:rsidRDefault="004D5CBC" w:rsidP="001A7D72">
            <w:pPr>
              <w:pStyle w:val="TableText"/>
              <w:rPr>
                <w:i/>
                <w:highlight w:val="yellow"/>
                <w:lang w:val="pt-BR"/>
              </w:rPr>
            </w:pPr>
            <w:r w:rsidRPr="001A7D72">
              <w:rPr>
                <w:iCs/>
                <w:lang w:val="pt-BR"/>
              </w:rPr>
              <w:t>Apple collar rot</w:t>
            </w:r>
          </w:p>
        </w:tc>
        <w:tc>
          <w:tcPr>
            <w:tcW w:w="1701" w:type="dxa"/>
            <w:shd w:val="clear" w:color="auto" w:fill="auto"/>
          </w:tcPr>
          <w:p w:rsidR="004D5CBC" w:rsidRPr="001A7D72" w:rsidRDefault="004D5CBC" w:rsidP="00EF2C72">
            <w:pPr>
              <w:pStyle w:val="TableText"/>
              <w:rPr>
                <w:highlight w:val="yellow"/>
                <w:lang w:val="pt-BR"/>
              </w:rPr>
            </w:pPr>
            <w:r>
              <w:t>Yes</w:t>
            </w:r>
            <w:r w:rsidRPr="001A7D72">
              <w:t xml:space="preserve"> </w:t>
            </w:r>
            <w:r>
              <w:rPr>
                <w:noProof/>
              </w:rPr>
              <w:t>(CABI 2018; Drenth &amp; Guest 2004)</w:t>
            </w:r>
          </w:p>
        </w:tc>
        <w:tc>
          <w:tcPr>
            <w:tcW w:w="2126" w:type="dxa"/>
            <w:shd w:val="clear" w:color="auto" w:fill="auto"/>
          </w:tcPr>
          <w:p w:rsidR="004D5CBC" w:rsidRPr="001A7D72" w:rsidRDefault="004D5CBC" w:rsidP="00EF2C72">
            <w:pPr>
              <w:pStyle w:val="TableText"/>
              <w:rPr>
                <w:szCs w:val="16"/>
                <w:highlight w:val="yellow"/>
              </w:rPr>
            </w:pPr>
            <w:r w:rsidRPr="001A7D72">
              <w:t xml:space="preserve">Yes. NSW, Qld, Vic., WA </w:t>
            </w:r>
            <w:r>
              <w:rPr>
                <w:noProof/>
              </w:rPr>
              <w:t>(Plant Health Australia 2018)</w:t>
            </w:r>
          </w:p>
        </w:tc>
        <w:tc>
          <w:tcPr>
            <w:tcW w:w="2126" w:type="dxa"/>
            <w:shd w:val="clear" w:color="auto" w:fill="auto"/>
          </w:tcPr>
          <w:p w:rsidR="004D5CBC" w:rsidRPr="001A7D72" w:rsidRDefault="004D5CBC" w:rsidP="001A7D72">
            <w:pPr>
              <w:pStyle w:val="TableText"/>
              <w:rPr>
                <w:highlight w:val="yellow"/>
              </w:rPr>
            </w:pPr>
            <w:r w:rsidRPr="001A7D72">
              <w:t>Assessment not required</w:t>
            </w:r>
          </w:p>
        </w:tc>
        <w:tc>
          <w:tcPr>
            <w:tcW w:w="2126" w:type="dxa"/>
            <w:shd w:val="clear" w:color="auto" w:fill="auto"/>
          </w:tcPr>
          <w:p w:rsidR="004D5CBC" w:rsidRDefault="004D5CBC" w:rsidP="001A7D72">
            <w:pPr>
              <w:pStyle w:val="TableText"/>
              <w:rPr>
                <w:highlight w:val="yellow"/>
              </w:rPr>
            </w:pPr>
            <w:r w:rsidRPr="00DC4230">
              <w:t>Assessment not required</w:t>
            </w:r>
          </w:p>
        </w:tc>
        <w:tc>
          <w:tcPr>
            <w:tcW w:w="1843" w:type="dxa"/>
            <w:shd w:val="clear" w:color="auto" w:fill="auto"/>
          </w:tcPr>
          <w:p w:rsidR="004D5CBC" w:rsidRDefault="004D5CBC" w:rsidP="001A7D72">
            <w:pPr>
              <w:pStyle w:val="TableText"/>
              <w:rPr>
                <w:highlight w:val="yellow"/>
              </w:rPr>
            </w:pPr>
            <w:r w:rsidRPr="00DC4230">
              <w:t>Assessment not required</w:t>
            </w:r>
          </w:p>
        </w:tc>
        <w:tc>
          <w:tcPr>
            <w:tcW w:w="1282" w:type="dxa"/>
            <w:shd w:val="clear" w:color="auto" w:fill="auto"/>
          </w:tcPr>
          <w:p w:rsidR="004D5CBC" w:rsidRDefault="004D5CBC" w:rsidP="001A7D72">
            <w:pPr>
              <w:pStyle w:val="TableText"/>
              <w:rPr>
                <w:highlight w:val="yellow"/>
              </w:rPr>
            </w:pPr>
            <w:r w:rsidRPr="00DC4230">
              <w:t>No</w:t>
            </w:r>
          </w:p>
        </w:tc>
      </w:tr>
      <w:tr w:rsidR="004D5CBC" w:rsidTr="00240BBE">
        <w:trPr>
          <w:cantSplit/>
          <w:jc w:val="center"/>
        </w:trPr>
        <w:tc>
          <w:tcPr>
            <w:tcW w:w="2269" w:type="dxa"/>
            <w:shd w:val="clear" w:color="auto" w:fill="auto"/>
          </w:tcPr>
          <w:p w:rsidR="004D5CBC" w:rsidRPr="001A7D72" w:rsidRDefault="004D5CBC" w:rsidP="001A7D72">
            <w:pPr>
              <w:pStyle w:val="TableText"/>
              <w:rPr>
                <w:iCs/>
                <w:lang w:val="pt-BR"/>
              </w:rPr>
            </w:pPr>
            <w:r w:rsidRPr="001A7D72">
              <w:rPr>
                <w:i/>
                <w:lang w:val="pt-BR"/>
              </w:rPr>
              <w:t xml:space="preserve">Phytophthora nicotianae </w:t>
            </w:r>
            <w:r w:rsidRPr="001A7D72">
              <w:rPr>
                <w:iCs/>
                <w:lang w:val="pt-BR"/>
              </w:rPr>
              <w:t>Breda de Haan</w:t>
            </w:r>
          </w:p>
          <w:p w:rsidR="004D5CBC" w:rsidRPr="001A7D72" w:rsidRDefault="004D5CBC" w:rsidP="001A7D72">
            <w:pPr>
              <w:pStyle w:val="TableText"/>
              <w:rPr>
                <w:iCs/>
                <w:lang w:val="pt-BR"/>
              </w:rPr>
            </w:pPr>
            <w:r w:rsidRPr="001A7D72">
              <w:rPr>
                <w:iCs/>
                <w:lang w:val="pt-BR"/>
              </w:rPr>
              <w:t>Synonym:</w:t>
            </w:r>
            <w:r w:rsidRPr="001A7D72">
              <w:rPr>
                <w:i/>
                <w:lang w:val="pt-BR"/>
              </w:rPr>
              <w:t xml:space="preserve"> Phytophthora parasitica </w:t>
            </w:r>
            <w:r w:rsidRPr="001A7D72">
              <w:rPr>
                <w:iCs/>
                <w:lang w:val="pt-BR"/>
              </w:rPr>
              <w:t>Dastur</w:t>
            </w:r>
          </w:p>
          <w:p w:rsidR="004D5CBC" w:rsidRPr="001A7D72" w:rsidRDefault="004D5CBC" w:rsidP="001A7D72">
            <w:pPr>
              <w:pStyle w:val="TableText"/>
              <w:rPr>
                <w:iCs/>
                <w:lang w:val="pt-BR"/>
              </w:rPr>
            </w:pPr>
            <w:r w:rsidRPr="001A7D72">
              <w:rPr>
                <w:iCs/>
                <w:lang w:val="pt-BR"/>
              </w:rPr>
              <w:t>[Peronosporales: Peronosporaceae]</w:t>
            </w:r>
          </w:p>
          <w:p w:rsidR="004D5CBC" w:rsidRPr="001A7D72" w:rsidRDefault="004D5CBC" w:rsidP="001A7D72">
            <w:pPr>
              <w:pStyle w:val="TableText"/>
              <w:rPr>
                <w:i/>
                <w:highlight w:val="yellow"/>
                <w:lang w:val="pt-BR"/>
              </w:rPr>
            </w:pPr>
            <w:r w:rsidRPr="001A7D72">
              <w:rPr>
                <w:iCs/>
                <w:lang w:val="pt-BR"/>
              </w:rPr>
              <w:t>Black shank</w:t>
            </w:r>
          </w:p>
        </w:tc>
        <w:tc>
          <w:tcPr>
            <w:tcW w:w="1701" w:type="dxa"/>
            <w:shd w:val="clear" w:color="auto" w:fill="auto"/>
          </w:tcPr>
          <w:p w:rsidR="004D5CBC" w:rsidRPr="001A7D72" w:rsidRDefault="004D5CBC" w:rsidP="00EF2C72">
            <w:pPr>
              <w:pStyle w:val="TableText"/>
              <w:rPr>
                <w:highlight w:val="yellow"/>
                <w:lang w:val="pt-BR"/>
              </w:rPr>
            </w:pPr>
            <w:r>
              <w:t>Yes</w:t>
            </w:r>
            <w:r w:rsidRPr="001A7D72">
              <w:t xml:space="preserve"> </w:t>
            </w:r>
            <w:r>
              <w:rPr>
                <w:noProof/>
              </w:rPr>
              <w:t>(CABI 2018; Discover Life 2017; Farr &amp; Rossman 2018)</w:t>
            </w:r>
          </w:p>
        </w:tc>
        <w:tc>
          <w:tcPr>
            <w:tcW w:w="2126" w:type="dxa"/>
            <w:shd w:val="clear" w:color="auto" w:fill="auto"/>
          </w:tcPr>
          <w:p w:rsidR="004D5CBC" w:rsidRPr="001A7D72" w:rsidRDefault="004D5CBC" w:rsidP="00EF2C72">
            <w:pPr>
              <w:pStyle w:val="TableText"/>
              <w:rPr>
                <w:szCs w:val="16"/>
                <w:highlight w:val="yellow"/>
              </w:rPr>
            </w:pPr>
            <w:r w:rsidRPr="001A7D72">
              <w:t xml:space="preserve">Yes. NSW, NT, Qld, SA, Vic. </w:t>
            </w:r>
            <w:r>
              <w:rPr>
                <w:noProof/>
              </w:rPr>
              <w:t>(Plant Health Australia 2018)</w:t>
            </w:r>
            <w:r w:rsidRPr="001A7D72">
              <w:rPr>
                <w:noProof/>
              </w:rPr>
              <w:t>.</w:t>
            </w:r>
            <w:r w:rsidRPr="001A7D72">
              <w:t xml:space="preserve"> Listed as Permitted under s11of WA Biosecurity and Agriculture management Act (2007) </w:t>
            </w:r>
            <w:r>
              <w:rPr>
                <w:noProof/>
              </w:rPr>
              <w:t>(Government of Western Australia 2017)</w:t>
            </w:r>
            <w:r w:rsidRPr="001A7D72">
              <w:t>.</w:t>
            </w:r>
          </w:p>
        </w:tc>
        <w:tc>
          <w:tcPr>
            <w:tcW w:w="2126" w:type="dxa"/>
            <w:shd w:val="clear" w:color="auto" w:fill="auto"/>
          </w:tcPr>
          <w:p w:rsidR="004D5CBC" w:rsidRPr="001A7D72" w:rsidRDefault="004D5CBC" w:rsidP="001A7D72">
            <w:pPr>
              <w:pStyle w:val="TableText"/>
              <w:rPr>
                <w:highlight w:val="yellow"/>
              </w:rPr>
            </w:pPr>
            <w:r w:rsidRPr="001A7D72">
              <w:t>Assessment not required</w:t>
            </w:r>
          </w:p>
        </w:tc>
        <w:tc>
          <w:tcPr>
            <w:tcW w:w="2126" w:type="dxa"/>
            <w:shd w:val="clear" w:color="auto" w:fill="auto"/>
          </w:tcPr>
          <w:p w:rsidR="004D5CBC" w:rsidRDefault="004D5CBC" w:rsidP="001A7D72">
            <w:pPr>
              <w:pStyle w:val="TableText"/>
              <w:rPr>
                <w:highlight w:val="yellow"/>
              </w:rPr>
            </w:pPr>
            <w:r w:rsidRPr="00484387">
              <w:t>Assessment not required</w:t>
            </w:r>
          </w:p>
        </w:tc>
        <w:tc>
          <w:tcPr>
            <w:tcW w:w="1843" w:type="dxa"/>
            <w:shd w:val="clear" w:color="auto" w:fill="auto"/>
          </w:tcPr>
          <w:p w:rsidR="004D5CBC" w:rsidRDefault="004D5CBC" w:rsidP="001A7D72">
            <w:pPr>
              <w:pStyle w:val="TableText"/>
              <w:rPr>
                <w:highlight w:val="yellow"/>
              </w:rPr>
            </w:pPr>
            <w:r w:rsidRPr="00484387">
              <w:t>Assessment not required</w:t>
            </w:r>
          </w:p>
        </w:tc>
        <w:tc>
          <w:tcPr>
            <w:tcW w:w="1282" w:type="dxa"/>
            <w:shd w:val="clear" w:color="auto" w:fill="auto"/>
          </w:tcPr>
          <w:p w:rsidR="004D5CBC" w:rsidRDefault="004D5CBC" w:rsidP="001A7D72">
            <w:pPr>
              <w:pStyle w:val="TableText"/>
              <w:rPr>
                <w:highlight w:val="yellow"/>
              </w:rPr>
            </w:pPr>
            <w:r w:rsidRPr="00484387">
              <w:t>No</w:t>
            </w:r>
          </w:p>
        </w:tc>
      </w:tr>
      <w:tr w:rsidR="004D5CBC" w:rsidTr="00240BBE">
        <w:trPr>
          <w:cantSplit/>
          <w:jc w:val="center"/>
        </w:trPr>
        <w:tc>
          <w:tcPr>
            <w:tcW w:w="2269" w:type="dxa"/>
            <w:shd w:val="clear" w:color="auto" w:fill="auto"/>
          </w:tcPr>
          <w:p w:rsidR="004D5CBC" w:rsidRPr="00E13BAC" w:rsidRDefault="004D5CBC" w:rsidP="001A7D72">
            <w:pPr>
              <w:pStyle w:val="TableText"/>
              <w:rPr>
                <w:iCs/>
                <w:lang w:val="pt-BR"/>
              </w:rPr>
            </w:pPr>
            <w:r w:rsidRPr="00E13BAC">
              <w:rPr>
                <w:i/>
                <w:lang w:val="pt-BR"/>
              </w:rPr>
              <w:t xml:space="preserve">Pythium aphanidermatum </w:t>
            </w:r>
            <w:r>
              <w:rPr>
                <w:iCs/>
                <w:lang w:val="pt-BR"/>
              </w:rPr>
              <w:t>(Edson) Fitzp</w:t>
            </w:r>
          </w:p>
          <w:p w:rsidR="004D5CBC" w:rsidRPr="00E13BAC" w:rsidRDefault="004D5CBC" w:rsidP="001A7D72">
            <w:pPr>
              <w:pStyle w:val="TableText"/>
              <w:rPr>
                <w:iCs/>
                <w:lang w:val="pt-BR"/>
              </w:rPr>
            </w:pPr>
            <w:r w:rsidRPr="00E13BAC">
              <w:rPr>
                <w:iCs/>
                <w:lang w:val="pt-BR"/>
              </w:rPr>
              <w:t xml:space="preserve">[Peronosporales: </w:t>
            </w:r>
            <w:r>
              <w:rPr>
                <w:iCs/>
                <w:lang w:val="pt-BR"/>
              </w:rPr>
              <w:t>Pythiaceae</w:t>
            </w:r>
            <w:r w:rsidRPr="00E13BAC">
              <w:rPr>
                <w:iCs/>
                <w:lang w:val="pt-BR"/>
              </w:rPr>
              <w:t>]</w:t>
            </w:r>
          </w:p>
          <w:p w:rsidR="004D5CBC" w:rsidRDefault="004D5CBC" w:rsidP="001A7D72">
            <w:pPr>
              <w:pStyle w:val="TableText"/>
              <w:rPr>
                <w:i/>
              </w:rPr>
            </w:pPr>
            <w:r w:rsidRPr="00E13BAC">
              <w:rPr>
                <w:iCs/>
                <w:lang w:val="pt-BR"/>
              </w:rPr>
              <w:t>Damping-off</w:t>
            </w:r>
          </w:p>
        </w:tc>
        <w:tc>
          <w:tcPr>
            <w:tcW w:w="1701" w:type="dxa"/>
            <w:shd w:val="clear" w:color="auto" w:fill="auto"/>
          </w:tcPr>
          <w:p w:rsidR="004D5CBC" w:rsidRDefault="004D5CBC" w:rsidP="00EF2C72">
            <w:pPr>
              <w:pStyle w:val="TableText"/>
            </w:pPr>
            <w:r>
              <w:t>Yes</w:t>
            </w:r>
            <w:r w:rsidRPr="00EC7DFE">
              <w:t xml:space="preserve"> </w:t>
            </w:r>
            <w:r>
              <w:rPr>
                <w:noProof/>
              </w:rPr>
              <w:t>(CABI 2018; Farr &amp; Rossman 2018)</w:t>
            </w:r>
          </w:p>
        </w:tc>
        <w:tc>
          <w:tcPr>
            <w:tcW w:w="2126" w:type="dxa"/>
            <w:shd w:val="clear" w:color="auto" w:fill="auto"/>
          </w:tcPr>
          <w:p w:rsidR="004D5CBC" w:rsidRDefault="004D5CBC" w:rsidP="00EF2C72">
            <w:pPr>
              <w:pStyle w:val="TableText"/>
            </w:pPr>
            <w:r w:rsidRPr="00EC7DFE">
              <w:t xml:space="preserve">Yes. NSW, Qld, WA </w:t>
            </w:r>
            <w:r>
              <w:rPr>
                <w:noProof/>
              </w:rPr>
              <w:t>(Plant Health Australia 2018)</w:t>
            </w:r>
          </w:p>
        </w:tc>
        <w:tc>
          <w:tcPr>
            <w:tcW w:w="2126" w:type="dxa"/>
            <w:shd w:val="clear" w:color="auto" w:fill="auto"/>
          </w:tcPr>
          <w:p w:rsidR="004D5CBC" w:rsidRDefault="004D5CBC" w:rsidP="001A7D72">
            <w:pPr>
              <w:pStyle w:val="TableText"/>
            </w:pPr>
            <w:r w:rsidRPr="00EC7DFE">
              <w:t>Assessment not required</w:t>
            </w:r>
          </w:p>
        </w:tc>
        <w:tc>
          <w:tcPr>
            <w:tcW w:w="2126" w:type="dxa"/>
            <w:shd w:val="clear" w:color="auto" w:fill="auto"/>
          </w:tcPr>
          <w:p w:rsidR="004D5CBC" w:rsidRDefault="004D5CBC" w:rsidP="001A7D72">
            <w:pPr>
              <w:pStyle w:val="TableText"/>
            </w:pPr>
            <w:r w:rsidRPr="00EC7DFE">
              <w:t>Assessment not required</w:t>
            </w:r>
          </w:p>
        </w:tc>
        <w:tc>
          <w:tcPr>
            <w:tcW w:w="1843" w:type="dxa"/>
            <w:shd w:val="clear" w:color="auto" w:fill="auto"/>
          </w:tcPr>
          <w:p w:rsidR="004D5CBC" w:rsidRDefault="004D5CBC" w:rsidP="001A7D72">
            <w:pPr>
              <w:pStyle w:val="TableText"/>
            </w:pPr>
            <w:r w:rsidRPr="00EC7DFE">
              <w:t>Assessment not required</w:t>
            </w:r>
          </w:p>
        </w:tc>
        <w:tc>
          <w:tcPr>
            <w:tcW w:w="1282" w:type="dxa"/>
            <w:shd w:val="clear" w:color="auto" w:fill="auto"/>
          </w:tcPr>
          <w:p w:rsidR="004D5CBC" w:rsidRDefault="004D5CBC" w:rsidP="001A7D72">
            <w:pPr>
              <w:pStyle w:val="TableText"/>
            </w:pPr>
            <w:r w:rsidRPr="00EC7DFE">
              <w:t>No</w:t>
            </w:r>
          </w:p>
        </w:tc>
      </w:tr>
      <w:tr w:rsidR="004D5CBC" w:rsidTr="00240BBE">
        <w:trPr>
          <w:cantSplit/>
          <w:trHeight w:val="75"/>
          <w:jc w:val="center"/>
        </w:trPr>
        <w:tc>
          <w:tcPr>
            <w:tcW w:w="13473" w:type="dxa"/>
            <w:gridSpan w:val="7"/>
            <w:shd w:val="clear" w:color="auto" w:fill="auto"/>
          </w:tcPr>
          <w:p w:rsidR="004D5CBC" w:rsidRPr="0056567F" w:rsidRDefault="004D5CBC" w:rsidP="00D414E0">
            <w:pPr>
              <w:pStyle w:val="TableText"/>
              <w:keepNext/>
              <w:rPr>
                <w:b/>
              </w:rPr>
            </w:pPr>
            <w:r w:rsidRPr="0056567F">
              <w:rPr>
                <w:b/>
              </w:rPr>
              <w:lastRenderedPageBreak/>
              <w:t xml:space="preserve">FUNGI </w:t>
            </w:r>
          </w:p>
        </w:tc>
      </w:tr>
      <w:tr w:rsidR="004D5CBC" w:rsidTr="00240BBE">
        <w:trPr>
          <w:cantSplit/>
          <w:jc w:val="center"/>
        </w:trPr>
        <w:tc>
          <w:tcPr>
            <w:tcW w:w="2269" w:type="dxa"/>
            <w:shd w:val="clear" w:color="auto" w:fill="auto"/>
          </w:tcPr>
          <w:p w:rsidR="004D5CBC" w:rsidRPr="00D414E0" w:rsidRDefault="004D5CBC" w:rsidP="00D414E0">
            <w:pPr>
              <w:pStyle w:val="TableText"/>
              <w:rPr>
                <w:i/>
                <w:lang w:val="pt-BR"/>
              </w:rPr>
            </w:pPr>
            <w:r w:rsidRPr="00D414E0">
              <w:rPr>
                <w:i/>
                <w:lang w:val="pt-BR"/>
              </w:rPr>
              <w:t xml:space="preserve">Aspergillus awamori </w:t>
            </w:r>
            <w:r w:rsidRPr="00D414E0">
              <w:rPr>
                <w:iCs/>
                <w:lang w:val="pt-BR"/>
              </w:rPr>
              <w:t>Nakaz.</w:t>
            </w:r>
          </w:p>
          <w:p w:rsidR="004D5CBC" w:rsidRPr="00D414E0" w:rsidRDefault="004D5CBC" w:rsidP="00D414E0">
            <w:pPr>
              <w:pStyle w:val="TableText"/>
              <w:rPr>
                <w:i/>
                <w:lang w:val="pt-BR"/>
              </w:rPr>
            </w:pPr>
            <w:r w:rsidRPr="00D414E0">
              <w:rPr>
                <w:iCs/>
                <w:lang w:val="pt-BR"/>
              </w:rPr>
              <w:t>Synonym:</w:t>
            </w:r>
            <w:r w:rsidRPr="00D414E0">
              <w:rPr>
                <w:i/>
                <w:lang w:val="pt-BR"/>
              </w:rPr>
              <w:t xml:space="preserve"> Aspergillus niger </w:t>
            </w:r>
            <w:r w:rsidRPr="00D414E0">
              <w:rPr>
                <w:lang w:val="pt-BR"/>
              </w:rPr>
              <w:t>var.</w:t>
            </w:r>
            <w:r w:rsidRPr="00D414E0">
              <w:rPr>
                <w:i/>
                <w:lang w:val="pt-BR"/>
              </w:rPr>
              <w:t xml:space="preserve"> awamori</w:t>
            </w:r>
          </w:p>
          <w:p w:rsidR="004D5CBC" w:rsidRPr="00D414E0" w:rsidRDefault="004D5CBC" w:rsidP="00D414E0">
            <w:pPr>
              <w:pStyle w:val="TableText"/>
              <w:rPr>
                <w:i/>
              </w:rPr>
            </w:pPr>
            <w:r w:rsidRPr="00D414E0">
              <w:rPr>
                <w:iCs/>
                <w:lang w:val="pt-BR"/>
              </w:rPr>
              <w:t xml:space="preserve">[Eurotiales: </w:t>
            </w:r>
            <w:r w:rsidRPr="00D414E0">
              <w:t>Trichocomaceae</w:t>
            </w:r>
            <w:r w:rsidRPr="00D414E0">
              <w:rPr>
                <w:iCs/>
                <w:lang w:val="pt-BR"/>
              </w:rPr>
              <w:t>]</w:t>
            </w:r>
          </w:p>
        </w:tc>
        <w:tc>
          <w:tcPr>
            <w:tcW w:w="1701" w:type="dxa"/>
            <w:shd w:val="clear" w:color="auto" w:fill="auto"/>
          </w:tcPr>
          <w:p w:rsidR="004D5CBC" w:rsidRPr="00D414E0" w:rsidRDefault="004D5CBC" w:rsidP="00EF2C72">
            <w:pPr>
              <w:pStyle w:val="TableText"/>
            </w:pPr>
            <w:r>
              <w:t>Yes</w:t>
            </w:r>
            <w:r w:rsidRPr="00D414E0">
              <w:t xml:space="preserve"> </w:t>
            </w:r>
            <w:r>
              <w:rPr>
                <w:noProof/>
              </w:rPr>
              <w:t>(Hong Mien et al. 2012; Le et al. 2000)</w:t>
            </w:r>
          </w:p>
        </w:tc>
        <w:tc>
          <w:tcPr>
            <w:tcW w:w="2126" w:type="dxa"/>
            <w:shd w:val="clear" w:color="auto" w:fill="auto"/>
          </w:tcPr>
          <w:p w:rsidR="004D5CBC" w:rsidRDefault="004D5CBC" w:rsidP="00D414E0">
            <w:pPr>
              <w:pStyle w:val="TableText"/>
            </w:pPr>
            <w:r w:rsidRPr="002B60C5">
              <w:t>No records found</w:t>
            </w:r>
          </w:p>
        </w:tc>
        <w:tc>
          <w:tcPr>
            <w:tcW w:w="2126" w:type="dxa"/>
            <w:shd w:val="clear" w:color="auto" w:fill="auto"/>
          </w:tcPr>
          <w:p w:rsidR="004D5CBC" w:rsidRDefault="004D5CBC" w:rsidP="00EF2C72">
            <w:pPr>
              <w:pStyle w:val="TableText"/>
            </w:pPr>
            <w:r w:rsidRPr="009961F3">
              <w:t xml:space="preserve">No. There has been only one report of this pest on dragon fruit </w:t>
            </w:r>
            <w:r>
              <w:rPr>
                <w:noProof/>
              </w:rPr>
              <w:t>(Le et al. 2000)</w:t>
            </w:r>
            <w:r w:rsidRPr="009961F3">
              <w:t xml:space="preserve">. This </w:t>
            </w:r>
            <w:r>
              <w:t xml:space="preserve">Vietnamese </w:t>
            </w:r>
            <w:r w:rsidRPr="009961F3">
              <w:t xml:space="preserve">quality assurance system report incidentally lists a number of fungi found on the stored fruit used in the study. There is no other evidence supporting </w:t>
            </w:r>
            <w:r>
              <w:rPr>
                <w:i/>
              </w:rPr>
              <w:t>Aspergillus awamori</w:t>
            </w:r>
            <w:r w:rsidRPr="009961F3">
              <w:t xml:space="preserve"> being a pest of dragon fruit.</w:t>
            </w:r>
          </w:p>
        </w:tc>
        <w:tc>
          <w:tcPr>
            <w:tcW w:w="2126" w:type="dxa"/>
            <w:shd w:val="clear" w:color="auto" w:fill="auto"/>
          </w:tcPr>
          <w:p w:rsidR="004D5CBC" w:rsidRDefault="004D5CBC" w:rsidP="00D414E0">
            <w:pPr>
              <w:pStyle w:val="TableText"/>
            </w:pPr>
            <w:r w:rsidRPr="009961F3">
              <w:t>Assessment not required</w:t>
            </w:r>
          </w:p>
        </w:tc>
        <w:tc>
          <w:tcPr>
            <w:tcW w:w="1843" w:type="dxa"/>
            <w:shd w:val="clear" w:color="auto" w:fill="auto"/>
          </w:tcPr>
          <w:p w:rsidR="004D5CBC" w:rsidRDefault="004D5CBC" w:rsidP="00D414E0">
            <w:pPr>
              <w:pStyle w:val="TableText"/>
            </w:pPr>
            <w:r w:rsidRPr="009961F3">
              <w:t>Assessment not required</w:t>
            </w:r>
          </w:p>
        </w:tc>
        <w:tc>
          <w:tcPr>
            <w:tcW w:w="1282" w:type="dxa"/>
            <w:shd w:val="clear" w:color="auto" w:fill="auto"/>
          </w:tcPr>
          <w:p w:rsidR="004D5CBC" w:rsidRDefault="004D5CBC" w:rsidP="00D414E0">
            <w:pPr>
              <w:pStyle w:val="TableText"/>
            </w:pPr>
            <w:r w:rsidRPr="009961F3">
              <w:t xml:space="preserve">No </w:t>
            </w:r>
          </w:p>
        </w:tc>
      </w:tr>
      <w:tr w:rsidR="004D5CBC" w:rsidTr="00240BBE">
        <w:trPr>
          <w:cantSplit/>
          <w:jc w:val="center"/>
        </w:trPr>
        <w:tc>
          <w:tcPr>
            <w:tcW w:w="2269" w:type="dxa"/>
            <w:shd w:val="clear" w:color="auto" w:fill="auto"/>
          </w:tcPr>
          <w:p w:rsidR="004D5CBC" w:rsidRPr="00D414E0" w:rsidRDefault="004D5CBC" w:rsidP="00D414E0">
            <w:pPr>
              <w:pStyle w:val="TableText"/>
              <w:rPr>
                <w:iCs/>
                <w:lang w:val="pt-BR"/>
              </w:rPr>
            </w:pPr>
            <w:r w:rsidRPr="00D414E0">
              <w:rPr>
                <w:i/>
                <w:lang w:val="pt-BR"/>
              </w:rPr>
              <w:t xml:space="preserve">Aspergillus clavatus </w:t>
            </w:r>
            <w:r w:rsidRPr="00D414E0">
              <w:rPr>
                <w:iCs/>
                <w:lang w:val="pt-BR"/>
              </w:rPr>
              <w:t>Desm.</w:t>
            </w:r>
          </w:p>
          <w:p w:rsidR="004D5CBC" w:rsidRDefault="004D5CBC" w:rsidP="00D414E0">
            <w:pPr>
              <w:pStyle w:val="TableText"/>
              <w:rPr>
                <w:iCs/>
                <w:lang w:val="pt-BR"/>
              </w:rPr>
            </w:pPr>
            <w:r w:rsidRPr="00D414E0">
              <w:rPr>
                <w:iCs/>
                <w:lang w:val="pt-BR"/>
              </w:rPr>
              <w:t xml:space="preserve">[Eurotiales: </w:t>
            </w:r>
            <w:r w:rsidRPr="00D414E0">
              <w:t>Trichocomaceae</w:t>
            </w:r>
            <w:r w:rsidRPr="00D414E0">
              <w:rPr>
                <w:iCs/>
                <w:lang w:val="pt-BR"/>
              </w:rPr>
              <w:t>]</w:t>
            </w:r>
          </w:p>
          <w:p w:rsidR="004D5CBC" w:rsidRPr="00D414E0" w:rsidRDefault="004D5CBC" w:rsidP="00D414E0">
            <w:pPr>
              <w:pStyle w:val="TableText"/>
              <w:rPr>
                <w:i/>
                <w:highlight w:val="yellow"/>
                <w:lang w:val="pt-BR"/>
              </w:rPr>
            </w:pPr>
          </w:p>
        </w:tc>
        <w:tc>
          <w:tcPr>
            <w:tcW w:w="1701" w:type="dxa"/>
            <w:shd w:val="clear" w:color="auto" w:fill="auto"/>
          </w:tcPr>
          <w:p w:rsidR="004D5CBC" w:rsidRPr="00D414E0" w:rsidRDefault="004D5CBC" w:rsidP="00EF2C72">
            <w:pPr>
              <w:pStyle w:val="TableText"/>
              <w:rPr>
                <w:highlight w:val="yellow"/>
                <w:lang w:val="pt-BR"/>
              </w:rPr>
            </w:pPr>
            <w:r>
              <w:t xml:space="preserve">Yes </w:t>
            </w:r>
            <w:r>
              <w:rPr>
                <w:noProof/>
                <w:szCs w:val="18"/>
                <w:lang w:val="pt-BR"/>
              </w:rPr>
              <w:t>(Sjamsuridzal &amp; Lisdiyanti 2008)</w:t>
            </w:r>
          </w:p>
        </w:tc>
        <w:tc>
          <w:tcPr>
            <w:tcW w:w="2126" w:type="dxa"/>
            <w:shd w:val="clear" w:color="auto" w:fill="auto"/>
          </w:tcPr>
          <w:p w:rsidR="004D5CBC" w:rsidRPr="00D414E0" w:rsidRDefault="004D5CBC" w:rsidP="00EF2C72">
            <w:pPr>
              <w:pStyle w:val="TableText"/>
              <w:rPr>
                <w:szCs w:val="16"/>
                <w:highlight w:val="yellow"/>
              </w:rPr>
            </w:pPr>
            <w:r w:rsidRPr="00D414E0">
              <w:t xml:space="preserve">Yes. Qld, Vic., WA </w:t>
            </w:r>
            <w:r>
              <w:rPr>
                <w:noProof/>
              </w:rPr>
              <w:t>(Plant Health Australia 2018)</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240BBE">
        <w:trPr>
          <w:cantSplit/>
          <w:jc w:val="center"/>
        </w:trPr>
        <w:tc>
          <w:tcPr>
            <w:tcW w:w="2269" w:type="dxa"/>
            <w:shd w:val="clear" w:color="auto" w:fill="auto"/>
          </w:tcPr>
          <w:p w:rsidR="004D5CBC" w:rsidRPr="00D414E0" w:rsidRDefault="004D5CBC" w:rsidP="00D414E0">
            <w:pPr>
              <w:pStyle w:val="TableText"/>
              <w:rPr>
                <w:iCs/>
                <w:lang w:val="pt-BR"/>
              </w:rPr>
            </w:pPr>
            <w:r w:rsidRPr="00D414E0">
              <w:rPr>
                <w:i/>
                <w:lang w:val="pt-BR"/>
              </w:rPr>
              <w:t xml:space="preserve">Aspergillus fumigatus </w:t>
            </w:r>
            <w:r w:rsidRPr="00D414E0">
              <w:rPr>
                <w:iCs/>
                <w:lang w:val="pt-BR"/>
              </w:rPr>
              <w:t>Fresen.</w:t>
            </w:r>
          </w:p>
          <w:p w:rsidR="004D5CBC" w:rsidRDefault="004D5CBC" w:rsidP="00D414E0">
            <w:pPr>
              <w:pStyle w:val="TableText"/>
              <w:rPr>
                <w:iCs/>
                <w:lang w:val="pt-BR"/>
              </w:rPr>
            </w:pPr>
            <w:r w:rsidRPr="00D414E0">
              <w:rPr>
                <w:iCs/>
                <w:lang w:val="pt-BR"/>
              </w:rPr>
              <w:t xml:space="preserve">[Eurotiales: </w:t>
            </w:r>
            <w:r w:rsidRPr="00D414E0">
              <w:t>Trichocomaceae</w:t>
            </w:r>
            <w:r w:rsidRPr="00D414E0">
              <w:rPr>
                <w:iCs/>
                <w:lang w:val="pt-BR"/>
              </w:rPr>
              <w:t>]</w:t>
            </w:r>
          </w:p>
          <w:p w:rsidR="004D5CBC" w:rsidRPr="00D414E0" w:rsidRDefault="004D5CBC" w:rsidP="00D414E0">
            <w:pPr>
              <w:pStyle w:val="TableText"/>
              <w:rPr>
                <w:i/>
                <w:highlight w:val="yellow"/>
                <w:lang w:val="pt-BR"/>
              </w:rPr>
            </w:pPr>
          </w:p>
        </w:tc>
        <w:tc>
          <w:tcPr>
            <w:tcW w:w="1701" w:type="dxa"/>
            <w:shd w:val="clear" w:color="auto" w:fill="auto"/>
          </w:tcPr>
          <w:p w:rsidR="004D5CBC" w:rsidRPr="00D414E0" w:rsidRDefault="004D5CBC" w:rsidP="00EF2C72">
            <w:pPr>
              <w:pStyle w:val="TableText"/>
              <w:rPr>
                <w:highlight w:val="yellow"/>
                <w:lang w:val="pt-BR"/>
              </w:rPr>
            </w:pPr>
            <w:r>
              <w:t xml:space="preserve">Yes </w:t>
            </w:r>
            <w:r>
              <w:rPr>
                <w:noProof/>
                <w:szCs w:val="18"/>
                <w:lang w:val="pt-BR"/>
              </w:rPr>
              <w:t>(Sjamsuridzal &amp; Lisdiyanti 2008)</w:t>
            </w:r>
          </w:p>
        </w:tc>
        <w:tc>
          <w:tcPr>
            <w:tcW w:w="2126" w:type="dxa"/>
            <w:shd w:val="clear" w:color="auto" w:fill="auto"/>
          </w:tcPr>
          <w:p w:rsidR="004D5CBC" w:rsidRPr="00D414E0" w:rsidRDefault="004D5CBC" w:rsidP="00EF2C72">
            <w:pPr>
              <w:pStyle w:val="TableText"/>
              <w:rPr>
                <w:szCs w:val="16"/>
                <w:highlight w:val="yellow"/>
              </w:rPr>
            </w:pPr>
            <w:r w:rsidRPr="00D414E0">
              <w:t xml:space="preserve">Yes. NSW, Qld, WA </w:t>
            </w:r>
            <w:r>
              <w:rPr>
                <w:noProof/>
              </w:rPr>
              <w:t>(Plant Health Australia 2018)</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240BBE">
        <w:trPr>
          <w:cantSplit/>
          <w:jc w:val="center"/>
        </w:trPr>
        <w:tc>
          <w:tcPr>
            <w:tcW w:w="2269" w:type="dxa"/>
            <w:shd w:val="clear" w:color="auto" w:fill="auto"/>
          </w:tcPr>
          <w:p w:rsidR="004D5CBC" w:rsidRPr="00D414E0" w:rsidRDefault="004D5CBC" w:rsidP="00D414E0">
            <w:pPr>
              <w:pStyle w:val="TableText"/>
              <w:rPr>
                <w:iCs/>
                <w:lang w:val="pt-BR"/>
              </w:rPr>
            </w:pPr>
            <w:r w:rsidRPr="00D414E0">
              <w:rPr>
                <w:i/>
                <w:lang w:val="pt-BR"/>
              </w:rPr>
              <w:t xml:space="preserve">Aspergillus niger </w:t>
            </w:r>
            <w:r w:rsidRPr="00D414E0">
              <w:rPr>
                <w:iCs/>
                <w:lang w:val="pt-BR"/>
              </w:rPr>
              <w:t>Tiegh.</w:t>
            </w:r>
          </w:p>
          <w:p w:rsidR="004D5CBC" w:rsidRPr="00D414E0" w:rsidRDefault="004D5CBC" w:rsidP="00D414E0">
            <w:pPr>
              <w:pStyle w:val="TableText"/>
              <w:rPr>
                <w:iCs/>
                <w:lang w:val="pt-BR"/>
              </w:rPr>
            </w:pPr>
            <w:r w:rsidRPr="00D414E0">
              <w:rPr>
                <w:iCs/>
                <w:lang w:val="pt-BR"/>
              </w:rPr>
              <w:t xml:space="preserve">[Eurotiales: </w:t>
            </w:r>
            <w:r w:rsidRPr="00D414E0">
              <w:t>Trichocomaceae</w:t>
            </w:r>
            <w:r w:rsidRPr="00D414E0">
              <w:rPr>
                <w:iCs/>
                <w:lang w:val="pt-BR"/>
              </w:rPr>
              <w:t>]</w:t>
            </w:r>
          </w:p>
          <w:p w:rsidR="004D5CBC" w:rsidRPr="00D414E0" w:rsidRDefault="004D5CBC" w:rsidP="00D414E0">
            <w:pPr>
              <w:pStyle w:val="TableText"/>
              <w:rPr>
                <w:i/>
                <w:highlight w:val="yellow"/>
                <w:lang w:val="pt-BR"/>
              </w:rPr>
            </w:pPr>
            <w:r w:rsidRPr="00D414E0">
              <w:rPr>
                <w:iCs/>
                <w:lang w:val="pt-BR"/>
              </w:rPr>
              <w:t>Collar rot</w:t>
            </w:r>
          </w:p>
        </w:tc>
        <w:tc>
          <w:tcPr>
            <w:tcW w:w="1701" w:type="dxa"/>
            <w:shd w:val="clear" w:color="auto" w:fill="auto"/>
          </w:tcPr>
          <w:p w:rsidR="004D5CBC" w:rsidRPr="00D414E0" w:rsidRDefault="004D5CBC" w:rsidP="00EF2C72">
            <w:pPr>
              <w:pStyle w:val="TableText"/>
              <w:rPr>
                <w:highlight w:val="yellow"/>
                <w:lang w:val="pt-BR"/>
              </w:rPr>
            </w:pPr>
            <w:r>
              <w:t>Yes</w:t>
            </w:r>
            <w:r w:rsidRPr="00D414E0">
              <w:t xml:space="preserve"> </w:t>
            </w:r>
            <w:r>
              <w:rPr>
                <w:noProof/>
              </w:rPr>
              <w:t>(CABI 2018)</w:t>
            </w:r>
          </w:p>
        </w:tc>
        <w:tc>
          <w:tcPr>
            <w:tcW w:w="2126" w:type="dxa"/>
            <w:shd w:val="clear" w:color="auto" w:fill="auto"/>
          </w:tcPr>
          <w:p w:rsidR="004D5CBC" w:rsidRPr="00D414E0" w:rsidRDefault="004D5CBC" w:rsidP="00EF2C72">
            <w:pPr>
              <w:pStyle w:val="TableText"/>
              <w:rPr>
                <w:szCs w:val="16"/>
                <w:highlight w:val="yellow"/>
              </w:rPr>
            </w:pPr>
            <w:r w:rsidRPr="00D414E0">
              <w:t xml:space="preserve">Yes. NSW, NT, Qld, Vic., WA </w:t>
            </w:r>
            <w:r>
              <w:rPr>
                <w:noProof/>
              </w:rPr>
              <w:t>(Plant Health Australia 2018)</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240BBE">
        <w:trPr>
          <w:cantSplit/>
          <w:jc w:val="center"/>
        </w:trPr>
        <w:tc>
          <w:tcPr>
            <w:tcW w:w="2269" w:type="dxa"/>
            <w:shd w:val="clear" w:color="auto" w:fill="auto"/>
          </w:tcPr>
          <w:p w:rsidR="004D5CBC" w:rsidRPr="00D414E0" w:rsidRDefault="004D5CBC" w:rsidP="00D414E0">
            <w:pPr>
              <w:pStyle w:val="TableText"/>
              <w:rPr>
                <w:iCs/>
                <w:lang w:val="pt-BR"/>
              </w:rPr>
            </w:pPr>
            <w:r w:rsidRPr="00D414E0">
              <w:rPr>
                <w:i/>
                <w:lang w:val="pt-BR"/>
              </w:rPr>
              <w:lastRenderedPageBreak/>
              <w:t xml:space="preserve">Aspergillus oryzae </w:t>
            </w:r>
            <w:r w:rsidRPr="00D414E0">
              <w:rPr>
                <w:iCs/>
                <w:lang w:val="pt-BR"/>
              </w:rPr>
              <w:t>(Ahlburg)</w:t>
            </w:r>
            <w:r w:rsidRPr="00D414E0">
              <w:rPr>
                <w:i/>
                <w:lang w:val="pt-BR"/>
              </w:rPr>
              <w:t xml:space="preserve"> </w:t>
            </w:r>
            <w:r w:rsidRPr="00D414E0">
              <w:rPr>
                <w:iCs/>
                <w:lang w:val="pt-BR"/>
              </w:rPr>
              <w:t>Cohn</w:t>
            </w:r>
          </w:p>
          <w:p w:rsidR="004D5CBC" w:rsidRDefault="004D5CBC" w:rsidP="00D414E0">
            <w:pPr>
              <w:pStyle w:val="TableText"/>
              <w:rPr>
                <w:iCs/>
                <w:lang w:val="pt-BR"/>
              </w:rPr>
            </w:pPr>
            <w:r w:rsidRPr="00D414E0">
              <w:rPr>
                <w:iCs/>
                <w:lang w:val="pt-BR"/>
              </w:rPr>
              <w:t xml:space="preserve">[Eurotiales: </w:t>
            </w:r>
            <w:r w:rsidRPr="00D414E0">
              <w:t>Trichocomaceae</w:t>
            </w:r>
            <w:r w:rsidRPr="00D414E0">
              <w:rPr>
                <w:iCs/>
                <w:lang w:val="pt-BR"/>
              </w:rPr>
              <w:t>]</w:t>
            </w:r>
          </w:p>
          <w:p w:rsidR="004D5CBC" w:rsidRPr="00D414E0" w:rsidRDefault="004D5CBC" w:rsidP="00D414E0">
            <w:pPr>
              <w:pStyle w:val="TableText"/>
              <w:rPr>
                <w:i/>
                <w:highlight w:val="yellow"/>
                <w:lang w:val="pt-BR"/>
              </w:rPr>
            </w:pPr>
          </w:p>
        </w:tc>
        <w:tc>
          <w:tcPr>
            <w:tcW w:w="1701" w:type="dxa"/>
            <w:shd w:val="clear" w:color="auto" w:fill="auto"/>
          </w:tcPr>
          <w:p w:rsidR="004D5CBC" w:rsidRPr="00D414E0" w:rsidRDefault="004D5CBC" w:rsidP="00EF2C72">
            <w:pPr>
              <w:pStyle w:val="TableText"/>
              <w:rPr>
                <w:highlight w:val="yellow"/>
                <w:lang w:val="pt-BR"/>
              </w:rPr>
            </w:pPr>
            <w:r>
              <w:t>Yes</w:t>
            </w:r>
            <w:r w:rsidRPr="00D414E0">
              <w:t xml:space="preserve"> </w:t>
            </w:r>
            <w:r>
              <w:rPr>
                <w:noProof/>
              </w:rPr>
              <w:t>(Discover Life 2017)</w:t>
            </w:r>
          </w:p>
        </w:tc>
        <w:tc>
          <w:tcPr>
            <w:tcW w:w="2126" w:type="dxa"/>
            <w:shd w:val="clear" w:color="auto" w:fill="auto"/>
          </w:tcPr>
          <w:p w:rsidR="004D5CBC" w:rsidRPr="00D414E0" w:rsidRDefault="004D5CBC" w:rsidP="00D414E0">
            <w:pPr>
              <w:pStyle w:val="TableText"/>
              <w:rPr>
                <w:szCs w:val="16"/>
                <w:highlight w:val="yellow"/>
              </w:rPr>
            </w:pPr>
            <w:r w:rsidRPr="00D414E0">
              <w:t>No records found</w:t>
            </w:r>
          </w:p>
        </w:tc>
        <w:tc>
          <w:tcPr>
            <w:tcW w:w="2126" w:type="dxa"/>
            <w:shd w:val="clear" w:color="auto" w:fill="auto"/>
          </w:tcPr>
          <w:p w:rsidR="004D5CBC" w:rsidRPr="00D414E0" w:rsidRDefault="004D5CBC" w:rsidP="00EF2C72">
            <w:pPr>
              <w:pStyle w:val="TableText"/>
              <w:rPr>
                <w:highlight w:val="yellow"/>
              </w:rPr>
            </w:pPr>
            <w:r w:rsidRPr="00D414E0">
              <w:t>No. There has been only one report of this pest on dragon fruit</w:t>
            </w:r>
            <w:r w:rsidRPr="00D414E0">
              <w:rPr>
                <w:noProof/>
              </w:rPr>
              <w:t xml:space="preserve"> </w:t>
            </w:r>
            <w:r>
              <w:rPr>
                <w:noProof/>
              </w:rPr>
              <w:t>(Le et al. 2000)</w:t>
            </w:r>
            <w:r w:rsidRPr="00D414E0">
              <w:t xml:space="preserve">. This </w:t>
            </w:r>
            <w:r>
              <w:t xml:space="preserve">Vietnamese </w:t>
            </w:r>
            <w:r w:rsidRPr="00D414E0">
              <w:t xml:space="preserve">quality assurance system report incidentally lists a number of fungi found on the stored fruit used in the study. There is no other evidence supporting </w:t>
            </w:r>
            <w:r w:rsidRPr="00D414E0">
              <w:rPr>
                <w:i/>
              </w:rPr>
              <w:t>Aspergillus oryzae</w:t>
            </w:r>
            <w:r w:rsidRPr="00D414E0">
              <w:t xml:space="preserve"> being a pest of dragon fruit.</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240BBE">
        <w:trPr>
          <w:cantSplit/>
          <w:jc w:val="center"/>
        </w:trPr>
        <w:tc>
          <w:tcPr>
            <w:tcW w:w="2269" w:type="dxa"/>
            <w:shd w:val="clear" w:color="auto" w:fill="auto"/>
          </w:tcPr>
          <w:p w:rsidR="004D5CBC" w:rsidRPr="00D414E0" w:rsidRDefault="004D5CBC" w:rsidP="00D414E0">
            <w:pPr>
              <w:pStyle w:val="TableText"/>
              <w:rPr>
                <w:iCs/>
                <w:lang w:val="pt-BR"/>
              </w:rPr>
            </w:pPr>
            <w:r w:rsidRPr="00D414E0">
              <w:rPr>
                <w:i/>
                <w:lang w:val="pt-BR"/>
              </w:rPr>
              <w:t xml:space="preserve">Aspergillus tubingensis </w:t>
            </w:r>
            <w:r w:rsidRPr="00D414E0">
              <w:rPr>
                <w:iCs/>
                <w:lang w:val="pt-BR"/>
              </w:rPr>
              <w:t>Mosseray</w:t>
            </w:r>
          </w:p>
          <w:p w:rsidR="004D5CBC" w:rsidRDefault="004D5CBC" w:rsidP="00D414E0">
            <w:pPr>
              <w:pStyle w:val="TableText"/>
              <w:rPr>
                <w:iCs/>
                <w:lang w:val="pt-BR"/>
              </w:rPr>
            </w:pPr>
            <w:r w:rsidRPr="00D414E0">
              <w:rPr>
                <w:iCs/>
                <w:lang w:val="pt-BR"/>
              </w:rPr>
              <w:t xml:space="preserve">[Eurotiales: </w:t>
            </w:r>
            <w:r w:rsidRPr="00D414E0">
              <w:t>Trichocomaceae</w:t>
            </w:r>
            <w:r w:rsidRPr="00D414E0">
              <w:rPr>
                <w:iCs/>
                <w:lang w:val="pt-BR"/>
              </w:rPr>
              <w:t>]</w:t>
            </w:r>
          </w:p>
          <w:p w:rsidR="004D5CBC" w:rsidRPr="00D414E0" w:rsidRDefault="004D5CBC" w:rsidP="00D414E0">
            <w:pPr>
              <w:pStyle w:val="TableText"/>
              <w:rPr>
                <w:i/>
                <w:highlight w:val="yellow"/>
                <w:lang w:val="pt-BR"/>
              </w:rPr>
            </w:pPr>
          </w:p>
        </w:tc>
        <w:tc>
          <w:tcPr>
            <w:tcW w:w="1701" w:type="dxa"/>
            <w:shd w:val="clear" w:color="auto" w:fill="auto"/>
          </w:tcPr>
          <w:p w:rsidR="004D5CBC" w:rsidRPr="00D414E0" w:rsidRDefault="004D5CBC" w:rsidP="00EF2C72">
            <w:pPr>
              <w:pStyle w:val="TableText"/>
              <w:rPr>
                <w:highlight w:val="yellow"/>
                <w:lang w:val="pt-BR"/>
              </w:rPr>
            </w:pPr>
            <w:r>
              <w:t xml:space="preserve">Yes </w:t>
            </w:r>
            <w:r>
              <w:rPr>
                <w:noProof/>
                <w:szCs w:val="18"/>
                <w:lang w:val="pt-BR"/>
              </w:rPr>
              <w:t>(Nugroho et al. 2013)</w:t>
            </w:r>
          </w:p>
        </w:tc>
        <w:tc>
          <w:tcPr>
            <w:tcW w:w="2126" w:type="dxa"/>
            <w:shd w:val="clear" w:color="auto" w:fill="auto"/>
          </w:tcPr>
          <w:p w:rsidR="004D5CBC" w:rsidRPr="00D414E0" w:rsidRDefault="004D5CBC" w:rsidP="00D414E0">
            <w:pPr>
              <w:pStyle w:val="TableText"/>
              <w:rPr>
                <w:szCs w:val="16"/>
                <w:highlight w:val="yellow"/>
              </w:rPr>
            </w:pPr>
            <w:r w:rsidRPr="00D414E0">
              <w:t>No records found</w:t>
            </w:r>
          </w:p>
        </w:tc>
        <w:tc>
          <w:tcPr>
            <w:tcW w:w="2126" w:type="dxa"/>
            <w:shd w:val="clear" w:color="auto" w:fill="auto"/>
          </w:tcPr>
          <w:p w:rsidR="004D5CBC" w:rsidRPr="00D414E0" w:rsidRDefault="004D5CBC" w:rsidP="00EF2C72">
            <w:pPr>
              <w:pStyle w:val="TableText"/>
              <w:rPr>
                <w:highlight w:val="yellow"/>
              </w:rPr>
            </w:pPr>
            <w:r w:rsidRPr="00D414E0">
              <w:t>No. There has been only one report of this pest on dragon fruit</w:t>
            </w:r>
            <w:r w:rsidRPr="00D414E0">
              <w:rPr>
                <w:noProof/>
              </w:rPr>
              <w:t xml:space="preserve"> </w:t>
            </w:r>
            <w:r>
              <w:rPr>
                <w:noProof/>
              </w:rPr>
              <w:t>(Le et al. 2000)</w:t>
            </w:r>
            <w:r w:rsidRPr="00D414E0">
              <w:t xml:space="preserve">. This </w:t>
            </w:r>
            <w:r>
              <w:t xml:space="preserve">Vietnamese </w:t>
            </w:r>
            <w:r w:rsidRPr="00D414E0">
              <w:t xml:space="preserve">quality assurance system report incidentally lists a number of fungi found on the stored fruit used in the study. There is no other evidence supporting </w:t>
            </w:r>
            <w:r w:rsidRPr="00D414E0">
              <w:rPr>
                <w:i/>
              </w:rPr>
              <w:t>Aspergillus tubingensis</w:t>
            </w:r>
            <w:r w:rsidRPr="00D414E0">
              <w:t xml:space="preserve"> being a pest of dragon fruit.</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7C50D6">
        <w:trPr>
          <w:cantSplit/>
          <w:jc w:val="center"/>
        </w:trPr>
        <w:tc>
          <w:tcPr>
            <w:tcW w:w="2269" w:type="dxa"/>
            <w:shd w:val="clear" w:color="auto" w:fill="auto"/>
          </w:tcPr>
          <w:p w:rsidR="004D5CBC" w:rsidRPr="00D414E0" w:rsidRDefault="004D5CBC" w:rsidP="00D414E0">
            <w:pPr>
              <w:pStyle w:val="TableText"/>
              <w:rPr>
                <w:rFonts w:cs="Arial"/>
              </w:rPr>
            </w:pPr>
            <w:r w:rsidRPr="00D414E0">
              <w:rPr>
                <w:rFonts w:cs="Arial"/>
                <w:i/>
              </w:rPr>
              <w:t>Athelia rolfsii</w:t>
            </w:r>
            <w:r w:rsidRPr="00D414E0">
              <w:rPr>
                <w:rFonts w:cs="Arial"/>
              </w:rPr>
              <w:t xml:space="preserve"> (Curzi) C. C. Tu &amp; Kimber.</w:t>
            </w:r>
          </w:p>
          <w:p w:rsidR="004D5CBC" w:rsidRPr="00D414E0" w:rsidRDefault="004D5CBC" w:rsidP="00D414E0">
            <w:pPr>
              <w:pStyle w:val="TableText"/>
              <w:rPr>
                <w:lang w:val="pt-BR"/>
              </w:rPr>
            </w:pPr>
            <w:r w:rsidRPr="00D414E0">
              <w:rPr>
                <w:rFonts w:cs="Arial"/>
              </w:rPr>
              <w:t xml:space="preserve">Synonym: </w:t>
            </w:r>
            <w:r w:rsidRPr="00D414E0">
              <w:rPr>
                <w:i/>
                <w:lang w:val="pt-BR"/>
              </w:rPr>
              <w:t xml:space="preserve">Sclerotium rolfsii </w:t>
            </w:r>
            <w:r w:rsidRPr="00D414E0">
              <w:rPr>
                <w:rFonts w:cs="Arial"/>
              </w:rPr>
              <w:t>Sacc.</w:t>
            </w:r>
          </w:p>
          <w:p w:rsidR="004D5CBC" w:rsidRPr="00D414E0" w:rsidRDefault="004D5CBC" w:rsidP="00D414E0">
            <w:pPr>
              <w:pStyle w:val="TableText"/>
              <w:rPr>
                <w:lang w:val="pt-BR"/>
              </w:rPr>
            </w:pPr>
            <w:r w:rsidRPr="00D414E0">
              <w:rPr>
                <w:lang w:val="pt-BR"/>
              </w:rPr>
              <w:t>[Atheliales: Atheliaceae]</w:t>
            </w:r>
          </w:p>
          <w:p w:rsidR="004D5CBC" w:rsidRPr="00D414E0" w:rsidRDefault="004D5CBC" w:rsidP="00D414E0">
            <w:pPr>
              <w:pStyle w:val="TableText"/>
              <w:rPr>
                <w:i/>
                <w:highlight w:val="yellow"/>
                <w:lang w:val="pt-BR"/>
              </w:rPr>
            </w:pPr>
            <w:r w:rsidRPr="00D414E0">
              <w:rPr>
                <w:rFonts w:cs="Arial"/>
                <w:szCs w:val="18"/>
              </w:rPr>
              <w:t>Sclerotium rot</w:t>
            </w:r>
          </w:p>
        </w:tc>
        <w:tc>
          <w:tcPr>
            <w:tcW w:w="1701" w:type="dxa"/>
            <w:shd w:val="clear" w:color="auto" w:fill="auto"/>
          </w:tcPr>
          <w:p w:rsidR="004D5CBC" w:rsidRPr="00D414E0" w:rsidRDefault="004D5CBC" w:rsidP="00EF2C72">
            <w:pPr>
              <w:pStyle w:val="TableText"/>
              <w:rPr>
                <w:highlight w:val="yellow"/>
                <w:lang w:val="pt-BR"/>
              </w:rPr>
            </w:pPr>
            <w:r>
              <w:rPr>
                <w:lang w:val="pt-BR"/>
              </w:rPr>
              <w:t>Yes</w:t>
            </w:r>
            <w:r w:rsidRPr="00D414E0">
              <w:rPr>
                <w:lang w:val="pt-BR"/>
              </w:rPr>
              <w:t xml:space="preserve"> </w:t>
            </w:r>
            <w:r>
              <w:rPr>
                <w:noProof/>
              </w:rPr>
              <w:t>(CABI 2018; Farr &amp; Rossman 2018; IAQA 2016)</w:t>
            </w:r>
          </w:p>
        </w:tc>
        <w:tc>
          <w:tcPr>
            <w:tcW w:w="2126" w:type="dxa"/>
            <w:shd w:val="clear" w:color="auto" w:fill="auto"/>
          </w:tcPr>
          <w:p w:rsidR="004D5CBC" w:rsidRPr="00D414E0" w:rsidRDefault="004D5CBC" w:rsidP="00EF2C72">
            <w:pPr>
              <w:pStyle w:val="TableText"/>
              <w:rPr>
                <w:szCs w:val="16"/>
                <w:highlight w:val="yellow"/>
              </w:rPr>
            </w:pPr>
            <w:r w:rsidRPr="00D414E0">
              <w:t xml:space="preserve">Yes. NSW, NT, Qld, SA, Vic., WA </w:t>
            </w:r>
            <w:r>
              <w:rPr>
                <w:noProof/>
              </w:rPr>
              <w:t>(Plant Health Australia 2018)</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240BBE">
        <w:trPr>
          <w:cantSplit/>
          <w:jc w:val="center"/>
        </w:trPr>
        <w:tc>
          <w:tcPr>
            <w:tcW w:w="2269" w:type="dxa"/>
            <w:shd w:val="clear" w:color="auto" w:fill="auto"/>
          </w:tcPr>
          <w:p w:rsidR="004D5CBC" w:rsidRPr="00D414E0" w:rsidRDefault="004D5CBC" w:rsidP="00D414E0">
            <w:pPr>
              <w:pStyle w:val="TableText"/>
              <w:rPr>
                <w:iCs/>
                <w:lang w:val="pt-BR"/>
              </w:rPr>
            </w:pPr>
            <w:r w:rsidRPr="00D414E0">
              <w:rPr>
                <w:i/>
                <w:lang w:val="pt-BR"/>
              </w:rPr>
              <w:lastRenderedPageBreak/>
              <w:t xml:space="preserve">Bipolaris cactivora </w:t>
            </w:r>
            <w:r w:rsidRPr="00D414E0">
              <w:rPr>
                <w:iCs/>
                <w:lang w:val="pt-BR"/>
              </w:rPr>
              <w:t>(Petr.) Alcorn</w:t>
            </w:r>
          </w:p>
          <w:p w:rsidR="004D5CBC" w:rsidRPr="00D414E0" w:rsidRDefault="004D5CBC" w:rsidP="00D414E0">
            <w:pPr>
              <w:pStyle w:val="TableText"/>
              <w:rPr>
                <w:iCs/>
                <w:lang w:val="pt-BR"/>
              </w:rPr>
            </w:pPr>
            <w:r w:rsidRPr="00D414E0">
              <w:rPr>
                <w:iCs/>
                <w:lang w:val="pt-BR"/>
              </w:rPr>
              <w:t xml:space="preserve">Synonym: </w:t>
            </w:r>
            <w:r w:rsidRPr="00D414E0">
              <w:rPr>
                <w:i/>
                <w:lang w:val="pt-BR"/>
              </w:rPr>
              <w:t xml:space="preserve">Drechslera cactivora </w:t>
            </w:r>
            <w:r w:rsidRPr="00D414E0">
              <w:rPr>
                <w:iCs/>
                <w:lang w:val="pt-BR"/>
              </w:rPr>
              <w:t>(Petr.) M.B. Ellis,</w:t>
            </w:r>
          </w:p>
          <w:p w:rsidR="004D5CBC" w:rsidRPr="00D414E0" w:rsidRDefault="004D5CBC" w:rsidP="00D414E0">
            <w:pPr>
              <w:pStyle w:val="TableText"/>
              <w:rPr>
                <w:iCs/>
                <w:lang w:val="pt-BR"/>
              </w:rPr>
            </w:pPr>
            <w:r w:rsidRPr="00D414E0">
              <w:rPr>
                <w:iCs/>
                <w:lang w:val="pt-BR"/>
              </w:rPr>
              <w:t>[Pleosporales: Pleosporaceae]</w:t>
            </w:r>
          </w:p>
          <w:p w:rsidR="004D5CBC" w:rsidRPr="00D414E0" w:rsidRDefault="004D5CBC" w:rsidP="00D414E0">
            <w:pPr>
              <w:pStyle w:val="TableText"/>
              <w:rPr>
                <w:i/>
                <w:highlight w:val="yellow"/>
                <w:lang w:val="pt-BR"/>
              </w:rPr>
            </w:pPr>
            <w:r w:rsidRPr="00D414E0">
              <w:rPr>
                <w:iCs/>
                <w:lang w:val="pt-BR"/>
              </w:rPr>
              <w:t>Stem rot</w:t>
            </w:r>
          </w:p>
        </w:tc>
        <w:tc>
          <w:tcPr>
            <w:tcW w:w="1701" w:type="dxa"/>
            <w:shd w:val="clear" w:color="auto" w:fill="auto"/>
          </w:tcPr>
          <w:p w:rsidR="004D5CBC" w:rsidRPr="00D414E0" w:rsidRDefault="004D5CBC" w:rsidP="00EF2C72">
            <w:pPr>
              <w:pStyle w:val="TableText"/>
              <w:rPr>
                <w:highlight w:val="yellow"/>
                <w:lang w:val="pt-BR"/>
              </w:rPr>
            </w:pPr>
            <w:r>
              <w:t xml:space="preserve">Yes </w:t>
            </w:r>
            <w:r>
              <w:rPr>
                <w:noProof/>
                <w:lang w:val="pt-BR"/>
              </w:rPr>
              <w:t>(IAQA 2016)</w:t>
            </w:r>
          </w:p>
        </w:tc>
        <w:tc>
          <w:tcPr>
            <w:tcW w:w="2126" w:type="dxa"/>
            <w:shd w:val="clear" w:color="auto" w:fill="auto"/>
          </w:tcPr>
          <w:p w:rsidR="004D5CBC" w:rsidRPr="00D414E0" w:rsidRDefault="004D5CBC" w:rsidP="00EF2C72">
            <w:pPr>
              <w:pStyle w:val="TableText"/>
              <w:rPr>
                <w:szCs w:val="16"/>
                <w:highlight w:val="yellow"/>
              </w:rPr>
            </w:pPr>
            <w:r w:rsidRPr="00D414E0">
              <w:t xml:space="preserve">Yes. NSW, Vic. </w:t>
            </w:r>
            <w:r>
              <w:rPr>
                <w:noProof/>
              </w:rPr>
              <w:t>(Plant Health Australia 2018)</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240BBE">
        <w:trPr>
          <w:cantSplit/>
          <w:jc w:val="center"/>
        </w:trPr>
        <w:tc>
          <w:tcPr>
            <w:tcW w:w="2269" w:type="dxa"/>
            <w:shd w:val="clear" w:color="auto" w:fill="auto"/>
          </w:tcPr>
          <w:p w:rsidR="004D5CBC" w:rsidRPr="00D414E0" w:rsidRDefault="004D5CBC" w:rsidP="00D414E0">
            <w:pPr>
              <w:pStyle w:val="TableText"/>
              <w:rPr>
                <w:iCs/>
                <w:lang w:val="pt-BR"/>
              </w:rPr>
            </w:pPr>
            <w:r w:rsidRPr="00D414E0">
              <w:rPr>
                <w:i/>
                <w:lang w:val="pt-BR"/>
              </w:rPr>
              <w:t xml:space="preserve">Botrytis cinerea </w:t>
            </w:r>
            <w:r w:rsidRPr="00D414E0">
              <w:rPr>
                <w:iCs/>
                <w:lang w:val="pt-BR"/>
              </w:rPr>
              <w:t>Pers.</w:t>
            </w:r>
          </w:p>
          <w:p w:rsidR="004D5CBC" w:rsidRPr="00D414E0" w:rsidRDefault="004D5CBC" w:rsidP="00D414E0">
            <w:pPr>
              <w:pStyle w:val="TableText"/>
              <w:rPr>
                <w:iCs/>
                <w:lang w:val="pt-BR"/>
              </w:rPr>
            </w:pPr>
            <w:r w:rsidRPr="00D414E0">
              <w:rPr>
                <w:iCs/>
                <w:lang w:val="pt-BR"/>
              </w:rPr>
              <w:t>[Helotiales: Screotiniaceae]</w:t>
            </w:r>
          </w:p>
          <w:p w:rsidR="004D5CBC" w:rsidRPr="00D414E0" w:rsidRDefault="004D5CBC" w:rsidP="00D414E0">
            <w:pPr>
              <w:pStyle w:val="TableText"/>
              <w:rPr>
                <w:i/>
                <w:highlight w:val="yellow"/>
                <w:lang w:val="pt-BR"/>
              </w:rPr>
            </w:pPr>
            <w:r w:rsidRPr="00D414E0">
              <w:rPr>
                <w:iCs/>
                <w:lang w:val="pt-BR"/>
              </w:rPr>
              <w:t>Grey mould</w:t>
            </w:r>
          </w:p>
        </w:tc>
        <w:tc>
          <w:tcPr>
            <w:tcW w:w="1701" w:type="dxa"/>
            <w:shd w:val="clear" w:color="auto" w:fill="auto"/>
          </w:tcPr>
          <w:p w:rsidR="004D5CBC" w:rsidRPr="00D414E0" w:rsidRDefault="004D5CBC" w:rsidP="00EF2C72">
            <w:pPr>
              <w:pStyle w:val="TableText"/>
              <w:rPr>
                <w:highlight w:val="yellow"/>
                <w:lang w:val="pt-BR"/>
              </w:rPr>
            </w:pPr>
            <w:r>
              <w:t>Yes</w:t>
            </w:r>
            <w:r w:rsidRPr="00D414E0">
              <w:t xml:space="preserve"> </w:t>
            </w:r>
            <w:r>
              <w:rPr>
                <w:noProof/>
              </w:rPr>
              <w:t>(Discover Life 2017)</w:t>
            </w:r>
          </w:p>
        </w:tc>
        <w:tc>
          <w:tcPr>
            <w:tcW w:w="2126" w:type="dxa"/>
            <w:shd w:val="clear" w:color="auto" w:fill="auto"/>
          </w:tcPr>
          <w:p w:rsidR="004D5CBC" w:rsidRPr="00D414E0" w:rsidRDefault="004D5CBC" w:rsidP="00EF2C72">
            <w:pPr>
              <w:pStyle w:val="TableText"/>
              <w:rPr>
                <w:szCs w:val="16"/>
                <w:highlight w:val="yellow"/>
              </w:rPr>
            </w:pPr>
            <w:r w:rsidRPr="00D414E0">
              <w:t xml:space="preserve">Yes. NSW, Qld, SA, Tas., Vic., WA </w:t>
            </w:r>
            <w:r>
              <w:rPr>
                <w:noProof/>
              </w:rPr>
              <w:t>(Plant Health Australia 2018)</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240BBE">
        <w:trPr>
          <w:cantSplit/>
          <w:jc w:val="center"/>
        </w:trPr>
        <w:tc>
          <w:tcPr>
            <w:tcW w:w="2269" w:type="dxa"/>
            <w:shd w:val="clear" w:color="auto" w:fill="auto"/>
          </w:tcPr>
          <w:p w:rsidR="004D5CBC" w:rsidRPr="00D414E0" w:rsidRDefault="004D5CBC" w:rsidP="00D414E0">
            <w:pPr>
              <w:pStyle w:val="TableText"/>
              <w:rPr>
                <w:iCs/>
                <w:lang w:val="pt-BR"/>
              </w:rPr>
            </w:pPr>
            <w:r w:rsidRPr="00D414E0">
              <w:rPr>
                <w:i/>
                <w:lang w:val="pt-BR"/>
              </w:rPr>
              <w:t xml:space="preserve">Cladosporium herbarum </w:t>
            </w:r>
            <w:r w:rsidRPr="00D414E0">
              <w:rPr>
                <w:iCs/>
                <w:lang w:val="pt-BR"/>
              </w:rPr>
              <w:t>(Pers.) Link</w:t>
            </w:r>
          </w:p>
          <w:p w:rsidR="004D5CBC" w:rsidRDefault="004D5CBC" w:rsidP="00D414E0">
            <w:pPr>
              <w:pStyle w:val="TableText"/>
              <w:rPr>
                <w:iCs/>
                <w:lang w:val="pt-BR"/>
              </w:rPr>
            </w:pPr>
            <w:r w:rsidRPr="00D414E0">
              <w:rPr>
                <w:iCs/>
                <w:lang w:val="pt-BR"/>
              </w:rPr>
              <w:t>[Capnodiales: Cladosporiaceae]</w:t>
            </w:r>
          </w:p>
          <w:p w:rsidR="004D5CBC" w:rsidRPr="00D414E0" w:rsidRDefault="004D5CBC" w:rsidP="00D414E0">
            <w:pPr>
              <w:pStyle w:val="TableText"/>
              <w:rPr>
                <w:i/>
                <w:highlight w:val="yellow"/>
                <w:lang w:val="pt-BR"/>
              </w:rPr>
            </w:pPr>
          </w:p>
        </w:tc>
        <w:tc>
          <w:tcPr>
            <w:tcW w:w="1701" w:type="dxa"/>
            <w:shd w:val="clear" w:color="auto" w:fill="auto"/>
          </w:tcPr>
          <w:p w:rsidR="004D5CBC" w:rsidRPr="00D414E0" w:rsidRDefault="004D5CBC" w:rsidP="00EF2C72">
            <w:pPr>
              <w:pStyle w:val="TableText"/>
              <w:rPr>
                <w:highlight w:val="yellow"/>
                <w:lang w:val="pt-BR"/>
              </w:rPr>
            </w:pPr>
            <w:r>
              <w:t>Yes</w:t>
            </w:r>
            <w:r w:rsidRPr="00D414E0">
              <w:t xml:space="preserve"> </w:t>
            </w:r>
            <w:r>
              <w:rPr>
                <w:noProof/>
              </w:rPr>
              <w:t>(Farr &amp; Rossman 2018)</w:t>
            </w:r>
          </w:p>
        </w:tc>
        <w:tc>
          <w:tcPr>
            <w:tcW w:w="2126" w:type="dxa"/>
            <w:shd w:val="clear" w:color="auto" w:fill="auto"/>
          </w:tcPr>
          <w:p w:rsidR="004D5CBC" w:rsidRPr="00D414E0" w:rsidRDefault="004D5CBC" w:rsidP="00EF2C72">
            <w:pPr>
              <w:pStyle w:val="TableText"/>
              <w:rPr>
                <w:szCs w:val="16"/>
                <w:highlight w:val="yellow"/>
              </w:rPr>
            </w:pPr>
            <w:r w:rsidRPr="00D414E0">
              <w:t xml:space="preserve">Yes. NSW, Qld, SA, Tas., Vic., WA </w:t>
            </w:r>
            <w:r>
              <w:rPr>
                <w:noProof/>
              </w:rPr>
              <w:t>(Plant Health Australia 2018)</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240BBE">
        <w:trPr>
          <w:cantSplit/>
          <w:jc w:val="center"/>
        </w:trPr>
        <w:tc>
          <w:tcPr>
            <w:tcW w:w="2269" w:type="dxa"/>
            <w:shd w:val="clear" w:color="auto" w:fill="auto"/>
          </w:tcPr>
          <w:p w:rsidR="004D5CBC" w:rsidRPr="00D414E0" w:rsidRDefault="004D5CBC" w:rsidP="00D414E0">
            <w:pPr>
              <w:pStyle w:val="TableText"/>
              <w:rPr>
                <w:iCs/>
                <w:lang w:val="pt-BR"/>
              </w:rPr>
            </w:pPr>
            <w:r w:rsidRPr="00D414E0">
              <w:rPr>
                <w:i/>
                <w:lang w:val="pt-BR"/>
              </w:rPr>
              <w:t xml:space="preserve">Colletotrichum coccodes </w:t>
            </w:r>
            <w:r w:rsidRPr="00D414E0">
              <w:rPr>
                <w:iCs/>
                <w:lang w:val="pt-BR"/>
              </w:rPr>
              <w:t xml:space="preserve">(Wallr.) S. Hughes </w:t>
            </w:r>
          </w:p>
          <w:p w:rsidR="004D5CBC" w:rsidRPr="00D414E0" w:rsidRDefault="004D5CBC" w:rsidP="00D414E0">
            <w:pPr>
              <w:pStyle w:val="TableText"/>
              <w:rPr>
                <w:iCs/>
                <w:lang w:val="pt-BR"/>
              </w:rPr>
            </w:pPr>
            <w:r w:rsidRPr="00D414E0">
              <w:rPr>
                <w:iCs/>
                <w:lang w:val="pt-BR"/>
              </w:rPr>
              <w:t>[Glomerellales: Glomerellaceae]</w:t>
            </w:r>
          </w:p>
          <w:p w:rsidR="004D5CBC" w:rsidRPr="00D414E0" w:rsidRDefault="004D5CBC" w:rsidP="00D414E0">
            <w:pPr>
              <w:pStyle w:val="TableText"/>
              <w:rPr>
                <w:i/>
                <w:highlight w:val="yellow"/>
                <w:lang w:val="pt-BR"/>
              </w:rPr>
            </w:pPr>
            <w:r w:rsidRPr="00D414E0">
              <w:rPr>
                <w:iCs/>
                <w:lang w:val="pt-BR"/>
              </w:rPr>
              <w:t>Anthracnose</w:t>
            </w:r>
          </w:p>
        </w:tc>
        <w:tc>
          <w:tcPr>
            <w:tcW w:w="1701" w:type="dxa"/>
            <w:shd w:val="clear" w:color="auto" w:fill="auto"/>
          </w:tcPr>
          <w:p w:rsidR="004D5CBC" w:rsidRPr="00D414E0" w:rsidRDefault="004D5CBC" w:rsidP="00EF2C72">
            <w:pPr>
              <w:pStyle w:val="TableText"/>
              <w:rPr>
                <w:highlight w:val="yellow"/>
                <w:lang w:val="pt-BR"/>
              </w:rPr>
            </w:pPr>
            <w:r>
              <w:t>Yes</w:t>
            </w:r>
            <w:r w:rsidRPr="00D414E0">
              <w:t xml:space="preserve"> </w:t>
            </w:r>
            <w:r>
              <w:rPr>
                <w:noProof/>
              </w:rPr>
              <w:t>(CABI 2018; Duriat &amp; van der Wolf 2006)</w:t>
            </w:r>
          </w:p>
        </w:tc>
        <w:tc>
          <w:tcPr>
            <w:tcW w:w="2126" w:type="dxa"/>
            <w:shd w:val="clear" w:color="auto" w:fill="auto"/>
          </w:tcPr>
          <w:p w:rsidR="004D5CBC" w:rsidRPr="00D414E0" w:rsidRDefault="004D5CBC" w:rsidP="00EF2C72">
            <w:pPr>
              <w:pStyle w:val="TableText"/>
              <w:rPr>
                <w:szCs w:val="16"/>
                <w:highlight w:val="yellow"/>
              </w:rPr>
            </w:pPr>
            <w:r w:rsidRPr="00D414E0">
              <w:t xml:space="preserve">Yes. NSW, NT, Qld, SA, Tas., Vic., WA </w:t>
            </w:r>
            <w:r>
              <w:rPr>
                <w:noProof/>
              </w:rPr>
              <w:t>(Plant Health Australia 2018)</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2126" w:type="dxa"/>
            <w:shd w:val="clear" w:color="auto" w:fill="auto"/>
          </w:tcPr>
          <w:p w:rsidR="004D5CBC" w:rsidRPr="00D414E0" w:rsidRDefault="004D5CBC" w:rsidP="00D414E0">
            <w:pPr>
              <w:pStyle w:val="TableText"/>
              <w:rPr>
                <w:highlight w:val="yellow"/>
              </w:rPr>
            </w:pPr>
            <w:r w:rsidRPr="00D414E0">
              <w:t>Assessment not required</w:t>
            </w:r>
          </w:p>
        </w:tc>
        <w:tc>
          <w:tcPr>
            <w:tcW w:w="1843" w:type="dxa"/>
            <w:shd w:val="clear" w:color="auto" w:fill="auto"/>
          </w:tcPr>
          <w:p w:rsidR="004D5CBC" w:rsidRPr="00D414E0" w:rsidRDefault="004D5CBC" w:rsidP="00D414E0">
            <w:pPr>
              <w:pStyle w:val="TableText"/>
              <w:rPr>
                <w:highlight w:val="yellow"/>
              </w:rPr>
            </w:pPr>
            <w:r w:rsidRPr="00D414E0">
              <w:t>Assessment not required</w:t>
            </w:r>
          </w:p>
        </w:tc>
        <w:tc>
          <w:tcPr>
            <w:tcW w:w="1282" w:type="dxa"/>
            <w:shd w:val="clear" w:color="auto" w:fill="auto"/>
          </w:tcPr>
          <w:p w:rsidR="004D5CBC" w:rsidRPr="00D414E0" w:rsidRDefault="004D5CBC" w:rsidP="00D414E0">
            <w:pPr>
              <w:pStyle w:val="TableText"/>
              <w:rPr>
                <w:highlight w:val="yellow"/>
              </w:rPr>
            </w:pPr>
            <w:r w:rsidRPr="00D414E0">
              <w:t>No</w:t>
            </w:r>
          </w:p>
        </w:tc>
      </w:tr>
      <w:tr w:rsidR="004D5CBC" w:rsidTr="00AC5E0A">
        <w:trPr>
          <w:cantSplit/>
          <w:jc w:val="center"/>
        </w:trPr>
        <w:tc>
          <w:tcPr>
            <w:tcW w:w="2269" w:type="dxa"/>
            <w:shd w:val="clear" w:color="auto" w:fill="auto"/>
          </w:tcPr>
          <w:p w:rsidR="004D5CBC" w:rsidRPr="004D0D2A" w:rsidRDefault="004D5CBC" w:rsidP="004D0D2A">
            <w:pPr>
              <w:pStyle w:val="TableText"/>
              <w:rPr>
                <w:iCs/>
                <w:szCs w:val="18"/>
                <w:lang w:val="pt-BR"/>
              </w:rPr>
            </w:pPr>
            <w:r w:rsidRPr="004D0D2A">
              <w:rPr>
                <w:rFonts w:cs="Arial"/>
                <w:i/>
                <w:szCs w:val="18"/>
              </w:rPr>
              <w:lastRenderedPageBreak/>
              <w:t>Colletotrichum fructicola</w:t>
            </w:r>
            <w:r w:rsidRPr="004D0D2A">
              <w:rPr>
                <w:rFonts w:cs="Arial"/>
                <w:szCs w:val="18"/>
              </w:rPr>
              <w:t xml:space="preserve"> Prihastuti, L. Cai &amp; K.D. Hyde</w:t>
            </w:r>
          </w:p>
          <w:p w:rsidR="004D5CBC" w:rsidRPr="004D0D2A" w:rsidRDefault="004D5CBC" w:rsidP="004D0D2A">
            <w:pPr>
              <w:pStyle w:val="TableText"/>
              <w:rPr>
                <w:iCs/>
                <w:szCs w:val="18"/>
                <w:lang w:val="pt-BR"/>
              </w:rPr>
            </w:pPr>
            <w:r w:rsidRPr="004D0D2A">
              <w:rPr>
                <w:iCs/>
                <w:szCs w:val="18"/>
                <w:lang w:val="pt-BR"/>
              </w:rPr>
              <w:t>Synonym:</w:t>
            </w:r>
            <w:r w:rsidRPr="004D0D2A">
              <w:rPr>
                <w:i/>
                <w:szCs w:val="18"/>
                <w:lang w:val="pt-BR"/>
              </w:rPr>
              <w:t xml:space="preserve"> Glomerella cingulata</w:t>
            </w:r>
            <w:r w:rsidRPr="004D0D2A">
              <w:rPr>
                <w:szCs w:val="18"/>
                <w:lang w:val="pt-BR"/>
              </w:rPr>
              <w:t xml:space="preserve"> var.</w:t>
            </w:r>
            <w:r w:rsidRPr="004D0D2A">
              <w:rPr>
                <w:i/>
                <w:szCs w:val="18"/>
                <w:lang w:val="pt-BR"/>
              </w:rPr>
              <w:t xml:space="preserve"> minor</w:t>
            </w:r>
            <w:r w:rsidRPr="004D0D2A">
              <w:rPr>
                <w:szCs w:val="18"/>
                <w:lang w:val="pt-BR"/>
              </w:rPr>
              <w:t xml:space="preserve"> Wollenw.</w:t>
            </w:r>
          </w:p>
          <w:p w:rsidR="004D5CBC" w:rsidRPr="004D0D2A" w:rsidRDefault="004D5CBC" w:rsidP="004D0D2A">
            <w:pPr>
              <w:pStyle w:val="TableText"/>
              <w:rPr>
                <w:iCs/>
                <w:szCs w:val="18"/>
                <w:lang w:val="pt-BR"/>
              </w:rPr>
            </w:pPr>
            <w:r w:rsidRPr="004D0D2A">
              <w:rPr>
                <w:iCs/>
                <w:szCs w:val="18"/>
                <w:lang w:val="pt-BR"/>
              </w:rPr>
              <w:t>[</w:t>
            </w:r>
            <w:r w:rsidRPr="004D0D2A">
              <w:rPr>
                <w:rFonts w:cs="Arial"/>
                <w:szCs w:val="18"/>
              </w:rPr>
              <w:t>Glomerellales, Glomerellaceae,</w:t>
            </w:r>
            <w:r w:rsidRPr="004D0D2A">
              <w:rPr>
                <w:iCs/>
                <w:szCs w:val="18"/>
                <w:lang w:val="pt-BR"/>
              </w:rPr>
              <w:t>]</w:t>
            </w:r>
          </w:p>
          <w:p w:rsidR="004D5CBC" w:rsidRPr="004D0D2A" w:rsidRDefault="004D5CBC" w:rsidP="004D0D2A">
            <w:pPr>
              <w:pStyle w:val="TableText"/>
              <w:rPr>
                <w:i/>
                <w:lang w:val="pt-BR"/>
              </w:rPr>
            </w:pPr>
            <w:r w:rsidRPr="004D0D2A">
              <w:rPr>
                <w:lang w:val="pt-BR"/>
              </w:rPr>
              <w:t>Bitter rot</w:t>
            </w:r>
          </w:p>
        </w:tc>
        <w:tc>
          <w:tcPr>
            <w:tcW w:w="1701" w:type="dxa"/>
            <w:shd w:val="clear" w:color="auto" w:fill="auto"/>
          </w:tcPr>
          <w:p w:rsidR="004D5CBC" w:rsidRPr="004D0D2A" w:rsidRDefault="004D5CBC" w:rsidP="004D0D2A">
            <w:pPr>
              <w:pStyle w:val="TableText"/>
              <w:rPr>
                <w:noProof/>
                <w:lang w:val="pt-BR"/>
              </w:rPr>
            </w:pPr>
            <w:r>
              <w:rPr>
                <w:lang w:val="pt-BR"/>
              </w:rPr>
              <w:t>Yes</w:t>
            </w:r>
            <w:r w:rsidRPr="004D0D2A">
              <w:rPr>
                <w:lang w:val="pt-BR"/>
              </w:rPr>
              <w:t xml:space="preserve"> </w:t>
            </w:r>
            <w:r>
              <w:rPr>
                <w:noProof/>
              </w:rPr>
              <w:t>(Farr &amp; Rossman 2018; Liu et al. 2015)</w:t>
            </w:r>
          </w:p>
          <w:p w:rsidR="004D5CBC" w:rsidRPr="004D0D2A" w:rsidRDefault="004D5CBC" w:rsidP="00EF2C72">
            <w:pPr>
              <w:pStyle w:val="TableText"/>
            </w:pPr>
            <w:r w:rsidRPr="004D0D2A">
              <w:rPr>
                <w:noProof/>
                <w:lang w:val="pt-BR"/>
              </w:rPr>
              <w:t xml:space="preserve">Records of this species in Indonesia are only from </w:t>
            </w:r>
            <w:r w:rsidRPr="004D0D2A">
              <w:rPr>
                <w:i/>
                <w:noProof/>
                <w:lang w:val="pt-BR"/>
              </w:rPr>
              <w:t>Camellia sinensis</w:t>
            </w:r>
            <w:r w:rsidRPr="004D0D2A">
              <w:rPr>
                <w:noProof/>
                <w:lang w:val="pt-BR"/>
              </w:rPr>
              <w:t xml:space="preserve">. However, this fungus has hosts from multiple genera in multiple families </w:t>
            </w:r>
            <w:r>
              <w:rPr>
                <w:noProof/>
              </w:rPr>
              <w:t>(Farr &amp; Rossman 2018)</w:t>
            </w:r>
            <w:r w:rsidRPr="004D0D2A">
              <w:rPr>
                <w:noProof/>
                <w:lang w:val="pt-BR"/>
              </w:rPr>
              <w:t xml:space="preserve"> with a single unsubstantiated record of dragon fruit as a host </w:t>
            </w:r>
            <w:r>
              <w:rPr>
                <w:noProof/>
              </w:rPr>
              <w:t>(CABI 2018)</w:t>
            </w:r>
            <w:r w:rsidRPr="004D0D2A">
              <w:rPr>
                <w:noProof/>
              </w:rPr>
              <w:t>.</w:t>
            </w:r>
          </w:p>
        </w:tc>
        <w:tc>
          <w:tcPr>
            <w:tcW w:w="2126" w:type="dxa"/>
            <w:shd w:val="clear" w:color="auto" w:fill="auto"/>
          </w:tcPr>
          <w:p w:rsidR="004D5CBC" w:rsidRPr="004D0D2A" w:rsidRDefault="004D5CBC" w:rsidP="00EF2C72">
            <w:pPr>
              <w:pStyle w:val="TableText"/>
            </w:pPr>
            <w:r w:rsidRPr="004D0D2A">
              <w:t xml:space="preserve">Yes. Qld </w:t>
            </w:r>
            <w:r>
              <w:rPr>
                <w:noProof/>
              </w:rPr>
              <w:t>(Plant Health Australia 2018; Simmonds 1966)</w:t>
            </w:r>
          </w:p>
        </w:tc>
        <w:tc>
          <w:tcPr>
            <w:tcW w:w="2126" w:type="dxa"/>
            <w:shd w:val="clear" w:color="auto" w:fill="auto"/>
          </w:tcPr>
          <w:p w:rsidR="004D5CBC" w:rsidRPr="004D0D2A" w:rsidRDefault="004D5CBC" w:rsidP="004D0D2A">
            <w:pPr>
              <w:pStyle w:val="TableText"/>
            </w:pPr>
            <w:r w:rsidRPr="004D0D2A">
              <w:t>Assessment not required</w:t>
            </w:r>
          </w:p>
        </w:tc>
        <w:tc>
          <w:tcPr>
            <w:tcW w:w="2126" w:type="dxa"/>
            <w:shd w:val="clear" w:color="auto" w:fill="auto"/>
          </w:tcPr>
          <w:p w:rsidR="004D5CBC" w:rsidRPr="004D0D2A" w:rsidRDefault="004D5CBC" w:rsidP="004D0D2A">
            <w:pPr>
              <w:pStyle w:val="TableText"/>
            </w:pPr>
            <w:r w:rsidRPr="004D0D2A">
              <w:t>Assessment not required</w:t>
            </w:r>
          </w:p>
        </w:tc>
        <w:tc>
          <w:tcPr>
            <w:tcW w:w="1843" w:type="dxa"/>
            <w:shd w:val="clear" w:color="auto" w:fill="auto"/>
          </w:tcPr>
          <w:p w:rsidR="004D5CBC" w:rsidRPr="004D0D2A" w:rsidRDefault="004D5CBC" w:rsidP="004D0D2A">
            <w:pPr>
              <w:pStyle w:val="TableText"/>
            </w:pPr>
            <w:r w:rsidRPr="004D0D2A">
              <w:t>Assessment not required</w:t>
            </w:r>
          </w:p>
        </w:tc>
        <w:tc>
          <w:tcPr>
            <w:tcW w:w="1282" w:type="dxa"/>
            <w:shd w:val="clear" w:color="auto" w:fill="auto"/>
          </w:tcPr>
          <w:p w:rsidR="004D5CBC" w:rsidRPr="004D0D2A" w:rsidRDefault="004D5CBC" w:rsidP="004D0D2A">
            <w:pPr>
              <w:pStyle w:val="TableText"/>
            </w:pPr>
            <w:r w:rsidRPr="004D0D2A">
              <w:t>No</w:t>
            </w:r>
          </w:p>
        </w:tc>
      </w:tr>
      <w:tr w:rsidR="004D5CBC" w:rsidTr="00240BBE">
        <w:trPr>
          <w:cantSplit/>
          <w:jc w:val="center"/>
        </w:trPr>
        <w:tc>
          <w:tcPr>
            <w:tcW w:w="2269" w:type="dxa"/>
            <w:shd w:val="clear" w:color="auto" w:fill="auto"/>
          </w:tcPr>
          <w:p w:rsidR="004D5CBC" w:rsidRPr="004D0D2A" w:rsidRDefault="004D5CBC" w:rsidP="004D0D2A">
            <w:pPr>
              <w:pStyle w:val="TableText"/>
              <w:rPr>
                <w:iCs/>
                <w:lang w:val="pt-BR"/>
              </w:rPr>
            </w:pPr>
            <w:r w:rsidRPr="004D0D2A">
              <w:rPr>
                <w:i/>
                <w:lang w:val="pt-BR"/>
              </w:rPr>
              <w:t xml:space="preserve">Colletotrichum gloeosporioides </w:t>
            </w:r>
            <w:r w:rsidRPr="004D0D2A">
              <w:rPr>
                <w:iCs/>
                <w:lang w:val="pt-BR"/>
              </w:rPr>
              <w:t>(Penz.) Penz. &amp; Sacc.</w:t>
            </w:r>
          </w:p>
          <w:p w:rsidR="004D5CBC" w:rsidRPr="004D0D2A" w:rsidRDefault="004D5CBC" w:rsidP="004D0D2A">
            <w:pPr>
              <w:pStyle w:val="TableText"/>
              <w:rPr>
                <w:iCs/>
                <w:lang w:val="pt-BR"/>
              </w:rPr>
            </w:pPr>
            <w:r w:rsidRPr="004D0D2A">
              <w:rPr>
                <w:iCs/>
                <w:lang w:val="pt-BR"/>
              </w:rPr>
              <w:t>Synonym:</w:t>
            </w:r>
            <w:r w:rsidRPr="004D0D2A">
              <w:rPr>
                <w:i/>
                <w:lang w:val="pt-BR"/>
              </w:rPr>
              <w:t xml:space="preserve"> Glomerella cingulata </w:t>
            </w:r>
            <w:r w:rsidRPr="004D0D2A">
              <w:rPr>
                <w:iCs/>
                <w:lang w:val="pt-BR"/>
              </w:rPr>
              <w:t>(Stonem.) Spaud. &amp; H. Schrenk.</w:t>
            </w:r>
          </w:p>
          <w:p w:rsidR="004D5CBC" w:rsidRPr="004D0D2A" w:rsidRDefault="004D5CBC" w:rsidP="004D0D2A">
            <w:pPr>
              <w:pStyle w:val="TableText"/>
              <w:rPr>
                <w:iCs/>
                <w:lang w:val="pt-BR"/>
              </w:rPr>
            </w:pPr>
            <w:r w:rsidRPr="004D0D2A">
              <w:rPr>
                <w:iCs/>
                <w:lang w:val="pt-BR"/>
              </w:rPr>
              <w:t>[Glomerellales: Glomerellaceae]</w:t>
            </w:r>
          </w:p>
          <w:p w:rsidR="004D5CBC" w:rsidRPr="004D0D2A" w:rsidRDefault="004D5CBC" w:rsidP="004D0D2A">
            <w:pPr>
              <w:pStyle w:val="TableText"/>
              <w:rPr>
                <w:i/>
                <w:lang w:val="pt-BR"/>
              </w:rPr>
            </w:pPr>
            <w:r w:rsidRPr="004D0D2A">
              <w:rPr>
                <w:iCs/>
                <w:lang w:val="pt-BR"/>
              </w:rPr>
              <w:t>Anthracnose</w:t>
            </w:r>
          </w:p>
        </w:tc>
        <w:tc>
          <w:tcPr>
            <w:tcW w:w="1701" w:type="dxa"/>
            <w:shd w:val="clear" w:color="auto" w:fill="auto"/>
          </w:tcPr>
          <w:p w:rsidR="004D5CBC" w:rsidRPr="004D0D2A" w:rsidRDefault="004D5CBC" w:rsidP="00EF2C72">
            <w:pPr>
              <w:pStyle w:val="TableText"/>
            </w:pPr>
            <w:r>
              <w:t>Yes</w:t>
            </w:r>
            <w:r w:rsidRPr="004D0D2A">
              <w:t xml:space="preserve"> </w:t>
            </w:r>
            <w:r>
              <w:rPr>
                <w:noProof/>
              </w:rPr>
              <w:t>(Farr &amp; Rossman 2018)</w:t>
            </w:r>
          </w:p>
        </w:tc>
        <w:tc>
          <w:tcPr>
            <w:tcW w:w="2126" w:type="dxa"/>
            <w:shd w:val="clear" w:color="auto" w:fill="auto"/>
          </w:tcPr>
          <w:p w:rsidR="004D5CBC" w:rsidRPr="004D0D2A" w:rsidRDefault="004D5CBC" w:rsidP="00EF2C72">
            <w:pPr>
              <w:pStyle w:val="TableText"/>
            </w:pPr>
            <w:r w:rsidRPr="004D0D2A">
              <w:t xml:space="preserve">Yes. NSW, NT, Qld, SA, Tas., Vic., WA </w:t>
            </w:r>
            <w:r>
              <w:rPr>
                <w:noProof/>
              </w:rPr>
              <w:t>(Plant Health Australia 2018)</w:t>
            </w:r>
          </w:p>
        </w:tc>
        <w:tc>
          <w:tcPr>
            <w:tcW w:w="2126" w:type="dxa"/>
            <w:shd w:val="clear" w:color="auto" w:fill="auto"/>
          </w:tcPr>
          <w:p w:rsidR="004D5CBC" w:rsidRPr="004D0D2A" w:rsidRDefault="004D5CBC" w:rsidP="004D0D2A">
            <w:pPr>
              <w:pStyle w:val="TableText"/>
            </w:pPr>
            <w:r w:rsidRPr="004D0D2A">
              <w:t>Assessment not required</w:t>
            </w:r>
          </w:p>
        </w:tc>
        <w:tc>
          <w:tcPr>
            <w:tcW w:w="2126" w:type="dxa"/>
            <w:shd w:val="clear" w:color="auto" w:fill="auto"/>
          </w:tcPr>
          <w:p w:rsidR="004D5CBC" w:rsidRPr="004D0D2A" w:rsidRDefault="004D5CBC" w:rsidP="004D0D2A">
            <w:pPr>
              <w:pStyle w:val="TableText"/>
            </w:pPr>
            <w:r w:rsidRPr="004D0D2A">
              <w:t>Assessment not required</w:t>
            </w:r>
          </w:p>
        </w:tc>
        <w:tc>
          <w:tcPr>
            <w:tcW w:w="1843" w:type="dxa"/>
            <w:shd w:val="clear" w:color="auto" w:fill="auto"/>
          </w:tcPr>
          <w:p w:rsidR="004D5CBC" w:rsidRPr="004D0D2A" w:rsidRDefault="004D5CBC" w:rsidP="004D0D2A">
            <w:pPr>
              <w:pStyle w:val="TableText"/>
            </w:pPr>
            <w:r w:rsidRPr="004D0D2A">
              <w:t>Assessment not required</w:t>
            </w:r>
          </w:p>
        </w:tc>
        <w:tc>
          <w:tcPr>
            <w:tcW w:w="1282" w:type="dxa"/>
            <w:shd w:val="clear" w:color="auto" w:fill="auto"/>
          </w:tcPr>
          <w:p w:rsidR="004D5CBC" w:rsidRPr="004D0D2A" w:rsidRDefault="004D5CBC" w:rsidP="004D0D2A">
            <w:pPr>
              <w:pStyle w:val="TableText"/>
            </w:pPr>
            <w:r w:rsidRPr="004D0D2A">
              <w:t>No</w:t>
            </w:r>
          </w:p>
        </w:tc>
      </w:tr>
      <w:tr w:rsidR="004D5CBC" w:rsidTr="00240BBE">
        <w:trPr>
          <w:cantSplit/>
          <w:jc w:val="center"/>
        </w:trPr>
        <w:tc>
          <w:tcPr>
            <w:tcW w:w="2269" w:type="dxa"/>
            <w:shd w:val="clear" w:color="auto" w:fill="auto"/>
          </w:tcPr>
          <w:p w:rsidR="004D5CBC" w:rsidRPr="004D0D2A" w:rsidRDefault="004D5CBC" w:rsidP="004D0D2A">
            <w:pPr>
              <w:pStyle w:val="TableText"/>
              <w:rPr>
                <w:iCs/>
                <w:lang w:val="pt-BR"/>
              </w:rPr>
            </w:pPr>
            <w:r w:rsidRPr="004D0D2A">
              <w:rPr>
                <w:i/>
                <w:lang w:val="pt-BR"/>
              </w:rPr>
              <w:t xml:space="preserve">Colletotrichum musae </w:t>
            </w:r>
            <w:r w:rsidRPr="004D0D2A">
              <w:rPr>
                <w:iCs/>
                <w:lang w:val="pt-BR"/>
              </w:rPr>
              <w:t>(Berk. &amp; M.A. Curtis) Arx.</w:t>
            </w:r>
          </w:p>
          <w:p w:rsidR="004D5CBC" w:rsidRPr="004D0D2A" w:rsidRDefault="004D5CBC" w:rsidP="004D0D2A">
            <w:pPr>
              <w:pStyle w:val="TableText"/>
              <w:rPr>
                <w:iCs/>
                <w:lang w:val="pt-BR"/>
              </w:rPr>
            </w:pPr>
            <w:r w:rsidRPr="004D0D2A">
              <w:rPr>
                <w:iCs/>
                <w:lang w:val="pt-BR"/>
              </w:rPr>
              <w:t>[Glomerellales: Glomerellaceae]</w:t>
            </w:r>
          </w:p>
          <w:p w:rsidR="004D5CBC" w:rsidRPr="004D0D2A" w:rsidRDefault="004D5CBC" w:rsidP="004D0D2A">
            <w:pPr>
              <w:pStyle w:val="TableText"/>
              <w:rPr>
                <w:i/>
                <w:highlight w:val="yellow"/>
                <w:lang w:val="pt-BR"/>
              </w:rPr>
            </w:pPr>
            <w:r w:rsidRPr="004D0D2A">
              <w:rPr>
                <w:iCs/>
                <w:lang w:val="pt-BR"/>
              </w:rPr>
              <w:t>Tip rot of banana</w:t>
            </w:r>
          </w:p>
        </w:tc>
        <w:tc>
          <w:tcPr>
            <w:tcW w:w="1701" w:type="dxa"/>
            <w:shd w:val="clear" w:color="auto" w:fill="auto"/>
          </w:tcPr>
          <w:p w:rsidR="004D5CBC" w:rsidRPr="004D0D2A" w:rsidRDefault="004D5CBC" w:rsidP="00EF2C72">
            <w:pPr>
              <w:pStyle w:val="TableText"/>
              <w:rPr>
                <w:highlight w:val="yellow"/>
                <w:lang w:val="pt-BR"/>
              </w:rPr>
            </w:pPr>
            <w:r>
              <w:t>Yes</w:t>
            </w:r>
            <w:r w:rsidRPr="004D0D2A">
              <w:t xml:space="preserve"> </w:t>
            </w:r>
            <w:r>
              <w:rPr>
                <w:noProof/>
              </w:rPr>
              <w:t>(Discover Life 2017; Farr &amp; Rossman 2018)</w:t>
            </w:r>
          </w:p>
        </w:tc>
        <w:tc>
          <w:tcPr>
            <w:tcW w:w="2126" w:type="dxa"/>
            <w:shd w:val="clear" w:color="auto" w:fill="auto"/>
          </w:tcPr>
          <w:p w:rsidR="004D5CBC" w:rsidRPr="004D0D2A" w:rsidRDefault="004D5CBC" w:rsidP="00EF2C72">
            <w:pPr>
              <w:pStyle w:val="TableText"/>
              <w:rPr>
                <w:szCs w:val="16"/>
                <w:highlight w:val="yellow"/>
              </w:rPr>
            </w:pPr>
            <w:r w:rsidRPr="004D0D2A">
              <w:t xml:space="preserve">Yes. NSW, Qld, Vic., WA </w:t>
            </w:r>
            <w:r>
              <w:rPr>
                <w:noProof/>
              </w:rPr>
              <w:t>(Plant Health Australia 2018)</w:t>
            </w:r>
          </w:p>
        </w:tc>
        <w:tc>
          <w:tcPr>
            <w:tcW w:w="2126" w:type="dxa"/>
            <w:shd w:val="clear" w:color="auto" w:fill="auto"/>
          </w:tcPr>
          <w:p w:rsidR="004D5CBC" w:rsidRPr="004D0D2A" w:rsidRDefault="004D5CBC" w:rsidP="004D0D2A">
            <w:pPr>
              <w:pStyle w:val="TableText"/>
              <w:rPr>
                <w:highlight w:val="yellow"/>
              </w:rPr>
            </w:pPr>
            <w:r w:rsidRPr="004D0D2A">
              <w:t>Assessment not required</w:t>
            </w:r>
          </w:p>
        </w:tc>
        <w:tc>
          <w:tcPr>
            <w:tcW w:w="2126" w:type="dxa"/>
            <w:shd w:val="clear" w:color="auto" w:fill="auto"/>
          </w:tcPr>
          <w:p w:rsidR="004D5CBC" w:rsidRPr="004D0D2A" w:rsidRDefault="004D5CBC" w:rsidP="004D0D2A">
            <w:pPr>
              <w:pStyle w:val="TableText"/>
              <w:rPr>
                <w:highlight w:val="yellow"/>
              </w:rPr>
            </w:pPr>
            <w:r w:rsidRPr="004D0D2A">
              <w:t>Assessment not required</w:t>
            </w:r>
          </w:p>
        </w:tc>
        <w:tc>
          <w:tcPr>
            <w:tcW w:w="1843" w:type="dxa"/>
            <w:shd w:val="clear" w:color="auto" w:fill="auto"/>
          </w:tcPr>
          <w:p w:rsidR="004D5CBC" w:rsidRPr="004D0D2A" w:rsidRDefault="004D5CBC" w:rsidP="004D0D2A">
            <w:pPr>
              <w:pStyle w:val="TableText"/>
              <w:rPr>
                <w:highlight w:val="yellow"/>
              </w:rPr>
            </w:pPr>
            <w:r w:rsidRPr="004D0D2A">
              <w:t>Assessment not required</w:t>
            </w:r>
          </w:p>
        </w:tc>
        <w:tc>
          <w:tcPr>
            <w:tcW w:w="1282" w:type="dxa"/>
            <w:shd w:val="clear" w:color="auto" w:fill="auto"/>
          </w:tcPr>
          <w:p w:rsidR="004D5CBC" w:rsidRPr="004D0D2A" w:rsidRDefault="004D5CBC" w:rsidP="004D0D2A">
            <w:pPr>
              <w:pStyle w:val="TableText"/>
              <w:rPr>
                <w:highlight w:val="yellow"/>
              </w:rPr>
            </w:pPr>
            <w:r w:rsidRPr="004D0D2A">
              <w:t>No</w:t>
            </w:r>
          </w:p>
        </w:tc>
      </w:tr>
      <w:tr w:rsidR="004D5CBC" w:rsidTr="00240BBE">
        <w:trPr>
          <w:cantSplit/>
          <w:jc w:val="center"/>
        </w:trPr>
        <w:tc>
          <w:tcPr>
            <w:tcW w:w="2269" w:type="dxa"/>
            <w:shd w:val="clear" w:color="auto" w:fill="auto"/>
          </w:tcPr>
          <w:p w:rsidR="004D5CBC" w:rsidRDefault="004D5CBC" w:rsidP="004D0D2A">
            <w:pPr>
              <w:pStyle w:val="TableText"/>
              <w:rPr>
                <w:iCs/>
                <w:lang w:val="pt-BR"/>
              </w:rPr>
            </w:pPr>
            <w:r w:rsidRPr="008F7E35">
              <w:rPr>
                <w:i/>
                <w:lang w:val="pt-BR"/>
              </w:rPr>
              <w:lastRenderedPageBreak/>
              <w:t xml:space="preserve">Colletotrichum truncatum </w:t>
            </w:r>
            <w:r>
              <w:rPr>
                <w:iCs/>
                <w:lang w:val="pt-BR"/>
              </w:rPr>
              <w:t>(Schwein) Andrus &amp; W.D. Moore</w:t>
            </w:r>
          </w:p>
          <w:p w:rsidR="004D5CBC" w:rsidRPr="008F7E35" w:rsidRDefault="004D5CBC" w:rsidP="004D0D2A">
            <w:pPr>
              <w:pStyle w:val="TableText"/>
              <w:rPr>
                <w:iCs/>
                <w:lang w:val="pt-BR"/>
              </w:rPr>
            </w:pPr>
            <w:r>
              <w:rPr>
                <w:iCs/>
                <w:lang w:val="pt-BR"/>
              </w:rPr>
              <w:t xml:space="preserve">Synonym: </w:t>
            </w:r>
            <w:r w:rsidRPr="004913DF">
              <w:rPr>
                <w:i/>
                <w:lang w:val="pt-BR"/>
              </w:rPr>
              <w:t xml:space="preserve">Colletotrichum capsici </w:t>
            </w:r>
            <w:r w:rsidRPr="00E34839">
              <w:rPr>
                <w:iCs/>
                <w:lang w:val="pt-BR"/>
              </w:rPr>
              <w:t>(Syd. &amp; P. Syd.) E.J. Butler &amp; Bisby</w:t>
            </w:r>
          </w:p>
          <w:p w:rsidR="004D5CBC" w:rsidRDefault="004D5CBC" w:rsidP="004D0D2A">
            <w:pPr>
              <w:pStyle w:val="TableText"/>
              <w:rPr>
                <w:iCs/>
                <w:lang w:val="pt-BR"/>
              </w:rPr>
            </w:pPr>
            <w:r w:rsidRPr="008F7E35">
              <w:rPr>
                <w:iCs/>
                <w:lang w:val="pt-BR"/>
              </w:rPr>
              <w:t>[</w:t>
            </w:r>
            <w:r>
              <w:rPr>
                <w:iCs/>
                <w:lang w:val="pt-BR"/>
              </w:rPr>
              <w:t>Glomerellales</w:t>
            </w:r>
            <w:r w:rsidRPr="008F7E35">
              <w:rPr>
                <w:iCs/>
                <w:lang w:val="pt-BR"/>
              </w:rPr>
              <w:t xml:space="preserve">: </w:t>
            </w:r>
            <w:r w:rsidRPr="00813D0D">
              <w:rPr>
                <w:iCs/>
                <w:lang w:val="pt-BR"/>
              </w:rPr>
              <w:t>Glomerellaceae</w:t>
            </w:r>
            <w:r w:rsidRPr="008F7E35">
              <w:rPr>
                <w:iCs/>
                <w:lang w:val="pt-BR"/>
              </w:rPr>
              <w:t>]</w:t>
            </w:r>
          </w:p>
          <w:p w:rsidR="004D5CBC" w:rsidRPr="004D0D2A" w:rsidRDefault="004D5CBC" w:rsidP="004D0D2A">
            <w:pPr>
              <w:pStyle w:val="TableText"/>
              <w:rPr>
                <w:i/>
                <w:lang w:val="pt-BR"/>
              </w:rPr>
            </w:pPr>
          </w:p>
        </w:tc>
        <w:tc>
          <w:tcPr>
            <w:tcW w:w="1701" w:type="dxa"/>
            <w:shd w:val="clear" w:color="auto" w:fill="auto"/>
          </w:tcPr>
          <w:p w:rsidR="004D5CBC" w:rsidRPr="004D0D2A" w:rsidRDefault="004D5CBC" w:rsidP="00EF2C72">
            <w:pPr>
              <w:pStyle w:val="TableText"/>
            </w:pPr>
            <w:r>
              <w:t>yes</w:t>
            </w:r>
            <w:r w:rsidRPr="009F6EDA">
              <w:t xml:space="preserve"> </w:t>
            </w:r>
            <w:r>
              <w:rPr>
                <w:noProof/>
                <w:lang w:val="pt-BR"/>
              </w:rPr>
              <w:t>(IAQA 2016)</w:t>
            </w:r>
          </w:p>
        </w:tc>
        <w:tc>
          <w:tcPr>
            <w:tcW w:w="2126" w:type="dxa"/>
            <w:shd w:val="clear" w:color="auto" w:fill="auto"/>
          </w:tcPr>
          <w:p w:rsidR="004D5CBC" w:rsidRPr="004D0D2A" w:rsidRDefault="004D5CBC" w:rsidP="00EF2C72">
            <w:pPr>
              <w:pStyle w:val="TableText"/>
            </w:pPr>
            <w:r w:rsidRPr="009F6EDA">
              <w:t xml:space="preserve">Yes. NSW, NT, Qld, </w:t>
            </w:r>
            <w:r>
              <w:t xml:space="preserve">Vic. </w:t>
            </w:r>
            <w:r>
              <w:rPr>
                <w:noProof/>
              </w:rPr>
              <w:t>(Plant Health Australia 2018)</w:t>
            </w:r>
            <w:r>
              <w:t xml:space="preserve"> Qld, WA </w:t>
            </w:r>
            <w:r>
              <w:rPr>
                <w:noProof/>
              </w:rPr>
              <w:t>(Ash et al. 2014)</w:t>
            </w:r>
          </w:p>
        </w:tc>
        <w:tc>
          <w:tcPr>
            <w:tcW w:w="2126" w:type="dxa"/>
            <w:shd w:val="clear" w:color="auto" w:fill="auto"/>
          </w:tcPr>
          <w:p w:rsidR="004D5CBC" w:rsidRPr="004D0D2A" w:rsidRDefault="004D5CBC" w:rsidP="004D0D2A">
            <w:pPr>
              <w:pStyle w:val="TableText"/>
            </w:pPr>
            <w:r w:rsidRPr="009F6EDA">
              <w:t>Assessment not required</w:t>
            </w:r>
          </w:p>
        </w:tc>
        <w:tc>
          <w:tcPr>
            <w:tcW w:w="2126" w:type="dxa"/>
            <w:shd w:val="clear" w:color="auto" w:fill="auto"/>
          </w:tcPr>
          <w:p w:rsidR="004D5CBC" w:rsidRPr="004D0D2A" w:rsidRDefault="004D5CBC" w:rsidP="004D0D2A">
            <w:pPr>
              <w:pStyle w:val="TableText"/>
            </w:pPr>
            <w:r w:rsidRPr="009F6EDA">
              <w:t>Assessment not required</w:t>
            </w:r>
          </w:p>
        </w:tc>
        <w:tc>
          <w:tcPr>
            <w:tcW w:w="1843" w:type="dxa"/>
            <w:shd w:val="clear" w:color="auto" w:fill="auto"/>
          </w:tcPr>
          <w:p w:rsidR="004D5CBC" w:rsidRPr="004D0D2A" w:rsidRDefault="004D5CBC" w:rsidP="004D0D2A">
            <w:pPr>
              <w:pStyle w:val="TableText"/>
            </w:pPr>
            <w:r w:rsidRPr="009F6EDA">
              <w:t>Assessment not required</w:t>
            </w:r>
          </w:p>
        </w:tc>
        <w:tc>
          <w:tcPr>
            <w:tcW w:w="1282" w:type="dxa"/>
            <w:shd w:val="clear" w:color="auto" w:fill="auto"/>
          </w:tcPr>
          <w:p w:rsidR="004D5CBC" w:rsidRPr="004D0D2A" w:rsidRDefault="004D5CBC" w:rsidP="004D0D2A">
            <w:pPr>
              <w:pStyle w:val="TableText"/>
            </w:pPr>
            <w:r w:rsidRPr="009F6EDA">
              <w:t>No</w:t>
            </w:r>
          </w:p>
        </w:tc>
      </w:tr>
      <w:tr w:rsidR="004D5CBC" w:rsidTr="00324859">
        <w:trPr>
          <w:cantSplit/>
          <w:jc w:val="center"/>
        </w:trPr>
        <w:tc>
          <w:tcPr>
            <w:tcW w:w="2269" w:type="dxa"/>
            <w:shd w:val="clear" w:color="auto" w:fill="auto"/>
          </w:tcPr>
          <w:p w:rsidR="004D5CBC" w:rsidRDefault="004D5CBC" w:rsidP="004D0D2A">
            <w:pPr>
              <w:pStyle w:val="TableText"/>
              <w:rPr>
                <w:lang w:val="pt-BR"/>
              </w:rPr>
            </w:pPr>
            <w:r w:rsidRPr="000A6558">
              <w:rPr>
                <w:i/>
                <w:lang w:val="pt-BR"/>
              </w:rPr>
              <w:t>Corynespora cassi</w:t>
            </w:r>
            <w:r>
              <w:rPr>
                <w:i/>
                <w:lang w:val="pt-BR"/>
              </w:rPr>
              <w:t>i</w:t>
            </w:r>
            <w:r w:rsidRPr="000A6558">
              <w:rPr>
                <w:i/>
                <w:lang w:val="pt-BR"/>
              </w:rPr>
              <w:t>cola</w:t>
            </w:r>
            <w:r>
              <w:rPr>
                <w:lang w:val="pt-BR"/>
              </w:rPr>
              <w:t xml:space="preserve"> (Berk. and M.A. Curtis) C.T. Wei</w:t>
            </w:r>
          </w:p>
          <w:p w:rsidR="004D5CBC" w:rsidRDefault="004D5CBC" w:rsidP="004D0D2A">
            <w:pPr>
              <w:pStyle w:val="TableText"/>
              <w:rPr>
                <w:lang w:val="pt-BR"/>
              </w:rPr>
            </w:pPr>
            <w:r>
              <w:rPr>
                <w:lang w:val="pt-BR"/>
              </w:rPr>
              <w:t>[</w:t>
            </w:r>
            <w:r w:rsidRPr="00526E88">
              <w:rPr>
                <w:rStyle w:val="name"/>
                <w:rFonts w:cs="Helvetica"/>
                <w:szCs w:val="18"/>
              </w:rPr>
              <w:t>Pleosporales: Corynesporascaceae</w:t>
            </w:r>
            <w:r>
              <w:rPr>
                <w:lang w:val="pt-BR"/>
              </w:rPr>
              <w:t>]</w:t>
            </w:r>
          </w:p>
          <w:p w:rsidR="004D5CBC" w:rsidRPr="004D0D2A" w:rsidRDefault="004D5CBC" w:rsidP="00324859">
            <w:pPr>
              <w:pStyle w:val="TableText"/>
              <w:rPr>
                <w:i/>
                <w:lang w:val="pt-BR"/>
              </w:rPr>
            </w:pPr>
            <w:r>
              <w:rPr>
                <w:lang w:val="pt-BR"/>
              </w:rPr>
              <w:t>Leaf spot</w:t>
            </w:r>
          </w:p>
        </w:tc>
        <w:tc>
          <w:tcPr>
            <w:tcW w:w="1701" w:type="dxa"/>
            <w:shd w:val="clear" w:color="auto" w:fill="auto"/>
          </w:tcPr>
          <w:p w:rsidR="004D5CBC" w:rsidRPr="004D0D2A" w:rsidRDefault="004D5CBC" w:rsidP="00EF2C72">
            <w:pPr>
              <w:pStyle w:val="TableText"/>
            </w:pPr>
            <w:r>
              <w:rPr>
                <w:lang w:val="pt-BR"/>
              </w:rPr>
              <w:t>Yes</w:t>
            </w:r>
            <w:r w:rsidRPr="001A1414">
              <w:rPr>
                <w:lang w:val="pt-BR"/>
              </w:rPr>
              <w:t xml:space="preserve"> </w:t>
            </w:r>
            <w:r>
              <w:rPr>
                <w:noProof/>
              </w:rPr>
              <w:t>(CABI 2018; IAQA 2016)</w:t>
            </w:r>
          </w:p>
        </w:tc>
        <w:tc>
          <w:tcPr>
            <w:tcW w:w="2126" w:type="dxa"/>
            <w:shd w:val="clear" w:color="auto" w:fill="auto"/>
          </w:tcPr>
          <w:p w:rsidR="004D5CBC" w:rsidRPr="004D0D2A" w:rsidRDefault="004D5CBC" w:rsidP="00EF2C72">
            <w:pPr>
              <w:pStyle w:val="TableText"/>
            </w:pPr>
            <w:r>
              <w:rPr>
                <w:szCs w:val="16"/>
              </w:rPr>
              <w:t>Yes. NSW, Qld, Vic., NT</w:t>
            </w:r>
            <w:r w:rsidRPr="001A1414">
              <w:rPr>
                <w:szCs w:val="16"/>
              </w:rPr>
              <w:t xml:space="preserve"> </w:t>
            </w:r>
            <w:r>
              <w:rPr>
                <w:noProof/>
              </w:rPr>
              <w:t>(Plant Health Australia 2018)</w:t>
            </w:r>
            <w:r>
              <w:rPr>
                <w:szCs w:val="16"/>
              </w:rPr>
              <w:t xml:space="preserve">. </w:t>
            </w:r>
            <w:r>
              <w:t>Regulated</w:t>
            </w:r>
            <w:r w:rsidRPr="000C67FC">
              <w:t xml:space="preserve"> as a Declared Organism (Prohibited (</w:t>
            </w:r>
            <w:r>
              <w:t>s12</w:t>
            </w:r>
            <w:r w:rsidRPr="000C67FC">
              <w:t xml:space="preserve">)) of WA Biosecurity and Agriculture Management Act (2007) </w:t>
            </w:r>
            <w:r>
              <w:rPr>
                <w:noProof/>
              </w:rPr>
              <w:t>(Government of Western Australia 2017)</w:t>
            </w:r>
            <w:r>
              <w:rPr>
                <w:szCs w:val="16"/>
              </w:rPr>
              <w:t>.</w:t>
            </w:r>
          </w:p>
        </w:tc>
        <w:tc>
          <w:tcPr>
            <w:tcW w:w="2126" w:type="dxa"/>
            <w:shd w:val="clear" w:color="auto" w:fill="auto"/>
          </w:tcPr>
          <w:p w:rsidR="004D5CBC" w:rsidRPr="004D0D2A" w:rsidRDefault="004D5CBC" w:rsidP="00EF2C72">
            <w:pPr>
              <w:pStyle w:val="TableText"/>
            </w:pPr>
            <w:r w:rsidRPr="00311B67">
              <w:t xml:space="preserve">No. </w:t>
            </w:r>
            <w:r>
              <w:t>This species</w:t>
            </w:r>
            <w:r w:rsidRPr="00311B67">
              <w:t xml:space="preserve"> </w:t>
            </w:r>
            <w:r>
              <w:t>causes</w:t>
            </w:r>
            <w:r w:rsidRPr="00311B67">
              <w:t xml:space="preserve"> a foliar disease, </w:t>
            </w:r>
            <w:r>
              <w:t>which presents as a</w:t>
            </w:r>
            <w:r w:rsidRPr="00311B67">
              <w:t xml:space="preserve"> leaf spot on capsicum, tomato </w:t>
            </w:r>
            <w:r>
              <w:rPr>
                <w:noProof/>
              </w:rPr>
              <w:t xml:space="preserve">(Vallad 2011), </w:t>
            </w:r>
            <w:r w:rsidRPr="00C77F69">
              <w:t>soybean</w:t>
            </w:r>
            <w:r>
              <w:t xml:space="preserve"> </w:t>
            </w:r>
            <w:r>
              <w:rPr>
                <w:noProof/>
              </w:rPr>
              <w:t xml:space="preserve">(Virginia Tech 2014) and dragon fruit </w:t>
            </w:r>
            <w:r>
              <w:rPr>
                <w:noProof/>
                <w:lang w:val="pt-BR"/>
              </w:rPr>
              <w:t>(IAQA 2016)</w:t>
            </w:r>
            <w:r>
              <w:t>.</w:t>
            </w:r>
          </w:p>
        </w:tc>
        <w:tc>
          <w:tcPr>
            <w:tcW w:w="2126" w:type="dxa"/>
            <w:shd w:val="clear" w:color="auto" w:fill="auto"/>
          </w:tcPr>
          <w:p w:rsidR="004D5CBC" w:rsidRPr="004D0D2A" w:rsidRDefault="004D5CBC" w:rsidP="004D0D2A">
            <w:pPr>
              <w:pStyle w:val="TableText"/>
            </w:pPr>
            <w:r>
              <w:t>Assessment not required</w:t>
            </w:r>
          </w:p>
        </w:tc>
        <w:tc>
          <w:tcPr>
            <w:tcW w:w="1843" w:type="dxa"/>
            <w:shd w:val="clear" w:color="auto" w:fill="auto"/>
          </w:tcPr>
          <w:p w:rsidR="004D5CBC" w:rsidRPr="004D0D2A" w:rsidRDefault="004D5CBC" w:rsidP="004D0D2A">
            <w:pPr>
              <w:pStyle w:val="TableText"/>
            </w:pPr>
            <w:r>
              <w:t>Assessment not required</w:t>
            </w:r>
          </w:p>
        </w:tc>
        <w:tc>
          <w:tcPr>
            <w:tcW w:w="1282" w:type="dxa"/>
            <w:shd w:val="clear" w:color="auto" w:fill="auto"/>
          </w:tcPr>
          <w:p w:rsidR="004D5CBC" w:rsidRPr="004D0D2A" w:rsidRDefault="004D5CBC" w:rsidP="004D0D2A">
            <w:pPr>
              <w:pStyle w:val="TableText"/>
            </w:pPr>
            <w:r>
              <w:t>No</w:t>
            </w:r>
          </w:p>
        </w:tc>
      </w:tr>
      <w:tr w:rsidR="004D5CBC" w:rsidTr="00324859">
        <w:trPr>
          <w:cantSplit/>
          <w:jc w:val="center"/>
        </w:trPr>
        <w:tc>
          <w:tcPr>
            <w:tcW w:w="2269" w:type="dxa"/>
            <w:shd w:val="clear" w:color="auto" w:fill="auto"/>
          </w:tcPr>
          <w:p w:rsidR="004D5CBC" w:rsidRPr="00F022F6" w:rsidRDefault="004D5CBC" w:rsidP="004D0D2A">
            <w:pPr>
              <w:pStyle w:val="TableText"/>
              <w:rPr>
                <w:szCs w:val="18"/>
              </w:rPr>
            </w:pPr>
            <w:r w:rsidRPr="00F022F6">
              <w:rPr>
                <w:i/>
                <w:szCs w:val="18"/>
              </w:rPr>
              <w:t xml:space="preserve">Curvularia clavata </w:t>
            </w:r>
            <w:r w:rsidRPr="00F022F6">
              <w:rPr>
                <w:rFonts w:cs="Arial"/>
                <w:szCs w:val="18"/>
              </w:rPr>
              <w:t>B.L. Jain</w:t>
            </w:r>
          </w:p>
          <w:p w:rsidR="004D5CBC" w:rsidRPr="008E2879" w:rsidRDefault="004D5CBC" w:rsidP="004D0D2A">
            <w:pPr>
              <w:pStyle w:val="TableText"/>
              <w:rPr>
                <w:lang w:val="pt-BR"/>
              </w:rPr>
            </w:pPr>
            <w:r>
              <w:rPr>
                <w:lang w:val="pt-BR"/>
              </w:rPr>
              <w:t>[</w:t>
            </w:r>
            <w:r w:rsidRPr="001B01A8">
              <w:rPr>
                <w:rStyle w:val="name"/>
                <w:rFonts w:cs="Helvetica"/>
                <w:szCs w:val="18"/>
              </w:rPr>
              <w:t xml:space="preserve">Pleosporales: </w:t>
            </w:r>
            <w:r w:rsidRPr="008E2879">
              <w:rPr>
                <w:rFonts w:cs="Arial"/>
                <w:szCs w:val="18"/>
              </w:rPr>
              <w:t>Pleosporaceae</w:t>
            </w:r>
            <w:r w:rsidRPr="008E2879">
              <w:rPr>
                <w:lang w:val="pt-BR"/>
              </w:rPr>
              <w:t>]</w:t>
            </w:r>
          </w:p>
          <w:p w:rsidR="004D5CBC" w:rsidRPr="004D0D2A" w:rsidRDefault="004D5CBC" w:rsidP="004D0D2A">
            <w:pPr>
              <w:pStyle w:val="TableText"/>
              <w:rPr>
                <w:i/>
                <w:lang w:val="pt-BR"/>
              </w:rPr>
            </w:pPr>
            <w:r w:rsidRPr="008E2879">
              <w:rPr>
                <w:rStyle w:val="Strong"/>
                <w:rFonts w:cs="Arial"/>
                <w:b w:val="0"/>
                <w:szCs w:val="18"/>
              </w:rPr>
              <w:t>Leaf spot of sorghum</w:t>
            </w:r>
          </w:p>
        </w:tc>
        <w:tc>
          <w:tcPr>
            <w:tcW w:w="1701" w:type="dxa"/>
            <w:shd w:val="clear" w:color="auto" w:fill="auto"/>
          </w:tcPr>
          <w:p w:rsidR="004D5CBC" w:rsidRPr="004D0D2A" w:rsidRDefault="004D5CBC" w:rsidP="00EF2C72">
            <w:pPr>
              <w:pStyle w:val="TableText"/>
            </w:pPr>
            <w:r>
              <w:rPr>
                <w:lang w:val="pt-BR"/>
              </w:rPr>
              <w:t>Yes</w:t>
            </w:r>
            <w:r w:rsidRPr="00A21D27">
              <w:rPr>
                <w:lang w:val="pt-BR"/>
              </w:rPr>
              <w:t xml:space="preserve"> </w:t>
            </w:r>
            <w:r>
              <w:rPr>
                <w:noProof/>
                <w:lang w:val="pt-BR"/>
              </w:rPr>
              <w:t>(IAQA 2016)</w:t>
            </w:r>
          </w:p>
        </w:tc>
        <w:tc>
          <w:tcPr>
            <w:tcW w:w="2126" w:type="dxa"/>
            <w:shd w:val="clear" w:color="auto" w:fill="auto"/>
          </w:tcPr>
          <w:p w:rsidR="004D5CBC" w:rsidRPr="004D0D2A" w:rsidRDefault="004D5CBC" w:rsidP="00EF2C72">
            <w:pPr>
              <w:pStyle w:val="TableText"/>
            </w:pPr>
            <w:r>
              <w:rPr>
                <w:szCs w:val="16"/>
              </w:rPr>
              <w:t xml:space="preserve">Yes. NSW, NT, Qld, WA </w:t>
            </w:r>
            <w:r>
              <w:rPr>
                <w:noProof/>
              </w:rPr>
              <w:t>(Plant Health Australia 2018)</w:t>
            </w:r>
            <w:r>
              <w:rPr>
                <w:szCs w:val="16"/>
              </w:rPr>
              <w:t xml:space="preserve">. Listed as Permitted under s11 of WA </w:t>
            </w:r>
            <w:r w:rsidRPr="000C67FC">
              <w:t xml:space="preserve">Biosecurity and Agriculture Management Act (2007) </w:t>
            </w:r>
            <w:r>
              <w:rPr>
                <w:noProof/>
              </w:rPr>
              <w:t>(Government of Western Australia 2017)</w:t>
            </w:r>
            <w:r>
              <w:rPr>
                <w:szCs w:val="16"/>
              </w:rPr>
              <w:t>.</w:t>
            </w:r>
          </w:p>
        </w:tc>
        <w:tc>
          <w:tcPr>
            <w:tcW w:w="2126" w:type="dxa"/>
            <w:shd w:val="clear" w:color="auto" w:fill="auto"/>
          </w:tcPr>
          <w:p w:rsidR="004D5CBC" w:rsidRPr="004D0D2A" w:rsidRDefault="004D5CBC" w:rsidP="004D0D2A">
            <w:pPr>
              <w:pStyle w:val="TableText"/>
            </w:pPr>
            <w:r>
              <w:t>Assessment not required</w:t>
            </w:r>
          </w:p>
        </w:tc>
        <w:tc>
          <w:tcPr>
            <w:tcW w:w="2126" w:type="dxa"/>
            <w:shd w:val="clear" w:color="auto" w:fill="auto"/>
          </w:tcPr>
          <w:p w:rsidR="004D5CBC" w:rsidRPr="004D0D2A" w:rsidRDefault="004D5CBC" w:rsidP="004D0D2A">
            <w:pPr>
              <w:pStyle w:val="TableText"/>
            </w:pPr>
            <w:r>
              <w:t>Assessment not required</w:t>
            </w:r>
          </w:p>
        </w:tc>
        <w:tc>
          <w:tcPr>
            <w:tcW w:w="1843" w:type="dxa"/>
            <w:shd w:val="clear" w:color="auto" w:fill="auto"/>
          </w:tcPr>
          <w:p w:rsidR="004D5CBC" w:rsidRPr="004D0D2A" w:rsidRDefault="004D5CBC" w:rsidP="004D0D2A">
            <w:pPr>
              <w:pStyle w:val="TableText"/>
            </w:pPr>
            <w:r>
              <w:t>Assessment not required</w:t>
            </w:r>
          </w:p>
        </w:tc>
        <w:tc>
          <w:tcPr>
            <w:tcW w:w="1282" w:type="dxa"/>
            <w:shd w:val="clear" w:color="auto" w:fill="auto"/>
          </w:tcPr>
          <w:p w:rsidR="004D5CBC" w:rsidRPr="004D0D2A" w:rsidRDefault="004D5CBC" w:rsidP="004D0D2A">
            <w:pPr>
              <w:pStyle w:val="TableText"/>
            </w:pPr>
            <w:r>
              <w:t>No</w:t>
            </w:r>
          </w:p>
        </w:tc>
      </w:tr>
      <w:tr w:rsidR="004D5CBC" w:rsidTr="00240BBE">
        <w:trPr>
          <w:cantSplit/>
          <w:jc w:val="center"/>
        </w:trPr>
        <w:tc>
          <w:tcPr>
            <w:tcW w:w="2269" w:type="dxa"/>
            <w:shd w:val="clear" w:color="auto" w:fill="auto"/>
          </w:tcPr>
          <w:p w:rsidR="004D5CBC" w:rsidRDefault="004D5CBC" w:rsidP="004D0D2A">
            <w:pPr>
              <w:pStyle w:val="TableText"/>
              <w:rPr>
                <w:iCs/>
                <w:lang w:val="pt-BR"/>
              </w:rPr>
            </w:pPr>
            <w:r w:rsidRPr="004913DF">
              <w:rPr>
                <w:i/>
                <w:lang w:val="pt-BR"/>
              </w:rPr>
              <w:lastRenderedPageBreak/>
              <w:t xml:space="preserve">Curvularia lunata </w:t>
            </w:r>
            <w:r>
              <w:rPr>
                <w:iCs/>
                <w:lang w:val="pt-BR"/>
              </w:rPr>
              <w:t>(Wakker) Boedijn</w:t>
            </w:r>
          </w:p>
          <w:p w:rsidR="004D5CBC" w:rsidRPr="00E80A35" w:rsidRDefault="004D5CBC" w:rsidP="004D0D2A">
            <w:pPr>
              <w:pStyle w:val="TableText"/>
              <w:rPr>
                <w:iCs/>
                <w:lang w:val="pt-BR"/>
              </w:rPr>
            </w:pPr>
            <w:r>
              <w:rPr>
                <w:iCs/>
                <w:lang w:val="pt-BR"/>
              </w:rPr>
              <w:t xml:space="preserve">Synonym: </w:t>
            </w:r>
            <w:r>
              <w:rPr>
                <w:i/>
                <w:iCs/>
                <w:lang w:val="pt-BR"/>
              </w:rPr>
              <w:t>Cochliobolus lunatus</w:t>
            </w:r>
            <w:r>
              <w:rPr>
                <w:iCs/>
                <w:lang w:val="pt-BR"/>
              </w:rPr>
              <w:t xml:space="preserve"> R.R. Nelson &amp; F.A. Haasis</w:t>
            </w:r>
          </w:p>
          <w:p w:rsidR="004D5CBC" w:rsidRDefault="004D5CBC" w:rsidP="004D0D2A">
            <w:pPr>
              <w:pStyle w:val="TableText"/>
              <w:rPr>
                <w:iCs/>
                <w:lang w:val="pt-BR"/>
              </w:rPr>
            </w:pPr>
            <w:r w:rsidRPr="00E34839">
              <w:rPr>
                <w:iCs/>
                <w:lang w:val="pt-BR"/>
              </w:rPr>
              <w:t>[Pleosporales: Pleosporaceae]</w:t>
            </w:r>
          </w:p>
          <w:p w:rsidR="004D5CBC" w:rsidRPr="004D0D2A" w:rsidRDefault="004D5CBC" w:rsidP="004D0D2A">
            <w:pPr>
              <w:pStyle w:val="TableText"/>
              <w:rPr>
                <w:i/>
                <w:lang w:val="pt-BR"/>
              </w:rPr>
            </w:pPr>
          </w:p>
        </w:tc>
        <w:tc>
          <w:tcPr>
            <w:tcW w:w="1701" w:type="dxa"/>
            <w:shd w:val="clear" w:color="auto" w:fill="auto"/>
          </w:tcPr>
          <w:p w:rsidR="004D5CBC" w:rsidRPr="004D0D2A" w:rsidRDefault="004D5CBC" w:rsidP="00EF2C72">
            <w:pPr>
              <w:pStyle w:val="TableText"/>
            </w:pPr>
            <w:r>
              <w:t>Yes</w:t>
            </w:r>
            <w:r w:rsidRPr="00C25D41">
              <w:t xml:space="preserve"> </w:t>
            </w:r>
            <w:r>
              <w:rPr>
                <w:noProof/>
              </w:rPr>
              <w:t>(Farr &amp; Rossman 2018)</w:t>
            </w:r>
          </w:p>
        </w:tc>
        <w:tc>
          <w:tcPr>
            <w:tcW w:w="2126" w:type="dxa"/>
            <w:shd w:val="clear" w:color="auto" w:fill="auto"/>
          </w:tcPr>
          <w:p w:rsidR="004D5CBC" w:rsidRPr="004D0D2A" w:rsidRDefault="004D5CBC" w:rsidP="00EF2C72">
            <w:pPr>
              <w:pStyle w:val="TableText"/>
            </w:pPr>
            <w:r w:rsidRPr="00C25D41">
              <w:t xml:space="preserve">Yes. NSW, Qld, Vic., WA </w:t>
            </w:r>
            <w:r>
              <w:rPr>
                <w:noProof/>
              </w:rPr>
              <w:t>(Plant Health Australia 2018)</w:t>
            </w:r>
          </w:p>
        </w:tc>
        <w:tc>
          <w:tcPr>
            <w:tcW w:w="2126" w:type="dxa"/>
            <w:shd w:val="clear" w:color="auto" w:fill="auto"/>
          </w:tcPr>
          <w:p w:rsidR="004D5CBC" w:rsidRPr="004D0D2A" w:rsidRDefault="004D5CBC" w:rsidP="004D0D2A">
            <w:pPr>
              <w:pStyle w:val="TableText"/>
            </w:pPr>
            <w:r w:rsidRPr="00C25D41">
              <w:t>A</w:t>
            </w:r>
            <w:r>
              <w:t>ssessment not required</w:t>
            </w:r>
          </w:p>
        </w:tc>
        <w:tc>
          <w:tcPr>
            <w:tcW w:w="2126" w:type="dxa"/>
            <w:shd w:val="clear" w:color="auto" w:fill="auto"/>
          </w:tcPr>
          <w:p w:rsidR="004D5CBC" w:rsidRPr="004D0D2A" w:rsidRDefault="004D5CBC" w:rsidP="004D0D2A">
            <w:pPr>
              <w:pStyle w:val="TableText"/>
            </w:pPr>
            <w:r w:rsidRPr="00C25D41">
              <w:t>Assessment not required</w:t>
            </w:r>
          </w:p>
        </w:tc>
        <w:tc>
          <w:tcPr>
            <w:tcW w:w="1843" w:type="dxa"/>
            <w:shd w:val="clear" w:color="auto" w:fill="auto"/>
          </w:tcPr>
          <w:p w:rsidR="004D5CBC" w:rsidRPr="004D0D2A" w:rsidRDefault="004D5CBC" w:rsidP="004D0D2A">
            <w:pPr>
              <w:pStyle w:val="TableText"/>
            </w:pPr>
            <w:r w:rsidRPr="00C25D41">
              <w:t>Assessment not required</w:t>
            </w:r>
          </w:p>
        </w:tc>
        <w:tc>
          <w:tcPr>
            <w:tcW w:w="1282" w:type="dxa"/>
            <w:shd w:val="clear" w:color="auto" w:fill="auto"/>
          </w:tcPr>
          <w:p w:rsidR="004D5CBC" w:rsidRPr="004D0D2A" w:rsidRDefault="004D5CBC" w:rsidP="004D0D2A">
            <w:pPr>
              <w:pStyle w:val="TableText"/>
            </w:pPr>
            <w:r w:rsidRPr="00C25D41">
              <w:t>No</w:t>
            </w:r>
          </w:p>
        </w:tc>
      </w:tr>
      <w:tr w:rsidR="004D5CBC" w:rsidTr="00163384">
        <w:trPr>
          <w:cantSplit/>
          <w:jc w:val="center"/>
        </w:trPr>
        <w:tc>
          <w:tcPr>
            <w:tcW w:w="2269" w:type="dxa"/>
            <w:shd w:val="clear" w:color="auto" w:fill="auto"/>
          </w:tcPr>
          <w:p w:rsidR="004D5CBC" w:rsidRDefault="004D5CBC" w:rsidP="004D0D2A">
            <w:pPr>
              <w:pStyle w:val="TableText"/>
              <w:rPr>
                <w:rStyle w:val="Strong"/>
                <w:rFonts w:cs="Arial"/>
                <w:b w:val="0"/>
                <w:szCs w:val="18"/>
              </w:rPr>
            </w:pPr>
            <w:r w:rsidRPr="003D1A06">
              <w:rPr>
                <w:i/>
                <w:szCs w:val="18"/>
                <w:lang w:val="pt-BR"/>
              </w:rPr>
              <w:t>Exserohilum rostratum</w:t>
            </w:r>
            <w:r>
              <w:rPr>
                <w:szCs w:val="18"/>
                <w:lang w:val="pt-BR"/>
              </w:rPr>
              <w:t xml:space="preserve"> (Drechsler) K.J. Leonard &amp; Suggs</w:t>
            </w:r>
          </w:p>
          <w:p w:rsidR="004D5CBC" w:rsidRPr="009E777D" w:rsidRDefault="004D5CBC" w:rsidP="004D0D2A">
            <w:pPr>
              <w:pStyle w:val="TableText"/>
              <w:rPr>
                <w:szCs w:val="18"/>
              </w:rPr>
            </w:pPr>
            <w:r w:rsidRPr="008E2879">
              <w:rPr>
                <w:rStyle w:val="Strong"/>
                <w:rFonts w:cs="Arial"/>
                <w:b w:val="0"/>
                <w:szCs w:val="18"/>
              </w:rPr>
              <w:t xml:space="preserve">Synonym: </w:t>
            </w:r>
            <w:r w:rsidRPr="008E2879">
              <w:rPr>
                <w:rStyle w:val="Strong"/>
                <w:rFonts w:cs="Arial"/>
                <w:b w:val="0"/>
                <w:i/>
                <w:szCs w:val="18"/>
              </w:rPr>
              <w:t xml:space="preserve">Drechslera halodes </w:t>
            </w:r>
            <w:r w:rsidRPr="008E2879">
              <w:rPr>
                <w:szCs w:val="18"/>
              </w:rPr>
              <w:t>(</w:t>
            </w:r>
            <w:r w:rsidRPr="009E777D">
              <w:rPr>
                <w:szCs w:val="18"/>
              </w:rPr>
              <w:t>Dreschler) Subrum. &amp; B.L. Jain</w:t>
            </w:r>
          </w:p>
          <w:p w:rsidR="004D5CBC" w:rsidRDefault="004D5CBC" w:rsidP="004D0D2A">
            <w:pPr>
              <w:pStyle w:val="TableText"/>
              <w:rPr>
                <w:lang w:val="pt-BR"/>
              </w:rPr>
            </w:pPr>
            <w:r>
              <w:rPr>
                <w:lang w:val="pt-BR"/>
              </w:rPr>
              <w:t>[Pleosporales: Pleosporaceae]</w:t>
            </w:r>
          </w:p>
          <w:p w:rsidR="004D5CBC" w:rsidRPr="004D0D2A" w:rsidRDefault="004D5CBC" w:rsidP="004D0D2A">
            <w:pPr>
              <w:pStyle w:val="TableText"/>
              <w:rPr>
                <w:i/>
                <w:lang w:val="pt-BR"/>
              </w:rPr>
            </w:pPr>
            <w:r>
              <w:rPr>
                <w:lang w:val="pt-BR"/>
              </w:rPr>
              <w:t>Leaf spot of grasses</w:t>
            </w:r>
          </w:p>
        </w:tc>
        <w:tc>
          <w:tcPr>
            <w:tcW w:w="1701" w:type="dxa"/>
            <w:shd w:val="clear" w:color="auto" w:fill="auto"/>
          </w:tcPr>
          <w:p w:rsidR="004D5CBC" w:rsidRPr="004D0D2A" w:rsidRDefault="004D5CBC" w:rsidP="00EF2C72">
            <w:pPr>
              <w:pStyle w:val="TableText"/>
            </w:pPr>
            <w:r>
              <w:rPr>
                <w:lang w:val="pt-BR"/>
              </w:rPr>
              <w:t>Yes</w:t>
            </w:r>
            <w:r w:rsidRPr="009E777D">
              <w:rPr>
                <w:lang w:val="pt-BR"/>
              </w:rPr>
              <w:t xml:space="preserve"> </w:t>
            </w:r>
            <w:r>
              <w:rPr>
                <w:noProof/>
              </w:rPr>
              <w:t>(CABI 2018; Farr &amp; Rossman 2018; IAQA 2016)</w:t>
            </w:r>
          </w:p>
        </w:tc>
        <w:tc>
          <w:tcPr>
            <w:tcW w:w="2126" w:type="dxa"/>
            <w:shd w:val="clear" w:color="auto" w:fill="auto"/>
          </w:tcPr>
          <w:p w:rsidR="004D5CBC" w:rsidRPr="004D0D2A" w:rsidRDefault="004D5CBC" w:rsidP="00EF2C72">
            <w:pPr>
              <w:pStyle w:val="TableText"/>
            </w:pPr>
            <w:r>
              <w:rPr>
                <w:szCs w:val="18"/>
              </w:rPr>
              <w:t>Yes. NSW, Qld, NT, Vic., Tas.</w:t>
            </w:r>
            <w:r w:rsidRPr="00E8491E">
              <w:rPr>
                <w:szCs w:val="18"/>
              </w:rPr>
              <w:t xml:space="preserve"> </w:t>
            </w:r>
            <w:r>
              <w:rPr>
                <w:noProof/>
              </w:rPr>
              <w:t>(Plant Health Australia 2018).</w:t>
            </w:r>
            <w:r w:rsidRPr="00E8491E">
              <w:rPr>
                <w:szCs w:val="18"/>
              </w:rPr>
              <w:t xml:space="preserve"> </w:t>
            </w:r>
            <w:r>
              <w:rPr>
                <w:szCs w:val="16"/>
              </w:rPr>
              <w:t xml:space="preserve">Listed as Permitted under s11 of WA </w:t>
            </w:r>
            <w:r w:rsidRPr="000C67FC">
              <w:t xml:space="preserve">Biosecurity and Agriculture Management Act (2007) </w:t>
            </w:r>
            <w:r>
              <w:rPr>
                <w:noProof/>
              </w:rPr>
              <w:t>(Government of Western Australia 2017)</w:t>
            </w:r>
            <w:r>
              <w:rPr>
                <w:szCs w:val="16"/>
              </w:rPr>
              <w:t>.</w:t>
            </w:r>
          </w:p>
        </w:tc>
        <w:tc>
          <w:tcPr>
            <w:tcW w:w="2126" w:type="dxa"/>
            <w:shd w:val="clear" w:color="auto" w:fill="auto"/>
          </w:tcPr>
          <w:p w:rsidR="004D5CBC" w:rsidRPr="004D0D2A" w:rsidRDefault="004D5CBC" w:rsidP="004D0D2A">
            <w:pPr>
              <w:pStyle w:val="TableText"/>
            </w:pPr>
            <w:r w:rsidRPr="0057090E">
              <w:rPr>
                <w:szCs w:val="18"/>
                <w:lang w:val="pt-BR"/>
              </w:rPr>
              <w:t>Assessment not required</w:t>
            </w:r>
          </w:p>
        </w:tc>
        <w:tc>
          <w:tcPr>
            <w:tcW w:w="2126" w:type="dxa"/>
            <w:shd w:val="clear" w:color="auto" w:fill="auto"/>
          </w:tcPr>
          <w:p w:rsidR="004D5CBC" w:rsidRPr="004D0D2A" w:rsidRDefault="004D5CBC" w:rsidP="004D0D2A">
            <w:pPr>
              <w:pStyle w:val="TableText"/>
            </w:pPr>
            <w:r>
              <w:t>Assessment not required</w:t>
            </w:r>
          </w:p>
        </w:tc>
        <w:tc>
          <w:tcPr>
            <w:tcW w:w="1843" w:type="dxa"/>
            <w:shd w:val="clear" w:color="auto" w:fill="auto"/>
          </w:tcPr>
          <w:p w:rsidR="004D5CBC" w:rsidRPr="004D0D2A" w:rsidRDefault="004D5CBC" w:rsidP="004D0D2A">
            <w:pPr>
              <w:pStyle w:val="TableText"/>
            </w:pPr>
            <w:r>
              <w:t>Assessment not required</w:t>
            </w:r>
          </w:p>
        </w:tc>
        <w:tc>
          <w:tcPr>
            <w:tcW w:w="1282" w:type="dxa"/>
            <w:shd w:val="clear" w:color="auto" w:fill="auto"/>
          </w:tcPr>
          <w:p w:rsidR="004D5CBC" w:rsidRPr="004D0D2A" w:rsidRDefault="004D5CBC" w:rsidP="004D0D2A">
            <w:pPr>
              <w:pStyle w:val="TableText"/>
            </w:pPr>
            <w:r>
              <w:t>No</w:t>
            </w:r>
          </w:p>
        </w:tc>
      </w:tr>
      <w:tr w:rsidR="004D5CBC" w:rsidTr="00240BBE">
        <w:trPr>
          <w:cantSplit/>
          <w:jc w:val="center"/>
        </w:trPr>
        <w:tc>
          <w:tcPr>
            <w:tcW w:w="2269" w:type="dxa"/>
            <w:shd w:val="clear" w:color="auto" w:fill="auto"/>
          </w:tcPr>
          <w:p w:rsidR="004D5CBC" w:rsidRDefault="004D5CBC" w:rsidP="00431F15">
            <w:pPr>
              <w:pStyle w:val="TableText"/>
              <w:rPr>
                <w:i/>
                <w:lang w:val="pt-BR"/>
              </w:rPr>
            </w:pPr>
            <w:r w:rsidRPr="005A7884">
              <w:rPr>
                <w:i/>
                <w:lang w:val="pt-BR"/>
              </w:rPr>
              <w:t>Fusarium fujikuroi</w:t>
            </w:r>
            <w:r>
              <w:rPr>
                <w:i/>
                <w:lang w:val="pt-BR"/>
              </w:rPr>
              <w:t xml:space="preserve"> </w:t>
            </w:r>
            <w:r w:rsidRPr="005A7884">
              <w:rPr>
                <w:lang w:val="pt-BR"/>
              </w:rPr>
              <w:t>Nirenberg</w:t>
            </w:r>
          </w:p>
          <w:p w:rsidR="004D5CBC" w:rsidRDefault="004D5CBC" w:rsidP="00431F15">
            <w:pPr>
              <w:pStyle w:val="TableText"/>
              <w:rPr>
                <w:lang w:val="pt-BR"/>
              </w:rPr>
            </w:pPr>
            <w:r w:rsidRPr="005A7884">
              <w:rPr>
                <w:lang w:val="pt-BR"/>
              </w:rPr>
              <w:t>[Hypocreales: Nectriaceae]</w:t>
            </w:r>
          </w:p>
          <w:p w:rsidR="004D5CBC" w:rsidRPr="00E34839" w:rsidRDefault="004D5CBC" w:rsidP="00431F15">
            <w:pPr>
              <w:pStyle w:val="TableText"/>
              <w:rPr>
                <w:i/>
                <w:lang w:val="pt-BR"/>
              </w:rPr>
            </w:pPr>
            <w:r>
              <w:rPr>
                <w:lang w:val="pt-BR"/>
              </w:rPr>
              <w:t>Stem rot</w:t>
            </w:r>
          </w:p>
        </w:tc>
        <w:tc>
          <w:tcPr>
            <w:tcW w:w="1701" w:type="dxa"/>
            <w:shd w:val="clear" w:color="auto" w:fill="auto"/>
          </w:tcPr>
          <w:p w:rsidR="004D5CBC" w:rsidRDefault="004D5CBC" w:rsidP="00EF2C72">
            <w:pPr>
              <w:pStyle w:val="TableText"/>
            </w:pPr>
            <w:r>
              <w:t xml:space="preserve">Yes </w:t>
            </w:r>
            <w:r>
              <w:rPr>
                <w:noProof/>
              </w:rPr>
              <w:t>(Farr &amp; Rossman 2018)</w:t>
            </w:r>
          </w:p>
        </w:tc>
        <w:tc>
          <w:tcPr>
            <w:tcW w:w="2126" w:type="dxa"/>
            <w:shd w:val="clear" w:color="auto" w:fill="auto"/>
          </w:tcPr>
          <w:p w:rsidR="004D5CBC" w:rsidRPr="00207428" w:rsidRDefault="004D5CBC" w:rsidP="00EF2C72">
            <w:pPr>
              <w:pStyle w:val="TableText"/>
            </w:pPr>
            <w:r>
              <w:rPr>
                <w:lang w:val="pt-BR"/>
              </w:rPr>
              <w:t xml:space="preserve">Yes. NSW, Qld </w:t>
            </w:r>
            <w:r>
              <w:rPr>
                <w:noProof/>
              </w:rPr>
              <w:t>(Plant Health Australia 2018)</w:t>
            </w:r>
          </w:p>
        </w:tc>
        <w:tc>
          <w:tcPr>
            <w:tcW w:w="2126" w:type="dxa"/>
            <w:shd w:val="clear" w:color="auto" w:fill="auto"/>
          </w:tcPr>
          <w:p w:rsidR="004D5CBC" w:rsidRPr="00207428" w:rsidRDefault="004D5CBC" w:rsidP="00431F15">
            <w:pPr>
              <w:pStyle w:val="TableText"/>
            </w:pPr>
            <w:r w:rsidRPr="0057090E">
              <w:rPr>
                <w:szCs w:val="18"/>
                <w:lang w:val="pt-BR"/>
              </w:rPr>
              <w:t>Assessment not required</w:t>
            </w:r>
          </w:p>
        </w:tc>
        <w:tc>
          <w:tcPr>
            <w:tcW w:w="2126" w:type="dxa"/>
            <w:shd w:val="clear" w:color="auto" w:fill="auto"/>
          </w:tcPr>
          <w:p w:rsidR="004D5CBC" w:rsidRPr="00207428" w:rsidRDefault="004D5CBC" w:rsidP="00431F15">
            <w:pPr>
              <w:pStyle w:val="TableText"/>
            </w:pPr>
            <w:r>
              <w:t>Assessment not required</w:t>
            </w:r>
          </w:p>
        </w:tc>
        <w:tc>
          <w:tcPr>
            <w:tcW w:w="1843" w:type="dxa"/>
            <w:shd w:val="clear" w:color="auto" w:fill="auto"/>
          </w:tcPr>
          <w:p w:rsidR="004D5CBC" w:rsidRPr="00207428" w:rsidRDefault="004D5CBC" w:rsidP="00431F15">
            <w:pPr>
              <w:pStyle w:val="TableText"/>
            </w:pPr>
            <w:r>
              <w:t>Assessment not required</w:t>
            </w:r>
          </w:p>
        </w:tc>
        <w:tc>
          <w:tcPr>
            <w:tcW w:w="1282" w:type="dxa"/>
            <w:shd w:val="clear" w:color="auto" w:fill="auto"/>
          </w:tcPr>
          <w:p w:rsidR="004D5CBC" w:rsidRPr="00207428" w:rsidRDefault="004D5CBC" w:rsidP="00431F15">
            <w:pPr>
              <w:pStyle w:val="TableText"/>
            </w:pPr>
            <w:r>
              <w:t>No</w:t>
            </w:r>
          </w:p>
        </w:tc>
      </w:tr>
      <w:tr w:rsidR="004D5CBC" w:rsidTr="00240BBE">
        <w:trPr>
          <w:cantSplit/>
          <w:jc w:val="center"/>
        </w:trPr>
        <w:tc>
          <w:tcPr>
            <w:tcW w:w="2269" w:type="dxa"/>
            <w:shd w:val="clear" w:color="auto" w:fill="auto"/>
          </w:tcPr>
          <w:p w:rsidR="004D5CBC" w:rsidRPr="00E34839" w:rsidRDefault="004D5CBC" w:rsidP="00431F15">
            <w:pPr>
              <w:pStyle w:val="TableText"/>
              <w:rPr>
                <w:iCs/>
                <w:lang w:val="pt-BR"/>
              </w:rPr>
            </w:pPr>
            <w:r w:rsidRPr="00E34839">
              <w:rPr>
                <w:i/>
                <w:lang w:val="pt-BR"/>
              </w:rPr>
              <w:t>Fusarium lateritium</w:t>
            </w:r>
            <w:r w:rsidRPr="00E34839">
              <w:rPr>
                <w:iCs/>
                <w:lang w:val="pt-BR"/>
              </w:rPr>
              <w:t xml:space="preserve"> Nees</w:t>
            </w:r>
          </w:p>
          <w:p w:rsidR="004D5CBC" w:rsidRPr="00E34839" w:rsidRDefault="004D5CBC" w:rsidP="00431F15">
            <w:pPr>
              <w:pStyle w:val="TableText"/>
              <w:rPr>
                <w:iCs/>
                <w:lang w:val="pt-BR"/>
              </w:rPr>
            </w:pPr>
            <w:r w:rsidRPr="00E34839">
              <w:rPr>
                <w:iCs/>
                <w:lang w:val="pt-BR"/>
              </w:rPr>
              <w:t>Synonym:</w:t>
            </w:r>
            <w:r w:rsidRPr="004913DF">
              <w:rPr>
                <w:i/>
                <w:lang w:val="pt-BR"/>
              </w:rPr>
              <w:t xml:space="preserve"> Gibberella baccata </w:t>
            </w:r>
            <w:r>
              <w:rPr>
                <w:iCs/>
                <w:lang w:val="pt-BR"/>
              </w:rPr>
              <w:t>(Wallr.) Sacc.</w:t>
            </w:r>
          </w:p>
          <w:p w:rsidR="004D5CBC" w:rsidRPr="004D0D2A" w:rsidRDefault="004D5CBC" w:rsidP="00431F15">
            <w:pPr>
              <w:pStyle w:val="TableText"/>
              <w:rPr>
                <w:i/>
                <w:lang w:val="pt-BR"/>
              </w:rPr>
            </w:pPr>
            <w:r w:rsidRPr="00E34839">
              <w:rPr>
                <w:iCs/>
                <w:lang w:val="pt-BR"/>
              </w:rPr>
              <w:t>[Hypocreales: Nectriaceae</w:t>
            </w:r>
            <w:r w:rsidRPr="009549A3">
              <w:rPr>
                <w:lang w:val="pt-BR"/>
              </w:rPr>
              <w:t>]</w:t>
            </w:r>
          </w:p>
        </w:tc>
        <w:tc>
          <w:tcPr>
            <w:tcW w:w="1701" w:type="dxa"/>
            <w:shd w:val="clear" w:color="auto" w:fill="auto"/>
          </w:tcPr>
          <w:p w:rsidR="004D5CBC" w:rsidRPr="004D0D2A" w:rsidRDefault="004D5CBC" w:rsidP="00EF2C72">
            <w:pPr>
              <w:pStyle w:val="TableText"/>
            </w:pPr>
            <w:r>
              <w:t xml:space="preserve">Yes </w:t>
            </w:r>
            <w:r>
              <w:rPr>
                <w:noProof/>
              </w:rPr>
              <w:t>(Farr &amp; Rossman 2018)</w:t>
            </w:r>
          </w:p>
        </w:tc>
        <w:tc>
          <w:tcPr>
            <w:tcW w:w="2126" w:type="dxa"/>
            <w:shd w:val="clear" w:color="auto" w:fill="auto"/>
          </w:tcPr>
          <w:p w:rsidR="004D5CBC" w:rsidRPr="004D0D2A" w:rsidRDefault="004D5CBC" w:rsidP="00EF2C72">
            <w:pPr>
              <w:pStyle w:val="TableText"/>
            </w:pPr>
            <w:r w:rsidRPr="00207428">
              <w:t>Yes. NSW, Qld, SA</w:t>
            </w:r>
            <w:r>
              <w:t>,</w:t>
            </w:r>
            <w:r w:rsidRPr="00207428">
              <w:t xml:space="preserve"> </w:t>
            </w:r>
            <w:r>
              <w:t xml:space="preserve">Tas., Vic., WA </w:t>
            </w:r>
            <w:r>
              <w:rPr>
                <w:noProof/>
              </w:rPr>
              <w:t>(Plant Health Australia 2018).</w:t>
            </w:r>
            <w:r w:rsidRPr="00207428">
              <w:t xml:space="preserve"> Listed as Permitted </w:t>
            </w:r>
            <w:r>
              <w:t xml:space="preserve">under </w:t>
            </w:r>
            <w:r w:rsidRPr="00207428">
              <w:t>s11</w:t>
            </w:r>
            <w:r>
              <w:t xml:space="preserve"> </w:t>
            </w:r>
            <w:r w:rsidRPr="00207428">
              <w:t>of WA Biosecurity and Agriculture management Act (2007)</w:t>
            </w:r>
            <w:r>
              <w:t xml:space="preserve"> </w:t>
            </w:r>
            <w:r>
              <w:rPr>
                <w:noProof/>
              </w:rPr>
              <w:t>(Government of Western Australia 2017)</w:t>
            </w:r>
            <w:r>
              <w:t>.</w:t>
            </w:r>
          </w:p>
        </w:tc>
        <w:tc>
          <w:tcPr>
            <w:tcW w:w="2126" w:type="dxa"/>
            <w:shd w:val="clear" w:color="auto" w:fill="auto"/>
          </w:tcPr>
          <w:p w:rsidR="004D5CBC" w:rsidRPr="004D0D2A" w:rsidRDefault="004D5CBC" w:rsidP="00431F15">
            <w:pPr>
              <w:pStyle w:val="TableText"/>
            </w:pPr>
            <w:r w:rsidRPr="00207428">
              <w:t>Assessment not required</w:t>
            </w:r>
          </w:p>
        </w:tc>
        <w:tc>
          <w:tcPr>
            <w:tcW w:w="2126" w:type="dxa"/>
            <w:shd w:val="clear" w:color="auto" w:fill="auto"/>
          </w:tcPr>
          <w:p w:rsidR="004D5CBC" w:rsidRPr="004D0D2A" w:rsidRDefault="004D5CBC" w:rsidP="00431F15">
            <w:pPr>
              <w:pStyle w:val="TableText"/>
            </w:pPr>
            <w:r w:rsidRPr="00207428">
              <w:t>Assessment not required</w:t>
            </w:r>
          </w:p>
        </w:tc>
        <w:tc>
          <w:tcPr>
            <w:tcW w:w="1843" w:type="dxa"/>
            <w:shd w:val="clear" w:color="auto" w:fill="auto"/>
          </w:tcPr>
          <w:p w:rsidR="004D5CBC" w:rsidRPr="004D0D2A" w:rsidRDefault="004D5CBC" w:rsidP="00431F15">
            <w:pPr>
              <w:pStyle w:val="TableText"/>
            </w:pPr>
            <w:r w:rsidRPr="00207428">
              <w:t>Assessment not required</w:t>
            </w:r>
          </w:p>
        </w:tc>
        <w:tc>
          <w:tcPr>
            <w:tcW w:w="1282" w:type="dxa"/>
            <w:shd w:val="clear" w:color="auto" w:fill="auto"/>
          </w:tcPr>
          <w:p w:rsidR="004D5CBC" w:rsidRPr="004D0D2A" w:rsidRDefault="004D5CBC" w:rsidP="00431F15">
            <w:pPr>
              <w:pStyle w:val="TableText"/>
            </w:pPr>
            <w:r w:rsidRPr="00207428">
              <w:t>No</w:t>
            </w:r>
          </w:p>
        </w:tc>
      </w:tr>
      <w:tr w:rsidR="004D5CBC" w:rsidTr="00240BBE">
        <w:trPr>
          <w:cantSplit/>
          <w:jc w:val="center"/>
        </w:trPr>
        <w:tc>
          <w:tcPr>
            <w:tcW w:w="2269" w:type="dxa"/>
            <w:shd w:val="clear" w:color="auto" w:fill="auto"/>
          </w:tcPr>
          <w:p w:rsidR="004D5CBC" w:rsidRPr="00E34839" w:rsidRDefault="004D5CBC" w:rsidP="00431F15">
            <w:pPr>
              <w:pStyle w:val="TableText"/>
              <w:rPr>
                <w:iCs/>
                <w:lang w:val="pt-BR"/>
              </w:rPr>
            </w:pPr>
            <w:r w:rsidRPr="004913DF">
              <w:rPr>
                <w:i/>
                <w:lang w:val="pt-BR"/>
              </w:rPr>
              <w:lastRenderedPageBreak/>
              <w:t xml:space="preserve">Fusarium oxysporum </w:t>
            </w:r>
            <w:r>
              <w:rPr>
                <w:iCs/>
                <w:lang w:val="pt-BR"/>
              </w:rPr>
              <w:t>Schltdl.: Fr.</w:t>
            </w:r>
          </w:p>
          <w:p w:rsidR="004D5CBC" w:rsidRDefault="004D5CBC" w:rsidP="00431F15">
            <w:pPr>
              <w:pStyle w:val="TableText"/>
              <w:rPr>
                <w:iCs/>
                <w:lang w:val="pt-BR"/>
              </w:rPr>
            </w:pPr>
            <w:r w:rsidRPr="00E34839">
              <w:rPr>
                <w:iCs/>
                <w:lang w:val="pt-BR"/>
              </w:rPr>
              <w:t>[Hypocreales: Nectriaceae]</w:t>
            </w:r>
          </w:p>
          <w:p w:rsidR="004D5CBC" w:rsidRPr="003700A9" w:rsidRDefault="004D5CBC" w:rsidP="00431F15">
            <w:pPr>
              <w:pStyle w:val="TableText"/>
              <w:rPr>
                <w:iCs/>
                <w:lang w:val="pt-BR"/>
              </w:rPr>
            </w:pPr>
            <w:r w:rsidRPr="003700A9">
              <w:rPr>
                <w:iCs/>
                <w:lang w:val="pt-BR"/>
              </w:rPr>
              <w:t xml:space="preserve">There are more than 150 host-specific ‘formae speciales’ (f.sp.) in the </w:t>
            </w:r>
            <w:r w:rsidRPr="003700A9">
              <w:rPr>
                <w:i/>
                <w:iCs/>
                <w:lang w:val="pt-BR"/>
              </w:rPr>
              <w:t xml:space="preserve">Fusarium oxysporum </w:t>
            </w:r>
            <w:r w:rsidRPr="003700A9">
              <w:rPr>
                <w:iCs/>
                <w:lang w:val="pt-BR"/>
              </w:rPr>
              <w:t>complex</w:t>
            </w:r>
            <w:r>
              <w:rPr>
                <w:iCs/>
                <w:lang w:val="pt-BR"/>
              </w:rPr>
              <w:t xml:space="preserve"> </w:t>
            </w:r>
            <w:r>
              <w:rPr>
                <w:iCs/>
                <w:noProof/>
                <w:lang w:val="pt-BR"/>
              </w:rPr>
              <w:t>(Baayen et al. 2000; Bertetti et al. 2017)</w:t>
            </w:r>
            <w:r w:rsidRPr="003700A9">
              <w:rPr>
                <w:iCs/>
                <w:lang w:val="pt-BR"/>
              </w:rPr>
              <w:t xml:space="preserve">, however Indonesia did not indicate the f. sp. infecting </w:t>
            </w:r>
            <w:r w:rsidRPr="003700A9">
              <w:rPr>
                <w:i/>
                <w:iCs/>
                <w:lang w:val="pt-BR"/>
              </w:rPr>
              <w:t>Hylocereus</w:t>
            </w:r>
            <w:r w:rsidRPr="003700A9">
              <w:rPr>
                <w:iCs/>
                <w:lang w:val="pt-BR"/>
              </w:rPr>
              <w:t xml:space="preserve"> spp.</w:t>
            </w:r>
          </w:p>
          <w:p w:rsidR="004D5CBC" w:rsidRPr="004D0D2A" w:rsidRDefault="004D5CBC" w:rsidP="00EF2C72">
            <w:pPr>
              <w:pStyle w:val="TableText"/>
              <w:rPr>
                <w:i/>
                <w:lang w:val="pt-BR"/>
              </w:rPr>
            </w:pPr>
            <w:r w:rsidRPr="003700A9">
              <w:rPr>
                <w:i/>
                <w:iCs/>
                <w:lang w:val="pt-BR"/>
              </w:rPr>
              <w:t>Fusarium oxysporum</w:t>
            </w:r>
            <w:r w:rsidRPr="003700A9">
              <w:rPr>
                <w:iCs/>
                <w:lang w:val="pt-BR"/>
              </w:rPr>
              <w:t xml:space="preserve"> on </w:t>
            </w:r>
            <w:r>
              <w:rPr>
                <w:iCs/>
                <w:lang w:val="pt-BR"/>
              </w:rPr>
              <w:t xml:space="preserve">representatives of </w:t>
            </w:r>
            <w:r w:rsidRPr="003700A9">
              <w:rPr>
                <w:iCs/>
                <w:lang w:val="pt-BR"/>
              </w:rPr>
              <w:t xml:space="preserve">Cactaceae has been assigned to </w:t>
            </w:r>
            <w:r w:rsidRPr="003700A9">
              <w:rPr>
                <w:i/>
                <w:iCs/>
                <w:lang w:val="pt-BR"/>
              </w:rPr>
              <w:t>F. oxysporum</w:t>
            </w:r>
            <w:r w:rsidRPr="003700A9">
              <w:rPr>
                <w:iCs/>
                <w:lang w:val="pt-BR"/>
              </w:rPr>
              <w:t xml:space="preserve"> f.sp. </w:t>
            </w:r>
            <w:r w:rsidRPr="003700A9">
              <w:rPr>
                <w:i/>
                <w:iCs/>
                <w:lang w:val="pt-BR"/>
              </w:rPr>
              <w:t>opuntiarum</w:t>
            </w:r>
            <w:r w:rsidRPr="003700A9">
              <w:rPr>
                <w:iCs/>
                <w:lang w:val="pt-BR"/>
              </w:rPr>
              <w:t xml:space="preserve"> </w:t>
            </w:r>
            <w:r>
              <w:rPr>
                <w:iCs/>
                <w:noProof/>
                <w:lang w:val="pt-BR"/>
              </w:rPr>
              <w:t>(Baayen et al. 2000; Bertetti et al. 2017)</w:t>
            </w:r>
            <w:r w:rsidRPr="003700A9">
              <w:rPr>
                <w:iCs/>
                <w:lang w:val="pt-BR"/>
              </w:rPr>
              <w:t xml:space="preserve">, however, there are no </w:t>
            </w:r>
            <w:r>
              <w:rPr>
                <w:iCs/>
                <w:lang w:val="pt-BR"/>
              </w:rPr>
              <w:t xml:space="preserve">known </w:t>
            </w:r>
            <w:r w:rsidRPr="003700A9">
              <w:rPr>
                <w:iCs/>
                <w:lang w:val="pt-BR"/>
              </w:rPr>
              <w:t xml:space="preserve">records of </w:t>
            </w:r>
            <w:r w:rsidRPr="003700A9">
              <w:rPr>
                <w:i/>
                <w:iCs/>
                <w:lang w:val="pt-BR"/>
              </w:rPr>
              <w:t>Fusarium oxysporum</w:t>
            </w:r>
            <w:r w:rsidRPr="003700A9">
              <w:rPr>
                <w:iCs/>
                <w:lang w:val="pt-BR"/>
              </w:rPr>
              <w:t xml:space="preserve"> f. sp. </w:t>
            </w:r>
            <w:r w:rsidRPr="003700A9">
              <w:rPr>
                <w:i/>
                <w:iCs/>
                <w:lang w:val="pt-BR"/>
              </w:rPr>
              <w:t>opuntiarum</w:t>
            </w:r>
            <w:r w:rsidRPr="003700A9">
              <w:rPr>
                <w:iCs/>
                <w:lang w:val="pt-BR"/>
              </w:rPr>
              <w:t xml:space="preserve"> on </w:t>
            </w:r>
            <w:r w:rsidRPr="003700A9">
              <w:rPr>
                <w:i/>
                <w:iCs/>
                <w:lang w:val="pt-BR"/>
              </w:rPr>
              <w:t>Hylocereus</w:t>
            </w:r>
            <w:r w:rsidRPr="003700A9">
              <w:rPr>
                <w:iCs/>
                <w:lang w:val="pt-BR"/>
              </w:rPr>
              <w:t xml:space="preserve"> spp.</w:t>
            </w:r>
          </w:p>
        </w:tc>
        <w:tc>
          <w:tcPr>
            <w:tcW w:w="1701" w:type="dxa"/>
            <w:shd w:val="clear" w:color="auto" w:fill="auto"/>
          </w:tcPr>
          <w:p w:rsidR="004D5CBC" w:rsidRPr="004D0D2A" w:rsidRDefault="004D5CBC" w:rsidP="00EF2C72">
            <w:pPr>
              <w:pStyle w:val="TableText"/>
            </w:pPr>
            <w:r>
              <w:t>Yes</w:t>
            </w:r>
            <w:r w:rsidRPr="007843FE">
              <w:t xml:space="preserve"> </w:t>
            </w:r>
            <w:r>
              <w:rPr>
                <w:noProof/>
              </w:rPr>
              <w:t>(IAQA 2016)</w:t>
            </w:r>
          </w:p>
        </w:tc>
        <w:tc>
          <w:tcPr>
            <w:tcW w:w="2126" w:type="dxa"/>
            <w:shd w:val="clear" w:color="auto" w:fill="auto"/>
          </w:tcPr>
          <w:p w:rsidR="004D5CBC" w:rsidRPr="00F061BD" w:rsidRDefault="004D5CBC" w:rsidP="00EF2C72">
            <w:pPr>
              <w:pStyle w:val="TableText"/>
              <w:rPr>
                <w:strike/>
              </w:rPr>
            </w:pPr>
            <w:r w:rsidRPr="003700A9">
              <w:t xml:space="preserve">Uncertain. </w:t>
            </w:r>
            <w:r w:rsidRPr="003700A9">
              <w:rPr>
                <w:i/>
              </w:rPr>
              <w:t>Fusarium oxysporum</w:t>
            </w:r>
            <w:r w:rsidRPr="003700A9">
              <w:t xml:space="preserve"> has been recorded on various hosts in all states and territories in Australia (Plant Health Australia, 2018 #30228}. However due to the uncertainty around the formae speciales infecting dragon fruit in Indonesia, </w:t>
            </w:r>
            <w:r>
              <w:t xml:space="preserve">a </w:t>
            </w:r>
            <w:r w:rsidR="008E2879">
              <w:t xml:space="preserve">definitive </w:t>
            </w:r>
            <w:r w:rsidR="008E2879" w:rsidRPr="003700A9">
              <w:t>status</w:t>
            </w:r>
            <w:r w:rsidRPr="003700A9">
              <w:t xml:space="preserve"> in Australia cannot be esta</w:t>
            </w:r>
            <w:r>
              <w:t xml:space="preserve">blished. </w:t>
            </w:r>
            <w:r>
              <w:rPr>
                <w:i/>
              </w:rPr>
              <w:t>Fusarium oxysporum</w:t>
            </w:r>
            <w:r>
              <w:t xml:space="preserve"> f. sp. </w:t>
            </w:r>
            <w:r>
              <w:rPr>
                <w:i/>
              </w:rPr>
              <w:t>opuntiarum</w:t>
            </w:r>
            <w:r>
              <w:t xml:space="preserve"> has not been recorded in Australia </w:t>
            </w:r>
            <w:r>
              <w:rPr>
                <w:noProof/>
              </w:rPr>
              <w:t>(Summerell et al. 2011)</w:t>
            </w:r>
            <w:r>
              <w:t>.</w:t>
            </w:r>
          </w:p>
        </w:tc>
        <w:tc>
          <w:tcPr>
            <w:tcW w:w="2126" w:type="dxa"/>
            <w:shd w:val="clear" w:color="auto" w:fill="auto"/>
          </w:tcPr>
          <w:p w:rsidR="004D5CBC" w:rsidRPr="004738CD" w:rsidRDefault="004D5CBC" w:rsidP="00EF2C72">
            <w:pPr>
              <w:pStyle w:val="TableText"/>
            </w:pPr>
            <w:r>
              <w:t xml:space="preserve">No. </w:t>
            </w:r>
            <w:r>
              <w:rPr>
                <w:i/>
              </w:rPr>
              <w:t>Fusarium oxysporum</w:t>
            </w:r>
            <w:r>
              <w:t xml:space="preserve"> infects the roots </w:t>
            </w:r>
            <w:r w:rsidRPr="004738CD">
              <w:t xml:space="preserve">and stem </w:t>
            </w:r>
            <w:r>
              <w:t>of</w:t>
            </w:r>
            <w:r w:rsidRPr="004738CD">
              <w:t xml:space="preserve"> dragon fruit </w:t>
            </w:r>
            <w:r>
              <w:rPr>
                <w:noProof/>
                <w:lang w:val="pt-BR"/>
              </w:rPr>
              <w:t>(Choi et al. 2007; IAQA 2016; Wright et al. 2007)</w:t>
            </w:r>
            <w:r w:rsidRPr="004738CD">
              <w:rPr>
                <w:noProof/>
                <w:lang w:val="pt-BR"/>
              </w:rPr>
              <w:t xml:space="preserve"> and is not associated with</w:t>
            </w:r>
            <w:r>
              <w:rPr>
                <w:noProof/>
                <w:lang w:val="pt-BR"/>
              </w:rPr>
              <w:t xml:space="preserve"> the fresh dragon </w:t>
            </w:r>
            <w:r w:rsidRPr="004738CD">
              <w:rPr>
                <w:noProof/>
                <w:lang w:val="pt-BR"/>
              </w:rPr>
              <w:t>fruit</w:t>
            </w:r>
            <w:r>
              <w:rPr>
                <w:noProof/>
                <w:lang w:val="pt-BR"/>
              </w:rPr>
              <w:t xml:space="preserve"> export pathway</w:t>
            </w:r>
            <w:r w:rsidRPr="004738CD">
              <w:rPr>
                <w:noProof/>
                <w:lang w:val="pt-BR"/>
              </w:rPr>
              <w:t>.</w:t>
            </w:r>
          </w:p>
        </w:tc>
        <w:tc>
          <w:tcPr>
            <w:tcW w:w="2126" w:type="dxa"/>
            <w:shd w:val="clear" w:color="auto" w:fill="auto"/>
          </w:tcPr>
          <w:p w:rsidR="004D5CBC" w:rsidRPr="004D0D2A" w:rsidRDefault="004D5CBC" w:rsidP="00431F15">
            <w:pPr>
              <w:pStyle w:val="TableText"/>
            </w:pPr>
            <w:r w:rsidRPr="007843FE">
              <w:t>Assessment not required</w:t>
            </w:r>
          </w:p>
        </w:tc>
        <w:tc>
          <w:tcPr>
            <w:tcW w:w="1843" w:type="dxa"/>
            <w:shd w:val="clear" w:color="auto" w:fill="auto"/>
          </w:tcPr>
          <w:p w:rsidR="004D5CBC" w:rsidRPr="004D0D2A" w:rsidRDefault="004D5CBC" w:rsidP="00431F15">
            <w:pPr>
              <w:pStyle w:val="TableText"/>
            </w:pPr>
            <w:r w:rsidRPr="007843FE">
              <w:t>Assessment not required</w:t>
            </w:r>
          </w:p>
        </w:tc>
        <w:tc>
          <w:tcPr>
            <w:tcW w:w="1282" w:type="dxa"/>
            <w:shd w:val="clear" w:color="auto" w:fill="auto"/>
          </w:tcPr>
          <w:p w:rsidR="004D5CBC" w:rsidRPr="004D0D2A" w:rsidRDefault="004D5CBC" w:rsidP="00431F15">
            <w:pPr>
              <w:pStyle w:val="TableText"/>
            </w:pPr>
            <w:r w:rsidRPr="007843FE">
              <w:t>No</w:t>
            </w:r>
          </w:p>
        </w:tc>
      </w:tr>
      <w:tr w:rsidR="004D5CBC" w:rsidTr="00240BBE">
        <w:trPr>
          <w:cantSplit/>
          <w:jc w:val="center"/>
        </w:trPr>
        <w:tc>
          <w:tcPr>
            <w:tcW w:w="2269" w:type="dxa"/>
            <w:shd w:val="clear" w:color="auto" w:fill="auto"/>
          </w:tcPr>
          <w:p w:rsidR="004D5CBC" w:rsidRPr="00710141" w:rsidRDefault="004D5CBC" w:rsidP="00431F15">
            <w:pPr>
              <w:pStyle w:val="TableText"/>
              <w:rPr>
                <w:iCs/>
                <w:lang w:val="pt-BR"/>
              </w:rPr>
            </w:pPr>
            <w:r w:rsidRPr="00710141">
              <w:rPr>
                <w:i/>
                <w:lang w:val="pt-BR"/>
              </w:rPr>
              <w:t xml:space="preserve">Fusarium incarnatum </w:t>
            </w:r>
            <w:r w:rsidRPr="00710141">
              <w:rPr>
                <w:iCs/>
                <w:lang w:val="pt-BR"/>
              </w:rPr>
              <w:t>(Desm.) Sacc.</w:t>
            </w:r>
          </w:p>
          <w:p w:rsidR="004D5CBC" w:rsidRPr="00710141" w:rsidRDefault="004D5CBC" w:rsidP="00431F15">
            <w:pPr>
              <w:pStyle w:val="TableText"/>
              <w:rPr>
                <w:iCs/>
                <w:lang w:val="pt-BR"/>
              </w:rPr>
            </w:pPr>
            <w:r w:rsidRPr="00710141">
              <w:rPr>
                <w:iCs/>
                <w:lang w:val="pt-BR"/>
              </w:rPr>
              <w:t>Synonym:</w:t>
            </w:r>
            <w:r w:rsidRPr="00710141">
              <w:rPr>
                <w:i/>
                <w:lang w:val="pt-BR"/>
              </w:rPr>
              <w:t xml:space="preserve"> Fusarium semitectum </w:t>
            </w:r>
            <w:r w:rsidRPr="00710141">
              <w:rPr>
                <w:iCs/>
                <w:lang w:val="pt-BR"/>
              </w:rPr>
              <w:t>Berk. &amp; Ravenel</w:t>
            </w:r>
          </w:p>
          <w:p w:rsidR="004D5CBC" w:rsidRDefault="004D5CBC" w:rsidP="00431F15">
            <w:pPr>
              <w:pStyle w:val="TableText"/>
              <w:rPr>
                <w:lang w:val="pt-BR"/>
              </w:rPr>
            </w:pPr>
            <w:r w:rsidRPr="00E34839">
              <w:rPr>
                <w:iCs/>
                <w:lang w:val="pt-BR"/>
              </w:rPr>
              <w:t>[Hypocreales: Nectriaceae</w:t>
            </w:r>
            <w:r w:rsidRPr="00A33003">
              <w:rPr>
                <w:lang w:val="pt-BR"/>
              </w:rPr>
              <w:t>]</w:t>
            </w:r>
          </w:p>
          <w:p w:rsidR="004D5CBC" w:rsidRPr="004D0D2A" w:rsidRDefault="004D5CBC" w:rsidP="00431F15">
            <w:pPr>
              <w:pStyle w:val="TableText"/>
              <w:rPr>
                <w:i/>
                <w:lang w:val="pt-BR"/>
              </w:rPr>
            </w:pPr>
          </w:p>
        </w:tc>
        <w:tc>
          <w:tcPr>
            <w:tcW w:w="1701" w:type="dxa"/>
            <w:shd w:val="clear" w:color="auto" w:fill="auto"/>
          </w:tcPr>
          <w:p w:rsidR="004D5CBC" w:rsidRPr="004D0D2A" w:rsidRDefault="004D5CBC" w:rsidP="00EF2C72">
            <w:pPr>
              <w:pStyle w:val="TableText"/>
            </w:pPr>
            <w:r>
              <w:t>Yes</w:t>
            </w:r>
            <w:r w:rsidRPr="00901848">
              <w:t xml:space="preserve"> </w:t>
            </w:r>
            <w:r>
              <w:rPr>
                <w:noProof/>
                <w:lang w:val="pt-BR"/>
              </w:rPr>
              <w:t>(IAQA 2016)</w:t>
            </w:r>
          </w:p>
        </w:tc>
        <w:tc>
          <w:tcPr>
            <w:tcW w:w="2126" w:type="dxa"/>
            <w:shd w:val="clear" w:color="auto" w:fill="auto"/>
          </w:tcPr>
          <w:p w:rsidR="004D5CBC" w:rsidRPr="004D0D2A" w:rsidRDefault="004D5CBC" w:rsidP="00EF2C72">
            <w:pPr>
              <w:pStyle w:val="TableText"/>
            </w:pPr>
            <w:r w:rsidRPr="00901848">
              <w:t xml:space="preserve">Yes. NSW, Qld, SA, Tas., Vic., WA </w:t>
            </w:r>
            <w:r>
              <w:rPr>
                <w:noProof/>
              </w:rPr>
              <w:t>(Plant Health Australia 2018)</w:t>
            </w:r>
          </w:p>
        </w:tc>
        <w:tc>
          <w:tcPr>
            <w:tcW w:w="2126" w:type="dxa"/>
            <w:shd w:val="clear" w:color="auto" w:fill="auto"/>
          </w:tcPr>
          <w:p w:rsidR="004D5CBC" w:rsidRPr="004D0D2A" w:rsidRDefault="004D5CBC" w:rsidP="00431F15">
            <w:pPr>
              <w:pStyle w:val="TableText"/>
            </w:pPr>
            <w:r w:rsidRPr="00901848">
              <w:t>Assessment not required</w:t>
            </w:r>
          </w:p>
        </w:tc>
        <w:tc>
          <w:tcPr>
            <w:tcW w:w="2126" w:type="dxa"/>
            <w:shd w:val="clear" w:color="auto" w:fill="auto"/>
          </w:tcPr>
          <w:p w:rsidR="004D5CBC" w:rsidRPr="004D0D2A" w:rsidRDefault="004D5CBC" w:rsidP="00431F15">
            <w:pPr>
              <w:pStyle w:val="TableText"/>
            </w:pPr>
            <w:r w:rsidRPr="00901848">
              <w:t>Assessment not required</w:t>
            </w:r>
          </w:p>
        </w:tc>
        <w:tc>
          <w:tcPr>
            <w:tcW w:w="1843" w:type="dxa"/>
            <w:shd w:val="clear" w:color="auto" w:fill="auto"/>
          </w:tcPr>
          <w:p w:rsidR="004D5CBC" w:rsidRPr="004D0D2A" w:rsidRDefault="004D5CBC" w:rsidP="00431F15">
            <w:pPr>
              <w:pStyle w:val="TableText"/>
            </w:pPr>
            <w:r w:rsidRPr="00901848">
              <w:t>Assessment not required</w:t>
            </w:r>
          </w:p>
        </w:tc>
        <w:tc>
          <w:tcPr>
            <w:tcW w:w="1282" w:type="dxa"/>
            <w:shd w:val="clear" w:color="auto" w:fill="auto"/>
          </w:tcPr>
          <w:p w:rsidR="004D5CBC" w:rsidRPr="004D0D2A" w:rsidRDefault="004D5CBC" w:rsidP="00431F15">
            <w:pPr>
              <w:pStyle w:val="TableText"/>
            </w:pPr>
            <w:r w:rsidRPr="00901848">
              <w:t>No</w:t>
            </w:r>
          </w:p>
        </w:tc>
      </w:tr>
      <w:tr w:rsidR="004D5CBC" w:rsidTr="00240BBE">
        <w:trPr>
          <w:cantSplit/>
          <w:jc w:val="center"/>
        </w:trPr>
        <w:tc>
          <w:tcPr>
            <w:tcW w:w="2269" w:type="dxa"/>
            <w:shd w:val="clear" w:color="auto" w:fill="auto"/>
          </w:tcPr>
          <w:p w:rsidR="004D5CBC" w:rsidRPr="00E34839" w:rsidRDefault="004D5CBC" w:rsidP="00431F15">
            <w:pPr>
              <w:pStyle w:val="TableText"/>
              <w:rPr>
                <w:iCs/>
                <w:lang w:val="pt-BR"/>
              </w:rPr>
            </w:pPr>
            <w:r w:rsidRPr="004913DF">
              <w:rPr>
                <w:i/>
                <w:lang w:val="pt-BR"/>
              </w:rPr>
              <w:lastRenderedPageBreak/>
              <w:t xml:space="preserve">Fusarium solani </w:t>
            </w:r>
            <w:r>
              <w:rPr>
                <w:iCs/>
                <w:lang w:val="pt-BR"/>
              </w:rPr>
              <w:t>(Mart.) Sacc.</w:t>
            </w:r>
          </w:p>
          <w:p w:rsidR="004D5CBC" w:rsidRPr="00E34839" w:rsidRDefault="004D5CBC" w:rsidP="00431F15">
            <w:pPr>
              <w:pStyle w:val="TableText"/>
              <w:rPr>
                <w:iCs/>
                <w:lang w:val="pt-BR"/>
              </w:rPr>
            </w:pPr>
            <w:r w:rsidRPr="00E34839">
              <w:rPr>
                <w:iCs/>
                <w:lang w:val="pt-BR"/>
              </w:rPr>
              <w:t>[Hypocreales: Nectriaceae]</w:t>
            </w:r>
          </w:p>
          <w:p w:rsidR="004D5CBC" w:rsidRPr="004D0D2A" w:rsidRDefault="004D5CBC" w:rsidP="00431F15">
            <w:pPr>
              <w:pStyle w:val="TableText"/>
              <w:rPr>
                <w:i/>
                <w:lang w:val="pt-BR"/>
              </w:rPr>
            </w:pPr>
            <w:r w:rsidRPr="00E34839">
              <w:rPr>
                <w:iCs/>
                <w:lang w:val="pt-BR"/>
              </w:rPr>
              <w:t xml:space="preserve">Root </w:t>
            </w:r>
            <w:r>
              <w:rPr>
                <w:iCs/>
                <w:lang w:val="pt-BR"/>
              </w:rPr>
              <w:t>r</w:t>
            </w:r>
            <w:r w:rsidRPr="00E34839">
              <w:rPr>
                <w:iCs/>
                <w:lang w:val="pt-BR"/>
              </w:rPr>
              <w:t>ot</w:t>
            </w:r>
          </w:p>
        </w:tc>
        <w:tc>
          <w:tcPr>
            <w:tcW w:w="1701" w:type="dxa"/>
            <w:shd w:val="clear" w:color="auto" w:fill="auto"/>
          </w:tcPr>
          <w:p w:rsidR="004D5CBC" w:rsidRPr="004D0D2A" w:rsidRDefault="004D5CBC" w:rsidP="00EF2C72">
            <w:pPr>
              <w:pStyle w:val="TableText"/>
            </w:pPr>
            <w:r>
              <w:t xml:space="preserve">Yes </w:t>
            </w:r>
            <w:r>
              <w:rPr>
                <w:noProof/>
              </w:rPr>
              <w:t>(Farr &amp; Rossman 2018; IAQA 2016)</w:t>
            </w:r>
          </w:p>
        </w:tc>
        <w:tc>
          <w:tcPr>
            <w:tcW w:w="2126" w:type="dxa"/>
            <w:shd w:val="clear" w:color="auto" w:fill="auto"/>
          </w:tcPr>
          <w:p w:rsidR="004D5CBC" w:rsidRPr="004D0D2A" w:rsidRDefault="004D5CBC" w:rsidP="00EF2C72">
            <w:pPr>
              <w:pStyle w:val="TableText"/>
            </w:pPr>
            <w:r w:rsidRPr="00F1306F">
              <w:t xml:space="preserve">Yes. NSW, NT, Qld, SA, Tas., Vic., WA </w:t>
            </w:r>
            <w:r>
              <w:rPr>
                <w:noProof/>
              </w:rPr>
              <w:t>(Elmer et al. 1997; Pung &amp; Cox 1999; Sangalang et al. 1995)</w:t>
            </w:r>
          </w:p>
        </w:tc>
        <w:tc>
          <w:tcPr>
            <w:tcW w:w="2126" w:type="dxa"/>
            <w:shd w:val="clear" w:color="auto" w:fill="auto"/>
          </w:tcPr>
          <w:p w:rsidR="004D5CBC" w:rsidRPr="004D0D2A" w:rsidRDefault="004D5CBC" w:rsidP="00431F15">
            <w:pPr>
              <w:pStyle w:val="TableText"/>
            </w:pPr>
            <w:r w:rsidRPr="00F1306F">
              <w:t>Assessment not required</w:t>
            </w:r>
          </w:p>
        </w:tc>
        <w:tc>
          <w:tcPr>
            <w:tcW w:w="2126" w:type="dxa"/>
            <w:shd w:val="clear" w:color="auto" w:fill="auto"/>
          </w:tcPr>
          <w:p w:rsidR="004D5CBC" w:rsidRPr="004D0D2A" w:rsidRDefault="004D5CBC" w:rsidP="00431F15">
            <w:pPr>
              <w:pStyle w:val="TableText"/>
            </w:pPr>
            <w:r w:rsidRPr="00F1306F">
              <w:t>Assessment not required</w:t>
            </w:r>
          </w:p>
        </w:tc>
        <w:tc>
          <w:tcPr>
            <w:tcW w:w="1843" w:type="dxa"/>
            <w:shd w:val="clear" w:color="auto" w:fill="auto"/>
          </w:tcPr>
          <w:p w:rsidR="004D5CBC" w:rsidRPr="004D0D2A" w:rsidRDefault="004D5CBC" w:rsidP="00431F15">
            <w:pPr>
              <w:pStyle w:val="TableText"/>
            </w:pPr>
            <w:r w:rsidRPr="00F1306F">
              <w:t>Assessment not required</w:t>
            </w:r>
          </w:p>
        </w:tc>
        <w:tc>
          <w:tcPr>
            <w:tcW w:w="1282" w:type="dxa"/>
            <w:shd w:val="clear" w:color="auto" w:fill="auto"/>
          </w:tcPr>
          <w:p w:rsidR="004D5CBC" w:rsidRPr="004D0D2A" w:rsidRDefault="004D5CBC" w:rsidP="00431F15">
            <w:pPr>
              <w:pStyle w:val="TableText"/>
            </w:pPr>
            <w:r w:rsidRPr="00F1306F">
              <w:t>No</w:t>
            </w:r>
          </w:p>
        </w:tc>
      </w:tr>
      <w:tr w:rsidR="004D5CBC" w:rsidTr="00240BBE">
        <w:trPr>
          <w:cantSplit/>
          <w:jc w:val="center"/>
        </w:trPr>
        <w:tc>
          <w:tcPr>
            <w:tcW w:w="2269" w:type="dxa"/>
            <w:shd w:val="clear" w:color="auto" w:fill="auto"/>
          </w:tcPr>
          <w:p w:rsidR="004D5CBC" w:rsidRPr="00E34839" w:rsidRDefault="004D5CBC" w:rsidP="00431F15">
            <w:pPr>
              <w:pStyle w:val="TableText"/>
              <w:rPr>
                <w:iCs/>
                <w:lang w:val="pt-BR"/>
              </w:rPr>
            </w:pPr>
            <w:r w:rsidRPr="00F77AE6">
              <w:rPr>
                <w:i/>
                <w:lang w:val="pt-BR"/>
              </w:rPr>
              <w:t xml:space="preserve">Fusarium verticillioides </w:t>
            </w:r>
            <w:r>
              <w:rPr>
                <w:iCs/>
                <w:lang w:val="pt-BR"/>
              </w:rPr>
              <w:t>(Sacc.) Nirenberg</w:t>
            </w:r>
          </w:p>
          <w:p w:rsidR="004D5CBC" w:rsidRPr="00E34839" w:rsidRDefault="004D5CBC" w:rsidP="00431F15">
            <w:pPr>
              <w:pStyle w:val="TableText"/>
              <w:rPr>
                <w:iCs/>
                <w:lang w:val="pt-BR"/>
              </w:rPr>
            </w:pPr>
            <w:r>
              <w:rPr>
                <w:lang w:val="pt-BR"/>
              </w:rPr>
              <w:t xml:space="preserve">Synonym: </w:t>
            </w:r>
            <w:r w:rsidRPr="00E34839">
              <w:rPr>
                <w:i/>
                <w:lang w:val="pt-BR"/>
              </w:rPr>
              <w:t>Gibberella moniliformis</w:t>
            </w:r>
            <w:r>
              <w:rPr>
                <w:iCs/>
                <w:lang w:val="pt-BR"/>
              </w:rPr>
              <w:t xml:space="preserve"> Wineland</w:t>
            </w:r>
          </w:p>
          <w:p w:rsidR="004D5CBC" w:rsidRPr="00E34839" w:rsidRDefault="004D5CBC" w:rsidP="00431F15">
            <w:pPr>
              <w:pStyle w:val="TableText"/>
              <w:rPr>
                <w:iCs/>
                <w:lang w:val="pt-BR"/>
              </w:rPr>
            </w:pPr>
            <w:r w:rsidRPr="00E34839">
              <w:rPr>
                <w:iCs/>
                <w:lang w:val="pt-BR"/>
              </w:rPr>
              <w:t>[Hypocreales: Nectriaceae]</w:t>
            </w:r>
          </w:p>
          <w:p w:rsidR="004D5CBC" w:rsidRPr="004D0D2A" w:rsidRDefault="004D5CBC" w:rsidP="00431F15">
            <w:pPr>
              <w:pStyle w:val="TableText"/>
              <w:rPr>
                <w:i/>
                <w:lang w:val="pt-BR"/>
              </w:rPr>
            </w:pPr>
          </w:p>
        </w:tc>
        <w:tc>
          <w:tcPr>
            <w:tcW w:w="1701" w:type="dxa"/>
            <w:shd w:val="clear" w:color="auto" w:fill="auto"/>
          </w:tcPr>
          <w:p w:rsidR="004D5CBC" w:rsidRPr="004D0D2A" w:rsidRDefault="004D5CBC" w:rsidP="00EF2C72">
            <w:pPr>
              <w:pStyle w:val="TableText"/>
            </w:pPr>
            <w:r>
              <w:t>Yes</w:t>
            </w:r>
            <w:r w:rsidRPr="003142F8">
              <w:t xml:space="preserve"> </w:t>
            </w:r>
            <w:r>
              <w:rPr>
                <w:noProof/>
              </w:rPr>
              <w:t>(Farr &amp; Rossman 2018)</w:t>
            </w:r>
          </w:p>
        </w:tc>
        <w:tc>
          <w:tcPr>
            <w:tcW w:w="2126" w:type="dxa"/>
            <w:shd w:val="clear" w:color="auto" w:fill="auto"/>
          </w:tcPr>
          <w:p w:rsidR="004D5CBC" w:rsidRPr="004D0D2A" w:rsidRDefault="004D5CBC" w:rsidP="00EF2C72">
            <w:pPr>
              <w:pStyle w:val="TableText"/>
            </w:pPr>
            <w:r>
              <w:t xml:space="preserve">Yes. NSW, Qld, </w:t>
            </w:r>
            <w:r>
              <w:rPr>
                <w:noProof/>
              </w:rPr>
              <w:t>(Plant Health Australia 2018)</w:t>
            </w:r>
          </w:p>
        </w:tc>
        <w:tc>
          <w:tcPr>
            <w:tcW w:w="2126" w:type="dxa"/>
            <w:shd w:val="clear" w:color="auto" w:fill="auto"/>
          </w:tcPr>
          <w:p w:rsidR="004D5CBC" w:rsidRPr="004D0D2A" w:rsidRDefault="004D5CBC" w:rsidP="00431F15">
            <w:pPr>
              <w:pStyle w:val="TableText"/>
            </w:pPr>
            <w:r w:rsidRPr="003142F8">
              <w:t>Assessment not required</w:t>
            </w:r>
          </w:p>
        </w:tc>
        <w:tc>
          <w:tcPr>
            <w:tcW w:w="2126" w:type="dxa"/>
            <w:shd w:val="clear" w:color="auto" w:fill="auto"/>
          </w:tcPr>
          <w:p w:rsidR="004D5CBC" w:rsidRPr="004D0D2A" w:rsidRDefault="004D5CBC" w:rsidP="00431F15">
            <w:pPr>
              <w:pStyle w:val="TableText"/>
            </w:pPr>
            <w:r w:rsidRPr="003142F8">
              <w:t>Assessment not required</w:t>
            </w:r>
          </w:p>
        </w:tc>
        <w:tc>
          <w:tcPr>
            <w:tcW w:w="1843" w:type="dxa"/>
            <w:shd w:val="clear" w:color="auto" w:fill="auto"/>
          </w:tcPr>
          <w:p w:rsidR="004D5CBC" w:rsidRPr="004D0D2A" w:rsidRDefault="004D5CBC" w:rsidP="00431F15">
            <w:pPr>
              <w:pStyle w:val="TableText"/>
            </w:pPr>
            <w:r w:rsidRPr="003142F8">
              <w:t>Assessment not required</w:t>
            </w:r>
          </w:p>
        </w:tc>
        <w:tc>
          <w:tcPr>
            <w:tcW w:w="1282" w:type="dxa"/>
            <w:shd w:val="clear" w:color="auto" w:fill="auto"/>
          </w:tcPr>
          <w:p w:rsidR="004D5CBC" w:rsidRPr="004D0D2A" w:rsidRDefault="004D5CBC" w:rsidP="00431F15">
            <w:pPr>
              <w:pStyle w:val="TableText"/>
            </w:pPr>
            <w:r w:rsidRPr="003142F8">
              <w:t>No</w:t>
            </w:r>
          </w:p>
        </w:tc>
      </w:tr>
      <w:tr w:rsidR="004D5CBC" w:rsidTr="00240BBE">
        <w:trPr>
          <w:cantSplit/>
          <w:jc w:val="center"/>
        </w:trPr>
        <w:tc>
          <w:tcPr>
            <w:tcW w:w="2269" w:type="dxa"/>
            <w:shd w:val="clear" w:color="auto" w:fill="auto"/>
          </w:tcPr>
          <w:p w:rsidR="004D5CBC" w:rsidRPr="00E34839" w:rsidRDefault="004D5CBC" w:rsidP="00431F15">
            <w:pPr>
              <w:pStyle w:val="TableText"/>
              <w:rPr>
                <w:iCs/>
                <w:lang w:val="pt-BR"/>
              </w:rPr>
            </w:pPr>
            <w:r w:rsidRPr="00F77AE6">
              <w:rPr>
                <w:i/>
                <w:lang w:val="pt-BR"/>
              </w:rPr>
              <w:t xml:space="preserve">Lasiodiplodia theobromae </w:t>
            </w:r>
            <w:r>
              <w:rPr>
                <w:iCs/>
                <w:lang w:val="pt-BR"/>
              </w:rPr>
              <w:t>(Pat) Griffon &amp; Maubl.</w:t>
            </w:r>
          </w:p>
          <w:p w:rsidR="004D5CBC" w:rsidRPr="00E34839" w:rsidRDefault="004D5CBC" w:rsidP="00431F15">
            <w:pPr>
              <w:pStyle w:val="TableText"/>
              <w:rPr>
                <w:iCs/>
                <w:lang w:val="pt-BR"/>
              </w:rPr>
            </w:pPr>
            <w:r w:rsidRPr="00E34839">
              <w:rPr>
                <w:iCs/>
                <w:lang w:val="pt-BR"/>
              </w:rPr>
              <w:t>[Botryosphaeriales: Botryosphaeriaceae]</w:t>
            </w:r>
          </w:p>
          <w:p w:rsidR="004D5CBC" w:rsidRPr="004D0D2A" w:rsidRDefault="004D5CBC" w:rsidP="00431F15">
            <w:pPr>
              <w:pStyle w:val="TableText"/>
              <w:rPr>
                <w:i/>
                <w:lang w:val="pt-BR"/>
              </w:rPr>
            </w:pPr>
            <w:r w:rsidRPr="00E34839">
              <w:rPr>
                <w:iCs/>
                <w:lang w:val="pt-BR"/>
              </w:rPr>
              <w:t>Diploid pod rot of cocoa</w:t>
            </w:r>
          </w:p>
        </w:tc>
        <w:tc>
          <w:tcPr>
            <w:tcW w:w="1701" w:type="dxa"/>
            <w:shd w:val="clear" w:color="auto" w:fill="auto"/>
          </w:tcPr>
          <w:p w:rsidR="004D5CBC" w:rsidRPr="004D0D2A" w:rsidRDefault="004D5CBC" w:rsidP="00EF2C72">
            <w:pPr>
              <w:pStyle w:val="TableText"/>
            </w:pPr>
            <w:r>
              <w:t>Yes</w:t>
            </w:r>
            <w:r w:rsidRPr="00986C4A">
              <w:t xml:space="preserve"> </w:t>
            </w:r>
            <w:r>
              <w:rPr>
                <w:noProof/>
              </w:rPr>
              <w:t>(CABI 2018; Farr &amp; Rossman 2018)</w:t>
            </w:r>
          </w:p>
        </w:tc>
        <w:tc>
          <w:tcPr>
            <w:tcW w:w="2126" w:type="dxa"/>
            <w:shd w:val="clear" w:color="auto" w:fill="auto"/>
          </w:tcPr>
          <w:p w:rsidR="004D5CBC" w:rsidRPr="004D0D2A" w:rsidRDefault="004D5CBC" w:rsidP="00EF2C72">
            <w:pPr>
              <w:pStyle w:val="TableText"/>
            </w:pPr>
            <w:r w:rsidRPr="00986C4A">
              <w:t xml:space="preserve">Yes. NSW, NT, Qld, SA, WA </w:t>
            </w:r>
            <w:r>
              <w:rPr>
                <w:noProof/>
              </w:rPr>
              <w:t>(CABI 2018; Plant Health Australia 2018)</w:t>
            </w:r>
          </w:p>
        </w:tc>
        <w:tc>
          <w:tcPr>
            <w:tcW w:w="2126" w:type="dxa"/>
            <w:shd w:val="clear" w:color="auto" w:fill="auto"/>
          </w:tcPr>
          <w:p w:rsidR="004D5CBC" w:rsidRPr="004D0D2A" w:rsidRDefault="004D5CBC" w:rsidP="00431F15">
            <w:pPr>
              <w:pStyle w:val="TableText"/>
            </w:pPr>
            <w:r w:rsidRPr="00986C4A">
              <w:t>Assessment not required</w:t>
            </w:r>
          </w:p>
        </w:tc>
        <w:tc>
          <w:tcPr>
            <w:tcW w:w="2126" w:type="dxa"/>
            <w:shd w:val="clear" w:color="auto" w:fill="auto"/>
          </w:tcPr>
          <w:p w:rsidR="004D5CBC" w:rsidRPr="004D0D2A" w:rsidRDefault="004D5CBC" w:rsidP="00431F15">
            <w:pPr>
              <w:pStyle w:val="TableText"/>
            </w:pPr>
            <w:r w:rsidRPr="00986C4A">
              <w:t>Assessment not required</w:t>
            </w:r>
          </w:p>
        </w:tc>
        <w:tc>
          <w:tcPr>
            <w:tcW w:w="1843" w:type="dxa"/>
            <w:shd w:val="clear" w:color="auto" w:fill="auto"/>
          </w:tcPr>
          <w:p w:rsidR="004D5CBC" w:rsidRPr="004D0D2A" w:rsidRDefault="004D5CBC" w:rsidP="00431F15">
            <w:pPr>
              <w:pStyle w:val="TableText"/>
            </w:pPr>
            <w:r w:rsidRPr="00986C4A">
              <w:t>Assessment not required</w:t>
            </w:r>
          </w:p>
        </w:tc>
        <w:tc>
          <w:tcPr>
            <w:tcW w:w="1282" w:type="dxa"/>
            <w:shd w:val="clear" w:color="auto" w:fill="auto"/>
          </w:tcPr>
          <w:p w:rsidR="004D5CBC" w:rsidRPr="004D0D2A" w:rsidRDefault="004D5CBC" w:rsidP="00431F15">
            <w:pPr>
              <w:pStyle w:val="TableText"/>
            </w:pPr>
            <w:r w:rsidRPr="00986C4A">
              <w:t>No</w:t>
            </w:r>
          </w:p>
        </w:tc>
      </w:tr>
      <w:tr w:rsidR="004D5CBC" w:rsidTr="00240BBE">
        <w:trPr>
          <w:cantSplit/>
          <w:jc w:val="center"/>
        </w:trPr>
        <w:tc>
          <w:tcPr>
            <w:tcW w:w="2269" w:type="dxa"/>
            <w:shd w:val="clear" w:color="auto" w:fill="auto"/>
          </w:tcPr>
          <w:p w:rsidR="004D5CBC" w:rsidRPr="00E34839" w:rsidRDefault="004D5CBC" w:rsidP="00431F15">
            <w:pPr>
              <w:pStyle w:val="TableText"/>
              <w:rPr>
                <w:iCs/>
                <w:lang w:val="pt-BR"/>
              </w:rPr>
            </w:pPr>
            <w:r w:rsidRPr="00F77AE6">
              <w:rPr>
                <w:i/>
                <w:lang w:val="pt-BR"/>
              </w:rPr>
              <w:t xml:space="preserve">Mucor hiemalis </w:t>
            </w:r>
            <w:r>
              <w:rPr>
                <w:iCs/>
                <w:lang w:val="pt-BR"/>
              </w:rPr>
              <w:t>Wehmer</w:t>
            </w:r>
          </w:p>
          <w:p w:rsidR="004D5CBC" w:rsidRDefault="004D5CBC" w:rsidP="00431F15">
            <w:pPr>
              <w:pStyle w:val="TableText"/>
              <w:rPr>
                <w:iCs/>
                <w:lang w:val="pt-BR"/>
              </w:rPr>
            </w:pPr>
            <w:r w:rsidRPr="00E34839">
              <w:rPr>
                <w:iCs/>
                <w:lang w:val="pt-BR"/>
              </w:rPr>
              <w:t>[Mucorales: Mucoraceae]</w:t>
            </w:r>
          </w:p>
          <w:p w:rsidR="004D5CBC" w:rsidRPr="004D0D2A" w:rsidRDefault="004D5CBC" w:rsidP="00431F15">
            <w:pPr>
              <w:pStyle w:val="TableText"/>
              <w:rPr>
                <w:i/>
                <w:lang w:val="pt-BR"/>
              </w:rPr>
            </w:pPr>
          </w:p>
        </w:tc>
        <w:tc>
          <w:tcPr>
            <w:tcW w:w="1701" w:type="dxa"/>
            <w:shd w:val="clear" w:color="auto" w:fill="auto"/>
          </w:tcPr>
          <w:p w:rsidR="004D5CBC" w:rsidRPr="004D0D2A" w:rsidRDefault="004D5CBC" w:rsidP="00EF2C72">
            <w:pPr>
              <w:pStyle w:val="TableText"/>
            </w:pPr>
            <w:r>
              <w:t>Yes</w:t>
            </w:r>
            <w:r w:rsidRPr="006D4E0C">
              <w:t xml:space="preserve"> </w:t>
            </w:r>
            <w:r>
              <w:rPr>
                <w:noProof/>
                <w:lang w:val="pt-BR"/>
              </w:rPr>
              <w:t>(Le et al. 2000)</w:t>
            </w:r>
          </w:p>
        </w:tc>
        <w:tc>
          <w:tcPr>
            <w:tcW w:w="2126" w:type="dxa"/>
            <w:shd w:val="clear" w:color="auto" w:fill="auto"/>
          </w:tcPr>
          <w:p w:rsidR="004D5CBC" w:rsidRPr="004D0D2A" w:rsidRDefault="004D5CBC" w:rsidP="00EF2C72">
            <w:pPr>
              <w:pStyle w:val="TableText"/>
            </w:pPr>
            <w:r w:rsidRPr="006D4E0C">
              <w:t xml:space="preserve">Yes. NSW, Qld, SA </w:t>
            </w:r>
            <w:r>
              <w:rPr>
                <w:noProof/>
              </w:rPr>
              <w:t>(Plant Health Australia 2018)</w:t>
            </w:r>
          </w:p>
        </w:tc>
        <w:tc>
          <w:tcPr>
            <w:tcW w:w="2126" w:type="dxa"/>
            <w:shd w:val="clear" w:color="auto" w:fill="auto"/>
          </w:tcPr>
          <w:p w:rsidR="004D5CBC" w:rsidRPr="004D0D2A" w:rsidRDefault="004D5CBC" w:rsidP="00431F15">
            <w:pPr>
              <w:pStyle w:val="TableText"/>
            </w:pPr>
            <w:r w:rsidRPr="006D4E0C">
              <w:t>Assessment not required</w:t>
            </w:r>
          </w:p>
        </w:tc>
        <w:tc>
          <w:tcPr>
            <w:tcW w:w="2126" w:type="dxa"/>
            <w:shd w:val="clear" w:color="auto" w:fill="auto"/>
          </w:tcPr>
          <w:p w:rsidR="004D5CBC" w:rsidRPr="004D0D2A" w:rsidRDefault="004D5CBC" w:rsidP="00431F15">
            <w:pPr>
              <w:pStyle w:val="TableText"/>
            </w:pPr>
            <w:r w:rsidRPr="006D4E0C">
              <w:t>Assessment not required</w:t>
            </w:r>
          </w:p>
        </w:tc>
        <w:tc>
          <w:tcPr>
            <w:tcW w:w="1843" w:type="dxa"/>
            <w:shd w:val="clear" w:color="auto" w:fill="auto"/>
          </w:tcPr>
          <w:p w:rsidR="004D5CBC" w:rsidRPr="004D0D2A" w:rsidRDefault="004D5CBC" w:rsidP="00431F15">
            <w:pPr>
              <w:pStyle w:val="TableText"/>
            </w:pPr>
            <w:r w:rsidRPr="006D4E0C">
              <w:t>Assessment not required</w:t>
            </w:r>
          </w:p>
        </w:tc>
        <w:tc>
          <w:tcPr>
            <w:tcW w:w="1282" w:type="dxa"/>
            <w:shd w:val="clear" w:color="auto" w:fill="auto"/>
          </w:tcPr>
          <w:p w:rsidR="004D5CBC" w:rsidRPr="004D0D2A" w:rsidRDefault="004D5CBC" w:rsidP="00431F15">
            <w:pPr>
              <w:pStyle w:val="TableText"/>
            </w:pPr>
            <w:r w:rsidRPr="006D4E0C">
              <w:t>No</w:t>
            </w:r>
          </w:p>
        </w:tc>
      </w:tr>
      <w:tr w:rsidR="004D5CBC" w:rsidTr="00240BBE">
        <w:trPr>
          <w:cantSplit/>
          <w:jc w:val="center"/>
        </w:trPr>
        <w:tc>
          <w:tcPr>
            <w:tcW w:w="2269" w:type="dxa"/>
            <w:shd w:val="clear" w:color="auto" w:fill="auto"/>
          </w:tcPr>
          <w:p w:rsidR="004D5CBC" w:rsidRPr="00E34839" w:rsidRDefault="004D5CBC" w:rsidP="00431F15">
            <w:pPr>
              <w:pStyle w:val="TableText"/>
              <w:rPr>
                <w:iCs/>
                <w:lang w:val="pt-BR"/>
              </w:rPr>
            </w:pPr>
            <w:r w:rsidRPr="00E13BAC">
              <w:rPr>
                <w:i/>
                <w:lang w:val="pt-BR"/>
              </w:rPr>
              <w:t xml:space="preserve">Neoscytalidium dimidiatum </w:t>
            </w:r>
            <w:r>
              <w:rPr>
                <w:iCs/>
                <w:lang w:val="pt-BR"/>
              </w:rPr>
              <w:t>(Penz.) Crous &amp; Slippers</w:t>
            </w:r>
          </w:p>
          <w:p w:rsidR="004D5CBC" w:rsidRPr="00E34839" w:rsidRDefault="004D5CBC" w:rsidP="00431F15">
            <w:pPr>
              <w:pStyle w:val="TableText"/>
              <w:rPr>
                <w:iCs/>
                <w:lang w:val="pt-BR"/>
              </w:rPr>
            </w:pPr>
            <w:r w:rsidRPr="00E34839">
              <w:rPr>
                <w:iCs/>
                <w:lang w:val="pt-BR"/>
              </w:rPr>
              <w:t>[Botryosphaeriales: Botryosphaeriaceae]</w:t>
            </w:r>
          </w:p>
          <w:p w:rsidR="004D5CBC" w:rsidRPr="004D0D2A" w:rsidRDefault="004D5CBC" w:rsidP="00431F15">
            <w:pPr>
              <w:pStyle w:val="TableText"/>
              <w:rPr>
                <w:i/>
                <w:lang w:val="pt-BR"/>
              </w:rPr>
            </w:pPr>
            <w:r w:rsidRPr="00E34839">
              <w:rPr>
                <w:iCs/>
                <w:lang w:val="pt-BR"/>
              </w:rPr>
              <w:t>Stem canker disease</w:t>
            </w:r>
          </w:p>
        </w:tc>
        <w:tc>
          <w:tcPr>
            <w:tcW w:w="1701" w:type="dxa"/>
            <w:shd w:val="clear" w:color="auto" w:fill="auto"/>
          </w:tcPr>
          <w:p w:rsidR="004D5CBC" w:rsidRPr="004D0D2A" w:rsidRDefault="004D5CBC" w:rsidP="00EF2C72">
            <w:pPr>
              <w:pStyle w:val="TableText"/>
            </w:pPr>
            <w:r>
              <w:t>Yes</w:t>
            </w:r>
            <w:r w:rsidRPr="009C3DFC">
              <w:t xml:space="preserve"> </w:t>
            </w:r>
            <w:r>
              <w:rPr>
                <w:noProof/>
              </w:rPr>
              <w:t>(Hoa et al. 2014)</w:t>
            </w:r>
          </w:p>
        </w:tc>
        <w:tc>
          <w:tcPr>
            <w:tcW w:w="2126" w:type="dxa"/>
            <w:shd w:val="clear" w:color="auto" w:fill="auto"/>
          </w:tcPr>
          <w:p w:rsidR="004D5CBC" w:rsidRPr="004D0D2A" w:rsidRDefault="004D5CBC" w:rsidP="00EF2C72">
            <w:pPr>
              <w:pStyle w:val="TableText"/>
            </w:pPr>
            <w:r w:rsidRPr="009C3DFC">
              <w:t xml:space="preserve">Yes. NT, WA </w:t>
            </w:r>
            <w:r>
              <w:rPr>
                <w:noProof/>
              </w:rPr>
              <w:t>(Plant Health Australia 2018)</w:t>
            </w:r>
          </w:p>
        </w:tc>
        <w:tc>
          <w:tcPr>
            <w:tcW w:w="2126" w:type="dxa"/>
            <w:shd w:val="clear" w:color="auto" w:fill="auto"/>
          </w:tcPr>
          <w:p w:rsidR="004D5CBC" w:rsidRPr="004D0D2A" w:rsidRDefault="004D5CBC" w:rsidP="00431F15">
            <w:pPr>
              <w:pStyle w:val="TableText"/>
            </w:pPr>
            <w:r w:rsidRPr="009C3DFC">
              <w:t>Assessment not required</w:t>
            </w:r>
          </w:p>
        </w:tc>
        <w:tc>
          <w:tcPr>
            <w:tcW w:w="2126" w:type="dxa"/>
            <w:shd w:val="clear" w:color="auto" w:fill="auto"/>
          </w:tcPr>
          <w:p w:rsidR="004D5CBC" w:rsidRPr="004D0D2A" w:rsidRDefault="004D5CBC" w:rsidP="00431F15">
            <w:pPr>
              <w:pStyle w:val="TableText"/>
            </w:pPr>
            <w:r w:rsidRPr="009C3DFC">
              <w:t>Assessment not required</w:t>
            </w:r>
          </w:p>
        </w:tc>
        <w:tc>
          <w:tcPr>
            <w:tcW w:w="1843" w:type="dxa"/>
            <w:shd w:val="clear" w:color="auto" w:fill="auto"/>
          </w:tcPr>
          <w:p w:rsidR="004D5CBC" w:rsidRPr="004D0D2A" w:rsidRDefault="004D5CBC" w:rsidP="00431F15">
            <w:pPr>
              <w:pStyle w:val="TableText"/>
            </w:pPr>
            <w:r w:rsidRPr="009C3DFC">
              <w:t>Assessment not required</w:t>
            </w:r>
          </w:p>
        </w:tc>
        <w:tc>
          <w:tcPr>
            <w:tcW w:w="1282" w:type="dxa"/>
            <w:shd w:val="clear" w:color="auto" w:fill="auto"/>
          </w:tcPr>
          <w:p w:rsidR="004D5CBC" w:rsidRPr="004D0D2A" w:rsidRDefault="004D5CBC" w:rsidP="00431F15">
            <w:pPr>
              <w:pStyle w:val="TableText"/>
            </w:pPr>
            <w:r w:rsidRPr="009C3DFC">
              <w:t>No</w:t>
            </w:r>
          </w:p>
        </w:tc>
      </w:tr>
      <w:tr w:rsidR="004D5CBC" w:rsidTr="00240BBE">
        <w:trPr>
          <w:cantSplit/>
          <w:jc w:val="center"/>
        </w:trPr>
        <w:tc>
          <w:tcPr>
            <w:tcW w:w="2269" w:type="dxa"/>
            <w:shd w:val="clear" w:color="auto" w:fill="auto"/>
          </w:tcPr>
          <w:p w:rsidR="004D5CBC" w:rsidRDefault="004D5CBC" w:rsidP="00431F15">
            <w:pPr>
              <w:pStyle w:val="TableText"/>
              <w:rPr>
                <w:i/>
                <w:lang w:val="pt-BR"/>
              </w:rPr>
            </w:pPr>
            <w:r>
              <w:rPr>
                <w:i/>
                <w:iCs/>
                <w:lang w:val="pt-BR"/>
              </w:rPr>
              <w:lastRenderedPageBreak/>
              <w:t>Thanatephorus cucumeris</w:t>
            </w:r>
            <w:r>
              <w:rPr>
                <w:iCs/>
                <w:lang w:val="pt-BR"/>
              </w:rPr>
              <w:t xml:space="preserve"> (A.B. Frank) Donk</w:t>
            </w:r>
          </w:p>
          <w:p w:rsidR="004D5CBC" w:rsidRPr="00035F57" w:rsidRDefault="004D5CBC" w:rsidP="00431F15">
            <w:pPr>
              <w:pStyle w:val="TableText"/>
              <w:rPr>
                <w:iCs/>
                <w:lang w:val="pt-BR"/>
              </w:rPr>
            </w:pPr>
            <w:r>
              <w:rPr>
                <w:iCs/>
                <w:lang w:val="pt-BR"/>
              </w:rPr>
              <w:t xml:space="preserve">Synonym: </w:t>
            </w:r>
            <w:r w:rsidRPr="00E13BAC">
              <w:rPr>
                <w:i/>
                <w:lang w:val="pt-BR"/>
              </w:rPr>
              <w:t xml:space="preserve">Rhizoctonia solani </w:t>
            </w:r>
            <w:r>
              <w:rPr>
                <w:iCs/>
                <w:lang w:val="pt-BR"/>
              </w:rPr>
              <w:t>J.G. Kühn</w:t>
            </w:r>
          </w:p>
          <w:p w:rsidR="004D5CBC" w:rsidRDefault="004D5CBC" w:rsidP="00431F15">
            <w:pPr>
              <w:pStyle w:val="TableText"/>
              <w:rPr>
                <w:iCs/>
                <w:lang w:val="pt-BR"/>
              </w:rPr>
            </w:pPr>
            <w:r w:rsidRPr="00E13BAC">
              <w:rPr>
                <w:iCs/>
                <w:lang w:val="pt-BR"/>
              </w:rPr>
              <w:t>[Cantharellales: Ceratobasidiaceae]</w:t>
            </w:r>
          </w:p>
          <w:p w:rsidR="004D5CBC" w:rsidRPr="004D0D2A" w:rsidRDefault="004D5CBC" w:rsidP="00431F15">
            <w:pPr>
              <w:pStyle w:val="TableText"/>
              <w:rPr>
                <w:i/>
                <w:lang w:val="pt-BR"/>
              </w:rPr>
            </w:pPr>
          </w:p>
        </w:tc>
        <w:tc>
          <w:tcPr>
            <w:tcW w:w="1701" w:type="dxa"/>
            <w:shd w:val="clear" w:color="auto" w:fill="auto"/>
          </w:tcPr>
          <w:p w:rsidR="004D5CBC" w:rsidRPr="004D0D2A" w:rsidRDefault="004D5CBC" w:rsidP="00EF2C72">
            <w:pPr>
              <w:pStyle w:val="TableText"/>
            </w:pPr>
            <w:r>
              <w:t xml:space="preserve">Yes </w:t>
            </w:r>
            <w:r>
              <w:rPr>
                <w:noProof/>
              </w:rPr>
              <w:t>(Farr &amp; Rossman 2018)</w:t>
            </w:r>
          </w:p>
        </w:tc>
        <w:tc>
          <w:tcPr>
            <w:tcW w:w="2126" w:type="dxa"/>
            <w:shd w:val="clear" w:color="auto" w:fill="auto"/>
          </w:tcPr>
          <w:p w:rsidR="004D5CBC" w:rsidRPr="004D0D2A" w:rsidRDefault="004D5CBC" w:rsidP="00EF2C72">
            <w:pPr>
              <w:pStyle w:val="TableText"/>
            </w:pPr>
            <w:r w:rsidRPr="00BD095E">
              <w:t xml:space="preserve">Yes. NSW, NT, Qld, Vic., SA, Tas., WA </w:t>
            </w:r>
            <w:r>
              <w:rPr>
                <w:noProof/>
              </w:rPr>
              <w:t>(Plant Health Australia 2018)</w:t>
            </w:r>
          </w:p>
        </w:tc>
        <w:tc>
          <w:tcPr>
            <w:tcW w:w="2126" w:type="dxa"/>
            <w:shd w:val="clear" w:color="auto" w:fill="auto"/>
          </w:tcPr>
          <w:p w:rsidR="004D5CBC" w:rsidRPr="004D0D2A" w:rsidRDefault="004D5CBC" w:rsidP="00431F15">
            <w:pPr>
              <w:pStyle w:val="TableText"/>
            </w:pPr>
            <w:r w:rsidRPr="00BD095E">
              <w:t>Assessment not required</w:t>
            </w:r>
          </w:p>
        </w:tc>
        <w:tc>
          <w:tcPr>
            <w:tcW w:w="2126" w:type="dxa"/>
            <w:shd w:val="clear" w:color="auto" w:fill="auto"/>
          </w:tcPr>
          <w:p w:rsidR="004D5CBC" w:rsidRPr="004D0D2A" w:rsidRDefault="004D5CBC" w:rsidP="00431F15">
            <w:pPr>
              <w:pStyle w:val="TableText"/>
            </w:pPr>
            <w:r w:rsidRPr="00BD095E">
              <w:t>Assessment not required</w:t>
            </w:r>
          </w:p>
        </w:tc>
        <w:tc>
          <w:tcPr>
            <w:tcW w:w="1843" w:type="dxa"/>
            <w:shd w:val="clear" w:color="auto" w:fill="auto"/>
          </w:tcPr>
          <w:p w:rsidR="004D5CBC" w:rsidRPr="004D0D2A" w:rsidRDefault="004D5CBC" w:rsidP="00431F15">
            <w:pPr>
              <w:pStyle w:val="TableText"/>
            </w:pPr>
            <w:r w:rsidRPr="00BD095E">
              <w:t>Assessment not required</w:t>
            </w:r>
          </w:p>
        </w:tc>
        <w:tc>
          <w:tcPr>
            <w:tcW w:w="1282" w:type="dxa"/>
            <w:shd w:val="clear" w:color="auto" w:fill="auto"/>
          </w:tcPr>
          <w:p w:rsidR="004D5CBC" w:rsidRPr="004D0D2A" w:rsidRDefault="004D5CBC" w:rsidP="00431F15">
            <w:pPr>
              <w:pStyle w:val="TableText"/>
            </w:pPr>
            <w:r w:rsidRPr="00BD095E">
              <w:t>No</w:t>
            </w:r>
          </w:p>
        </w:tc>
      </w:tr>
    </w:tbl>
    <w:p w:rsidR="004D5CBC" w:rsidRPr="00BD1218" w:rsidRDefault="004D5CBC" w:rsidP="00BD1218">
      <w:pPr>
        <w:sectPr w:rsidR="004D5CBC" w:rsidRPr="00BD1218" w:rsidSect="00502370">
          <w:pgSz w:w="16838" w:h="11906" w:orient="landscape" w:code="9"/>
          <w:pgMar w:top="1418" w:right="1418" w:bottom="1418" w:left="1418" w:header="567" w:footer="284" w:gutter="0"/>
          <w:cols w:space="708"/>
          <w:docGrid w:linePitch="360"/>
        </w:sectPr>
      </w:pPr>
    </w:p>
    <w:p w:rsidR="004D5CBC" w:rsidRDefault="004D5CBC" w:rsidP="008C4377">
      <w:pPr>
        <w:pStyle w:val="Heading2"/>
        <w:tabs>
          <w:tab w:val="clear" w:pos="794"/>
        </w:tabs>
        <w:ind w:left="0" w:firstLine="0"/>
      </w:pPr>
      <w:bookmarkStart w:id="99" w:name="_Toc520996438"/>
      <w:r>
        <w:lastRenderedPageBreak/>
        <w:t>Appendix B: Issues raised in stakeholder comments</w:t>
      </w:r>
      <w:bookmarkEnd w:id="99"/>
    </w:p>
    <w:p w:rsidR="004D5CBC" w:rsidRDefault="004D5CBC" w:rsidP="008C4377">
      <w:r>
        <w:t>This section summarises key stakeholder comments and the department’s response to them</w:t>
      </w:r>
      <w:r w:rsidRPr="003B524E">
        <w:t>. Also included are explanations of changes to the document based on recent information or changes in the department’s writing style rules.</w:t>
      </w:r>
    </w:p>
    <w:p w:rsidR="004D5CBC" w:rsidRPr="00D62910" w:rsidRDefault="004D5CBC" w:rsidP="008C4377">
      <w:pPr>
        <w:rPr>
          <w:b/>
        </w:rPr>
      </w:pPr>
      <w:r>
        <w:rPr>
          <w:b/>
        </w:rPr>
        <w:t>Comment 1: It was noted that the mandatory inspection of fruit before export was not included in Figure 9 (</w:t>
      </w:r>
      <w:r w:rsidRPr="001B7328">
        <w:rPr>
          <w:b/>
        </w:rPr>
        <w:t>page 2</w:t>
      </w:r>
      <w:r w:rsidR="001B7328" w:rsidRPr="001B7328">
        <w:rPr>
          <w:b/>
        </w:rPr>
        <w:t>8</w:t>
      </w:r>
      <w:r>
        <w:rPr>
          <w:b/>
        </w:rPr>
        <w:t>).</w:t>
      </w:r>
    </w:p>
    <w:p w:rsidR="004D5CBC" w:rsidRDefault="004D5CBC" w:rsidP="008C4377">
      <w:r>
        <w:t xml:space="preserve">Response: All Indonesian dragon fruit for export to Australia will undergo inspection by IAQA prior to shipment. As </w:t>
      </w:r>
      <w:r w:rsidRPr="003B524E">
        <w:t>this req</w:t>
      </w:r>
      <w:bookmarkStart w:id="100" w:name="_GoBack"/>
      <w:bookmarkEnd w:id="100"/>
      <w:r w:rsidRPr="003B524E">
        <w:t>uirement</w:t>
      </w:r>
      <w:r>
        <w:t xml:space="preserve"> was only mentioned in the text of Chapter five (5.2.6 Pre-export phytosanitary inspection and certification by IAQA) but not included in Chapter three or Figure 9 in the draft report, this chapter and figure have now been updated for clarity</w:t>
      </w:r>
    </w:p>
    <w:p w:rsidR="004D5CBC" w:rsidRPr="0007126E" w:rsidRDefault="004D5CBC" w:rsidP="008C4377">
      <w:pPr>
        <w:rPr>
          <w:b/>
        </w:rPr>
      </w:pPr>
      <w:r w:rsidRPr="0007126E">
        <w:rPr>
          <w:b/>
        </w:rPr>
        <w:t>Comment 2: It was noted that table 5.1 in the draft report (page 34) lacked clarity and seemed to suggest that irradiation treatment</w:t>
      </w:r>
      <w:r>
        <w:rPr>
          <w:b/>
        </w:rPr>
        <w:t xml:space="preserve"> for mealybugs</w:t>
      </w:r>
      <w:r w:rsidRPr="0007126E">
        <w:rPr>
          <w:b/>
        </w:rPr>
        <w:t xml:space="preserve"> would take place instead of inspection, which should always occur before treatment.</w:t>
      </w:r>
    </w:p>
    <w:p w:rsidR="004D5CBC" w:rsidRDefault="004D5CBC" w:rsidP="008C4377">
      <w:r>
        <w:t xml:space="preserve">Response: Table 5.1 and the text of Chapter 5 were edited to make it clear that all consignments will undergo inspection for pests </w:t>
      </w:r>
      <w:r w:rsidRPr="003B524E">
        <w:t>and fruit quality.</w:t>
      </w:r>
      <w:r>
        <w:t xml:space="preserve"> Information on the irradiation treatment option was removed since it is only one of the remedial treatment options that could be considered in the event that mealybugs are detected during the mandatory fruit inspection.</w:t>
      </w:r>
    </w:p>
    <w:p w:rsidR="004D5CBC" w:rsidRPr="00503AB5" w:rsidRDefault="004D5CBC" w:rsidP="008C4377">
      <w:pPr>
        <w:rPr>
          <w:b/>
        </w:rPr>
      </w:pPr>
      <w:r>
        <w:rPr>
          <w:b/>
        </w:rPr>
        <w:t xml:space="preserve">Comment 3: Concerns were </w:t>
      </w:r>
      <w:r w:rsidRPr="00176B52">
        <w:rPr>
          <w:b/>
        </w:rPr>
        <w:t xml:space="preserve">raised that </w:t>
      </w:r>
      <w:r w:rsidRPr="00176B52">
        <w:rPr>
          <w:b/>
          <w:i/>
        </w:rPr>
        <w:t>Fusarium oxysporum</w:t>
      </w:r>
      <w:r w:rsidRPr="00176B52">
        <w:rPr>
          <w:b/>
        </w:rPr>
        <w:t xml:space="preserve"> was not assessed further than </w:t>
      </w:r>
      <w:r>
        <w:rPr>
          <w:b/>
        </w:rPr>
        <w:t xml:space="preserve">for </w:t>
      </w:r>
      <w:r w:rsidRPr="00176B52">
        <w:rPr>
          <w:b/>
        </w:rPr>
        <w:t>presence in Australia, given that</w:t>
      </w:r>
      <w:r>
        <w:rPr>
          <w:b/>
        </w:rPr>
        <w:t xml:space="preserve"> the species includes many</w:t>
      </w:r>
      <w:r w:rsidRPr="00004FC0">
        <w:rPr>
          <w:b/>
        </w:rPr>
        <w:t xml:space="preserve"> distinct </w:t>
      </w:r>
      <w:r>
        <w:rPr>
          <w:b/>
        </w:rPr>
        <w:t>‘</w:t>
      </w:r>
      <w:r w:rsidRPr="00004FC0">
        <w:rPr>
          <w:b/>
        </w:rPr>
        <w:t>formae</w:t>
      </w:r>
      <w:r>
        <w:rPr>
          <w:b/>
        </w:rPr>
        <w:t xml:space="preserve"> speciales’, and that it is not certain which, if any, of the formae speciales present in Indonesia are present in Australia.</w:t>
      </w:r>
    </w:p>
    <w:p w:rsidR="004D5CBC" w:rsidRPr="006436DE" w:rsidRDefault="004D5CBC" w:rsidP="008C4377">
      <w:r w:rsidRPr="0081345F">
        <w:t xml:space="preserve">Response: </w:t>
      </w:r>
      <w:r>
        <w:t xml:space="preserve">The department performed further research to attempt to identify the formae speciales of </w:t>
      </w:r>
      <w:r>
        <w:rPr>
          <w:i/>
        </w:rPr>
        <w:t>Fusarium oxysporum</w:t>
      </w:r>
      <w:r>
        <w:t xml:space="preserve"> present in Indonesia. It is known that the formae speciales in question can be associated with dragon fruit plants, but its exact identity is unclear. For this reason the pest cannot be confirmed to be present in Australia and, in accordance with the rules presented at the beginning of Appendix A (</w:t>
      </w:r>
      <w:r w:rsidRPr="001B7328">
        <w:t>page 43), the</w:t>
      </w:r>
      <w:r>
        <w:t xml:space="preserve"> assessment was continued. It was subsequently determined that </w:t>
      </w:r>
      <w:r>
        <w:rPr>
          <w:i/>
        </w:rPr>
        <w:t>F. oxysporum</w:t>
      </w:r>
      <w:r>
        <w:t xml:space="preserve"> is not associated with the fresh dragon fruit export pathway and the assessment was terminated at a ‘No’ result in column 4.</w:t>
      </w:r>
    </w:p>
    <w:p w:rsidR="004D5CBC" w:rsidRPr="00FE22E3" w:rsidRDefault="004D5CBC" w:rsidP="008C4377">
      <w:pPr>
        <w:rPr>
          <w:b/>
        </w:rPr>
      </w:pPr>
      <w:r w:rsidRPr="00FE22E3">
        <w:rPr>
          <w:b/>
        </w:rPr>
        <w:t>Formatting changes and updated taxonomic information</w:t>
      </w:r>
    </w:p>
    <w:p w:rsidR="004D5CBC" w:rsidRDefault="004D5CBC" w:rsidP="00D306CC">
      <w:r>
        <w:t>I</w:t>
      </w:r>
      <w:r w:rsidRPr="00FE22E3">
        <w:t>nformation</w:t>
      </w:r>
      <w:r>
        <w:t xml:space="preserve"> in Appendix A of the draft report</w:t>
      </w:r>
      <w:r w:rsidRPr="00FE22E3">
        <w:t xml:space="preserve"> </w:t>
      </w:r>
      <w:r>
        <w:t>describing</w:t>
      </w:r>
      <w:r w:rsidRPr="00FE22E3">
        <w:t xml:space="preserve"> pest categorisation for dragon fruit from Vietnam has been removed from the final version of this report.</w:t>
      </w:r>
      <w:r>
        <w:t xml:space="preserve"> This information was included to help stakeholders identify any information they had not previously considered during the stakeholder comment period for the </w:t>
      </w:r>
      <w:r>
        <w:rPr>
          <w:i/>
        </w:rPr>
        <w:t xml:space="preserve">Draft </w:t>
      </w:r>
      <w:r w:rsidRPr="00B96D48">
        <w:rPr>
          <w:i/>
        </w:rPr>
        <w:t>report for the review of biosecurity import requirements for fresh dragon fruit from</w:t>
      </w:r>
      <w:r>
        <w:rPr>
          <w:i/>
        </w:rPr>
        <w:t xml:space="preserve"> Vietnam</w:t>
      </w:r>
      <w:r>
        <w:t>. This comparison is not required in the final report for dragon fruit from Indonesia.</w:t>
      </w:r>
    </w:p>
    <w:p w:rsidR="004D5CBC" w:rsidRDefault="004D5CBC" w:rsidP="00D306CC">
      <w:r>
        <w:t>The mealybug</w:t>
      </w:r>
      <w:r w:rsidRPr="00FE22E3">
        <w:t xml:space="preserve"> </w:t>
      </w:r>
      <w:r w:rsidRPr="00FE22E3">
        <w:rPr>
          <w:i/>
        </w:rPr>
        <w:t>Spilococcus mamillariae</w:t>
      </w:r>
      <w:r w:rsidRPr="00FE22E3">
        <w:t xml:space="preserve"> is now </w:t>
      </w:r>
      <w:r>
        <w:t>known as</w:t>
      </w:r>
      <w:r w:rsidRPr="00FE22E3">
        <w:t xml:space="preserve"> </w:t>
      </w:r>
      <w:r w:rsidRPr="00FE22E3">
        <w:rPr>
          <w:i/>
        </w:rPr>
        <w:t>Atrococcus mamillariae</w:t>
      </w:r>
      <w:r w:rsidRPr="008444D2">
        <w:t xml:space="preserve"> </w:t>
      </w:r>
      <w:r>
        <w:rPr>
          <w:noProof/>
        </w:rPr>
        <w:t>(García et al. 2018)</w:t>
      </w:r>
      <w:r>
        <w:t xml:space="preserve"> and is now included under this new name in Appendix A</w:t>
      </w:r>
      <w:r w:rsidRPr="00FE22E3">
        <w:t xml:space="preserve">. </w:t>
      </w:r>
      <w:r>
        <w:t>This change in taxonomy does not reflect a</w:t>
      </w:r>
      <w:r w:rsidRPr="00FE22E3">
        <w:t xml:space="preserve"> change in the biology of the species or the outcome of the department’s assessment for this species.</w:t>
      </w:r>
    </w:p>
    <w:p w:rsidR="004D5CBC" w:rsidRPr="00C01091" w:rsidRDefault="004D5CBC" w:rsidP="00BA41CB">
      <w:r>
        <w:lastRenderedPageBreak/>
        <w:t xml:space="preserve">The fungus </w:t>
      </w:r>
      <w:r>
        <w:rPr>
          <w:i/>
        </w:rPr>
        <w:t>Fusarium verticillioides</w:t>
      </w:r>
      <w:r>
        <w:t xml:space="preserve"> was listed as a synonym of </w:t>
      </w:r>
      <w:r>
        <w:rPr>
          <w:i/>
        </w:rPr>
        <w:t>Gibberella fujikuroi</w:t>
      </w:r>
      <w:r>
        <w:t xml:space="preserve"> in the draft report, when it is in fact a separate species to </w:t>
      </w:r>
      <w:r>
        <w:rPr>
          <w:i/>
        </w:rPr>
        <w:t>G. fujikuroi</w:t>
      </w:r>
      <w:r>
        <w:t xml:space="preserve">. This has been corrected by listing </w:t>
      </w:r>
      <w:r w:rsidRPr="00D4159B">
        <w:rPr>
          <w:i/>
        </w:rPr>
        <w:t>F. verticillioides</w:t>
      </w:r>
      <w:r>
        <w:t xml:space="preserve"> as the species name in the final report. </w:t>
      </w:r>
      <w:r>
        <w:rPr>
          <w:i/>
        </w:rPr>
        <w:t>Gibberella fujikuroi</w:t>
      </w:r>
      <w:r>
        <w:t xml:space="preserve"> is no longer considered a valid genus due to changes in taxonomy and is now known by the accepted name </w:t>
      </w:r>
      <w:r>
        <w:rPr>
          <w:i/>
        </w:rPr>
        <w:t>Fusarium fujikuroi</w:t>
      </w:r>
      <w:r>
        <w:t xml:space="preserve">. A review of recent literature has identified </w:t>
      </w:r>
      <w:r>
        <w:rPr>
          <w:i/>
        </w:rPr>
        <w:t>F. fujikuroi</w:t>
      </w:r>
      <w:r>
        <w:t xml:space="preserve"> as a pathogen associated with dragon fruit plants and it has therefore been added to the final report as its own entry. While </w:t>
      </w:r>
      <w:r>
        <w:rPr>
          <w:i/>
        </w:rPr>
        <w:t>F. fujikuroi</w:t>
      </w:r>
      <w:r>
        <w:t xml:space="preserve"> is present in Australia and assessment was terminated at a ‘Yes’ result in column 3, this species causes stem rot </w:t>
      </w:r>
      <w:r>
        <w:rPr>
          <w:noProof/>
        </w:rPr>
        <w:t>(Hawa et al. 2017)</w:t>
      </w:r>
      <w:r>
        <w:t xml:space="preserve"> and would not be associated with the fresh dragon fruit pathway.</w:t>
      </w:r>
    </w:p>
    <w:p w:rsidR="004D5CBC" w:rsidRDefault="004D5CBC" w:rsidP="005F4DBF"/>
    <w:p w:rsidR="004D5CBC" w:rsidRPr="005F4DBF" w:rsidRDefault="004D5CBC" w:rsidP="005F4DBF">
      <w:pPr>
        <w:sectPr w:rsidR="004D5CBC" w:rsidRPr="005F4DBF">
          <w:headerReference w:type="default" r:id="rId44"/>
          <w:pgSz w:w="11906" w:h="16838"/>
          <w:pgMar w:top="1418" w:right="1418" w:bottom="1418" w:left="1418" w:header="567" w:footer="283" w:gutter="0"/>
          <w:cols w:space="708"/>
          <w:docGrid w:linePitch="360"/>
        </w:sectPr>
      </w:pPr>
    </w:p>
    <w:p w:rsidR="004D5CBC" w:rsidRDefault="004D5CBC" w:rsidP="00A11F8D">
      <w:pPr>
        <w:pStyle w:val="Heading2"/>
        <w:tabs>
          <w:tab w:val="clear" w:pos="794"/>
        </w:tabs>
        <w:ind w:left="0" w:firstLine="0"/>
      </w:pPr>
      <w:bookmarkStart w:id="101" w:name="_Toc520996439"/>
      <w:r>
        <w:lastRenderedPageBreak/>
        <w:t>Glossary</w:t>
      </w:r>
      <w:bookmarkEnd w:id="101"/>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4D5CBC" w:rsidRPr="00A11F8D" w:rsidTr="00A11F8D">
        <w:trPr>
          <w:cantSplit/>
          <w:tblHeader/>
        </w:trPr>
        <w:tc>
          <w:tcPr>
            <w:tcW w:w="1509" w:type="pct"/>
          </w:tcPr>
          <w:p w:rsidR="004D5CBC" w:rsidRPr="00A11F8D" w:rsidRDefault="004D5CBC" w:rsidP="00A11F8D">
            <w:pPr>
              <w:pStyle w:val="TableHeading"/>
            </w:pPr>
            <w:r w:rsidRPr="00A11F8D">
              <w:t>Term or abbreviation</w:t>
            </w:r>
          </w:p>
        </w:tc>
        <w:tc>
          <w:tcPr>
            <w:tcW w:w="3491" w:type="pct"/>
          </w:tcPr>
          <w:p w:rsidR="004D5CBC" w:rsidRPr="00A11F8D" w:rsidRDefault="004D5CBC" w:rsidP="00A11F8D">
            <w:pPr>
              <w:pStyle w:val="TableHeading"/>
            </w:pPr>
            <w:r w:rsidRPr="00A11F8D">
              <w:t>Definition</w:t>
            </w:r>
          </w:p>
        </w:tc>
      </w:tr>
      <w:tr w:rsidR="004D5CBC" w:rsidRPr="00A11F8D" w:rsidTr="00A11F8D">
        <w:tc>
          <w:tcPr>
            <w:tcW w:w="1509" w:type="pct"/>
          </w:tcPr>
          <w:p w:rsidR="004D5CBC" w:rsidRPr="00A11F8D" w:rsidRDefault="004D5CBC" w:rsidP="00A11F8D">
            <w:pPr>
              <w:pStyle w:val="TableText"/>
            </w:pPr>
            <w:r w:rsidRPr="00A11F8D">
              <w:t>Appropriate level of protection (ALOP)</w:t>
            </w:r>
          </w:p>
        </w:tc>
        <w:tc>
          <w:tcPr>
            <w:tcW w:w="3491" w:type="pct"/>
          </w:tcPr>
          <w:p w:rsidR="004D5CBC" w:rsidRPr="00A11F8D" w:rsidRDefault="004D5CBC" w:rsidP="00EF2C72">
            <w:pPr>
              <w:pStyle w:val="TableText"/>
            </w:pPr>
            <w:r w:rsidRPr="00A11F8D">
              <w:t xml:space="preserve">The level of protection deemed appropriate by the Member establishing a sanitary or phytosanitary measure to protect human, animal or plant life or health within its territory </w:t>
            </w:r>
            <w:r>
              <w:rPr>
                <w:noProof/>
              </w:rPr>
              <w:t>(WTO 1995)</w:t>
            </w:r>
            <w:r w:rsidRPr="00A11F8D">
              <w:t>.</w:t>
            </w:r>
          </w:p>
        </w:tc>
      </w:tr>
      <w:tr w:rsidR="004D5CBC" w:rsidRPr="00A11F8D" w:rsidTr="00A11F8D">
        <w:tc>
          <w:tcPr>
            <w:tcW w:w="1509" w:type="pct"/>
          </w:tcPr>
          <w:p w:rsidR="004D5CBC" w:rsidRPr="00A11F8D" w:rsidRDefault="004D5CBC" w:rsidP="00DE3490">
            <w:pPr>
              <w:pStyle w:val="TableText"/>
            </w:pPr>
            <w:r>
              <w:t>Appropriate level of protection (ALOP) for Australia</w:t>
            </w:r>
          </w:p>
        </w:tc>
        <w:tc>
          <w:tcPr>
            <w:tcW w:w="3491" w:type="pct"/>
          </w:tcPr>
          <w:p w:rsidR="004D5CBC" w:rsidRPr="00A11F8D" w:rsidRDefault="004D5CBC" w:rsidP="00DF1C38">
            <w:pPr>
              <w:pStyle w:val="TableText"/>
            </w:pPr>
            <w:r>
              <w:t xml:space="preserve">The </w:t>
            </w:r>
            <w:r w:rsidRPr="00153630">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4D5CBC" w:rsidRPr="00A11F8D" w:rsidTr="00A11F8D">
        <w:tc>
          <w:tcPr>
            <w:tcW w:w="1509" w:type="pct"/>
          </w:tcPr>
          <w:p w:rsidR="004D5CBC" w:rsidRPr="00A11F8D" w:rsidRDefault="004D5CBC" w:rsidP="00A11F8D">
            <w:pPr>
              <w:pStyle w:val="TableText"/>
            </w:pPr>
            <w:r w:rsidRPr="00A11F8D">
              <w:t>Area</w:t>
            </w:r>
          </w:p>
        </w:tc>
        <w:tc>
          <w:tcPr>
            <w:tcW w:w="3491" w:type="pct"/>
          </w:tcPr>
          <w:p w:rsidR="004D5CBC" w:rsidRPr="00A11F8D" w:rsidRDefault="004D5CBC" w:rsidP="00EF2C72">
            <w:pPr>
              <w:pStyle w:val="TableText"/>
            </w:pPr>
            <w:r w:rsidRPr="00A11F8D">
              <w:t xml:space="preserve">An officially defined country, part of a country or all or parts of several countries </w:t>
            </w:r>
            <w:r>
              <w:rPr>
                <w:noProof/>
              </w:rPr>
              <w:t>(FAO 2017a)</w:t>
            </w:r>
            <w:r w:rsidRPr="00A11F8D">
              <w:t>.</w:t>
            </w:r>
          </w:p>
        </w:tc>
      </w:tr>
      <w:tr w:rsidR="004D5CBC" w:rsidRPr="00A11F8D" w:rsidTr="00A11F8D">
        <w:tc>
          <w:tcPr>
            <w:tcW w:w="1509" w:type="pct"/>
          </w:tcPr>
          <w:p w:rsidR="004D5CBC" w:rsidRPr="00A11F8D" w:rsidRDefault="004D5CBC" w:rsidP="00A11F8D">
            <w:pPr>
              <w:pStyle w:val="TableText"/>
            </w:pPr>
            <w:r w:rsidRPr="00A11F8D">
              <w:t>Area of low pest prevalence</w:t>
            </w:r>
          </w:p>
        </w:tc>
        <w:tc>
          <w:tcPr>
            <w:tcW w:w="3491" w:type="pct"/>
          </w:tcPr>
          <w:p w:rsidR="004D5CBC" w:rsidRPr="00A11F8D" w:rsidRDefault="004D5CBC" w:rsidP="00EF2C72">
            <w:pPr>
              <w:pStyle w:val="TableText"/>
            </w:pPr>
            <w:r w:rsidRPr="00A11F8D">
              <w:t xml:space="preserve">An area, whether all </w:t>
            </w:r>
            <w:r>
              <w:t>of a country, part of a country</w:t>
            </w:r>
            <w:r w:rsidRPr="00A11F8D">
              <w:t xml:space="preserve"> or all parts of several countries, as identified by the competent authorities, in which a specific pest occurs at low levels and which is subject to effective surveillance, control or eradication measures </w:t>
            </w:r>
            <w:r>
              <w:rPr>
                <w:noProof/>
              </w:rPr>
              <w:t>(FAO 2017a)</w:t>
            </w:r>
            <w:r w:rsidRPr="00A11F8D">
              <w:t>.</w:t>
            </w:r>
          </w:p>
        </w:tc>
      </w:tr>
      <w:tr w:rsidR="004D5CBC" w:rsidRPr="00A11F8D" w:rsidTr="00A11F8D">
        <w:tc>
          <w:tcPr>
            <w:tcW w:w="1509" w:type="pct"/>
          </w:tcPr>
          <w:p w:rsidR="004D5CBC" w:rsidRPr="00A11F8D" w:rsidRDefault="004D5CBC" w:rsidP="005157EF">
            <w:pPr>
              <w:pStyle w:val="TableText"/>
            </w:pPr>
            <w:r>
              <w:t>Areole</w:t>
            </w:r>
          </w:p>
        </w:tc>
        <w:tc>
          <w:tcPr>
            <w:tcW w:w="3491" w:type="pct"/>
          </w:tcPr>
          <w:p w:rsidR="004D5CBC" w:rsidRPr="00A11F8D" w:rsidRDefault="004D5CBC" w:rsidP="00EF2C72">
            <w:pPr>
              <w:pStyle w:val="TableText"/>
            </w:pPr>
            <w:r>
              <w:t xml:space="preserve">A modified axillary bud on a cactus from which spines grow </w:t>
            </w:r>
            <w:r>
              <w:rPr>
                <w:noProof/>
              </w:rPr>
              <w:t>(Altesor &amp; Ezcurra 2003)</w:t>
            </w:r>
            <w:r>
              <w:t xml:space="preserve">. The flowers (and subsequent fruit) of </w:t>
            </w:r>
            <w:r>
              <w:rPr>
                <w:i/>
              </w:rPr>
              <w:t>Hylocereus</w:t>
            </w:r>
            <w:r>
              <w:t xml:space="preserve"> species (dragon fruit included within the scope of this risk analysis) grow from the areoles</w:t>
            </w:r>
            <w:r>
              <w:rPr>
                <w:noProof/>
              </w:rPr>
              <w:t xml:space="preserve"> (Jiang et al. 2012)</w:t>
            </w:r>
            <w:r>
              <w:t>.</w:t>
            </w:r>
          </w:p>
        </w:tc>
      </w:tr>
      <w:tr w:rsidR="004D5CBC" w:rsidRPr="00A11F8D" w:rsidTr="00A11F8D">
        <w:tc>
          <w:tcPr>
            <w:tcW w:w="1509" w:type="pct"/>
          </w:tcPr>
          <w:p w:rsidR="004D5CBC" w:rsidRPr="00A11F8D" w:rsidRDefault="004D5CBC" w:rsidP="005157EF">
            <w:pPr>
              <w:pStyle w:val="TableText"/>
            </w:pPr>
            <w:r w:rsidRPr="00A11F8D">
              <w:t>Arthropod</w:t>
            </w:r>
          </w:p>
        </w:tc>
        <w:tc>
          <w:tcPr>
            <w:tcW w:w="3491" w:type="pct"/>
          </w:tcPr>
          <w:p w:rsidR="004D5CBC" w:rsidRPr="00A11F8D" w:rsidRDefault="004D5CBC" w:rsidP="005157EF">
            <w:pPr>
              <w:pStyle w:val="TableText"/>
            </w:pPr>
            <w:r w:rsidRPr="00A11F8D">
              <w:t>The largest phylum of animals, including the insects, arachnids and crustaceans.</w:t>
            </w:r>
          </w:p>
        </w:tc>
      </w:tr>
      <w:tr w:rsidR="004D5CBC" w:rsidRPr="00A11F8D" w:rsidTr="00DF1C38">
        <w:tc>
          <w:tcPr>
            <w:tcW w:w="1509" w:type="pct"/>
          </w:tcPr>
          <w:p w:rsidR="004D5CBC" w:rsidRPr="00A11F8D" w:rsidRDefault="004D5CBC" w:rsidP="005157EF">
            <w:pPr>
              <w:pStyle w:val="TableText"/>
            </w:pPr>
            <w:r>
              <w:rPr>
                <w:color w:val="000000" w:themeColor="text1"/>
              </w:rPr>
              <w:t>Australian territory</w:t>
            </w:r>
          </w:p>
        </w:tc>
        <w:tc>
          <w:tcPr>
            <w:tcW w:w="3491" w:type="pct"/>
          </w:tcPr>
          <w:p w:rsidR="004D5CBC" w:rsidRPr="00A11F8D" w:rsidRDefault="004D5CBC" w:rsidP="005157EF">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4D5CBC" w:rsidRPr="00A11F8D" w:rsidTr="00A11F8D">
        <w:tc>
          <w:tcPr>
            <w:tcW w:w="1509" w:type="pct"/>
          </w:tcPr>
          <w:p w:rsidR="004D5CBC" w:rsidRPr="00A11F8D" w:rsidRDefault="004D5CBC" w:rsidP="005157EF">
            <w:pPr>
              <w:pStyle w:val="TableText"/>
            </w:pPr>
            <w:r w:rsidRPr="00A11F8D">
              <w:t>Biosecurity</w:t>
            </w:r>
          </w:p>
        </w:tc>
        <w:tc>
          <w:tcPr>
            <w:tcW w:w="3491" w:type="pct"/>
          </w:tcPr>
          <w:p w:rsidR="004D5CBC" w:rsidRPr="00A11F8D" w:rsidRDefault="004D5CBC" w:rsidP="005157EF">
            <w:pPr>
              <w:pStyle w:val="TableText"/>
            </w:pPr>
            <w:r w:rsidRPr="00A11F8D">
              <w:t>The prevention of the entry, establishment or spread of unwanted pests and infectious disease agents to protect human,</w:t>
            </w:r>
            <w:r>
              <w:t xml:space="preserve"> animal or plant health or life</w:t>
            </w:r>
            <w:r w:rsidRPr="00A11F8D">
              <w:t xml:space="preserve"> and the environment.</w:t>
            </w:r>
          </w:p>
        </w:tc>
      </w:tr>
      <w:tr w:rsidR="004D5CBC" w:rsidRPr="00A11F8D" w:rsidTr="00930A42">
        <w:tc>
          <w:tcPr>
            <w:tcW w:w="1509" w:type="pct"/>
          </w:tcPr>
          <w:p w:rsidR="004D5CBC" w:rsidRDefault="004D5CBC" w:rsidP="005157EF">
            <w:pPr>
              <w:pStyle w:val="TableText"/>
            </w:pPr>
            <w:r>
              <w:t>Biosecurity import risk analysis (BIRA)</w:t>
            </w:r>
          </w:p>
        </w:tc>
        <w:tc>
          <w:tcPr>
            <w:tcW w:w="3491" w:type="pct"/>
          </w:tcPr>
          <w:p w:rsidR="004D5CBC" w:rsidRDefault="004D5CBC" w:rsidP="005157EF">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4D5CBC" w:rsidRPr="00A11F8D" w:rsidTr="00A11F8D">
        <w:tc>
          <w:tcPr>
            <w:tcW w:w="1509" w:type="pct"/>
          </w:tcPr>
          <w:p w:rsidR="004D5CBC" w:rsidRPr="00A11F8D" w:rsidRDefault="004D5CBC" w:rsidP="005157EF">
            <w:pPr>
              <w:pStyle w:val="TableText"/>
            </w:pPr>
            <w:r>
              <w:t>Biosecurity risk</w:t>
            </w:r>
          </w:p>
        </w:tc>
        <w:tc>
          <w:tcPr>
            <w:tcW w:w="3491" w:type="pct"/>
          </w:tcPr>
          <w:p w:rsidR="004D5CBC" w:rsidRPr="00A11F8D" w:rsidRDefault="004D5CBC" w:rsidP="005157EF">
            <w:pPr>
              <w:pStyle w:val="TableText"/>
            </w:pPr>
            <w:r>
              <w:t xml:space="preserve">The </w:t>
            </w:r>
            <w:r w:rsidRPr="00153630">
              <w:rPr>
                <w:i/>
              </w:rPr>
              <w:t>Biosec</w:t>
            </w:r>
            <w:r>
              <w:rPr>
                <w:i/>
              </w:rPr>
              <w:t>u</w:t>
            </w:r>
            <w:r w:rsidRPr="00153630">
              <w:rPr>
                <w:i/>
              </w:rPr>
              <w:t>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4D5CBC" w:rsidRPr="00A11F8D" w:rsidTr="00A11F8D">
        <w:tc>
          <w:tcPr>
            <w:tcW w:w="1509" w:type="pct"/>
          </w:tcPr>
          <w:p w:rsidR="004D5CBC" w:rsidRDefault="004D5CBC" w:rsidP="00971F60">
            <w:pPr>
              <w:pStyle w:val="TableText"/>
            </w:pPr>
            <w:r w:rsidRPr="007C5974">
              <w:t>Bract</w:t>
            </w:r>
          </w:p>
        </w:tc>
        <w:tc>
          <w:tcPr>
            <w:tcW w:w="3491" w:type="pct"/>
          </w:tcPr>
          <w:p w:rsidR="004D5CBC" w:rsidRDefault="004D5CBC" w:rsidP="00971F60">
            <w:pPr>
              <w:pStyle w:val="TableText"/>
            </w:pPr>
            <w:r w:rsidRPr="007C5974">
              <w:t>A specialised leaf or leaf-like part</w:t>
            </w:r>
            <w:r>
              <w:t>. In dragon fruit the bracts are part of the fruit skin and not connected to the stem.</w:t>
            </w:r>
          </w:p>
        </w:tc>
      </w:tr>
      <w:tr w:rsidR="004D5CBC" w:rsidRPr="00A11F8D" w:rsidTr="00A11F8D">
        <w:tc>
          <w:tcPr>
            <w:tcW w:w="1509" w:type="pct"/>
          </w:tcPr>
          <w:p w:rsidR="004D5CBC" w:rsidRPr="00A11F8D" w:rsidRDefault="004D5CBC" w:rsidP="00971F60">
            <w:pPr>
              <w:pStyle w:val="TableText"/>
            </w:pPr>
            <w:r w:rsidRPr="00A11F8D">
              <w:t>Consignment</w:t>
            </w:r>
          </w:p>
        </w:tc>
        <w:tc>
          <w:tcPr>
            <w:tcW w:w="3491" w:type="pct"/>
          </w:tcPr>
          <w:p w:rsidR="004D5CBC" w:rsidRPr="00A11F8D" w:rsidRDefault="004D5CBC" w:rsidP="00EF2C72">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Control (of a pest)</w:t>
            </w:r>
          </w:p>
        </w:tc>
        <w:tc>
          <w:tcPr>
            <w:tcW w:w="3491" w:type="pct"/>
          </w:tcPr>
          <w:p w:rsidR="004D5CBC" w:rsidRPr="00A11F8D" w:rsidRDefault="004D5CBC" w:rsidP="00EF2C72">
            <w:pPr>
              <w:pStyle w:val="TableText"/>
            </w:pPr>
            <w:r w:rsidRPr="00A11F8D">
              <w:t xml:space="preserve">Suppression, containment or eradication of a pest population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The department</w:t>
            </w:r>
          </w:p>
        </w:tc>
        <w:tc>
          <w:tcPr>
            <w:tcW w:w="3491" w:type="pct"/>
          </w:tcPr>
          <w:p w:rsidR="004D5CBC" w:rsidRPr="00A11F8D" w:rsidRDefault="004D5CBC" w:rsidP="00971F60">
            <w:pPr>
              <w:pStyle w:val="TableText"/>
            </w:pPr>
            <w:r w:rsidRPr="00A11F8D">
              <w:t>The Australian Government Department of Agriculture and Water Resources.</w:t>
            </w:r>
          </w:p>
        </w:tc>
      </w:tr>
      <w:tr w:rsidR="004D5CBC" w:rsidRPr="00A11F8D" w:rsidTr="00A11F8D">
        <w:tc>
          <w:tcPr>
            <w:tcW w:w="1509" w:type="pct"/>
          </w:tcPr>
          <w:p w:rsidR="004D5CBC" w:rsidRPr="00A11F8D" w:rsidRDefault="004D5CBC" w:rsidP="00971F60">
            <w:pPr>
              <w:pStyle w:val="TableText"/>
            </w:pPr>
            <w:r w:rsidRPr="00A11F8D">
              <w:t>Entry (of a pest)</w:t>
            </w:r>
          </w:p>
        </w:tc>
        <w:tc>
          <w:tcPr>
            <w:tcW w:w="3491" w:type="pct"/>
          </w:tcPr>
          <w:p w:rsidR="004D5CBC" w:rsidRPr="00A11F8D" w:rsidRDefault="004D5CBC" w:rsidP="00EF2C72">
            <w:pPr>
              <w:pStyle w:val="TableText"/>
            </w:pPr>
            <w:r w:rsidRPr="00A11F8D">
              <w:t xml:space="preserve">Movement of a pest into an area where it is not yet present, or present but not widely distributed and being officially controlled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Establishment (of a pest)</w:t>
            </w:r>
          </w:p>
        </w:tc>
        <w:tc>
          <w:tcPr>
            <w:tcW w:w="3491" w:type="pct"/>
          </w:tcPr>
          <w:p w:rsidR="004D5CBC" w:rsidRPr="00A11F8D" w:rsidRDefault="004D5CBC" w:rsidP="00EF2C72">
            <w:pPr>
              <w:pStyle w:val="TableText"/>
            </w:pPr>
            <w:r w:rsidRPr="00A11F8D">
              <w:t xml:space="preserve">Perpetuation, for the foreseeable future, of a pest within an area after entry </w:t>
            </w:r>
            <w:r>
              <w:rPr>
                <w:noProof/>
              </w:rPr>
              <w:t>(FAO 2017a)</w:t>
            </w:r>
            <w:r w:rsidRPr="00A11F8D">
              <w:t>.</w:t>
            </w:r>
          </w:p>
        </w:tc>
      </w:tr>
      <w:tr w:rsidR="004D5CBC" w:rsidRPr="00A11F8D" w:rsidTr="00EC7A6B">
        <w:tc>
          <w:tcPr>
            <w:tcW w:w="1509" w:type="pct"/>
          </w:tcPr>
          <w:p w:rsidR="004D5CBC" w:rsidRPr="00A11F8D" w:rsidRDefault="004D5CBC" w:rsidP="00EC7A6B">
            <w:pPr>
              <w:pStyle w:val="TableText"/>
            </w:pPr>
            <w:r>
              <w:t>Farm</w:t>
            </w:r>
          </w:p>
        </w:tc>
        <w:tc>
          <w:tcPr>
            <w:tcW w:w="3491" w:type="pct"/>
          </w:tcPr>
          <w:p w:rsidR="004D5CBC" w:rsidRPr="00A11F8D" w:rsidRDefault="004D5CBC" w:rsidP="00EC7A6B">
            <w:pPr>
              <w:pStyle w:val="TableText"/>
            </w:pPr>
            <w:r w:rsidRPr="00A11F8D">
              <w:t xml:space="preserve">A contiguous </w:t>
            </w:r>
            <w:r w:rsidRPr="006B09C4">
              <w:t xml:space="preserve">area of dragon fruit plants operated </w:t>
            </w:r>
            <w:r w:rsidRPr="00A11F8D">
              <w:t xml:space="preserve">as a single entity. Within this report </w:t>
            </w:r>
            <w:r w:rsidRPr="004D32A6">
              <w:t>a single farm is covered under one registration and is issued a unique identifying number</w:t>
            </w:r>
            <w:r w:rsidRPr="00C20518">
              <w:t>.</w:t>
            </w:r>
          </w:p>
        </w:tc>
      </w:tr>
      <w:tr w:rsidR="004D5CBC" w:rsidRPr="00A11F8D" w:rsidTr="00A11F8D">
        <w:tc>
          <w:tcPr>
            <w:tcW w:w="1509" w:type="pct"/>
          </w:tcPr>
          <w:p w:rsidR="004D5CBC" w:rsidRPr="00A11F8D" w:rsidRDefault="004D5CBC" w:rsidP="00971F60">
            <w:pPr>
              <w:pStyle w:val="TableText"/>
            </w:pPr>
            <w:r w:rsidRPr="00A11F8D">
              <w:t>Fresh</w:t>
            </w:r>
          </w:p>
        </w:tc>
        <w:tc>
          <w:tcPr>
            <w:tcW w:w="3491" w:type="pct"/>
          </w:tcPr>
          <w:p w:rsidR="004D5CBC" w:rsidRPr="00A11F8D" w:rsidRDefault="004D5CBC" w:rsidP="00EF2C72">
            <w:pPr>
              <w:pStyle w:val="TableText"/>
            </w:pPr>
            <w:r w:rsidRPr="00A11F8D">
              <w:t xml:space="preserve">Living; not dried, deep-frozen or otherwise conserved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lastRenderedPageBreak/>
              <w:t>Fumigation</w:t>
            </w:r>
          </w:p>
        </w:tc>
        <w:tc>
          <w:tcPr>
            <w:tcW w:w="3491" w:type="pct"/>
          </w:tcPr>
          <w:p w:rsidR="004D5CBC" w:rsidRPr="00A11F8D" w:rsidRDefault="004D5CBC" w:rsidP="00971F60">
            <w:pPr>
              <w:pStyle w:val="TableText"/>
            </w:pPr>
            <w:r w:rsidRPr="00A11F8D">
              <w:t>A method of pest control that completely fills an area with gaseous pesticides to suffocate or poison the pests within.</w:t>
            </w:r>
          </w:p>
        </w:tc>
      </w:tr>
      <w:tr w:rsidR="004D5CBC" w:rsidRPr="00A11F8D" w:rsidTr="00A11F8D">
        <w:tc>
          <w:tcPr>
            <w:tcW w:w="1509" w:type="pct"/>
          </w:tcPr>
          <w:p w:rsidR="004D5CBC" w:rsidRPr="00A11F8D" w:rsidRDefault="004D5CBC" w:rsidP="00971F60">
            <w:pPr>
              <w:pStyle w:val="TableText"/>
            </w:pPr>
            <w:r w:rsidRPr="00A11F8D">
              <w:t>Genus</w:t>
            </w:r>
          </w:p>
        </w:tc>
        <w:tc>
          <w:tcPr>
            <w:tcW w:w="3491" w:type="pct"/>
          </w:tcPr>
          <w:p w:rsidR="004D5CBC" w:rsidRPr="00A11F8D" w:rsidRDefault="004D5CBC" w:rsidP="00971F60">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4D5CBC" w:rsidRPr="00A11F8D" w:rsidTr="00A11F8D">
        <w:tc>
          <w:tcPr>
            <w:tcW w:w="1509" w:type="pct"/>
          </w:tcPr>
          <w:p w:rsidR="004D5CBC" w:rsidRPr="00A11F8D" w:rsidRDefault="004D5CBC" w:rsidP="00971F60">
            <w:pPr>
              <w:pStyle w:val="TableText"/>
            </w:pPr>
            <w:r w:rsidRPr="00A11F8D">
              <w:t>Host</w:t>
            </w:r>
          </w:p>
        </w:tc>
        <w:tc>
          <w:tcPr>
            <w:tcW w:w="3491" w:type="pct"/>
          </w:tcPr>
          <w:p w:rsidR="004D5CBC" w:rsidRPr="00A11F8D" w:rsidRDefault="004D5CBC" w:rsidP="00971F60">
            <w:pPr>
              <w:pStyle w:val="TableText"/>
            </w:pPr>
            <w:r w:rsidRPr="00A11F8D">
              <w:t>An organism that harb</w:t>
            </w:r>
            <w:r>
              <w:t>ours a parasite, mutual partner</w:t>
            </w:r>
            <w:r w:rsidRPr="00A11F8D">
              <w:t xml:space="preserve"> or commensal partner, typically providing nourishment and shelter.</w:t>
            </w:r>
          </w:p>
        </w:tc>
      </w:tr>
      <w:tr w:rsidR="004D5CBC" w:rsidRPr="00A11F8D" w:rsidTr="00A11F8D">
        <w:tc>
          <w:tcPr>
            <w:tcW w:w="1509" w:type="pct"/>
          </w:tcPr>
          <w:p w:rsidR="004D5CBC" w:rsidRPr="00A11F8D" w:rsidRDefault="004D5CBC" w:rsidP="00971F60">
            <w:pPr>
              <w:pStyle w:val="TableText"/>
            </w:pPr>
            <w:r w:rsidRPr="00A11F8D">
              <w:t>Host range</w:t>
            </w:r>
          </w:p>
        </w:tc>
        <w:tc>
          <w:tcPr>
            <w:tcW w:w="3491" w:type="pct"/>
          </w:tcPr>
          <w:p w:rsidR="004D5CBC" w:rsidRPr="00A11F8D" w:rsidRDefault="004D5CBC" w:rsidP="00EF2C72">
            <w:pPr>
              <w:pStyle w:val="TableText"/>
            </w:pPr>
            <w:r w:rsidRPr="00A11F8D">
              <w:t xml:space="preserve">Species capable, under natural conditions, of sustaining a specific pest or other organism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Import permit</w:t>
            </w:r>
          </w:p>
        </w:tc>
        <w:tc>
          <w:tcPr>
            <w:tcW w:w="3491" w:type="pct"/>
          </w:tcPr>
          <w:p w:rsidR="004D5CBC" w:rsidRPr="00A11F8D" w:rsidRDefault="004D5CBC" w:rsidP="00EF2C72">
            <w:pPr>
              <w:pStyle w:val="TableText"/>
            </w:pPr>
            <w:r w:rsidRPr="00A11F8D">
              <w:t xml:space="preserve">Official document authorising importation of a commodity in accordance with specified phytosanitary import requirements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Infection</w:t>
            </w:r>
          </w:p>
        </w:tc>
        <w:tc>
          <w:tcPr>
            <w:tcW w:w="3491" w:type="pct"/>
          </w:tcPr>
          <w:p w:rsidR="004D5CBC" w:rsidRPr="00A11F8D" w:rsidRDefault="004D5CBC" w:rsidP="00971F60">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4D5CBC" w:rsidRPr="00A11F8D" w:rsidTr="00A11F8D">
        <w:tc>
          <w:tcPr>
            <w:tcW w:w="1509" w:type="pct"/>
          </w:tcPr>
          <w:p w:rsidR="004D5CBC" w:rsidRPr="00A11F8D" w:rsidRDefault="004D5CBC" w:rsidP="00971F60">
            <w:pPr>
              <w:pStyle w:val="TableText"/>
            </w:pPr>
            <w:r w:rsidRPr="00A11F8D">
              <w:t>Infestation (of a commodity)</w:t>
            </w:r>
          </w:p>
        </w:tc>
        <w:tc>
          <w:tcPr>
            <w:tcW w:w="3491" w:type="pct"/>
          </w:tcPr>
          <w:p w:rsidR="004D5CBC" w:rsidRPr="00A11F8D" w:rsidRDefault="004D5CBC" w:rsidP="00EF2C72">
            <w:pPr>
              <w:pStyle w:val="TableText"/>
            </w:pPr>
            <w:r w:rsidRPr="00A11F8D">
              <w:t xml:space="preserve">Presence in a commodity of a living pest of the plant or plant product concerned. Infestation includes infection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Inspection</w:t>
            </w:r>
          </w:p>
        </w:tc>
        <w:tc>
          <w:tcPr>
            <w:tcW w:w="3491" w:type="pct"/>
          </w:tcPr>
          <w:p w:rsidR="004D5CBC" w:rsidRPr="00A11F8D" w:rsidRDefault="004D5CBC" w:rsidP="00EF2C72">
            <w:pPr>
              <w:pStyle w:val="TableText"/>
            </w:pPr>
            <w:r w:rsidRPr="00A11F8D">
              <w:t xml:space="preserve">Official visual examination of plants, plant products or other regulated articles to determine if pests are present or to determine compliance with phytosanitary regulations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Intended use</w:t>
            </w:r>
          </w:p>
        </w:tc>
        <w:tc>
          <w:tcPr>
            <w:tcW w:w="3491" w:type="pct"/>
          </w:tcPr>
          <w:p w:rsidR="004D5CBC" w:rsidRPr="00A11F8D" w:rsidRDefault="004D5CBC" w:rsidP="00EF2C72">
            <w:pPr>
              <w:pStyle w:val="TableText"/>
            </w:pPr>
            <w:r w:rsidRPr="00A11F8D">
              <w:t>Declared purpose f</w:t>
            </w:r>
            <w:r>
              <w:t>or which plants, plant products</w:t>
            </w:r>
            <w:r w:rsidRPr="00A11F8D">
              <w:t xml:space="preserve"> or other regulated articles are imported, produced or used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Interception (of a pest)</w:t>
            </w:r>
          </w:p>
        </w:tc>
        <w:tc>
          <w:tcPr>
            <w:tcW w:w="3491" w:type="pct"/>
          </w:tcPr>
          <w:p w:rsidR="004D5CBC" w:rsidRPr="00A11F8D" w:rsidRDefault="004D5CBC" w:rsidP="00EF2C72">
            <w:pPr>
              <w:pStyle w:val="TableText"/>
            </w:pPr>
            <w:r w:rsidRPr="00A11F8D">
              <w:t xml:space="preserve">The detection of a pest during inspection or testing of an imported consignment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t>International Plant Protection Convention (IPPC)</w:t>
            </w:r>
          </w:p>
        </w:tc>
        <w:tc>
          <w:tcPr>
            <w:tcW w:w="3491" w:type="pct"/>
          </w:tcPr>
          <w:p w:rsidR="004D5CBC" w:rsidRPr="00A11F8D" w:rsidRDefault="004D5CBC" w:rsidP="00971F60">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4D5CBC" w:rsidRPr="00A11F8D" w:rsidTr="00A11F8D">
        <w:tc>
          <w:tcPr>
            <w:tcW w:w="1509" w:type="pct"/>
          </w:tcPr>
          <w:p w:rsidR="004D5CBC" w:rsidRPr="00A11F8D" w:rsidRDefault="004D5CBC" w:rsidP="00971F60">
            <w:pPr>
              <w:pStyle w:val="TableText"/>
            </w:pPr>
            <w:r w:rsidRPr="00A11F8D">
              <w:t>International Standard for Phytosanitary Measures (ISPM)</w:t>
            </w:r>
          </w:p>
        </w:tc>
        <w:tc>
          <w:tcPr>
            <w:tcW w:w="3491" w:type="pct"/>
          </w:tcPr>
          <w:p w:rsidR="004D5CBC" w:rsidRPr="00A11F8D" w:rsidRDefault="004D5CBC" w:rsidP="00EF2C72">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 xml:space="preserve">C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Introduction (of a pest)</w:t>
            </w:r>
          </w:p>
        </w:tc>
        <w:tc>
          <w:tcPr>
            <w:tcW w:w="3491" w:type="pct"/>
          </w:tcPr>
          <w:p w:rsidR="004D5CBC" w:rsidRPr="00A11F8D" w:rsidRDefault="004D5CBC" w:rsidP="00EF2C72">
            <w:pPr>
              <w:pStyle w:val="TableText"/>
            </w:pPr>
            <w:r w:rsidRPr="00A11F8D">
              <w:t xml:space="preserve">The entry of a pest resulting in its establishment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Larva</w:t>
            </w:r>
          </w:p>
        </w:tc>
        <w:tc>
          <w:tcPr>
            <w:tcW w:w="3491" w:type="pct"/>
          </w:tcPr>
          <w:p w:rsidR="004D5CBC" w:rsidRPr="00A11F8D" w:rsidRDefault="004D5CBC" w:rsidP="00971F60">
            <w:pPr>
              <w:pStyle w:val="TableText"/>
            </w:pPr>
            <w:r w:rsidRPr="00A11F8D">
              <w:t xml:space="preserve">A juvenile form of animal with indirect development, undergoing metamorphosis (for example, </w:t>
            </w:r>
            <w:r>
              <w:t>butterflies</w:t>
            </w:r>
            <w:r w:rsidRPr="00A11F8D">
              <w:t xml:space="preserve"> or amphibians).</w:t>
            </w:r>
          </w:p>
        </w:tc>
      </w:tr>
      <w:tr w:rsidR="004D5CBC" w:rsidRPr="00A11F8D" w:rsidTr="00A11F8D">
        <w:tc>
          <w:tcPr>
            <w:tcW w:w="1509" w:type="pct"/>
          </w:tcPr>
          <w:p w:rsidR="004D5CBC" w:rsidRPr="00A11F8D" w:rsidRDefault="004D5CBC" w:rsidP="00971F60">
            <w:pPr>
              <w:pStyle w:val="TableText"/>
            </w:pPr>
            <w:r w:rsidRPr="00A11F8D">
              <w:t>Lot</w:t>
            </w:r>
          </w:p>
        </w:tc>
        <w:tc>
          <w:tcPr>
            <w:tcW w:w="3491" w:type="pct"/>
          </w:tcPr>
          <w:p w:rsidR="004D5CBC" w:rsidRPr="00A11F8D" w:rsidRDefault="004D5CBC" w:rsidP="00EF2C72">
            <w:pPr>
              <w:pStyle w:val="TableText"/>
            </w:pPr>
            <w:r w:rsidRPr="00A11F8D">
              <w:t xml:space="preserve">A number of units of a single commodity, identifiable by its homogeneity of composition, origin et cetera, forming part of a consignment </w:t>
            </w:r>
            <w:r>
              <w:rPr>
                <w:noProof/>
              </w:rPr>
              <w:t>(FAO 2017a)</w:t>
            </w:r>
            <w:r w:rsidRPr="00A11F8D">
              <w:t>. Within this report a ‘lot’ refers to a quantity of fruit of a single variety, harvested from a single production site during a single pick and packed at one time.</w:t>
            </w:r>
          </w:p>
        </w:tc>
      </w:tr>
      <w:tr w:rsidR="004D5CBC" w:rsidRPr="00A11F8D" w:rsidTr="00A11F8D">
        <w:tc>
          <w:tcPr>
            <w:tcW w:w="1509" w:type="pct"/>
          </w:tcPr>
          <w:p w:rsidR="004D5CBC" w:rsidRPr="00A11F8D" w:rsidRDefault="004D5CBC" w:rsidP="00971F60">
            <w:pPr>
              <w:pStyle w:val="TableText"/>
            </w:pPr>
            <w:r w:rsidRPr="00A11F8D">
              <w:t>Mature fruit</w:t>
            </w:r>
          </w:p>
        </w:tc>
        <w:tc>
          <w:tcPr>
            <w:tcW w:w="3491" w:type="pct"/>
          </w:tcPr>
          <w:p w:rsidR="004D5CBC" w:rsidRPr="00A11F8D" w:rsidRDefault="004D5CBC" w:rsidP="00971F60">
            <w:pPr>
              <w:pStyle w:val="TableText"/>
            </w:pPr>
            <w:r w:rsidRPr="00A11F8D">
              <w:t>Commercial maturity is the start of the ripening process. The ripening process will then continue and provide a product that is consumer-acceptable. Maturity assessments include colour, starch, index, soluble solids c</w:t>
            </w:r>
            <w:r>
              <w:t>ontent, flesh firmness, acidity</w:t>
            </w:r>
            <w:r w:rsidRPr="00A11F8D">
              <w:t xml:space="preserve"> and ethylene production rate.</w:t>
            </w:r>
          </w:p>
        </w:tc>
      </w:tr>
      <w:tr w:rsidR="004D5CBC" w:rsidRPr="00A11F8D" w:rsidTr="00A11F8D">
        <w:tc>
          <w:tcPr>
            <w:tcW w:w="1509" w:type="pct"/>
          </w:tcPr>
          <w:p w:rsidR="004D5CBC" w:rsidRPr="00A11F8D" w:rsidRDefault="004D5CBC" w:rsidP="00971F60">
            <w:pPr>
              <w:pStyle w:val="TableText"/>
            </w:pPr>
            <w:r w:rsidRPr="00A11F8D">
              <w:t>National Plant Protection Organization (NPPO)</w:t>
            </w:r>
          </w:p>
        </w:tc>
        <w:tc>
          <w:tcPr>
            <w:tcW w:w="3491" w:type="pct"/>
          </w:tcPr>
          <w:p w:rsidR="004D5CBC" w:rsidRPr="00A11F8D" w:rsidRDefault="004D5CBC" w:rsidP="00EF2C72">
            <w:pPr>
              <w:pStyle w:val="TableText"/>
            </w:pPr>
            <w:r w:rsidRPr="00A11F8D">
              <w:t xml:space="preserve">Official service established by a government to discharge the functions specified by the IPPC </w:t>
            </w:r>
            <w:r>
              <w:rPr>
                <w:noProof/>
              </w:rPr>
              <w:t>(FAO 2017a)</w:t>
            </w:r>
            <w:r w:rsidRPr="00A11F8D">
              <w:t>.</w:t>
            </w:r>
            <w:r>
              <w:t xml:space="preserve"> The NPPO of Indonesia is IAQA.</w:t>
            </w:r>
          </w:p>
        </w:tc>
      </w:tr>
      <w:tr w:rsidR="004D5CBC" w:rsidRPr="00A11F8D" w:rsidTr="00A11F8D">
        <w:tc>
          <w:tcPr>
            <w:tcW w:w="1509" w:type="pct"/>
          </w:tcPr>
          <w:p w:rsidR="004D5CBC" w:rsidRPr="00A11F8D" w:rsidRDefault="004D5CBC" w:rsidP="00971F60">
            <w:pPr>
              <w:pStyle w:val="TableText"/>
            </w:pPr>
            <w:r>
              <w:t>Non-regulated risk analysis</w:t>
            </w:r>
          </w:p>
        </w:tc>
        <w:tc>
          <w:tcPr>
            <w:tcW w:w="3491" w:type="pct"/>
          </w:tcPr>
          <w:p w:rsidR="004D5CBC" w:rsidRPr="00A11F8D" w:rsidRDefault="004D5CBC" w:rsidP="00971F60">
            <w:pPr>
              <w:pStyle w:val="TableText"/>
            </w:pPr>
            <w:r>
              <w:t>Refers to the process for conducting a risk analysis that is not regulated under legislation (Biosecurity import risk analysis guidelines 2016).</w:t>
            </w:r>
          </w:p>
        </w:tc>
      </w:tr>
      <w:tr w:rsidR="004D5CBC" w:rsidRPr="00A11F8D" w:rsidTr="00A11F8D">
        <w:tc>
          <w:tcPr>
            <w:tcW w:w="1509" w:type="pct"/>
          </w:tcPr>
          <w:p w:rsidR="004D5CBC" w:rsidRPr="00A11F8D" w:rsidRDefault="004D5CBC" w:rsidP="00971F60">
            <w:pPr>
              <w:pStyle w:val="TableText"/>
            </w:pPr>
            <w:r w:rsidRPr="00A11F8D">
              <w:t>Official control</w:t>
            </w:r>
          </w:p>
        </w:tc>
        <w:tc>
          <w:tcPr>
            <w:tcW w:w="3491" w:type="pct"/>
          </w:tcPr>
          <w:p w:rsidR="004D5CBC" w:rsidRPr="00A11F8D" w:rsidRDefault="004D5CBC" w:rsidP="00EF2C72">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lastRenderedPageBreak/>
              <w:t>Pathogen</w:t>
            </w:r>
          </w:p>
        </w:tc>
        <w:tc>
          <w:tcPr>
            <w:tcW w:w="3491" w:type="pct"/>
          </w:tcPr>
          <w:p w:rsidR="004D5CBC" w:rsidRPr="00A11F8D" w:rsidRDefault="004D5CBC" w:rsidP="00971F60">
            <w:pPr>
              <w:pStyle w:val="TableText"/>
            </w:pPr>
            <w:r w:rsidRPr="00A11F8D">
              <w:t>A biological agent that can cause disease to its host.</w:t>
            </w:r>
          </w:p>
        </w:tc>
      </w:tr>
      <w:tr w:rsidR="004D5CBC" w:rsidRPr="00A11F8D" w:rsidTr="00A11F8D">
        <w:tc>
          <w:tcPr>
            <w:tcW w:w="1509" w:type="pct"/>
          </w:tcPr>
          <w:p w:rsidR="004D5CBC" w:rsidRPr="00A11F8D" w:rsidRDefault="004D5CBC" w:rsidP="00971F60">
            <w:pPr>
              <w:pStyle w:val="TableText"/>
            </w:pPr>
            <w:r w:rsidRPr="00A11F8D">
              <w:t>Pathway</w:t>
            </w:r>
          </w:p>
        </w:tc>
        <w:tc>
          <w:tcPr>
            <w:tcW w:w="3491" w:type="pct"/>
          </w:tcPr>
          <w:p w:rsidR="004D5CBC" w:rsidRPr="00A11F8D" w:rsidRDefault="004D5CBC" w:rsidP="00EF2C72">
            <w:pPr>
              <w:pStyle w:val="TableText"/>
            </w:pPr>
            <w:r w:rsidRPr="00A11F8D">
              <w:t xml:space="preserve">Any means that allows the entry or spread of a pest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w:t>
            </w:r>
          </w:p>
        </w:tc>
        <w:tc>
          <w:tcPr>
            <w:tcW w:w="3491" w:type="pct"/>
          </w:tcPr>
          <w:p w:rsidR="004D5CBC" w:rsidRPr="00A11F8D" w:rsidRDefault="004D5CBC" w:rsidP="00EF2C72">
            <w:pPr>
              <w:pStyle w:val="TableText"/>
            </w:pPr>
            <w:r w:rsidRPr="00A11F8D">
              <w:t>Any species, str</w:t>
            </w:r>
            <w:r>
              <w:t>ain or biotype of plant, animal</w:t>
            </w:r>
            <w:r w:rsidRPr="00A11F8D">
              <w:t xml:space="preserve"> or pathogenic agent injurious to plants or plant products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categorisation</w:t>
            </w:r>
          </w:p>
        </w:tc>
        <w:tc>
          <w:tcPr>
            <w:tcW w:w="3491" w:type="pct"/>
          </w:tcPr>
          <w:p w:rsidR="004D5CBC" w:rsidRPr="00A11F8D" w:rsidRDefault="004D5CBC" w:rsidP="00EF2C72">
            <w:pPr>
              <w:pStyle w:val="TableText"/>
            </w:pPr>
            <w:r w:rsidRPr="00A11F8D">
              <w:t xml:space="preserve">The process for determining whether a pest has or has not the characteristics of a quarantine pest or those of a regulated non-quarantine pest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free area (PFA)</w:t>
            </w:r>
          </w:p>
        </w:tc>
        <w:tc>
          <w:tcPr>
            <w:tcW w:w="3491" w:type="pct"/>
          </w:tcPr>
          <w:p w:rsidR="004D5CBC" w:rsidRPr="00A11F8D" w:rsidRDefault="004D5CBC" w:rsidP="00EF2C72">
            <w:pPr>
              <w:pStyle w:val="TableText"/>
            </w:pPr>
            <w:r w:rsidRPr="00A11F8D">
              <w:t xml:space="preserve">An area in which a specific pest does not occur as demonstrated by scientific evidence and in which, where appropriate, this condition is being officially maintained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free place of production</w:t>
            </w:r>
          </w:p>
        </w:tc>
        <w:tc>
          <w:tcPr>
            <w:tcW w:w="3491" w:type="pct"/>
          </w:tcPr>
          <w:p w:rsidR="004D5CBC" w:rsidRPr="00A11F8D" w:rsidRDefault="004D5CBC" w:rsidP="00EF2C72">
            <w:pPr>
              <w:pStyle w:val="TableText"/>
            </w:pPr>
            <w:r w:rsidRPr="00A11F8D">
              <w:t xml:space="preserve">Place of production in which a specific pest does not occur as demonstrated by scientific evidence and in which, where appropriate, this condition is being officially maintained for a defined period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free production site</w:t>
            </w:r>
          </w:p>
        </w:tc>
        <w:tc>
          <w:tcPr>
            <w:tcW w:w="3491" w:type="pct"/>
          </w:tcPr>
          <w:p w:rsidR="004D5CBC" w:rsidRPr="00A11F8D" w:rsidRDefault="004D5CBC" w:rsidP="00EF2C72">
            <w:pPr>
              <w:pStyle w:val="TableText"/>
            </w:pPr>
            <w:r w:rsidRPr="00A11F8D">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risk analysis (PRA)</w:t>
            </w:r>
          </w:p>
        </w:tc>
        <w:tc>
          <w:tcPr>
            <w:tcW w:w="3491" w:type="pct"/>
          </w:tcPr>
          <w:p w:rsidR="004D5CBC" w:rsidRPr="00A11F8D" w:rsidRDefault="004D5CBC" w:rsidP="00EF2C72">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risk assessment (for quarantine pests)</w:t>
            </w:r>
          </w:p>
        </w:tc>
        <w:tc>
          <w:tcPr>
            <w:tcW w:w="3491" w:type="pct"/>
          </w:tcPr>
          <w:p w:rsidR="004D5CBC" w:rsidRPr="00A11F8D" w:rsidRDefault="004D5CBC" w:rsidP="00EF2C72">
            <w:pPr>
              <w:pStyle w:val="TableText"/>
            </w:pPr>
            <w:r w:rsidRPr="00A11F8D">
              <w:t xml:space="preserve">Evaluation of the probability of the introduction and spread of a pest and of the magnitude of the associated potential economic consequences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risk assessment (for regulated non-quarantine pests)</w:t>
            </w:r>
          </w:p>
        </w:tc>
        <w:tc>
          <w:tcPr>
            <w:tcW w:w="3491" w:type="pct"/>
          </w:tcPr>
          <w:p w:rsidR="004D5CBC" w:rsidRPr="00A11F8D" w:rsidRDefault="004D5CBC" w:rsidP="00EF2C72">
            <w:pPr>
              <w:pStyle w:val="TableText"/>
            </w:pPr>
            <w:r w:rsidRPr="00A11F8D">
              <w:t>Evaluation of the probability that a pest in pla</w:t>
            </w:r>
            <w:r>
              <w:t>nts for planting affects the intend</w:t>
            </w:r>
            <w:r w:rsidRPr="00A11F8D">
              <w:t xml:space="preserve">ed use of those plants with an economically unacceptable impact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risk management (for quarantine pests)</w:t>
            </w:r>
          </w:p>
        </w:tc>
        <w:tc>
          <w:tcPr>
            <w:tcW w:w="3491" w:type="pct"/>
          </w:tcPr>
          <w:p w:rsidR="004D5CBC" w:rsidRPr="00A11F8D" w:rsidRDefault="004D5CBC" w:rsidP="00EF2C72">
            <w:pPr>
              <w:pStyle w:val="TableText"/>
            </w:pPr>
            <w:r w:rsidRPr="00A11F8D">
              <w:t xml:space="preserve">Evaluation and selection of options to reduce the risk of introduction and spread of a pest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risk management (for regulated non-quarantine pests)</w:t>
            </w:r>
          </w:p>
        </w:tc>
        <w:tc>
          <w:tcPr>
            <w:tcW w:w="3491" w:type="pct"/>
          </w:tcPr>
          <w:p w:rsidR="004D5CBC" w:rsidRPr="00A11F8D" w:rsidRDefault="004D5CBC" w:rsidP="00EF2C72">
            <w:pPr>
              <w:pStyle w:val="TableText"/>
            </w:pPr>
            <w:r w:rsidRPr="00A11F8D">
              <w:t xml:space="preserve">Evaluation and selection of options to reduce the risk that a pest in plants for planting causes an economically unacceptable impact on the intended use of those plants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Pest status (in an area)</w:t>
            </w:r>
          </w:p>
        </w:tc>
        <w:tc>
          <w:tcPr>
            <w:tcW w:w="3491" w:type="pct"/>
          </w:tcPr>
          <w:p w:rsidR="004D5CBC" w:rsidRPr="00A11F8D" w:rsidRDefault="004D5CBC" w:rsidP="00EF2C72">
            <w:pPr>
              <w:pStyle w:val="TableText"/>
            </w:pPr>
            <w:r w:rsidRPr="00A11F8D">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Phytosanitary certificate</w:t>
            </w:r>
          </w:p>
        </w:tc>
        <w:tc>
          <w:tcPr>
            <w:tcW w:w="3491" w:type="pct"/>
          </w:tcPr>
          <w:p w:rsidR="004D5CBC" w:rsidRPr="00A11F8D" w:rsidRDefault="004D5CBC" w:rsidP="00EF2C72">
            <w:pPr>
              <w:pStyle w:val="TableText"/>
            </w:pPr>
            <w:r w:rsidRPr="00A11F8D">
              <w:t xml:space="preserve">An official paper document or its official electronic equivalent, consistent with the model of certificates of the IPPC, attesting that a consignment meets phytosanitary import requirements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Phytosanitary certification</w:t>
            </w:r>
          </w:p>
        </w:tc>
        <w:tc>
          <w:tcPr>
            <w:tcW w:w="3491" w:type="pct"/>
          </w:tcPr>
          <w:p w:rsidR="004D5CBC" w:rsidRPr="00A11F8D" w:rsidRDefault="004D5CBC" w:rsidP="00EF2C72">
            <w:pPr>
              <w:pStyle w:val="TableText"/>
            </w:pPr>
            <w:r w:rsidRPr="00A11F8D">
              <w:t xml:space="preserve">Use of phytosanitary procedures leading to the issue of a phytosanitary certificate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Phytosanitary measure</w:t>
            </w:r>
          </w:p>
        </w:tc>
        <w:tc>
          <w:tcPr>
            <w:tcW w:w="3491" w:type="pct"/>
          </w:tcPr>
          <w:p w:rsidR="004D5CBC" w:rsidRPr="00A11F8D" w:rsidRDefault="004D5CBC" w:rsidP="00EF2C72">
            <w:pPr>
              <w:pStyle w:val="TableText"/>
            </w:pPr>
            <w:r>
              <w:t xml:space="preserve">Phytosanitary relates to the health of plants. </w:t>
            </w:r>
            <w:r w:rsidRPr="00A11F8D">
              <w:t xml:space="preserve">Any legislation, regulation or official procedure having the purpose to prevent the introduction and/or spread of quarantine pests, or to limit the economic impact of regulated non-quarantine pests </w:t>
            </w:r>
            <w:r>
              <w:rPr>
                <w:noProof/>
              </w:rPr>
              <w:t>(FAO 2017a)</w:t>
            </w:r>
            <w:r w:rsidRPr="00A11F8D">
              <w:t>.</w:t>
            </w:r>
            <w:r>
              <w:t xml:space="preserve"> In this risk analysis the term ‘phytosanitary measure’ and ‘risk management measure’ may be used interchangeably. </w:t>
            </w:r>
          </w:p>
        </w:tc>
      </w:tr>
      <w:tr w:rsidR="004D5CBC" w:rsidRPr="00A11F8D" w:rsidTr="00A11F8D">
        <w:tc>
          <w:tcPr>
            <w:tcW w:w="1509" w:type="pct"/>
          </w:tcPr>
          <w:p w:rsidR="004D5CBC" w:rsidRPr="00A11F8D" w:rsidRDefault="004D5CBC" w:rsidP="00971F60">
            <w:pPr>
              <w:pStyle w:val="TableText"/>
            </w:pPr>
            <w:r w:rsidRPr="00A11F8D">
              <w:t>Phytosanitary procedure</w:t>
            </w:r>
          </w:p>
        </w:tc>
        <w:tc>
          <w:tcPr>
            <w:tcW w:w="3491" w:type="pct"/>
          </w:tcPr>
          <w:p w:rsidR="004D5CBC" w:rsidRPr="00A11F8D" w:rsidRDefault="004D5CBC" w:rsidP="00EF2C72">
            <w:pPr>
              <w:pStyle w:val="TableText"/>
            </w:pPr>
            <w:r w:rsidRPr="00A11F8D">
              <w:t xml:space="preserve">Any official method for implementing phytosanitary measures including the performance of inspections, tests, surveillance or treatments in connection with regulated pests </w:t>
            </w:r>
            <w:r>
              <w:rPr>
                <w:noProof/>
              </w:rPr>
              <w:t>(FAO 2017a)</w:t>
            </w:r>
            <w:r w:rsidRPr="00A11F8D">
              <w:t>.</w:t>
            </w:r>
          </w:p>
        </w:tc>
      </w:tr>
      <w:tr w:rsidR="004D5CBC" w:rsidRPr="00A11F8D" w:rsidTr="00A11F8D">
        <w:tc>
          <w:tcPr>
            <w:tcW w:w="1509" w:type="pct"/>
          </w:tcPr>
          <w:p w:rsidR="004D5CBC" w:rsidRPr="00A11F8D" w:rsidRDefault="004D5CBC" w:rsidP="00971F60">
            <w:pPr>
              <w:pStyle w:val="TableText"/>
            </w:pPr>
            <w:r w:rsidRPr="00A11F8D">
              <w:t>Phytosanitary regulation</w:t>
            </w:r>
          </w:p>
        </w:tc>
        <w:tc>
          <w:tcPr>
            <w:tcW w:w="3491" w:type="pct"/>
          </w:tcPr>
          <w:p w:rsidR="004D5CBC" w:rsidRPr="00A11F8D" w:rsidRDefault="004D5CBC" w:rsidP="00EF2C72">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Pr>
                <w:noProof/>
              </w:rPr>
              <w:t>(FAO 2017a)</w:t>
            </w:r>
            <w:r w:rsidRPr="00A11F8D">
              <w:t>.</w:t>
            </w:r>
          </w:p>
        </w:tc>
      </w:tr>
      <w:tr w:rsidR="004D5CBC" w:rsidRPr="00A11F8D" w:rsidTr="00A11F8D">
        <w:tc>
          <w:tcPr>
            <w:tcW w:w="1509" w:type="pct"/>
          </w:tcPr>
          <w:p w:rsidR="004D5CBC" w:rsidRPr="00A11F8D" w:rsidRDefault="004D5CBC" w:rsidP="002819CA">
            <w:pPr>
              <w:pStyle w:val="TableText"/>
            </w:pPr>
            <w:r w:rsidRPr="00F671F7">
              <w:t>Pleomorphic</w:t>
            </w:r>
          </w:p>
        </w:tc>
        <w:tc>
          <w:tcPr>
            <w:tcW w:w="3491" w:type="pct"/>
          </w:tcPr>
          <w:p w:rsidR="004D5CBC" w:rsidRPr="00A11F8D" w:rsidRDefault="004D5CBC" w:rsidP="002819CA">
            <w:pPr>
              <w:pStyle w:val="TableText"/>
            </w:pPr>
            <w:r w:rsidRPr="00F671F7">
              <w:t>The property of a life cycle of fungi in which different stages have different morphology.</w:t>
            </w:r>
          </w:p>
        </w:tc>
      </w:tr>
      <w:tr w:rsidR="004D5CBC" w:rsidRPr="00A11F8D" w:rsidTr="00A11F8D">
        <w:tc>
          <w:tcPr>
            <w:tcW w:w="1509" w:type="pct"/>
          </w:tcPr>
          <w:p w:rsidR="004D5CBC" w:rsidRPr="00AA100E" w:rsidRDefault="004D5CBC" w:rsidP="002819CA">
            <w:pPr>
              <w:pStyle w:val="TableText"/>
            </w:pPr>
            <w:r w:rsidRPr="00AA100E">
              <w:lastRenderedPageBreak/>
              <w:t>PRA area</w:t>
            </w:r>
          </w:p>
        </w:tc>
        <w:tc>
          <w:tcPr>
            <w:tcW w:w="3491" w:type="pct"/>
          </w:tcPr>
          <w:p w:rsidR="004D5CBC" w:rsidRPr="00AA100E" w:rsidRDefault="004D5CBC" w:rsidP="00EF2C72">
            <w:pPr>
              <w:pStyle w:val="TableText"/>
            </w:pPr>
            <w:r w:rsidRPr="00AA100E">
              <w:t xml:space="preserve">Area in relation to which a pest risk analysis is conducted </w:t>
            </w:r>
            <w:r>
              <w:rPr>
                <w:noProof/>
              </w:rPr>
              <w:t>(FAO 2017a)</w:t>
            </w:r>
            <w:r w:rsidRPr="00AA100E">
              <w:t>. In this report the PRA area is the country of Australia.</w:t>
            </w:r>
          </w:p>
        </w:tc>
      </w:tr>
      <w:tr w:rsidR="004D5CBC" w:rsidRPr="00A11F8D" w:rsidTr="00A11F8D">
        <w:tc>
          <w:tcPr>
            <w:tcW w:w="1509" w:type="pct"/>
          </w:tcPr>
          <w:p w:rsidR="004D5CBC" w:rsidRPr="00A11F8D" w:rsidRDefault="004D5CBC" w:rsidP="002819CA">
            <w:pPr>
              <w:pStyle w:val="TableText"/>
            </w:pPr>
            <w:r w:rsidRPr="00A11F8D">
              <w:t>Production site</w:t>
            </w:r>
          </w:p>
        </w:tc>
        <w:tc>
          <w:tcPr>
            <w:tcW w:w="3491" w:type="pct"/>
          </w:tcPr>
          <w:p w:rsidR="004D5CBC" w:rsidRPr="00A11F8D" w:rsidRDefault="004D5CBC" w:rsidP="002819CA">
            <w:pPr>
              <w:pStyle w:val="TableText"/>
            </w:pPr>
            <w:r w:rsidRPr="00A11F8D">
              <w:t xml:space="preserve">In this report, a production site is a continuous </w:t>
            </w:r>
            <w:r w:rsidRPr="002819CA">
              <w:t>planting of dragon fruit plants treated as a single unit for pest management purpo</w:t>
            </w:r>
            <w:r>
              <w:t>ses. If a</w:t>
            </w:r>
            <w:r w:rsidRPr="00A11F8D">
              <w:t xml:space="preserve"> </w:t>
            </w:r>
            <w:r>
              <w:t>farm</w:t>
            </w:r>
            <w:r w:rsidRPr="000F5AE9">
              <w:t xml:space="preserve"> </w:t>
            </w:r>
            <w:r w:rsidRPr="00A11F8D">
              <w:t xml:space="preserve">is subdivided into one or more units for pest management purposes, then each unit is a production site. If the </w:t>
            </w:r>
            <w:r>
              <w:t>farm</w:t>
            </w:r>
            <w:r w:rsidRPr="000F5AE9">
              <w:t xml:space="preserve"> </w:t>
            </w:r>
            <w:r w:rsidRPr="00A11F8D">
              <w:t xml:space="preserve">is not subdivided, then the </w:t>
            </w:r>
            <w:r>
              <w:t>farm</w:t>
            </w:r>
            <w:r w:rsidRPr="00A11F8D">
              <w:t xml:space="preserve"> is also the production site.</w:t>
            </w:r>
          </w:p>
        </w:tc>
      </w:tr>
      <w:tr w:rsidR="004D5CBC" w:rsidRPr="00A11F8D" w:rsidTr="00A11F8D">
        <w:tc>
          <w:tcPr>
            <w:tcW w:w="1509" w:type="pct"/>
          </w:tcPr>
          <w:p w:rsidR="004D5CBC" w:rsidRPr="00A11F8D" w:rsidRDefault="004D5CBC" w:rsidP="002819CA">
            <w:pPr>
              <w:pStyle w:val="TableText"/>
            </w:pPr>
            <w:r w:rsidRPr="00A11F8D">
              <w:t>Pupa</w:t>
            </w:r>
          </w:p>
        </w:tc>
        <w:tc>
          <w:tcPr>
            <w:tcW w:w="3491" w:type="pct"/>
          </w:tcPr>
          <w:p w:rsidR="004D5CBC" w:rsidRPr="00A11F8D" w:rsidRDefault="004D5CBC" w:rsidP="008C0FAF">
            <w:pPr>
              <w:pStyle w:val="TableText"/>
            </w:pPr>
            <w:r w:rsidRPr="00A11F8D">
              <w:t>An inactive life stage that only occurs in insects that undergo complete metamorphosis</w:t>
            </w:r>
            <w:r>
              <w:t>;</w:t>
            </w:r>
            <w:r w:rsidRPr="00A11F8D">
              <w:t xml:space="preserve"> for example</w:t>
            </w:r>
            <w:r>
              <w:t>,</w:t>
            </w:r>
            <w:r w:rsidRPr="00A11F8D">
              <w:t xml:space="preserve"> butterflies and moths (Lepidoptera), beetles (Coleoptera) and bees, wasps and ants (Hymenoptera).</w:t>
            </w:r>
          </w:p>
        </w:tc>
      </w:tr>
      <w:tr w:rsidR="004D5CBC" w:rsidRPr="00A11F8D" w:rsidTr="00A11F8D">
        <w:tc>
          <w:tcPr>
            <w:tcW w:w="1509" w:type="pct"/>
          </w:tcPr>
          <w:p w:rsidR="004D5CBC" w:rsidRPr="00A11F8D" w:rsidRDefault="004D5CBC" w:rsidP="002819CA">
            <w:pPr>
              <w:pStyle w:val="TableText"/>
            </w:pPr>
            <w:r w:rsidRPr="00A11F8D">
              <w:t>Quarantine</w:t>
            </w:r>
          </w:p>
        </w:tc>
        <w:tc>
          <w:tcPr>
            <w:tcW w:w="3491" w:type="pct"/>
          </w:tcPr>
          <w:p w:rsidR="004D5CBC" w:rsidRPr="00A11F8D" w:rsidRDefault="004D5CBC" w:rsidP="00EF2C72">
            <w:pPr>
              <w:pStyle w:val="TableText"/>
            </w:pPr>
            <w:r w:rsidRPr="00A11F8D">
              <w:t xml:space="preserve">Official confinement of regulated articles for observation and research or for further inspection, testing or treatment </w:t>
            </w:r>
            <w:r>
              <w:rPr>
                <w:noProof/>
              </w:rPr>
              <w:t>(FAO 2017a)</w:t>
            </w:r>
            <w:r w:rsidRPr="00A11F8D">
              <w:t>.</w:t>
            </w:r>
          </w:p>
        </w:tc>
      </w:tr>
      <w:tr w:rsidR="004D5CBC" w:rsidRPr="00A11F8D" w:rsidTr="00A11F8D">
        <w:tc>
          <w:tcPr>
            <w:tcW w:w="1509" w:type="pct"/>
          </w:tcPr>
          <w:p w:rsidR="004D5CBC" w:rsidRPr="00A11F8D" w:rsidRDefault="004D5CBC" w:rsidP="002819CA">
            <w:pPr>
              <w:pStyle w:val="TableText"/>
            </w:pPr>
            <w:r w:rsidRPr="00A11F8D">
              <w:t>Quarantine pest</w:t>
            </w:r>
          </w:p>
        </w:tc>
        <w:tc>
          <w:tcPr>
            <w:tcW w:w="3491" w:type="pct"/>
          </w:tcPr>
          <w:p w:rsidR="004D5CBC" w:rsidRPr="00A11F8D" w:rsidRDefault="004D5CBC" w:rsidP="00EF2C72">
            <w:pPr>
              <w:pStyle w:val="TableText"/>
            </w:pPr>
            <w:r w:rsidRPr="00A11F8D">
              <w:t xml:space="preserve">A pest of potential economic importance to the area endangered thereby and not yet present there, or present but not widely distributed and being officially controlled </w:t>
            </w:r>
            <w:r>
              <w:rPr>
                <w:noProof/>
              </w:rPr>
              <w:t>(FAO 2017a)</w:t>
            </w:r>
            <w:r w:rsidRPr="00A11F8D">
              <w:t>.</w:t>
            </w:r>
          </w:p>
        </w:tc>
      </w:tr>
      <w:tr w:rsidR="004D5CBC" w:rsidRPr="00A11F8D" w:rsidTr="00A11F8D">
        <w:tc>
          <w:tcPr>
            <w:tcW w:w="1509" w:type="pct"/>
          </w:tcPr>
          <w:p w:rsidR="004D5CBC" w:rsidRPr="00A11F8D" w:rsidRDefault="004D5CBC" w:rsidP="002819CA">
            <w:pPr>
              <w:pStyle w:val="TableText"/>
            </w:pPr>
            <w:r w:rsidRPr="00A11F8D">
              <w:t>Regulated article</w:t>
            </w:r>
          </w:p>
        </w:tc>
        <w:tc>
          <w:tcPr>
            <w:tcW w:w="3491" w:type="pct"/>
          </w:tcPr>
          <w:p w:rsidR="004D5CBC" w:rsidRPr="00A11F8D" w:rsidRDefault="004D5CBC" w:rsidP="00EF2C72">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2017a)</w:t>
            </w:r>
            <w:r w:rsidRPr="00A11F8D">
              <w:t>.</w:t>
            </w:r>
          </w:p>
        </w:tc>
      </w:tr>
      <w:tr w:rsidR="004D5CBC" w:rsidRPr="00A11F8D" w:rsidTr="00A11F8D">
        <w:tc>
          <w:tcPr>
            <w:tcW w:w="1509" w:type="pct"/>
          </w:tcPr>
          <w:p w:rsidR="004D5CBC" w:rsidRPr="00A11F8D" w:rsidRDefault="004D5CBC" w:rsidP="002819CA">
            <w:pPr>
              <w:pStyle w:val="TableText"/>
            </w:pPr>
            <w:r w:rsidRPr="00A11F8D">
              <w:t>Regulated pest</w:t>
            </w:r>
          </w:p>
        </w:tc>
        <w:tc>
          <w:tcPr>
            <w:tcW w:w="3491" w:type="pct"/>
          </w:tcPr>
          <w:p w:rsidR="004D5CBC" w:rsidRPr="00A11F8D" w:rsidRDefault="004D5CBC" w:rsidP="00EF2C72">
            <w:pPr>
              <w:pStyle w:val="TableText"/>
            </w:pPr>
            <w:r w:rsidRPr="00A11F8D">
              <w:t xml:space="preserve">A quarantine pest or a regulated non-quarantine pest </w:t>
            </w:r>
            <w:r>
              <w:rPr>
                <w:noProof/>
              </w:rPr>
              <w:t>(FAO 2017a)</w:t>
            </w:r>
            <w:r w:rsidRPr="00A11F8D">
              <w:t>.</w:t>
            </w:r>
          </w:p>
        </w:tc>
      </w:tr>
      <w:tr w:rsidR="004D5CBC" w:rsidRPr="00A11F8D" w:rsidTr="00A11F8D">
        <w:tc>
          <w:tcPr>
            <w:tcW w:w="1509" w:type="pct"/>
          </w:tcPr>
          <w:p w:rsidR="004D5CBC" w:rsidRPr="00A11F8D" w:rsidRDefault="004D5CBC" w:rsidP="002819CA">
            <w:pPr>
              <w:pStyle w:val="TableText"/>
            </w:pPr>
            <w:r w:rsidRPr="00A11F8D">
              <w:t>Restricted risk</w:t>
            </w:r>
          </w:p>
        </w:tc>
        <w:tc>
          <w:tcPr>
            <w:tcW w:w="3491" w:type="pct"/>
          </w:tcPr>
          <w:p w:rsidR="004D5CBC" w:rsidRPr="00A11F8D" w:rsidRDefault="004D5CBC" w:rsidP="00027C50">
            <w:pPr>
              <w:pStyle w:val="TableText"/>
            </w:pPr>
            <w:r>
              <w:t>R</w:t>
            </w:r>
            <w:r w:rsidRPr="00A11F8D">
              <w:t>isk estimate w</w:t>
            </w:r>
            <w:r>
              <w:t>hen risk management measures are applied</w:t>
            </w:r>
            <w:r w:rsidRPr="00A11F8D">
              <w:t>.</w:t>
            </w:r>
          </w:p>
        </w:tc>
      </w:tr>
      <w:tr w:rsidR="004D5CBC" w:rsidRPr="00A11F8D" w:rsidTr="00A11F8D">
        <w:tc>
          <w:tcPr>
            <w:tcW w:w="1509" w:type="pct"/>
          </w:tcPr>
          <w:p w:rsidR="004D5CBC" w:rsidRPr="00A11F8D" w:rsidRDefault="004D5CBC" w:rsidP="002819CA">
            <w:pPr>
              <w:pStyle w:val="TableText"/>
            </w:pPr>
            <w:r>
              <w:t>Risk analysis</w:t>
            </w:r>
          </w:p>
        </w:tc>
        <w:tc>
          <w:tcPr>
            <w:tcW w:w="3491" w:type="pct"/>
          </w:tcPr>
          <w:p w:rsidR="004D5CBC" w:rsidRPr="00A11F8D" w:rsidRDefault="004D5CBC" w:rsidP="002819CA">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4D5CBC" w:rsidRPr="00A11F8D" w:rsidTr="00A11F8D">
        <w:tc>
          <w:tcPr>
            <w:tcW w:w="1509" w:type="pct"/>
          </w:tcPr>
          <w:p w:rsidR="004D5CBC" w:rsidRDefault="004D5CBC" w:rsidP="002819CA">
            <w:pPr>
              <w:pStyle w:val="TableText"/>
            </w:pPr>
            <w:r>
              <w:t>Risk management measure</w:t>
            </w:r>
          </w:p>
        </w:tc>
        <w:tc>
          <w:tcPr>
            <w:tcW w:w="3491" w:type="pct"/>
          </w:tcPr>
          <w:p w:rsidR="004D5CBC" w:rsidRDefault="004D5CBC" w:rsidP="00732A58">
            <w:pPr>
              <w:pStyle w:val="TableText"/>
            </w:pPr>
            <w: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4D5CBC" w:rsidRPr="00A11F8D" w:rsidTr="00A11F8D">
        <w:tc>
          <w:tcPr>
            <w:tcW w:w="1509" w:type="pct"/>
          </w:tcPr>
          <w:p w:rsidR="004D5CBC" w:rsidRPr="00A11F8D" w:rsidRDefault="004D5CBC" w:rsidP="002819CA">
            <w:pPr>
              <w:pStyle w:val="TableText"/>
            </w:pPr>
            <w:r w:rsidRPr="00A11F8D">
              <w:t>Spread (of a pest)</w:t>
            </w:r>
          </w:p>
        </w:tc>
        <w:tc>
          <w:tcPr>
            <w:tcW w:w="3491" w:type="pct"/>
          </w:tcPr>
          <w:p w:rsidR="004D5CBC" w:rsidRPr="00A11F8D" w:rsidRDefault="004D5CBC" w:rsidP="00EF2C72">
            <w:pPr>
              <w:pStyle w:val="TableText"/>
            </w:pPr>
            <w:r w:rsidRPr="00A11F8D">
              <w:t xml:space="preserve">Expansion of the geographical distribution of a pest within an area </w:t>
            </w:r>
            <w:r>
              <w:rPr>
                <w:noProof/>
              </w:rPr>
              <w:t>(FAO 2017a)</w:t>
            </w:r>
            <w:r w:rsidRPr="00A11F8D">
              <w:t>.</w:t>
            </w:r>
          </w:p>
        </w:tc>
      </w:tr>
      <w:tr w:rsidR="004D5CBC" w:rsidRPr="00A11F8D" w:rsidTr="00A11F8D">
        <w:tc>
          <w:tcPr>
            <w:tcW w:w="1509" w:type="pct"/>
          </w:tcPr>
          <w:p w:rsidR="004D5CBC" w:rsidRPr="00A11F8D" w:rsidRDefault="004D5CBC" w:rsidP="002819CA">
            <w:pPr>
              <w:pStyle w:val="TableText"/>
            </w:pPr>
            <w:r w:rsidRPr="00A11F8D">
              <w:t>SPS Agreement</w:t>
            </w:r>
          </w:p>
        </w:tc>
        <w:tc>
          <w:tcPr>
            <w:tcW w:w="3491" w:type="pct"/>
          </w:tcPr>
          <w:p w:rsidR="004D5CBC" w:rsidRPr="00A11F8D" w:rsidRDefault="004D5CBC" w:rsidP="002819CA">
            <w:pPr>
              <w:pStyle w:val="TableText"/>
            </w:pPr>
            <w:r w:rsidRPr="00A11F8D">
              <w:t>WTO Agreement on the Application of Sanitary and Phytosanitary Measures.</w:t>
            </w:r>
          </w:p>
        </w:tc>
      </w:tr>
      <w:tr w:rsidR="004D5CBC" w:rsidRPr="00A11F8D" w:rsidTr="00A11F8D">
        <w:tc>
          <w:tcPr>
            <w:tcW w:w="1509" w:type="pct"/>
          </w:tcPr>
          <w:p w:rsidR="004D5CBC" w:rsidRPr="00A11F8D" w:rsidRDefault="004D5CBC" w:rsidP="002819CA">
            <w:pPr>
              <w:pStyle w:val="TableText"/>
            </w:pPr>
            <w:r w:rsidRPr="00A11F8D">
              <w:t>Stakeholders</w:t>
            </w:r>
          </w:p>
        </w:tc>
        <w:tc>
          <w:tcPr>
            <w:tcW w:w="3491" w:type="pct"/>
          </w:tcPr>
          <w:p w:rsidR="004D5CBC" w:rsidRPr="00A11F8D" w:rsidRDefault="004D5CBC" w:rsidP="002819CA">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4D5CBC" w:rsidRPr="00A11F8D" w:rsidTr="00A11F8D">
        <w:tc>
          <w:tcPr>
            <w:tcW w:w="1509" w:type="pct"/>
          </w:tcPr>
          <w:p w:rsidR="004D5CBC" w:rsidRPr="00A11F8D" w:rsidRDefault="004D5CBC" w:rsidP="002819CA">
            <w:pPr>
              <w:pStyle w:val="TableText"/>
            </w:pPr>
            <w:r w:rsidRPr="00A11F8D">
              <w:t>Surveillance</w:t>
            </w:r>
          </w:p>
        </w:tc>
        <w:tc>
          <w:tcPr>
            <w:tcW w:w="3491" w:type="pct"/>
          </w:tcPr>
          <w:p w:rsidR="004D5CBC" w:rsidRPr="00A11F8D" w:rsidRDefault="004D5CBC" w:rsidP="00EF2C72">
            <w:pPr>
              <w:pStyle w:val="TableText"/>
            </w:pPr>
            <w:r w:rsidRPr="00A11F8D">
              <w:t xml:space="preserve">An official process </w:t>
            </w:r>
            <w:r>
              <w:t>that</w:t>
            </w:r>
            <w:r w:rsidRPr="00A11F8D">
              <w:t xml:space="preserve"> collects and records data on pest occurrence or absence by surveying, monitoring or other procedures </w:t>
            </w:r>
            <w:r>
              <w:rPr>
                <w:noProof/>
              </w:rPr>
              <w:t>(FAO 2017a)</w:t>
            </w:r>
            <w:r w:rsidRPr="00A11F8D">
              <w:t>.</w:t>
            </w:r>
          </w:p>
        </w:tc>
      </w:tr>
      <w:tr w:rsidR="004D5CBC" w:rsidRPr="00A11F8D" w:rsidTr="00A11F8D">
        <w:tc>
          <w:tcPr>
            <w:tcW w:w="1509" w:type="pct"/>
          </w:tcPr>
          <w:p w:rsidR="004D5CBC" w:rsidRPr="00A11F8D" w:rsidRDefault="004D5CBC" w:rsidP="002819CA">
            <w:pPr>
              <w:pStyle w:val="TableText"/>
            </w:pPr>
            <w:r w:rsidRPr="00A11F8D">
              <w:t>Trash</w:t>
            </w:r>
          </w:p>
        </w:tc>
        <w:tc>
          <w:tcPr>
            <w:tcW w:w="3491" w:type="pct"/>
          </w:tcPr>
          <w:p w:rsidR="004D5CBC" w:rsidRPr="00A11F8D" w:rsidRDefault="004D5CBC" w:rsidP="002819CA">
            <w:pPr>
              <w:pStyle w:val="TableText"/>
            </w:pPr>
            <w:r w:rsidRPr="00A11F8D">
              <w:t xml:space="preserve">Soil, splinters, twigs, leaves and other plant material, other than fruit </w:t>
            </w:r>
            <w:r>
              <w:t>as defined in the scope of this risk analysis</w:t>
            </w:r>
            <w:r w:rsidRPr="00A11F8D">
              <w:t>.</w:t>
            </w:r>
            <w:r>
              <w:t xml:space="preserve"> For example, stem and leaf material, seeds, soil, animal matter/parts or other extraneous material.</w:t>
            </w:r>
          </w:p>
        </w:tc>
      </w:tr>
      <w:tr w:rsidR="004D5CBC" w:rsidRPr="00A11F8D" w:rsidTr="00A11F8D">
        <w:tc>
          <w:tcPr>
            <w:tcW w:w="1509" w:type="pct"/>
          </w:tcPr>
          <w:p w:rsidR="004D5CBC" w:rsidRPr="00A11F8D" w:rsidRDefault="004D5CBC" w:rsidP="002819CA">
            <w:pPr>
              <w:pStyle w:val="TableText"/>
            </w:pPr>
            <w:r w:rsidRPr="00A11F8D">
              <w:t>Treatment</w:t>
            </w:r>
          </w:p>
        </w:tc>
        <w:tc>
          <w:tcPr>
            <w:tcW w:w="3491" w:type="pct"/>
          </w:tcPr>
          <w:p w:rsidR="004D5CBC" w:rsidRPr="00A11F8D" w:rsidRDefault="004D5CBC" w:rsidP="00EF2C72">
            <w:pPr>
              <w:pStyle w:val="TableText"/>
            </w:pPr>
            <w:r w:rsidRPr="00A11F8D">
              <w:t xml:space="preserve">Official procedure for the killing, inactivation or removal of pests, or for rendering pests infertile or for devitalisation </w:t>
            </w:r>
            <w:r>
              <w:rPr>
                <w:noProof/>
              </w:rPr>
              <w:t>(FAO 2017a)</w:t>
            </w:r>
            <w:r w:rsidRPr="00A11F8D">
              <w:t>.</w:t>
            </w:r>
          </w:p>
        </w:tc>
      </w:tr>
      <w:tr w:rsidR="004D5CBC" w:rsidRPr="00A11F8D" w:rsidTr="00A11F8D">
        <w:tc>
          <w:tcPr>
            <w:tcW w:w="1509" w:type="pct"/>
          </w:tcPr>
          <w:p w:rsidR="004D5CBC" w:rsidRPr="00A11F8D" w:rsidRDefault="004D5CBC" w:rsidP="002819CA">
            <w:pPr>
              <w:pStyle w:val="TableText"/>
            </w:pPr>
            <w:r w:rsidRPr="00A11F8D">
              <w:t>Unrestricted risk</w:t>
            </w:r>
          </w:p>
        </w:tc>
        <w:tc>
          <w:tcPr>
            <w:tcW w:w="3491" w:type="pct"/>
          </w:tcPr>
          <w:p w:rsidR="004D5CBC" w:rsidRPr="00A11F8D" w:rsidRDefault="004D5CBC" w:rsidP="002819CA">
            <w:pPr>
              <w:pStyle w:val="TableText"/>
            </w:pPr>
            <w:r w:rsidRPr="00A11F8D">
              <w:t xml:space="preserve">Unrestricted risk estimates apply in the absence of risk </w:t>
            </w:r>
            <w:r>
              <w:t>management</w:t>
            </w:r>
            <w:r w:rsidRPr="00A11F8D">
              <w:t xml:space="preserve"> measures.</w:t>
            </w:r>
          </w:p>
        </w:tc>
      </w:tr>
      <w:tr w:rsidR="004D5CBC" w:rsidRPr="00A11F8D" w:rsidTr="00A11F8D">
        <w:tc>
          <w:tcPr>
            <w:tcW w:w="1509" w:type="pct"/>
          </w:tcPr>
          <w:p w:rsidR="004D5CBC" w:rsidRPr="00A11F8D" w:rsidRDefault="004D5CBC" w:rsidP="001E676C">
            <w:pPr>
              <w:pStyle w:val="TableText"/>
            </w:pPr>
            <w:r w:rsidRPr="00F671F7">
              <w:t>Vapour Heat Treatment</w:t>
            </w:r>
          </w:p>
        </w:tc>
        <w:tc>
          <w:tcPr>
            <w:tcW w:w="3491" w:type="pct"/>
          </w:tcPr>
          <w:p w:rsidR="004D5CBC" w:rsidRPr="00A11F8D" w:rsidRDefault="004D5CBC" w:rsidP="001E676C">
            <w:pPr>
              <w:pStyle w:val="TableText"/>
            </w:pPr>
            <w:r w:rsidRPr="00F671F7">
              <w:t>Measure for sterilisation of a fresh commodity t</w:t>
            </w:r>
            <w:r>
              <w:t>hrough even heating with steam.</w:t>
            </w:r>
          </w:p>
        </w:tc>
      </w:tr>
      <w:tr w:rsidR="004D5CBC" w:rsidRPr="00A11F8D" w:rsidTr="00A11F8D">
        <w:tc>
          <w:tcPr>
            <w:tcW w:w="1509" w:type="pct"/>
          </w:tcPr>
          <w:p w:rsidR="004D5CBC" w:rsidRPr="00A11F8D" w:rsidRDefault="004D5CBC" w:rsidP="001E676C">
            <w:pPr>
              <w:pStyle w:val="TableText"/>
            </w:pPr>
            <w:r w:rsidRPr="00A11F8D">
              <w:t>Vector</w:t>
            </w:r>
          </w:p>
        </w:tc>
        <w:tc>
          <w:tcPr>
            <w:tcW w:w="3491" w:type="pct"/>
          </w:tcPr>
          <w:p w:rsidR="004D5CBC" w:rsidRPr="00A11F8D" w:rsidRDefault="004D5CBC" w:rsidP="001E676C">
            <w:pPr>
              <w:pStyle w:val="TableText"/>
            </w:pPr>
            <w:r w:rsidRPr="00A11F8D">
              <w:t>An organism that does not cause disease itself, but which causes infection by conveying pathogens from one host to another.</w:t>
            </w:r>
          </w:p>
        </w:tc>
      </w:tr>
      <w:tr w:rsidR="004D5CBC" w:rsidRPr="00A11F8D" w:rsidTr="00A11F8D">
        <w:tc>
          <w:tcPr>
            <w:tcW w:w="1509" w:type="pct"/>
          </w:tcPr>
          <w:p w:rsidR="004D5CBC" w:rsidRPr="00A11F8D" w:rsidRDefault="004D5CBC" w:rsidP="001E676C">
            <w:pPr>
              <w:pStyle w:val="TableText"/>
            </w:pPr>
            <w:r w:rsidRPr="00A11F8D">
              <w:t>Viable</w:t>
            </w:r>
          </w:p>
        </w:tc>
        <w:tc>
          <w:tcPr>
            <w:tcW w:w="3491" w:type="pct"/>
          </w:tcPr>
          <w:p w:rsidR="004D5CBC" w:rsidRPr="00A11F8D" w:rsidRDefault="004D5CBC" w:rsidP="001E676C">
            <w:pPr>
              <w:pStyle w:val="TableText"/>
            </w:pPr>
            <w:r w:rsidRPr="00A11F8D">
              <w:t>Alive, able to germinate or capable of growth.</w:t>
            </w:r>
          </w:p>
        </w:tc>
      </w:tr>
    </w:tbl>
    <w:p w:rsidR="004D5CBC" w:rsidRPr="00A11F8D" w:rsidRDefault="004D5CBC" w:rsidP="00A11F8D"/>
    <w:p w:rsidR="004D5CBC" w:rsidRPr="00A11F8D" w:rsidRDefault="004D5CBC" w:rsidP="00A11F8D">
      <w:pPr>
        <w:sectPr w:rsidR="004D5CBC" w:rsidRPr="00A11F8D">
          <w:headerReference w:type="default" r:id="rId45"/>
          <w:pgSz w:w="11906" w:h="16838"/>
          <w:pgMar w:top="1418" w:right="1418" w:bottom="1418" w:left="1418" w:header="567" w:footer="283" w:gutter="0"/>
          <w:cols w:space="708"/>
          <w:docGrid w:linePitch="360"/>
        </w:sectPr>
      </w:pPr>
    </w:p>
    <w:p w:rsidR="004D5CBC" w:rsidRDefault="004D5CBC" w:rsidP="00A11F8D">
      <w:pPr>
        <w:pStyle w:val="Heading2"/>
        <w:tabs>
          <w:tab w:val="clear" w:pos="794"/>
        </w:tabs>
        <w:ind w:left="0" w:firstLine="0"/>
      </w:pPr>
      <w:bookmarkStart w:id="102" w:name="_Toc520996440"/>
      <w:r>
        <w:lastRenderedPageBreak/>
        <w:t>References</w:t>
      </w:r>
      <w:bookmarkEnd w:id="102"/>
    </w:p>
    <w:p w:rsidR="004D5CBC" w:rsidRPr="00EF2C72" w:rsidRDefault="004D5CBC" w:rsidP="00EF2C72">
      <w:pPr>
        <w:pStyle w:val="EndNoteBibliography"/>
        <w:spacing w:after="0"/>
      </w:pPr>
      <w:bookmarkStart w:id="103" w:name="_ENREF_1"/>
      <w:r w:rsidRPr="00EF2C72">
        <w:t xml:space="preserve">Altesor, A &amp; Ezcurra, E 2003, ‘Functional morphology and evolution of stem succulence in cacti’, </w:t>
      </w:r>
      <w:r w:rsidRPr="00EF2C72">
        <w:rPr>
          <w:i/>
        </w:rPr>
        <w:t>Journal of Arid Environments</w:t>
      </w:r>
      <w:r w:rsidRPr="00EF2C72">
        <w:t>, vol. 53, pp. 557-67.</w:t>
      </w:r>
      <w:bookmarkEnd w:id="103"/>
    </w:p>
    <w:p w:rsidR="004D5CBC" w:rsidRPr="00EF2C72" w:rsidRDefault="004D5CBC" w:rsidP="00EF2C72">
      <w:pPr>
        <w:pStyle w:val="EndNoteBibliography"/>
        <w:spacing w:after="0"/>
      </w:pPr>
      <w:bookmarkStart w:id="104" w:name="_ENREF_2"/>
      <w:r w:rsidRPr="00EF2C72">
        <w:t xml:space="preserve">Ash, A, Gleeson, T, Cui, H, Hall, M, Heyhoe, E, Higgins, A, Hopwood, G, MaclLeod, N, Paini, D, Pant, H, Poulton, P, Prestwidge, D, Webster, T &amp; Wilson, P 2014, </w:t>
      </w:r>
      <w:r w:rsidRPr="00EF2C72">
        <w:rPr>
          <w:i/>
        </w:rPr>
        <w:t>Northern Australia: food and fibre supply chains study – appendixes</w:t>
      </w:r>
      <w:r w:rsidRPr="00EF2C72">
        <w:t>, CSIRO &amp; ABARES, Australia.</w:t>
      </w:r>
      <w:bookmarkEnd w:id="104"/>
    </w:p>
    <w:p w:rsidR="004D5CBC" w:rsidRPr="00EF2C72" w:rsidRDefault="004D5CBC" w:rsidP="00EF2C72">
      <w:pPr>
        <w:pStyle w:val="EndNoteBibliography"/>
        <w:spacing w:after="0"/>
      </w:pPr>
      <w:bookmarkStart w:id="105" w:name="_ENREF_3"/>
      <w:r w:rsidRPr="00EF2C72">
        <w:t xml:space="preserve">Australian Department of Agriculture 2014, </w:t>
      </w:r>
      <w:r w:rsidRPr="00EF2C72">
        <w:rPr>
          <w:i/>
        </w:rPr>
        <w:t>Final import risk analysis report for fresh salacca fruit from Indonesia</w:t>
      </w:r>
      <w:r w:rsidRPr="00EF2C72">
        <w:t>, Department of Agriculture, Canberra.</w:t>
      </w:r>
      <w:bookmarkEnd w:id="105"/>
    </w:p>
    <w:p w:rsidR="004D5CBC" w:rsidRPr="00EF2C72" w:rsidRDefault="004D5CBC" w:rsidP="00EF2C72">
      <w:pPr>
        <w:pStyle w:val="EndNoteBibliography"/>
        <w:spacing w:after="0"/>
      </w:pPr>
      <w:bookmarkStart w:id="106" w:name="_ENREF_4"/>
      <w:r w:rsidRPr="00EF2C72">
        <w:t xml:space="preserve">Australian Government Department of Agriculture and Water Resources 2017, </w:t>
      </w:r>
      <w:r w:rsidRPr="00EF2C72">
        <w:rPr>
          <w:i/>
        </w:rPr>
        <w:t>Final group pest risk analysis for thrips and orthotospoviruses on fresh fruit, vegetable, cut-flower and foliage imports</w:t>
      </w:r>
      <w:r w:rsidRPr="00EF2C72">
        <w:t xml:space="preserve">, Australian Government Department of Agriculture and Water Resources, Canberra, available at </w:t>
      </w:r>
      <w:hyperlink r:id="rId46" w:history="1">
        <w:r w:rsidR="00C66BBA" w:rsidRPr="007E14E0">
          <w:rPr>
            <w:rStyle w:val="Hyperlink"/>
          </w:rPr>
          <w:t>http://www.agriculture.gov.au/biosecurity/risk-analysis/group-pest-risk-analyses/group-pra-thrips-orthotospoviruses/final-report</w:t>
        </w:r>
      </w:hyperlink>
      <w:r w:rsidRPr="00EF2C72">
        <w:t xml:space="preserve"> (pdf 3.95 mb).</w:t>
      </w:r>
      <w:bookmarkEnd w:id="106"/>
    </w:p>
    <w:p w:rsidR="004D5CBC" w:rsidRPr="00EF2C72" w:rsidRDefault="004D5CBC" w:rsidP="00EF2C72">
      <w:pPr>
        <w:pStyle w:val="EndNoteBibliography"/>
        <w:spacing w:after="0"/>
      </w:pPr>
      <w:bookmarkStart w:id="107" w:name="_ENREF_5"/>
      <w:r w:rsidRPr="00EF2C72">
        <w:t xml:space="preserve">Baayen, RP, O'Donnell, K, Bonants, PJM, Cigelnik, E, Kroon, LPNM, Roebroeck, EJA &amp; Waalwijk, C 2000, ‘Gene genealogies and AFLP analyses in the </w:t>
      </w:r>
      <w:r w:rsidRPr="00EF2C72">
        <w:rPr>
          <w:i/>
        </w:rPr>
        <w:t xml:space="preserve">Fusarium oxysporum </w:t>
      </w:r>
      <w:r w:rsidRPr="00EF2C72">
        <w:t xml:space="preserve">complex identify monophyletic and nonmonophyletic formae speciales causing wilt and rot disease’, </w:t>
      </w:r>
      <w:r w:rsidRPr="00EF2C72">
        <w:rPr>
          <w:i/>
        </w:rPr>
        <w:t>Ecology and Population Biology</w:t>
      </w:r>
      <w:r w:rsidRPr="00EF2C72">
        <w:t>, vol. 90, no. 8, pp. 891-900.</w:t>
      </w:r>
      <w:bookmarkEnd w:id="107"/>
    </w:p>
    <w:p w:rsidR="004D5CBC" w:rsidRPr="00EF2C72" w:rsidRDefault="004D5CBC" w:rsidP="00EF2C72">
      <w:pPr>
        <w:pStyle w:val="EndNoteBibliography"/>
        <w:spacing w:after="0"/>
      </w:pPr>
      <w:bookmarkStart w:id="108" w:name="_ENREF_6"/>
      <w:r w:rsidRPr="00EF2C72">
        <w:t xml:space="preserve">Bertetti, D, Ortu, G, Gullino, ML &amp; Garibaldi, A 2017, ‘Identification of </w:t>
      </w:r>
      <w:r w:rsidRPr="00EF2C72">
        <w:rPr>
          <w:i/>
        </w:rPr>
        <w:t xml:space="preserve">Fusarium oxysporum </w:t>
      </w:r>
      <w:r w:rsidRPr="00EF2C72">
        <w:t xml:space="preserve">f. sp. </w:t>
      </w:r>
      <w:r w:rsidRPr="00EF2C72">
        <w:rPr>
          <w:i/>
        </w:rPr>
        <w:t xml:space="preserve">Opuntiarum </w:t>
      </w:r>
      <w:r w:rsidRPr="00EF2C72">
        <w:t xml:space="preserve">on new hosts of the Cactaceae and Euphorbiaceae families’, </w:t>
      </w:r>
      <w:r w:rsidRPr="00EF2C72">
        <w:rPr>
          <w:i/>
        </w:rPr>
        <w:t>Journal of Plant Pathology</w:t>
      </w:r>
      <w:r w:rsidRPr="00EF2C72">
        <w:t>, vol. 99, no. 2, pp. 347-54.</w:t>
      </w:r>
      <w:bookmarkEnd w:id="108"/>
    </w:p>
    <w:p w:rsidR="004D5CBC" w:rsidRPr="00EF2C72" w:rsidRDefault="004D5CBC" w:rsidP="00EF2C72">
      <w:pPr>
        <w:pStyle w:val="EndNoteBibliography"/>
        <w:spacing w:after="0"/>
      </w:pPr>
      <w:bookmarkStart w:id="109" w:name="_ENREF_7"/>
      <w:r w:rsidRPr="00EF2C72">
        <w:t xml:space="preserve">Biosecurity Australia 2008, </w:t>
      </w:r>
      <w:r w:rsidRPr="00EF2C72">
        <w:rPr>
          <w:i/>
        </w:rPr>
        <w:t>Final import risk analysis report for fresh mango fruit from India</w:t>
      </w:r>
      <w:r w:rsidRPr="00EF2C72">
        <w:t xml:space="preserve">, Biosecurity Australia, Department of Agriculture, Fisheries and Forestry, Canberra, available at </w:t>
      </w:r>
      <w:hyperlink r:id="rId47" w:history="1">
        <w:r w:rsidR="00C66BBA" w:rsidRPr="007E14E0">
          <w:rPr>
            <w:rStyle w:val="Hyperlink"/>
          </w:rPr>
          <w:t>http://www.agriculture.gov.au/biosecurity/risk-analysis/plant/mangoes-from-india</w:t>
        </w:r>
      </w:hyperlink>
      <w:r w:rsidRPr="00EF2C72">
        <w:t xml:space="preserve"> (pdf 1.3 mb).</w:t>
      </w:r>
      <w:bookmarkEnd w:id="109"/>
    </w:p>
    <w:p w:rsidR="004D5CBC" w:rsidRPr="00EF2C72" w:rsidRDefault="004D5CBC" w:rsidP="00EF2C72">
      <w:pPr>
        <w:pStyle w:val="EndNoteBibliography"/>
        <w:spacing w:after="0"/>
      </w:pPr>
      <w:bookmarkStart w:id="110" w:name="_ENREF_8"/>
      <w:r w:rsidRPr="00EF2C72">
        <w:t xml:space="preserve">CABI 2018, ‘Crop Protection Compendium’, CAB International, Wallingford, UK, available at </w:t>
      </w:r>
      <w:hyperlink r:id="rId48" w:history="1">
        <w:r w:rsidR="00C66BBA" w:rsidRPr="007E14E0">
          <w:rPr>
            <w:rStyle w:val="Hyperlink"/>
          </w:rPr>
          <w:t>http://www.cabi.org/cpc/</w:t>
        </w:r>
      </w:hyperlink>
      <w:r w:rsidRPr="00EF2C72">
        <w:t>.</w:t>
      </w:r>
      <w:bookmarkEnd w:id="110"/>
    </w:p>
    <w:p w:rsidR="004D5CBC" w:rsidRPr="00EF2C72" w:rsidRDefault="004D5CBC" w:rsidP="00EF2C72">
      <w:pPr>
        <w:pStyle w:val="EndNoteBibliography"/>
        <w:spacing w:after="0"/>
      </w:pPr>
      <w:bookmarkStart w:id="111" w:name="_ENREF_9"/>
      <w:r w:rsidRPr="00EF2C72">
        <w:t xml:space="preserve">Choi, HW, Chung, IM, Sin, MH, Kim, YS, Sim, JB, Kim, JW, Kim, KD &amp; Chun, SC 2007, ‘The effect of spent mushroom sawdust compost mixes, calcium cyanamide and solarization on basal stem rot of the cactus </w:t>
      </w:r>
      <w:r w:rsidRPr="00EF2C72">
        <w:rPr>
          <w:i/>
        </w:rPr>
        <w:t>Hylocereus trigonus</w:t>
      </w:r>
      <w:r w:rsidRPr="00EF2C72">
        <w:t xml:space="preserve"> caused by </w:t>
      </w:r>
      <w:r w:rsidRPr="00EF2C72">
        <w:rPr>
          <w:i/>
        </w:rPr>
        <w:t>Fusarium oxysporum</w:t>
      </w:r>
      <w:r w:rsidRPr="00EF2C72">
        <w:t xml:space="preserve">’, </w:t>
      </w:r>
      <w:r w:rsidRPr="00EF2C72">
        <w:rPr>
          <w:i/>
        </w:rPr>
        <w:t>Crop Protection</w:t>
      </w:r>
      <w:r w:rsidRPr="00EF2C72">
        <w:t>, vol. 26, no. 2, pp. 162-8.</w:t>
      </w:r>
      <w:bookmarkEnd w:id="111"/>
    </w:p>
    <w:p w:rsidR="004D5CBC" w:rsidRPr="00EF2C72" w:rsidRDefault="004D5CBC" w:rsidP="00EF2C72">
      <w:pPr>
        <w:pStyle w:val="EndNoteBibliography"/>
        <w:spacing w:after="0"/>
      </w:pPr>
      <w:bookmarkStart w:id="112" w:name="_ENREF_10"/>
      <w:r w:rsidRPr="00EF2C72">
        <w:t xml:space="preserve">Climate-data.org 2017, </w:t>
      </w:r>
      <w:r w:rsidRPr="00EF2C72">
        <w:rPr>
          <w:i/>
        </w:rPr>
        <w:t>Climate-data.org - climate data for cities worldwide</w:t>
      </w:r>
      <w:r w:rsidRPr="00EF2C72">
        <w:t xml:space="preserve">, AM Online Projects, available at </w:t>
      </w:r>
      <w:hyperlink r:id="rId49" w:history="1">
        <w:r w:rsidR="00C66BBA" w:rsidRPr="007E14E0">
          <w:rPr>
            <w:rStyle w:val="Hyperlink"/>
          </w:rPr>
          <w:t>https://en.climate-data.org/</w:t>
        </w:r>
      </w:hyperlink>
      <w:r w:rsidRPr="00EF2C72">
        <w:t>.</w:t>
      </w:r>
      <w:bookmarkEnd w:id="112"/>
    </w:p>
    <w:p w:rsidR="004D5CBC" w:rsidRPr="00EF2C72" w:rsidRDefault="004D5CBC" w:rsidP="00EF2C72">
      <w:pPr>
        <w:pStyle w:val="EndNoteBibliography"/>
        <w:spacing w:after="0"/>
      </w:pPr>
      <w:bookmarkStart w:id="113" w:name="_ENREF_11"/>
      <w:r w:rsidRPr="00EF2C72">
        <w:t xml:space="preserve">CSIRO 2017, ‘Australian Insect Common Names Version 1.53’, available at </w:t>
      </w:r>
      <w:hyperlink r:id="rId50" w:history="1">
        <w:r w:rsidR="00C66BBA" w:rsidRPr="007E14E0">
          <w:rPr>
            <w:rStyle w:val="Hyperlink"/>
          </w:rPr>
          <w:t>http://www.ces.csiro.au/aicn/name_s/b_1.htm</w:t>
        </w:r>
      </w:hyperlink>
      <w:r w:rsidRPr="00EF2C72">
        <w:t>, accessed 2017.</w:t>
      </w:r>
      <w:bookmarkEnd w:id="113"/>
    </w:p>
    <w:p w:rsidR="004D5CBC" w:rsidRPr="00EF2C72" w:rsidRDefault="004D5CBC" w:rsidP="00EF2C72">
      <w:pPr>
        <w:pStyle w:val="EndNoteBibliography"/>
        <w:spacing w:after="0"/>
      </w:pPr>
      <w:bookmarkStart w:id="114" w:name="_ENREF_12"/>
      <w:r w:rsidRPr="00EF2C72">
        <w:t xml:space="preserve">DAFF 2012, </w:t>
      </w:r>
      <w:r w:rsidRPr="00EF2C72">
        <w:rPr>
          <w:i/>
        </w:rPr>
        <w:t>Final report for the non-regulated analysis of existing policy for fresh mangosteen fruit from Indonesia</w:t>
      </w:r>
      <w:r w:rsidRPr="00EF2C72">
        <w:t xml:space="preserve">, Department of Agriculture, Fisheries and Forestry, Canberra, available at </w:t>
      </w:r>
      <w:hyperlink r:id="rId51" w:history="1">
        <w:r w:rsidR="00C66BBA" w:rsidRPr="007E14E0">
          <w:rPr>
            <w:rStyle w:val="Hyperlink"/>
          </w:rPr>
          <w:t>http://www.agriculture.gov.au/biosecurity/risk-analysis/plant/mangosteens-indonesia/ba2012-12-final-mangosteens</w:t>
        </w:r>
      </w:hyperlink>
      <w:r w:rsidRPr="00EF2C72">
        <w:t xml:space="preserve"> (pdf 32 kb).</w:t>
      </w:r>
      <w:bookmarkEnd w:id="114"/>
    </w:p>
    <w:p w:rsidR="004D5CBC" w:rsidRPr="00EF2C72" w:rsidRDefault="004D5CBC" w:rsidP="00EF2C72">
      <w:pPr>
        <w:pStyle w:val="EndNoteBibliography"/>
        <w:spacing w:after="0"/>
      </w:pPr>
      <w:bookmarkStart w:id="115" w:name="_ENREF_13"/>
      <w:r w:rsidRPr="00EF2C72">
        <w:t xml:space="preserve">-- -- 2013, </w:t>
      </w:r>
      <w:r w:rsidRPr="00EF2C72">
        <w:rPr>
          <w:i/>
        </w:rPr>
        <w:t>Final report for the non-regulated analysis of existing policy for fresh lychee fruit from Taiwan and Vietnam</w:t>
      </w:r>
      <w:r w:rsidRPr="00EF2C72">
        <w:t xml:space="preserve">, Department of Agriculture, Fisheries and Forestry, Canberra, available at </w:t>
      </w:r>
      <w:hyperlink r:id="rId52" w:history="1">
        <w:r w:rsidR="001F5D0E" w:rsidRPr="007E14E0">
          <w:rPr>
            <w:rStyle w:val="Hyperlink"/>
          </w:rPr>
          <w:t>http://www.agriculture.gov.au/biosecurity/risk-analysis/plant/lychees-taiwan-vietnam/ba2013-07-final-lychees-taiwan-vietnam</w:t>
        </w:r>
      </w:hyperlink>
      <w:r w:rsidRPr="00EF2C72">
        <w:t xml:space="preserve"> (pdf 36 kb).</w:t>
      </w:r>
      <w:bookmarkEnd w:id="115"/>
    </w:p>
    <w:p w:rsidR="004D5CBC" w:rsidRPr="00EF2C72" w:rsidRDefault="004D5CBC" w:rsidP="00EF2C72">
      <w:pPr>
        <w:pStyle w:val="EndNoteBibliography"/>
        <w:spacing w:after="0"/>
      </w:pPr>
      <w:bookmarkStart w:id="116" w:name="_ENREF_14"/>
      <w:r w:rsidRPr="00EF2C72">
        <w:t xml:space="preserve">Department of Agriculture and Water Resources 2015, </w:t>
      </w:r>
      <w:r w:rsidRPr="00EF2C72">
        <w:rPr>
          <w:i/>
        </w:rPr>
        <w:t>Final report for the non-regulated analysis of existing policy for fresh mango fruit from Indonesia, Thailand and Vietnam</w:t>
      </w:r>
      <w:r w:rsidRPr="00EF2C72">
        <w:t xml:space="preserve">, Australian Government Department of Agriculture and Water Resources, Canberra, available at </w:t>
      </w:r>
      <w:hyperlink r:id="rId53" w:history="1">
        <w:r w:rsidR="001F5D0E" w:rsidRPr="007E14E0">
          <w:rPr>
            <w:rStyle w:val="Hyperlink"/>
          </w:rPr>
          <w:t>http://www.agriculture.gov.au/biosecurity/risk-analysis/memos/ba2015-20</w:t>
        </w:r>
      </w:hyperlink>
      <w:r w:rsidRPr="00EF2C72">
        <w:t xml:space="preserve"> (pdf 3.6 mb).</w:t>
      </w:r>
      <w:bookmarkEnd w:id="116"/>
    </w:p>
    <w:p w:rsidR="004D5CBC" w:rsidRPr="00EF2C72" w:rsidRDefault="004D5CBC" w:rsidP="00EF2C72">
      <w:pPr>
        <w:pStyle w:val="EndNoteBibliography"/>
        <w:spacing w:after="0"/>
      </w:pPr>
      <w:bookmarkStart w:id="117" w:name="_ENREF_15"/>
      <w:r w:rsidRPr="00EF2C72">
        <w:lastRenderedPageBreak/>
        <w:t xml:space="preserve">-- -- 2017a, </w:t>
      </w:r>
      <w:r w:rsidRPr="00EF2C72">
        <w:rPr>
          <w:i/>
        </w:rPr>
        <w:t>Final report for the review of biosecurity import requirements for fresh dragon fruit from Vietnam</w:t>
      </w:r>
      <w:r w:rsidRPr="00EF2C72">
        <w:t xml:space="preserve">, Department of Agriculture and Water Resources, Canberra, Australia, available at </w:t>
      </w:r>
      <w:hyperlink r:id="rId54" w:history="1">
        <w:r w:rsidR="001F5D0E" w:rsidRPr="007E14E0">
          <w:rPr>
            <w:rStyle w:val="Hyperlink"/>
          </w:rPr>
          <w:t>http://www.agriculture.gov.au/biosecurity/risk-analysis/plant/dragon-fruit-from-vietnam/final-report</w:t>
        </w:r>
      </w:hyperlink>
      <w:r w:rsidRPr="00EF2C72">
        <w:t xml:space="preserve"> (pdf 2.6 mb).</w:t>
      </w:r>
      <w:bookmarkEnd w:id="117"/>
    </w:p>
    <w:p w:rsidR="004D5CBC" w:rsidRPr="00EF2C72" w:rsidRDefault="004D5CBC" w:rsidP="00EF2C72">
      <w:pPr>
        <w:pStyle w:val="EndNoteBibliography"/>
        <w:spacing w:after="0"/>
      </w:pPr>
      <w:bookmarkStart w:id="118" w:name="_ENREF_16"/>
      <w:r w:rsidRPr="00EF2C72">
        <w:t xml:space="preserve">-- -- 2017b, </w:t>
      </w:r>
      <w:r w:rsidRPr="00EF2C72">
        <w:rPr>
          <w:i/>
        </w:rPr>
        <w:t>Northern Australia Quarantine Strategy (NAQS)</w:t>
      </w:r>
      <w:r w:rsidRPr="00EF2C72">
        <w:t xml:space="preserve">, Department of Agriculture and Water Resources, </w:t>
      </w:r>
      <w:hyperlink r:id="rId55" w:history="1">
        <w:r w:rsidR="001F5D0E" w:rsidRPr="007E14E0">
          <w:rPr>
            <w:rStyle w:val="Hyperlink"/>
          </w:rPr>
          <w:t>http://www.agriculture.gov.au/biosecurity/australia/naqs</w:t>
        </w:r>
      </w:hyperlink>
      <w:r w:rsidRPr="00EF2C72">
        <w:t>.</w:t>
      </w:r>
      <w:bookmarkEnd w:id="118"/>
    </w:p>
    <w:p w:rsidR="004D5CBC" w:rsidRPr="00EF2C72" w:rsidRDefault="004D5CBC" w:rsidP="00EF2C72">
      <w:pPr>
        <w:pStyle w:val="EndNoteBibliography"/>
        <w:spacing w:after="0"/>
      </w:pPr>
      <w:bookmarkStart w:id="119" w:name="_ENREF_17"/>
      <w:r w:rsidRPr="00EF2C72">
        <w:t xml:space="preserve">Dhillon, MK, Singh, R, Naresh, JS &amp; Sharma, HC 2005, ‘The melon fruit fly, </w:t>
      </w:r>
      <w:r w:rsidRPr="00EF2C72">
        <w:rPr>
          <w:i/>
        </w:rPr>
        <w:t>Bactrocera cucurbitae</w:t>
      </w:r>
      <w:r w:rsidRPr="00EF2C72">
        <w:t xml:space="preserve">: a review of its biology and management’, </w:t>
      </w:r>
      <w:r w:rsidRPr="00EF2C72">
        <w:rPr>
          <w:i/>
        </w:rPr>
        <w:t>Journal of Insect Science</w:t>
      </w:r>
      <w:r w:rsidRPr="00EF2C72">
        <w:t>, vol. 5, no. 40, pp. 1-16.</w:t>
      </w:r>
      <w:bookmarkEnd w:id="119"/>
    </w:p>
    <w:p w:rsidR="004D5CBC" w:rsidRPr="00EF2C72" w:rsidRDefault="004D5CBC" w:rsidP="00EF2C72">
      <w:pPr>
        <w:pStyle w:val="EndNoteBibliography"/>
        <w:spacing w:after="0"/>
      </w:pPr>
      <w:bookmarkStart w:id="120" w:name="_ENREF_18"/>
      <w:r w:rsidRPr="00EF2C72">
        <w:t xml:space="preserve">Discover Life 2017, ‘Discover Life’, available at </w:t>
      </w:r>
      <w:hyperlink r:id="rId56" w:history="1">
        <w:r w:rsidR="001F5D0E" w:rsidRPr="007E14E0">
          <w:rPr>
            <w:rStyle w:val="Hyperlink"/>
          </w:rPr>
          <w:t>http://www.discoverlife.org/</w:t>
        </w:r>
      </w:hyperlink>
      <w:r w:rsidRPr="00EF2C72">
        <w:t>, accessed 2017.</w:t>
      </w:r>
      <w:bookmarkEnd w:id="120"/>
    </w:p>
    <w:p w:rsidR="004D5CBC" w:rsidRPr="00EF2C72" w:rsidRDefault="004D5CBC" w:rsidP="00EF2C72">
      <w:pPr>
        <w:pStyle w:val="EndNoteBibliography"/>
        <w:spacing w:after="0"/>
      </w:pPr>
      <w:bookmarkStart w:id="121" w:name="_ENREF_19"/>
      <w:r w:rsidRPr="00EF2C72">
        <w:t>Doan, TT, Nguyen, TK, Vo, TKL, Nguyen, TL, Cao, CC, Tran, TTA &amp; Nguyen, HHT 2016, ‘Phytosanitary irradiation of the mealybugs,</w:t>
      </w:r>
      <w:r w:rsidRPr="00EF2C72">
        <w:rPr>
          <w:i/>
        </w:rPr>
        <w:t xml:space="preserve"> Dysmicoccus neobrevipes, Planococcus lilacinus</w:t>
      </w:r>
      <w:r w:rsidRPr="00EF2C72">
        <w:t>, and</w:t>
      </w:r>
      <w:r w:rsidRPr="00EF2C72">
        <w:rPr>
          <w:i/>
        </w:rPr>
        <w:t xml:space="preserve"> Planococcus minor </w:t>
      </w:r>
      <w:r w:rsidRPr="00EF2C72">
        <w:t xml:space="preserve">(Hemiptera: Pseudococcidae), infesting dragon fruit in Vietnam’, </w:t>
      </w:r>
      <w:r w:rsidRPr="00EF2C72">
        <w:rPr>
          <w:i/>
        </w:rPr>
        <w:t>Florida Entomologist</w:t>
      </w:r>
      <w:r w:rsidRPr="00EF2C72">
        <w:t>, vol. 99, pp. 159-65.</w:t>
      </w:r>
      <w:bookmarkEnd w:id="121"/>
    </w:p>
    <w:p w:rsidR="004D5CBC" w:rsidRPr="00EF2C72" w:rsidRDefault="004D5CBC" w:rsidP="00EF2C72">
      <w:pPr>
        <w:pStyle w:val="EndNoteBibliography"/>
        <w:spacing w:after="0"/>
      </w:pPr>
      <w:bookmarkStart w:id="122" w:name="_ENREF_20"/>
      <w:r w:rsidRPr="00EF2C72">
        <w:t xml:space="preserve">Dohino, T, Hallman, GJ, Grout, TG, Clarke, AR, Follett, PA, Cugala, DR, Minh Tu, D, Murdita, W, Hernandez, E, Pereira, R &amp; Myers, SW 2017, ‘Phytosanitary treatments against </w:t>
      </w:r>
      <w:r w:rsidRPr="00EF2C72">
        <w:rPr>
          <w:i/>
        </w:rPr>
        <w:t>Bactrocera dorsalis</w:t>
      </w:r>
      <w:r w:rsidRPr="00EF2C72">
        <w:t xml:space="preserve"> (Diptera: Tephritidae): Current situation and future prospects’, </w:t>
      </w:r>
      <w:r w:rsidRPr="00EF2C72">
        <w:rPr>
          <w:i/>
        </w:rPr>
        <w:t>Commodity Treatment and Quarantine Entomology</w:t>
      </w:r>
      <w:r w:rsidRPr="00EF2C72">
        <w:t>, vol. 110, no. 1, pp. 67-79.</w:t>
      </w:r>
      <w:bookmarkEnd w:id="122"/>
    </w:p>
    <w:p w:rsidR="004D5CBC" w:rsidRPr="00EF2C72" w:rsidRDefault="004D5CBC" w:rsidP="00EF2C72">
      <w:pPr>
        <w:pStyle w:val="EndNoteBibliography"/>
        <w:spacing w:after="0"/>
      </w:pPr>
      <w:bookmarkStart w:id="123" w:name="_ENREF_21"/>
      <w:r w:rsidRPr="00EF2C72">
        <w:t xml:space="preserve">Drenth, A &amp; Guest, DI 2004, </w:t>
      </w:r>
      <w:r w:rsidRPr="00EF2C72">
        <w:rPr>
          <w:i/>
        </w:rPr>
        <w:t>Diversity and management of Phytophthora in Southeast Asia</w:t>
      </w:r>
      <w:r w:rsidRPr="00EF2C72">
        <w:t>, ACIAR monograph no. 114, Australian Centre for International Agricultural Research, Canberra.</w:t>
      </w:r>
      <w:bookmarkEnd w:id="123"/>
    </w:p>
    <w:p w:rsidR="004D5CBC" w:rsidRPr="00EF2C72" w:rsidRDefault="004D5CBC" w:rsidP="00EF2C72">
      <w:pPr>
        <w:pStyle w:val="EndNoteBibliography"/>
        <w:spacing w:after="0"/>
      </w:pPr>
      <w:bookmarkStart w:id="124" w:name="_ENREF_22"/>
      <w:r w:rsidRPr="00EF2C72">
        <w:t xml:space="preserve">Drew, RAI &amp; Hancock, DL 1994, ‘The </w:t>
      </w:r>
      <w:r w:rsidRPr="00EF2C72">
        <w:rPr>
          <w:i/>
        </w:rPr>
        <w:t>Bactrocera dorsalis</w:t>
      </w:r>
      <w:r w:rsidRPr="00EF2C72">
        <w:t xml:space="preserve"> complex of fruit flies (Diptera: Tephritidae: Dacinae) in Asia’, </w:t>
      </w:r>
      <w:r w:rsidRPr="00EF2C72">
        <w:rPr>
          <w:i/>
        </w:rPr>
        <w:t>Bulletin of Entomological Research</w:t>
      </w:r>
      <w:r w:rsidRPr="00EF2C72">
        <w:t>, vol. Suppl. 2, pp. 1-68.</w:t>
      </w:r>
      <w:bookmarkEnd w:id="124"/>
    </w:p>
    <w:p w:rsidR="004D5CBC" w:rsidRPr="00EF2C72" w:rsidRDefault="004D5CBC" w:rsidP="00EF2C72">
      <w:pPr>
        <w:pStyle w:val="EndNoteBibliography"/>
        <w:spacing w:after="0"/>
      </w:pPr>
      <w:bookmarkStart w:id="125" w:name="_ENREF_23"/>
      <w:r w:rsidRPr="00EF2C72">
        <w:t xml:space="preserve">Drew, RAI &amp; Romig, MC 2013, </w:t>
      </w:r>
      <w:r w:rsidRPr="00EF2C72">
        <w:rPr>
          <w:i/>
        </w:rPr>
        <w:t>Tropical fruit flies (Tephritidae: Dacinae) of South-East Asia: Indomalaya to North-West Australasia</w:t>
      </w:r>
      <w:r w:rsidRPr="00EF2C72">
        <w:t>, CAB International, Wallingford, UK.</w:t>
      </w:r>
      <w:bookmarkEnd w:id="125"/>
    </w:p>
    <w:p w:rsidR="004D5CBC" w:rsidRPr="00EF2C72" w:rsidRDefault="004D5CBC" w:rsidP="00EF2C72">
      <w:pPr>
        <w:pStyle w:val="EndNoteBibliography"/>
        <w:spacing w:after="0"/>
      </w:pPr>
      <w:bookmarkStart w:id="126" w:name="_ENREF_24"/>
      <w:r w:rsidRPr="00EF2C72">
        <w:t xml:space="preserve">Duriat, AS &amp; van der Wolf, JM 2006, </w:t>
      </w:r>
      <w:r w:rsidRPr="00EF2C72">
        <w:rPr>
          <w:i/>
        </w:rPr>
        <w:t>Major seed-borne diseases in Indonesia</w:t>
      </w:r>
      <w:r w:rsidRPr="00EF2C72">
        <w:t xml:space="preserve">, available at </w:t>
      </w:r>
      <w:hyperlink r:id="rId57" w:history="1">
        <w:r w:rsidR="001F5D0E" w:rsidRPr="007E14E0">
          <w:rPr>
            <w:rStyle w:val="Hyperlink"/>
          </w:rPr>
          <w:t>http://www.google.com.au/url?sa=t&amp;rct=j&amp;q=&amp;esrc=s&amp;source=web&amp;cd=1&amp;cad=rja&amp;uact=8&amp;ved=0ahUKEwjv_r2Bk6TPAhWPq5QKHVdPCOwQFggfMAA&amp;url=http%3A%2F%2Fedepot.wur.nl%2F3617&amp;usg=AFQjCNHMw9MWgH9BQVguBC_IrBgTc_jv2Q&amp;bvm=bv.133700528,d.dGo</w:t>
        </w:r>
      </w:hyperlink>
      <w:r w:rsidRPr="00EF2C72">
        <w:t>.</w:t>
      </w:r>
      <w:bookmarkEnd w:id="126"/>
    </w:p>
    <w:p w:rsidR="004D5CBC" w:rsidRPr="00EF2C72" w:rsidRDefault="004D5CBC" w:rsidP="00EF2C72">
      <w:pPr>
        <w:pStyle w:val="EndNoteBibliography"/>
        <w:spacing w:after="0"/>
      </w:pPr>
      <w:bookmarkStart w:id="127" w:name="_ENREF_25"/>
      <w:r w:rsidRPr="00EF2C72">
        <w:t>Elmer, WH, Summerell, BA, Burgess, LW, Backhouse, D &amp; Abubaker, AA 1997, ‘</w:t>
      </w:r>
      <w:r w:rsidRPr="00EF2C72">
        <w:rPr>
          <w:i/>
        </w:rPr>
        <w:t>Fusarium</w:t>
      </w:r>
      <w:r w:rsidRPr="00EF2C72">
        <w:t xml:space="preserve"> species associated with asparagus crowns and soil in Australia and New Zealand’, </w:t>
      </w:r>
      <w:r w:rsidRPr="00EF2C72">
        <w:rPr>
          <w:i/>
        </w:rPr>
        <w:t>Australasian Plant Pathology</w:t>
      </w:r>
      <w:r w:rsidRPr="00EF2C72">
        <w:t>, vol. 26, pp. 255-61.</w:t>
      </w:r>
      <w:bookmarkEnd w:id="127"/>
    </w:p>
    <w:p w:rsidR="004D5CBC" w:rsidRPr="00EF2C72" w:rsidRDefault="004D5CBC" w:rsidP="00EF2C72">
      <w:pPr>
        <w:pStyle w:val="EndNoteBibliography"/>
        <w:spacing w:after="0"/>
      </w:pPr>
      <w:bookmarkStart w:id="128" w:name="_ENREF_26"/>
      <w:r w:rsidRPr="00EF2C72">
        <w:t xml:space="preserve">Entwistle, PF 1972, ‘Coccoidea (scale insects, mealybugs and others)’, in </w:t>
      </w:r>
      <w:r w:rsidRPr="00EF2C72">
        <w:rPr>
          <w:i/>
        </w:rPr>
        <w:t>Pests of cocoa</w:t>
      </w:r>
      <w:r w:rsidRPr="00EF2C72">
        <w:t>, Longmans, London.</w:t>
      </w:r>
      <w:bookmarkEnd w:id="128"/>
    </w:p>
    <w:p w:rsidR="004D5CBC" w:rsidRPr="00EF2C72" w:rsidRDefault="004D5CBC" w:rsidP="00EF2C72">
      <w:pPr>
        <w:pStyle w:val="EndNoteBibliography"/>
        <w:spacing w:after="0"/>
      </w:pPr>
      <w:bookmarkStart w:id="129" w:name="_ENREF_27"/>
      <w:r w:rsidRPr="00EF2C72">
        <w:t xml:space="preserve">FAO 2009, </w:t>
      </w:r>
      <w:r w:rsidRPr="00EF2C72">
        <w:rPr>
          <w:i/>
        </w:rPr>
        <w:t>International Standards for Phytosanitary Measures (ISPM) no. 28: phytosanitary treatments pt 7: irradiation treatment for fruit flies of the family Tephritidae (generic)</w:t>
      </w:r>
      <w:r w:rsidRPr="00EF2C72">
        <w:t xml:space="preserve">, Food and Agriculture Organization of the United Nations, Rome, available at </w:t>
      </w:r>
      <w:hyperlink r:id="rId58" w:history="1">
        <w:r w:rsidR="001F5D0E" w:rsidRPr="007E14E0">
          <w:rPr>
            <w:rStyle w:val="Hyperlink"/>
          </w:rPr>
          <w:t>https://www.ippc.int/en/core-activities/standards-setting/ispms/</w:t>
        </w:r>
      </w:hyperlink>
      <w:r w:rsidRPr="00EF2C72">
        <w:t>.</w:t>
      </w:r>
      <w:bookmarkEnd w:id="129"/>
    </w:p>
    <w:p w:rsidR="004D5CBC" w:rsidRPr="00EF2C72" w:rsidRDefault="004D5CBC" w:rsidP="00EF2C72">
      <w:pPr>
        <w:pStyle w:val="EndNoteBibliography"/>
        <w:spacing w:after="0"/>
      </w:pPr>
      <w:bookmarkStart w:id="130" w:name="_ENREF_28"/>
      <w:r w:rsidRPr="00EF2C72">
        <w:t xml:space="preserve">-- -- 2016a, </w:t>
      </w:r>
      <w:r w:rsidRPr="00EF2C72">
        <w:rPr>
          <w:i/>
        </w:rPr>
        <w:t>International Standards for Phytosanitary Measures (ISPM) no. 2: Framework for pest risk analysis</w:t>
      </w:r>
      <w:r w:rsidRPr="00EF2C72">
        <w:t xml:space="preserve">, Secretariat of the International Plant Protection Convention, Food and Agriculture Organization of the United Nations, Rome, Italy, available at </w:t>
      </w:r>
      <w:hyperlink r:id="rId59" w:history="1">
        <w:r w:rsidR="001F5D0E" w:rsidRPr="007E14E0">
          <w:rPr>
            <w:rStyle w:val="Hyperlink"/>
          </w:rPr>
          <w:t>https://www.ippc.int/en/core-activities/standards-setting/ispms/</w:t>
        </w:r>
      </w:hyperlink>
      <w:r w:rsidRPr="00EF2C72">
        <w:t>.</w:t>
      </w:r>
      <w:bookmarkEnd w:id="130"/>
    </w:p>
    <w:p w:rsidR="004D5CBC" w:rsidRPr="00EF2C72" w:rsidRDefault="004D5CBC" w:rsidP="00EF2C72">
      <w:pPr>
        <w:pStyle w:val="EndNoteBibliography"/>
        <w:spacing w:after="0"/>
      </w:pPr>
      <w:bookmarkStart w:id="131" w:name="_ENREF_29"/>
      <w:r w:rsidRPr="00EF2C72">
        <w:t xml:space="preserve">-- -- 2016b, </w:t>
      </w:r>
      <w:r w:rsidRPr="00EF2C72">
        <w:rPr>
          <w:i/>
        </w:rPr>
        <w:t>International Standards for Phytosanitary Measures (ISPM) no. 4: Requirements for the establishment of pest free areas</w:t>
      </w:r>
      <w:r w:rsidRPr="00EF2C72">
        <w:t xml:space="preserve">, Secretariat of the International Plant Protection Convention, Food and Agriculture Organization of the United Nations, Rome, Italy, available at </w:t>
      </w:r>
      <w:hyperlink r:id="rId60" w:history="1">
        <w:r w:rsidR="001F5D0E" w:rsidRPr="007E14E0">
          <w:rPr>
            <w:rStyle w:val="Hyperlink"/>
          </w:rPr>
          <w:t>https://www.ippc.int/en/core-activities/standards-setting/ispms/</w:t>
        </w:r>
      </w:hyperlink>
      <w:r w:rsidRPr="00EF2C72">
        <w:t>.</w:t>
      </w:r>
      <w:bookmarkEnd w:id="131"/>
    </w:p>
    <w:p w:rsidR="004D5CBC" w:rsidRPr="00EF2C72" w:rsidRDefault="004D5CBC" w:rsidP="00EF2C72">
      <w:pPr>
        <w:pStyle w:val="EndNoteBibliography"/>
        <w:spacing w:after="0"/>
      </w:pPr>
      <w:bookmarkStart w:id="132" w:name="_ENREF_30"/>
      <w:r w:rsidRPr="00EF2C72">
        <w:t xml:space="preserve">-- -- 2016c, </w:t>
      </w:r>
      <w:r w:rsidRPr="00EF2C72">
        <w:rPr>
          <w:i/>
        </w:rPr>
        <w:t>International Standards for Phytosanitary Measures (ISPM) no. 6: Guidelines for surveillance</w:t>
      </w:r>
      <w:r w:rsidRPr="00EF2C72">
        <w:t xml:space="preserve">, Secretariat of the International Plant Protection Convention, Food and Agriculture </w:t>
      </w:r>
      <w:r w:rsidRPr="00EF2C72">
        <w:lastRenderedPageBreak/>
        <w:t xml:space="preserve">Organization of the United Nations, Rome, Italy, available at </w:t>
      </w:r>
      <w:hyperlink r:id="rId61" w:history="1">
        <w:r w:rsidR="001F5D0E" w:rsidRPr="007E14E0">
          <w:rPr>
            <w:rStyle w:val="Hyperlink"/>
          </w:rPr>
          <w:t>https://www.ippc.int/en/core-activities/standards-setting/ispms/</w:t>
        </w:r>
      </w:hyperlink>
      <w:r w:rsidRPr="00EF2C72">
        <w:t>.</w:t>
      </w:r>
      <w:bookmarkEnd w:id="132"/>
    </w:p>
    <w:p w:rsidR="004D5CBC" w:rsidRPr="00EF2C72" w:rsidRDefault="004D5CBC" w:rsidP="00EF2C72">
      <w:pPr>
        <w:pStyle w:val="EndNoteBibliography"/>
        <w:spacing w:after="0"/>
      </w:pPr>
      <w:bookmarkStart w:id="133" w:name="_ENREF_31"/>
      <w:r w:rsidRPr="00EF2C72">
        <w:t xml:space="preserve">-- -- 2016d, </w:t>
      </w:r>
      <w:r w:rsidRPr="00EF2C72">
        <w:rPr>
          <w:i/>
        </w:rPr>
        <w:t>International Standards for Phytosanitary Measures (ISPM) no. 10: Requirements for the establishment of pest free places of production and pest free production sites</w:t>
      </w:r>
      <w:r w:rsidRPr="00EF2C72">
        <w:t xml:space="preserve">, Secretariat of the International Plant Protection Convention, Food and Agriculture Organization of the United Nations, Rome, Italy, available at </w:t>
      </w:r>
      <w:hyperlink r:id="rId62" w:history="1">
        <w:r w:rsidR="001F5D0E" w:rsidRPr="007E14E0">
          <w:rPr>
            <w:rStyle w:val="Hyperlink"/>
          </w:rPr>
          <w:t>https://www.ippc.int/en/core-activities/standards-setting/ispms/</w:t>
        </w:r>
      </w:hyperlink>
      <w:r w:rsidRPr="00EF2C72">
        <w:t>.</w:t>
      </w:r>
      <w:bookmarkEnd w:id="133"/>
    </w:p>
    <w:p w:rsidR="004D5CBC" w:rsidRPr="00EF2C72" w:rsidRDefault="004D5CBC" w:rsidP="00EF2C72">
      <w:pPr>
        <w:pStyle w:val="EndNoteBibliography"/>
        <w:spacing w:after="0"/>
      </w:pPr>
      <w:bookmarkStart w:id="134" w:name="_ENREF_32"/>
      <w:r w:rsidRPr="00EF2C72">
        <w:t xml:space="preserve">-- -- 2016e, </w:t>
      </w:r>
      <w:r w:rsidRPr="00EF2C72">
        <w:rPr>
          <w:i/>
        </w:rPr>
        <w:t>International Standards for Phytosanitary Measures (ISPM) no. 26: Establishment of pest free areas for fruit flies (Tephritidae)</w:t>
      </w:r>
      <w:r w:rsidRPr="00EF2C72">
        <w:t xml:space="preserve">, Secretariat of the International Plant Protection Convention, Food and Agriculture Organization of the United Nations, Rome, Italy, available at </w:t>
      </w:r>
      <w:hyperlink r:id="rId63" w:history="1">
        <w:r w:rsidR="001F5D0E" w:rsidRPr="007E14E0">
          <w:rPr>
            <w:rStyle w:val="Hyperlink"/>
          </w:rPr>
          <w:t>https://www.ippc.int/en/core-activities/standards-setting/ispms/</w:t>
        </w:r>
      </w:hyperlink>
      <w:r w:rsidRPr="00EF2C72">
        <w:t>.</w:t>
      </w:r>
      <w:bookmarkEnd w:id="134"/>
    </w:p>
    <w:p w:rsidR="004D5CBC" w:rsidRPr="00EF2C72" w:rsidRDefault="004D5CBC" w:rsidP="00EF2C72">
      <w:pPr>
        <w:pStyle w:val="EndNoteBibliography"/>
        <w:spacing w:after="0"/>
      </w:pPr>
      <w:bookmarkStart w:id="135" w:name="_ENREF_33"/>
      <w:r w:rsidRPr="00EF2C72">
        <w:t xml:space="preserve">-- -- 2017a, </w:t>
      </w:r>
      <w:r w:rsidRPr="00EF2C72">
        <w:rPr>
          <w:i/>
        </w:rPr>
        <w:t>International Standards for Phytosanitary Measures (ISPM) no. 5: Glossary of phytosanitary terms</w:t>
      </w:r>
      <w:r w:rsidRPr="00EF2C72">
        <w:t xml:space="preserve">, Secretariat of the International Plant Protection Convention, Food and Agriculture Organization of the United Nations, Rome, Italy, available at </w:t>
      </w:r>
      <w:hyperlink r:id="rId64" w:history="1">
        <w:r w:rsidR="001F5D0E" w:rsidRPr="007E14E0">
          <w:rPr>
            <w:rStyle w:val="Hyperlink"/>
          </w:rPr>
          <w:t>https://www.ippc.int/en/core-activities/standards-setting/ispms/</w:t>
        </w:r>
      </w:hyperlink>
      <w:r w:rsidRPr="00EF2C72">
        <w:t>.</w:t>
      </w:r>
      <w:bookmarkEnd w:id="135"/>
    </w:p>
    <w:p w:rsidR="004D5CBC" w:rsidRPr="00EF2C72" w:rsidRDefault="004D5CBC" w:rsidP="00EF2C72">
      <w:pPr>
        <w:pStyle w:val="EndNoteBibliography"/>
        <w:spacing w:after="0"/>
      </w:pPr>
      <w:bookmarkStart w:id="136" w:name="_ENREF_34"/>
      <w:r w:rsidRPr="00EF2C72">
        <w:t xml:space="preserve">-- -- 2017b, </w:t>
      </w:r>
      <w:r w:rsidRPr="00EF2C72">
        <w:rPr>
          <w:i/>
        </w:rPr>
        <w:t>International Standards for Phytosanitary Measures (ISPM) no. 11: Pest risk analysis for quarantine pests</w:t>
      </w:r>
      <w:r w:rsidRPr="00EF2C72">
        <w:t xml:space="preserve">, Secretariat of the International Plant Protection Convention, Food and Agriculture Organization of the United Nations, Rome, Italy, available at </w:t>
      </w:r>
      <w:hyperlink r:id="rId65" w:history="1">
        <w:r w:rsidR="001F5D0E" w:rsidRPr="007E14E0">
          <w:rPr>
            <w:rStyle w:val="Hyperlink"/>
          </w:rPr>
          <w:t>https://www.ippc.int/en/core-activities/standards-setting/ispms/</w:t>
        </w:r>
      </w:hyperlink>
      <w:r w:rsidRPr="00EF2C72">
        <w:t>.</w:t>
      </w:r>
      <w:bookmarkEnd w:id="136"/>
    </w:p>
    <w:p w:rsidR="004D5CBC" w:rsidRPr="00EF2C72" w:rsidRDefault="004D5CBC" w:rsidP="00EF2C72">
      <w:pPr>
        <w:pStyle w:val="EndNoteBibliography"/>
        <w:spacing w:after="0"/>
      </w:pPr>
      <w:bookmarkStart w:id="137" w:name="_ENREF_35"/>
      <w:r w:rsidRPr="00EF2C72">
        <w:t xml:space="preserve">-- -- 2018, </w:t>
      </w:r>
      <w:r w:rsidRPr="00EF2C72">
        <w:rPr>
          <w:i/>
        </w:rPr>
        <w:t>International Standards for Phytosanitary Measures (ISPM) no. 5: Glossary of phytosanitary terms</w:t>
      </w:r>
      <w:r w:rsidRPr="00EF2C72">
        <w:t xml:space="preserve">, Secretariat of the International Plant Protection Convention, Food and Agriculture Organization of the United Nations, Rome, Italy, available at </w:t>
      </w:r>
      <w:hyperlink r:id="rId66" w:history="1">
        <w:r w:rsidR="001F5D0E" w:rsidRPr="007E14E0">
          <w:rPr>
            <w:rStyle w:val="Hyperlink"/>
          </w:rPr>
          <w:t>https://www.ippc.int/en/core-activities/standards-setting/ispms/</w:t>
        </w:r>
      </w:hyperlink>
      <w:r w:rsidRPr="00EF2C72">
        <w:t>.</w:t>
      </w:r>
      <w:bookmarkEnd w:id="137"/>
    </w:p>
    <w:p w:rsidR="004D5CBC" w:rsidRPr="00EF2C72" w:rsidRDefault="004D5CBC" w:rsidP="00EF2C72">
      <w:pPr>
        <w:pStyle w:val="EndNoteBibliography"/>
        <w:spacing w:after="0"/>
      </w:pPr>
      <w:bookmarkStart w:id="138" w:name="_ENREF_36"/>
      <w:r w:rsidRPr="00EF2C72">
        <w:t xml:space="preserve">Farr, DF &amp; Rossman, AY 2018, ‘Fungal Databases, Systematic Mycology and Microbiology Laboratory, ARS, USDA’, United States Department of Agriculture, Agricultural Research Service, National Genetic Resources Program, Germplasm Resources Information Network, available at </w:t>
      </w:r>
      <w:hyperlink r:id="rId67" w:history="1">
        <w:r w:rsidR="001F5D0E" w:rsidRPr="007E14E0">
          <w:rPr>
            <w:rStyle w:val="Hyperlink"/>
          </w:rPr>
          <w:t>https://nt.ars-grin.gov/fungaldatabases/</w:t>
        </w:r>
      </w:hyperlink>
      <w:r w:rsidRPr="00EF2C72">
        <w:t>, accessed 2018.</w:t>
      </w:r>
      <w:bookmarkEnd w:id="138"/>
    </w:p>
    <w:p w:rsidR="004D5CBC" w:rsidRPr="00EF2C72" w:rsidRDefault="004D5CBC" w:rsidP="00EF2C72">
      <w:pPr>
        <w:pStyle w:val="EndNoteBibliography"/>
        <w:spacing w:after="0"/>
      </w:pPr>
      <w:bookmarkStart w:id="139" w:name="_ENREF_37"/>
      <w:r w:rsidRPr="00EF2C72">
        <w:t xml:space="preserve">García, M, Denno, B, Miller, DR, Miller, GL, Ben-Dov, Y &amp; Hardy, NB 2018, ‘ScaleNet: a literature-based model of scale insect biology and systematics’, available at </w:t>
      </w:r>
      <w:hyperlink r:id="rId68" w:history="1">
        <w:r w:rsidR="001F5D0E" w:rsidRPr="007E14E0">
          <w:rPr>
            <w:rStyle w:val="Hyperlink"/>
          </w:rPr>
          <w:t>http://scalenet.info</w:t>
        </w:r>
      </w:hyperlink>
      <w:r w:rsidRPr="00EF2C72">
        <w:t>, accessed 2018.</w:t>
      </w:r>
      <w:bookmarkEnd w:id="139"/>
    </w:p>
    <w:p w:rsidR="004D5CBC" w:rsidRPr="00EF2C72" w:rsidRDefault="004D5CBC" w:rsidP="00EF2C72">
      <w:pPr>
        <w:pStyle w:val="EndNoteBibliography"/>
        <w:spacing w:after="0"/>
      </w:pPr>
      <w:bookmarkStart w:id="140" w:name="_ENREF_38"/>
      <w:r w:rsidRPr="00EF2C72">
        <w:t xml:space="preserve">Government of Queensland 2016, </w:t>
      </w:r>
      <w:r w:rsidRPr="00EF2C72">
        <w:rPr>
          <w:i/>
        </w:rPr>
        <w:t>Plant Protection Amendment Regulation (No. 1) 2016 Explanatory notes for SL 2016 No. 46</w:t>
      </w:r>
      <w:r w:rsidRPr="00EF2C72">
        <w:t xml:space="preserve">, Office of the Queensland Parliamentary Counsel, Queensland, available at </w:t>
      </w:r>
      <w:hyperlink r:id="rId69" w:history="1">
        <w:r w:rsidR="001F5D0E" w:rsidRPr="007E14E0">
          <w:rPr>
            <w:rStyle w:val="Hyperlink"/>
          </w:rPr>
          <w:t>https://www.legislation.qld.gov.au/LEGISLTN/SLS/RIS_EN/2016/16SL046E.pdf</w:t>
        </w:r>
      </w:hyperlink>
      <w:r w:rsidRPr="00EF2C72">
        <w:t xml:space="preserve"> (pdf 106 kb).</w:t>
      </w:r>
      <w:bookmarkEnd w:id="140"/>
    </w:p>
    <w:p w:rsidR="004D5CBC" w:rsidRPr="00EF2C72" w:rsidRDefault="004D5CBC" w:rsidP="00EF2C72">
      <w:pPr>
        <w:pStyle w:val="EndNoteBibliography"/>
        <w:spacing w:after="0"/>
      </w:pPr>
      <w:bookmarkStart w:id="141" w:name="_ENREF_39"/>
      <w:r w:rsidRPr="00EF2C72">
        <w:t xml:space="preserve">Government of Western Australia 2017, ‘Western Australia Organism List (WAOL)’, available at </w:t>
      </w:r>
      <w:hyperlink r:id="rId70" w:history="1">
        <w:r w:rsidR="001F5D0E" w:rsidRPr="007E14E0">
          <w:rPr>
            <w:rStyle w:val="Hyperlink"/>
          </w:rPr>
          <w:t>https://www.agric.wa.gov.au/bam/western-australian-organism-list-waol</w:t>
        </w:r>
      </w:hyperlink>
      <w:r w:rsidRPr="00EF2C72">
        <w:t>, accessed 2017.</w:t>
      </w:r>
      <w:bookmarkEnd w:id="141"/>
    </w:p>
    <w:p w:rsidR="004D5CBC" w:rsidRPr="00EF2C72" w:rsidRDefault="004D5CBC" w:rsidP="00EF2C72">
      <w:pPr>
        <w:pStyle w:val="EndNoteBibliography"/>
        <w:spacing w:after="0"/>
      </w:pPr>
      <w:bookmarkStart w:id="142" w:name="_ENREF_40"/>
      <w:r w:rsidRPr="00EF2C72">
        <w:t xml:space="preserve">Gunasena, HPM, Pushpakumara, DKNG &amp; Kariyawasam, M 2007, ‘Dragon fruit </w:t>
      </w:r>
      <w:r w:rsidRPr="00EF2C72">
        <w:rPr>
          <w:i/>
        </w:rPr>
        <w:t>Hylocereus undatus</w:t>
      </w:r>
      <w:r w:rsidRPr="00EF2C72">
        <w:t xml:space="preserve"> (Haw.) Britton and Rose’, in </w:t>
      </w:r>
      <w:r w:rsidRPr="00EF2C72">
        <w:rPr>
          <w:i/>
        </w:rPr>
        <w:t>Underutilized fruit trees in Sri Lanka</w:t>
      </w:r>
      <w:r w:rsidRPr="00EF2C72">
        <w:t>, World Agroforestry Centre, New Delhi.</w:t>
      </w:r>
      <w:bookmarkEnd w:id="142"/>
    </w:p>
    <w:p w:rsidR="004D5CBC" w:rsidRPr="00EF2C72" w:rsidRDefault="004D5CBC" w:rsidP="00EF2C72">
      <w:pPr>
        <w:pStyle w:val="EndNoteBibliography"/>
        <w:spacing w:after="0"/>
      </w:pPr>
      <w:bookmarkStart w:id="143" w:name="_ENREF_41"/>
      <w:r w:rsidRPr="00EF2C72">
        <w:t xml:space="preserve">Haerani, AAN &amp; Damayanti, TA 2015, ‘Detection and identification of </w:t>
      </w:r>
      <w:r w:rsidRPr="00EF2C72">
        <w:rPr>
          <w:i/>
        </w:rPr>
        <w:t>Dickeya</w:t>
      </w:r>
      <w:r w:rsidRPr="00EF2C72">
        <w:t xml:space="preserve"> sp. as A2 quarantine pest on potato in Java’, </w:t>
      </w:r>
      <w:r w:rsidRPr="00EF2C72">
        <w:rPr>
          <w:i/>
        </w:rPr>
        <w:t>Journal Fitopatologi Indonesia</w:t>
      </w:r>
      <w:r w:rsidRPr="00EF2C72">
        <w:t>, vol. 11, pp. 105-12.</w:t>
      </w:r>
      <w:bookmarkEnd w:id="143"/>
    </w:p>
    <w:p w:rsidR="004D5CBC" w:rsidRPr="00EF2C72" w:rsidRDefault="004D5CBC" w:rsidP="00EF2C72">
      <w:pPr>
        <w:pStyle w:val="EndNoteBibliography"/>
        <w:spacing w:after="0"/>
      </w:pPr>
      <w:bookmarkStart w:id="144" w:name="_ENREF_42"/>
      <w:r w:rsidRPr="00EF2C72">
        <w:t xml:space="preserve">Hancock, DL, Hamacek, E, Lloyd, AC &amp; Elson-Harris, MM 2000, </w:t>
      </w:r>
      <w:r w:rsidRPr="00EF2C72">
        <w:rPr>
          <w:i/>
        </w:rPr>
        <w:t>The distribution and host plants of fruit flies (Diptera: Tephritidae) in Australia</w:t>
      </w:r>
      <w:r w:rsidRPr="00EF2C72">
        <w:t>, Department of Primary Industries, Brisbane.</w:t>
      </w:r>
      <w:bookmarkEnd w:id="144"/>
    </w:p>
    <w:p w:rsidR="004D5CBC" w:rsidRPr="00EF2C72" w:rsidRDefault="004D5CBC" w:rsidP="00EF2C72">
      <w:pPr>
        <w:pStyle w:val="EndNoteBibliography"/>
        <w:spacing w:after="0"/>
      </w:pPr>
      <w:bookmarkStart w:id="145" w:name="_ENREF_43"/>
      <w:r w:rsidRPr="00EF2C72">
        <w:t xml:space="preserve">Harman, GE 2006, ‘Overview of mechanisms and uses of </w:t>
      </w:r>
      <w:r w:rsidRPr="00EF2C72">
        <w:rPr>
          <w:i/>
        </w:rPr>
        <w:t>Trichoderma</w:t>
      </w:r>
      <w:r w:rsidRPr="00EF2C72">
        <w:t xml:space="preserve"> spp.’, </w:t>
      </w:r>
      <w:r w:rsidRPr="00EF2C72">
        <w:rPr>
          <w:i/>
        </w:rPr>
        <w:t>Phytopathology</w:t>
      </w:r>
      <w:r w:rsidRPr="00EF2C72">
        <w:t>, available at doi 10.1094/PHYTO-96-0190, accessed., pp. 190-4.</w:t>
      </w:r>
      <w:bookmarkEnd w:id="145"/>
    </w:p>
    <w:p w:rsidR="004D5CBC" w:rsidRPr="00EF2C72" w:rsidRDefault="004D5CBC" w:rsidP="00EF2C72">
      <w:pPr>
        <w:pStyle w:val="EndNoteBibliography"/>
        <w:spacing w:after="0"/>
      </w:pPr>
      <w:bookmarkStart w:id="146" w:name="_ENREF_44"/>
      <w:r w:rsidRPr="00EF2C72">
        <w:lastRenderedPageBreak/>
        <w:t>Hawa, MM, Faziha, IN, Mohamad Izham, MNN &amp; Latiffah, Z 2017, ‘</w:t>
      </w:r>
      <w:r w:rsidRPr="00EF2C72">
        <w:rPr>
          <w:i/>
        </w:rPr>
        <w:t>Fusarium fujikuroi</w:t>
      </w:r>
      <w:r w:rsidRPr="00EF2C72">
        <w:t xml:space="preserve"> associated with stem rot of red-fleshed dragon fruit (</w:t>
      </w:r>
      <w:r w:rsidRPr="00EF2C72">
        <w:rPr>
          <w:i/>
        </w:rPr>
        <w:t>Hylocereus polyrhizus</w:t>
      </w:r>
      <w:r w:rsidRPr="00EF2C72">
        <w:t xml:space="preserve">) in Malaysia’, </w:t>
      </w:r>
      <w:r w:rsidRPr="00EF2C72">
        <w:rPr>
          <w:i/>
        </w:rPr>
        <w:t>Annals of Applied Biology</w:t>
      </w:r>
      <w:r w:rsidRPr="00EF2C72">
        <w:t>, vol. 170, no. 3, pp. 434-46.</w:t>
      </w:r>
      <w:bookmarkEnd w:id="146"/>
    </w:p>
    <w:p w:rsidR="004D5CBC" w:rsidRPr="00EF2C72" w:rsidRDefault="004D5CBC" w:rsidP="00EF2C72">
      <w:pPr>
        <w:pStyle w:val="EndNoteBibliography"/>
        <w:spacing w:after="0"/>
      </w:pPr>
      <w:bookmarkStart w:id="147" w:name="_ENREF_45"/>
      <w:r w:rsidRPr="00EF2C72">
        <w:t xml:space="preserve">Hays, J 2013, ‘Weather and climate in Indonesia’, </w:t>
      </w:r>
      <w:r w:rsidRPr="00EF2C72">
        <w:rPr>
          <w:i/>
        </w:rPr>
        <w:t>Facts and details</w:t>
      </w:r>
      <w:r w:rsidRPr="00EF2C72">
        <w:t xml:space="preserve">, available at </w:t>
      </w:r>
      <w:hyperlink r:id="rId71" w:history="1">
        <w:r w:rsidR="00A500C9" w:rsidRPr="007E14E0">
          <w:rPr>
            <w:rStyle w:val="Hyperlink"/>
          </w:rPr>
          <w:t>http://factsanddetails.com/</w:t>
        </w:r>
      </w:hyperlink>
      <w:r w:rsidRPr="00EF2C72">
        <w:t>.</w:t>
      </w:r>
      <w:bookmarkEnd w:id="147"/>
    </w:p>
    <w:p w:rsidR="004D5CBC" w:rsidRPr="00EF2C72" w:rsidRDefault="004D5CBC" w:rsidP="00EF2C72">
      <w:pPr>
        <w:pStyle w:val="EndNoteBibliography"/>
        <w:spacing w:after="0"/>
      </w:pPr>
      <w:bookmarkStart w:id="148" w:name="_ENREF_46"/>
      <w:r w:rsidRPr="00EF2C72">
        <w:t>Hieu, NT &amp; Hoa, NV 2015, ‘Management strategies of major Pitaya diseases in Vietnam’, paper presented at International Workshop on Improving Pitaya Production and Marketing, Fengshan, Kaohsiung, Taiwan, 7-9 September.</w:t>
      </w:r>
      <w:bookmarkEnd w:id="148"/>
    </w:p>
    <w:p w:rsidR="004D5CBC" w:rsidRPr="00EF2C72" w:rsidRDefault="004D5CBC" w:rsidP="00EF2C72">
      <w:pPr>
        <w:pStyle w:val="EndNoteBibliography"/>
        <w:spacing w:after="0"/>
      </w:pPr>
      <w:bookmarkStart w:id="149" w:name="_ENREF_47"/>
      <w:r w:rsidRPr="00EF2C72">
        <w:t xml:space="preserve">Hoa, NV, Hieu, NT, Hahn, TTM, Uyen, DTK &amp; Dien, LQ 2014, ‘Emerging infectious diseases and insect pests of dragon fruit, passionfruit, citrus, longan’, </w:t>
      </w:r>
      <w:r w:rsidRPr="00EF2C72">
        <w:rPr>
          <w:i/>
        </w:rPr>
        <w:t>Workshop on Increasing Production and Market Access for Tropical Fruit in Southeast Asia, Southern Horticultural Research Institute (SOFRI), Long Dihn, Chau Thanh, Tien Giang, Viet Nam</w:t>
      </w:r>
      <w:r w:rsidRPr="00EF2C72">
        <w:t>, pp. 63-76.</w:t>
      </w:r>
      <w:bookmarkEnd w:id="149"/>
    </w:p>
    <w:p w:rsidR="004D5CBC" w:rsidRPr="00EF2C72" w:rsidRDefault="004D5CBC" w:rsidP="00EF2C72">
      <w:pPr>
        <w:pStyle w:val="EndNoteBibliography"/>
        <w:spacing w:after="0"/>
      </w:pPr>
      <w:bookmarkStart w:id="150" w:name="_ENREF_48"/>
      <w:r w:rsidRPr="00EF2C72">
        <w:t xml:space="preserve">Hofmeyr, H, Doan, TT, Indarwatmi, M, Seth, R &amp; Zhan, G 2016, ‘Development of a generic radiation dose for the postharvest phytosanitary treatment of mealybug species (Hemiptera: Pseudococcidae)’, </w:t>
      </w:r>
      <w:r w:rsidRPr="00EF2C72">
        <w:rPr>
          <w:i/>
        </w:rPr>
        <w:t>Florida Entomologist</w:t>
      </w:r>
      <w:r w:rsidRPr="00EF2C72">
        <w:t>, vol. 99, pp. 191-6.</w:t>
      </w:r>
      <w:bookmarkEnd w:id="150"/>
    </w:p>
    <w:p w:rsidR="004D5CBC" w:rsidRPr="00EF2C72" w:rsidRDefault="004D5CBC" w:rsidP="00EF2C72">
      <w:pPr>
        <w:pStyle w:val="EndNoteBibliography"/>
        <w:spacing w:after="0"/>
      </w:pPr>
      <w:bookmarkStart w:id="151" w:name="_ENREF_49"/>
      <w:r w:rsidRPr="00EF2C72">
        <w:t xml:space="preserve">Hong Mien, DV, Hai, CN, Hien, LT &amp; Huong, TT 2012, ‘Hệ nấm mốc và hàm lượng Ochratoxin A (OTA) trên cà phê nhân (Coffea robusta) ở Việt Nam’ (Study on the mycoflora and the production of Ochratoxin a (OTA) by mould on </w:t>
      </w:r>
      <w:r w:rsidRPr="00EF2C72">
        <w:rPr>
          <w:i/>
        </w:rPr>
        <w:t>Coffea robusta</w:t>
      </w:r>
      <w:r w:rsidRPr="00EF2C72">
        <w:t xml:space="preserve"> in Vietnam), </w:t>
      </w:r>
      <w:r w:rsidRPr="00EF2C72">
        <w:rPr>
          <w:i/>
        </w:rPr>
        <w:t>Tap Chi Sinh Hoc</w:t>
      </w:r>
      <w:r w:rsidRPr="00EF2C72">
        <w:t xml:space="preserve">, vol. 33, pp. 68-73. </w:t>
      </w:r>
      <w:bookmarkEnd w:id="151"/>
    </w:p>
    <w:p w:rsidR="004D5CBC" w:rsidRPr="00EF2C72" w:rsidRDefault="004D5CBC" w:rsidP="00EF2C72">
      <w:pPr>
        <w:pStyle w:val="EndNoteBibliography"/>
        <w:spacing w:after="0"/>
      </w:pPr>
      <w:bookmarkStart w:id="152" w:name="_ENREF_50"/>
      <w:r w:rsidRPr="00EF2C72">
        <w:t xml:space="preserve">IAQA 2016, </w:t>
      </w:r>
      <w:r w:rsidRPr="00EF2C72">
        <w:rPr>
          <w:i/>
        </w:rPr>
        <w:t>Technical information of dragon fruits of Indonesia</w:t>
      </w:r>
      <w:r w:rsidRPr="00EF2C72">
        <w:t>, Ministry of Agriculture, Indonesia Agriculture Quarantine Agency, Center for Plant Quarantine and Biosafety, Indonesia.</w:t>
      </w:r>
      <w:bookmarkEnd w:id="152"/>
    </w:p>
    <w:p w:rsidR="004D5CBC" w:rsidRPr="00EF2C72" w:rsidRDefault="004D5CBC" w:rsidP="00EF2C72">
      <w:pPr>
        <w:pStyle w:val="EndNoteBibliography"/>
        <w:spacing w:after="0"/>
      </w:pPr>
      <w:bookmarkStart w:id="153" w:name="_ENREF_51"/>
      <w:r w:rsidRPr="00EF2C72">
        <w:t xml:space="preserve">ITC Comtrade 2016, </w:t>
      </w:r>
      <w:r w:rsidRPr="00EF2C72">
        <w:rPr>
          <w:i/>
        </w:rPr>
        <w:t>UN Comtrade database</w:t>
      </w:r>
      <w:r w:rsidRPr="00EF2C72">
        <w:t xml:space="preserve">, United Nations, </w:t>
      </w:r>
      <w:hyperlink r:id="rId72" w:history="1">
        <w:r w:rsidR="00A500C9" w:rsidRPr="007E14E0">
          <w:rPr>
            <w:rStyle w:val="Hyperlink"/>
          </w:rPr>
          <w:t>http://comtrade.un.org/</w:t>
        </w:r>
      </w:hyperlink>
      <w:r w:rsidRPr="00EF2C72">
        <w:t>.</w:t>
      </w:r>
      <w:bookmarkEnd w:id="153"/>
    </w:p>
    <w:p w:rsidR="004D5CBC" w:rsidRPr="00EF2C72" w:rsidRDefault="004D5CBC" w:rsidP="00EF2C72">
      <w:pPr>
        <w:pStyle w:val="EndNoteBibliography"/>
        <w:spacing w:after="0"/>
      </w:pPr>
      <w:bookmarkStart w:id="154" w:name="_ENREF_52"/>
      <w:r w:rsidRPr="00EF2C72">
        <w:t>Jiang, Y, Liao, Y, Lin, T, Lee, C, Yen, C &amp; Yang, W 2012, ‘The photoperiod-regulated bud formation of red pitaya (</w:t>
      </w:r>
      <w:r w:rsidRPr="00EF2C72">
        <w:rPr>
          <w:i/>
        </w:rPr>
        <w:t>Hylocereus</w:t>
      </w:r>
      <w:r w:rsidRPr="00EF2C72">
        <w:t xml:space="preserve"> sp.)’, </w:t>
      </w:r>
      <w:r w:rsidRPr="00EF2C72">
        <w:rPr>
          <w:i/>
        </w:rPr>
        <w:t>Horticultural Science</w:t>
      </w:r>
      <w:r w:rsidRPr="00EF2C72">
        <w:t>, vol. 47, pp. 1063-7.</w:t>
      </w:r>
      <w:bookmarkEnd w:id="154"/>
    </w:p>
    <w:p w:rsidR="004D5CBC" w:rsidRPr="00EF2C72" w:rsidRDefault="004D5CBC" w:rsidP="00EF2C72">
      <w:pPr>
        <w:pStyle w:val="EndNoteBibliography"/>
        <w:spacing w:after="0"/>
      </w:pPr>
      <w:bookmarkStart w:id="155" w:name="_ENREF_53"/>
      <w:r w:rsidRPr="00EF2C72">
        <w:t xml:space="preserve">Kalshoven, LGE 1981, </w:t>
      </w:r>
      <w:r w:rsidRPr="00EF2C72">
        <w:rPr>
          <w:i/>
        </w:rPr>
        <w:t>Pests of crops in Indonesia</w:t>
      </w:r>
      <w:r w:rsidRPr="00EF2C72">
        <w:t>, P.T. Ichtiar Baru - Van Hoeve, Jakarta, Indonesia.</w:t>
      </w:r>
      <w:bookmarkEnd w:id="155"/>
    </w:p>
    <w:p w:rsidR="004D5CBC" w:rsidRPr="00EF2C72" w:rsidRDefault="004D5CBC" w:rsidP="00EF2C72">
      <w:pPr>
        <w:pStyle w:val="EndNoteBibliography"/>
        <w:spacing w:after="0"/>
      </w:pPr>
      <w:bookmarkStart w:id="156" w:name="_ENREF_54"/>
      <w:r w:rsidRPr="00EF2C72">
        <w:t xml:space="preserve">Kaneyuki, M, Kobashigawa, Y, Yamamoto, T, Kikukawa, K, Miyazaki, I &amp; Adachi, H 2016, ‘Effect of age and feeding on heat tolerance in each larval instar period of </w:t>
      </w:r>
      <w:r w:rsidRPr="00EF2C72">
        <w:rPr>
          <w:i/>
        </w:rPr>
        <w:t>Bactrocera dorsalis</w:t>
      </w:r>
      <w:r w:rsidRPr="00EF2C72">
        <w:t xml:space="preserve"> and </w:t>
      </w:r>
      <w:r w:rsidRPr="00EF2C72">
        <w:rPr>
          <w:i/>
        </w:rPr>
        <w:t>Bactrocera cucurbitae</w:t>
      </w:r>
      <w:r w:rsidRPr="00EF2C72">
        <w:t xml:space="preserve"> (Diptera: Tephritidae)’, </w:t>
      </w:r>
      <w:r w:rsidRPr="00EF2C72">
        <w:rPr>
          <w:i/>
        </w:rPr>
        <w:t>Research Bulletin of Plant Protection of Japan</w:t>
      </w:r>
      <w:r w:rsidRPr="00EF2C72">
        <w:t>, vol. 52, pp. 29-36.</w:t>
      </w:r>
      <w:bookmarkEnd w:id="156"/>
    </w:p>
    <w:p w:rsidR="004D5CBC" w:rsidRPr="00EF2C72" w:rsidRDefault="004D5CBC" w:rsidP="00EF2C72">
      <w:pPr>
        <w:pStyle w:val="EndNoteBibliography"/>
        <w:spacing w:after="0"/>
      </w:pPr>
      <w:bookmarkStart w:id="157" w:name="_ENREF_55"/>
      <w:r w:rsidRPr="00EF2C72">
        <w:t xml:space="preserve">Khoo, KC, Ooi, PAC &amp; Ho, CT 1991, </w:t>
      </w:r>
      <w:r w:rsidRPr="00EF2C72">
        <w:rPr>
          <w:i/>
        </w:rPr>
        <w:t>Crop pests and their management in Malaysia</w:t>
      </w:r>
      <w:r w:rsidRPr="00EF2C72">
        <w:t>, Tropical Press, Kuala Lumpur.</w:t>
      </w:r>
      <w:bookmarkEnd w:id="157"/>
    </w:p>
    <w:p w:rsidR="004D5CBC" w:rsidRPr="00EF2C72" w:rsidRDefault="004D5CBC" w:rsidP="00EF2C72">
      <w:pPr>
        <w:pStyle w:val="EndNoteBibliography"/>
        <w:spacing w:after="0"/>
      </w:pPr>
      <w:bookmarkStart w:id="158" w:name="_ENREF_56"/>
      <w:r w:rsidRPr="00EF2C72">
        <w:t xml:space="preserve">Kuswadi, AN, Indarwatmi, M, Nasution, IA &amp; Sasmita, HI 2016, ‘Minimum gamma irradiation dose for phytosanitary treatment of </w:t>
      </w:r>
      <w:r w:rsidRPr="00EF2C72">
        <w:rPr>
          <w:i/>
        </w:rPr>
        <w:t>Exallomochlus hispidus</w:t>
      </w:r>
      <w:r w:rsidRPr="00EF2C72">
        <w:t xml:space="preserve"> (Hemiptera: Pseudococcidae)’, </w:t>
      </w:r>
      <w:r w:rsidRPr="00EF2C72">
        <w:rPr>
          <w:i/>
        </w:rPr>
        <w:t>Florida Entomologist</w:t>
      </w:r>
      <w:r w:rsidRPr="00EF2C72">
        <w:t>, vol. 99, pp. 69-75.</w:t>
      </w:r>
      <w:bookmarkEnd w:id="158"/>
    </w:p>
    <w:p w:rsidR="004D5CBC" w:rsidRPr="00EF2C72" w:rsidRDefault="004D5CBC" w:rsidP="00EF2C72">
      <w:pPr>
        <w:pStyle w:val="EndNoteBibliography"/>
        <w:spacing w:after="0"/>
      </w:pPr>
      <w:bookmarkStart w:id="159" w:name="_ENREF_57"/>
      <w:r w:rsidRPr="00EF2C72">
        <w:t>Le Bellec, F, Vaillant, F &amp; Imbert, E 2006, ‘Pitahaya (</w:t>
      </w:r>
      <w:r w:rsidRPr="00EF2C72">
        <w:rPr>
          <w:i/>
        </w:rPr>
        <w:t>Hylocereus</w:t>
      </w:r>
      <w:r w:rsidRPr="00EF2C72">
        <w:t xml:space="preserve"> spp.): a new fruit crop, a market with a future’, </w:t>
      </w:r>
      <w:r w:rsidRPr="00EF2C72">
        <w:rPr>
          <w:i/>
        </w:rPr>
        <w:t>Fruits</w:t>
      </w:r>
      <w:r w:rsidRPr="00EF2C72">
        <w:t>, vol. 61, no. 4, pp. 237-50.</w:t>
      </w:r>
      <w:bookmarkEnd w:id="159"/>
    </w:p>
    <w:p w:rsidR="004D5CBC" w:rsidRPr="00EF2C72" w:rsidRDefault="004D5CBC" w:rsidP="00EF2C72">
      <w:pPr>
        <w:pStyle w:val="EndNoteBibliography"/>
        <w:spacing w:after="0"/>
      </w:pPr>
      <w:bookmarkStart w:id="160" w:name="_ENREF_58"/>
      <w:r w:rsidRPr="00EF2C72">
        <w:t xml:space="preserve">Le, VT, Nguyen, N, Nguyen, DD, Dang, TKT, Nguyen, CT, Dang, VHM, Chau, NH &amp; Trinh, NL 2000, ‘Quality assurance system for dragon fruit’, </w:t>
      </w:r>
      <w:r w:rsidRPr="00EF2C72">
        <w:rPr>
          <w:i/>
        </w:rPr>
        <w:t>ACIAR Proceedings Series, Ho Chi Minh City, 9-12 November 1999</w:t>
      </w:r>
      <w:r w:rsidRPr="00EF2C72">
        <w:t>, ACIAR, pp. 101-14.</w:t>
      </w:r>
      <w:bookmarkEnd w:id="160"/>
    </w:p>
    <w:p w:rsidR="004D5CBC" w:rsidRPr="00EF2C72" w:rsidRDefault="004D5CBC" w:rsidP="00EF2C72">
      <w:pPr>
        <w:pStyle w:val="EndNoteBibliography"/>
        <w:spacing w:after="0"/>
      </w:pPr>
      <w:bookmarkStart w:id="161" w:name="_ENREF_59"/>
      <w:r w:rsidRPr="00EF2C72">
        <w:t>Liu, F, Weir, BS, Damm, U, Crous, PW, Wang, Y, Liu, B, Wang, M, Zhang, M &amp; Cai, L 2015, ‘Unravelling</w:t>
      </w:r>
      <w:r w:rsidRPr="00EF2C72">
        <w:rPr>
          <w:i/>
        </w:rPr>
        <w:t xml:space="preserve"> Colletotrichum </w:t>
      </w:r>
      <w:r w:rsidRPr="00EF2C72">
        <w:t xml:space="preserve">species associated with </w:t>
      </w:r>
      <w:r w:rsidRPr="00EF2C72">
        <w:rPr>
          <w:i/>
        </w:rPr>
        <w:t>Camellia</w:t>
      </w:r>
      <w:r w:rsidRPr="00EF2C72">
        <w:t xml:space="preserve">: employing ApMat and GS loci to resolve species in the </w:t>
      </w:r>
      <w:r w:rsidRPr="00EF2C72">
        <w:rPr>
          <w:i/>
        </w:rPr>
        <w:t>C. gloeosporioides</w:t>
      </w:r>
      <w:r w:rsidRPr="00EF2C72">
        <w:t xml:space="preserve"> complex’, </w:t>
      </w:r>
      <w:r w:rsidRPr="00EF2C72">
        <w:rPr>
          <w:i/>
        </w:rPr>
        <w:t>Persoonia</w:t>
      </w:r>
      <w:r w:rsidRPr="00EF2C72">
        <w:t>, vol. 35, pp. 63-86.</w:t>
      </w:r>
      <w:bookmarkEnd w:id="161"/>
    </w:p>
    <w:p w:rsidR="004D5CBC" w:rsidRPr="00EF2C72" w:rsidRDefault="004D5CBC" w:rsidP="00EF2C72">
      <w:pPr>
        <w:pStyle w:val="EndNoteBibliography"/>
        <w:spacing w:after="0"/>
      </w:pPr>
      <w:bookmarkStart w:id="162" w:name="_ENREF_60"/>
      <w:r w:rsidRPr="00EF2C72">
        <w:t xml:space="preserve">Mani, M &amp; Shivaraju, C, (eds) 2016, </w:t>
      </w:r>
      <w:r w:rsidRPr="00EF2C72">
        <w:rPr>
          <w:i/>
        </w:rPr>
        <w:t xml:space="preserve">Mealybugs and their management in agricultural and horticultural crops </w:t>
      </w:r>
      <w:r w:rsidRPr="00EF2C72">
        <w:t>1st edn, Springer, India.</w:t>
      </w:r>
      <w:bookmarkEnd w:id="162"/>
    </w:p>
    <w:p w:rsidR="004D5CBC" w:rsidRPr="00EF2C72" w:rsidRDefault="004D5CBC" w:rsidP="00EF2C72">
      <w:pPr>
        <w:pStyle w:val="EndNoteBibliography"/>
        <w:spacing w:after="0"/>
      </w:pPr>
      <w:bookmarkStart w:id="163" w:name="_ENREF_61"/>
      <w:r w:rsidRPr="00EF2C72">
        <w:lastRenderedPageBreak/>
        <w:t xml:space="preserve">Marrero, G, Schneider, KL, Jenkins, DM &amp; Alvarez, AM 2013, ‘Phylogeny and classification of </w:t>
      </w:r>
      <w:r w:rsidRPr="00EF2C72">
        <w:rPr>
          <w:i/>
        </w:rPr>
        <w:t xml:space="preserve">Dickeya </w:t>
      </w:r>
      <w:r w:rsidRPr="00EF2C72">
        <w:t xml:space="preserve">based on multilocus sequence analysis’, </w:t>
      </w:r>
      <w:r w:rsidRPr="00EF2C72">
        <w:rPr>
          <w:i/>
        </w:rPr>
        <w:t>International Journal of Systematic and Evolutionary Microbiology</w:t>
      </w:r>
      <w:r w:rsidRPr="00EF2C72">
        <w:t>, vol. 63, pp. 3524-39.</w:t>
      </w:r>
      <w:bookmarkEnd w:id="163"/>
    </w:p>
    <w:p w:rsidR="004D5CBC" w:rsidRPr="00EF2C72" w:rsidRDefault="004D5CBC" w:rsidP="00EF2C72">
      <w:pPr>
        <w:pStyle w:val="EndNoteBibliography"/>
        <w:spacing w:after="0"/>
      </w:pPr>
      <w:bookmarkStart w:id="164" w:name="_ENREF_62"/>
      <w:r w:rsidRPr="00EF2C72">
        <w:t xml:space="preserve">Mau, RFL &amp; Martin Kessing, JL 2007, </w:t>
      </w:r>
      <w:r w:rsidRPr="00EF2C72">
        <w:rPr>
          <w:i/>
        </w:rPr>
        <w:t>Bactrocera dorsalis (Hendel)</w:t>
      </w:r>
      <w:r w:rsidRPr="00EF2C72">
        <w:t xml:space="preserve">, Crop Knowledge Master, available at </w:t>
      </w:r>
      <w:hyperlink r:id="rId73" w:history="1">
        <w:r w:rsidR="00A500C9" w:rsidRPr="007E14E0">
          <w:rPr>
            <w:rStyle w:val="Hyperlink"/>
          </w:rPr>
          <w:t>http://www.extento.hawaii.edu/kbase/crop/Type/bactro_d.htm</w:t>
        </w:r>
      </w:hyperlink>
      <w:r w:rsidRPr="00EF2C72">
        <w:t>.</w:t>
      </w:r>
      <w:bookmarkEnd w:id="164"/>
    </w:p>
    <w:p w:rsidR="004D5CBC" w:rsidRPr="00EF2C72" w:rsidRDefault="004D5CBC" w:rsidP="00EF2C72">
      <w:pPr>
        <w:pStyle w:val="EndNoteBibliography"/>
        <w:spacing w:after="0"/>
      </w:pPr>
      <w:bookmarkStart w:id="165" w:name="_ENREF_63"/>
      <w:r w:rsidRPr="00EF2C72">
        <w:t xml:space="preserve">McQuate, GT 2010, ‘Tephritid fruit fly populations in a dragonfruit orchard in Hawaii: border plant use and infestation rate’, </w:t>
      </w:r>
      <w:r w:rsidRPr="00EF2C72">
        <w:rPr>
          <w:i/>
        </w:rPr>
        <w:t>Proceedings of the Hawaiian Entomological Society</w:t>
      </w:r>
      <w:r w:rsidRPr="00EF2C72">
        <w:t>, vol. 42, pp. 41-8.</w:t>
      </w:r>
      <w:bookmarkEnd w:id="165"/>
    </w:p>
    <w:p w:rsidR="004D5CBC" w:rsidRPr="00EF2C72" w:rsidRDefault="004D5CBC" w:rsidP="00EF2C72">
      <w:pPr>
        <w:pStyle w:val="EndNoteBibliography"/>
        <w:spacing w:after="0"/>
      </w:pPr>
      <w:bookmarkStart w:id="166" w:name="_ENREF_64"/>
      <w:r w:rsidRPr="00EF2C72">
        <w:t xml:space="preserve">McQuate, GT, Liquido, NJ &amp; Nakamichi, KAA 2017, ‘Annotated world bibliography of host plants of the melon fly, </w:t>
      </w:r>
      <w:r w:rsidRPr="00EF2C72">
        <w:rPr>
          <w:i/>
        </w:rPr>
        <w:t>Bactrocera cucurbitae</w:t>
      </w:r>
      <w:r w:rsidRPr="00EF2C72">
        <w:t xml:space="preserve"> (Coquillett) (Diptera: Tephritidae)’, </w:t>
      </w:r>
      <w:r w:rsidRPr="00EF2C72">
        <w:rPr>
          <w:i/>
        </w:rPr>
        <w:t>Insecta Mundi</w:t>
      </w:r>
      <w:r w:rsidRPr="00EF2C72">
        <w:t>, vol. 1032, no. 0527, pp. 1-339.</w:t>
      </w:r>
      <w:bookmarkEnd w:id="166"/>
    </w:p>
    <w:p w:rsidR="004D5CBC" w:rsidRPr="00EF2C72" w:rsidRDefault="004D5CBC" w:rsidP="00EF2C72">
      <w:pPr>
        <w:pStyle w:val="EndNoteBibliography"/>
        <w:spacing w:after="0"/>
      </w:pPr>
      <w:bookmarkStart w:id="167" w:name="_ENREF_65"/>
      <w:r w:rsidRPr="00EF2C72">
        <w:t xml:space="preserve">Miller, DR, Miller, GL &amp; Watson, GW 2002, ‘Invasive species of mealybugs (Hemiptera: Pseudococcidae) and their threat to US agriculture’, </w:t>
      </w:r>
      <w:r w:rsidRPr="00EF2C72">
        <w:rPr>
          <w:i/>
        </w:rPr>
        <w:t>Proceedings of the Entomological Society of Washington</w:t>
      </w:r>
      <w:r w:rsidRPr="00EF2C72">
        <w:t>, vol. 104, no. 4, pp. 825-36.</w:t>
      </w:r>
      <w:bookmarkEnd w:id="167"/>
    </w:p>
    <w:p w:rsidR="004D5CBC" w:rsidRPr="00EF2C72" w:rsidRDefault="004D5CBC" w:rsidP="00EF2C72">
      <w:pPr>
        <w:pStyle w:val="EndNoteBibliography"/>
        <w:spacing w:after="0"/>
      </w:pPr>
      <w:bookmarkStart w:id="168" w:name="_ENREF_66"/>
      <w:r w:rsidRPr="00EF2C72">
        <w:t xml:space="preserve">Muas, I &amp; Jumjunidang 2015, ‘Status of dragon fruit cultivation and marketing in Indonesia’, </w:t>
      </w:r>
      <w:r w:rsidRPr="00EF2C72">
        <w:rPr>
          <w:i/>
        </w:rPr>
        <w:t>Workshop on Improving Pitaya Production and Marketing on 7- 9 September 2015 at Kaohsiung, Taiwan</w:t>
      </w:r>
      <w:r w:rsidRPr="00EF2C72">
        <w:t>.</w:t>
      </w:r>
      <w:bookmarkEnd w:id="168"/>
    </w:p>
    <w:p w:rsidR="004D5CBC" w:rsidRPr="00EF2C72" w:rsidRDefault="004D5CBC" w:rsidP="00EF2C72">
      <w:pPr>
        <w:pStyle w:val="EndNoteBibliography"/>
        <w:spacing w:after="0"/>
      </w:pPr>
      <w:bookmarkStart w:id="169" w:name="_ENREF_67"/>
      <w:r w:rsidRPr="00EF2C72">
        <w:t xml:space="preserve">Nerd, A &amp; Mizrahi, Y 1998, ‘Fruit development and ripening in yellow pitaya’, </w:t>
      </w:r>
      <w:r w:rsidRPr="00EF2C72">
        <w:rPr>
          <w:i/>
        </w:rPr>
        <w:t>Journal of the American Society for Horticultural Science</w:t>
      </w:r>
      <w:r w:rsidRPr="00EF2C72">
        <w:t>, vol. 123, no. 4, pp. 560-2.</w:t>
      </w:r>
      <w:bookmarkEnd w:id="169"/>
    </w:p>
    <w:p w:rsidR="004D5CBC" w:rsidRPr="00EF2C72" w:rsidRDefault="004D5CBC" w:rsidP="00EF2C72">
      <w:pPr>
        <w:pStyle w:val="EndNoteBibliography"/>
        <w:spacing w:after="0"/>
      </w:pPr>
      <w:bookmarkStart w:id="170" w:name="_ENREF_68"/>
      <w:r w:rsidRPr="00EF2C72">
        <w:t xml:space="preserve">Nugroho, AD, Setyabudi, FMCS, Salleh, B &amp; Rahayu, ES 2013, ‘Ochratoxigenic black aspergilli isolated from dried agricultural products in Yogyakarta, Indonesia’, </w:t>
      </w:r>
      <w:r w:rsidRPr="00EF2C72">
        <w:rPr>
          <w:i/>
        </w:rPr>
        <w:t>Journal of Food Science and Engineering</w:t>
      </w:r>
      <w:r w:rsidRPr="00EF2C72">
        <w:t>, vol. 3, pp. 472-80.</w:t>
      </w:r>
      <w:bookmarkEnd w:id="170"/>
    </w:p>
    <w:p w:rsidR="004D5CBC" w:rsidRPr="00EF2C72" w:rsidRDefault="004D5CBC" w:rsidP="00EF2C72">
      <w:pPr>
        <w:pStyle w:val="EndNoteBibliography"/>
        <w:spacing w:after="0"/>
      </w:pPr>
      <w:bookmarkStart w:id="171" w:name="_ENREF_69"/>
      <w:r w:rsidRPr="00EF2C72">
        <w:t xml:space="preserve">Office of the Queensland Parliamentary Counsel 2016, </w:t>
      </w:r>
      <w:r w:rsidRPr="00EF2C72">
        <w:rPr>
          <w:i/>
        </w:rPr>
        <w:t>Plant protection regulation 2002</w:t>
      </w:r>
      <w:r w:rsidRPr="00EF2C72">
        <w:t xml:space="preserve">, Queensland legislation, Queensland Government, available at </w:t>
      </w:r>
      <w:hyperlink r:id="rId74" w:history="1">
        <w:r w:rsidR="005528F5" w:rsidRPr="007E14E0">
          <w:rPr>
            <w:rStyle w:val="Hyperlink"/>
          </w:rPr>
          <w:t>https://www.legislation.qld.gov.au/LEGISLTN/CURRENT/P/PlantProtR02.pdf</w:t>
        </w:r>
      </w:hyperlink>
      <w:r w:rsidRPr="00EF2C72">
        <w:t xml:space="preserve"> (pdf 1.59 mb).</w:t>
      </w:r>
      <w:bookmarkEnd w:id="171"/>
    </w:p>
    <w:p w:rsidR="004D5CBC" w:rsidRPr="00EF2C72" w:rsidRDefault="004D5CBC" w:rsidP="00EF2C72">
      <w:pPr>
        <w:pStyle w:val="EndNoteBibliography"/>
        <w:spacing w:after="0"/>
      </w:pPr>
      <w:bookmarkStart w:id="172" w:name="_ENREF_70"/>
      <w:r w:rsidRPr="00EF2C72">
        <w:t xml:space="preserve">Plant Health Australia 2018, ‘Australian Plant Pest Database, online database’, The Atlas of Living Australia, available at </w:t>
      </w:r>
      <w:hyperlink r:id="rId75" w:history="1">
        <w:r w:rsidR="005528F5" w:rsidRPr="007E14E0">
          <w:rPr>
            <w:rStyle w:val="Hyperlink"/>
          </w:rPr>
          <w:t>http://www.planthealthaustralia.com.au/resources/australian-plant-pest-database/</w:t>
        </w:r>
      </w:hyperlink>
      <w:r w:rsidRPr="00EF2C72">
        <w:t>, accessed 2018.</w:t>
      </w:r>
      <w:bookmarkEnd w:id="172"/>
    </w:p>
    <w:p w:rsidR="004D5CBC" w:rsidRPr="00EF2C72" w:rsidRDefault="004D5CBC" w:rsidP="00EF2C72">
      <w:pPr>
        <w:pStyle w:val="EndNoteBibliography"/>
        <w:spacing w:after="0"/>
      </w:pPr>
      <w:bookmarkStart w:id="173" w:name="_ENREF_71"/>
      <w:r w:rsidRPr="00EF2C72">
        <w:t xml:space="preserve">Poole, MC 2010, </w:t>
      </w:r>
      <w:r w:rsidRPr="00EF2C72">
        <w:rPr>
          <w:i/>
        </w:rPr>
        <w:t>An annotated catalogue of insect and allied species associated with Western Australian agriculture and related industries: perennial draft, July 2010</w:t>
      </w:r>
      <w:r w:rsidRPr="00EF2C72">
        <w:t>, Department of Agriculture and Food, Government of Western Australia.</w:t>
      </w:r>
      <w:bookmarkEnd w:id="173"/>
    </w:p>
    <w:p w:rsidR="004D5CBC" w:rsidRPr="00EF2C72" w:rsidRDefault="004D5CBC" w:rsidP="00EF2C72">
      <w:pPr>
        <w:pStyle w:val="EndNoteBibliography"/>
        <w:spacing w:after="0"/>
      </w:pPr>
      <w:bookmarkStart w:id="174" w:name="_ENREF_72"/>
      <w:r w:rsidRPr="00EF2C72">
        <w:t xml:space="preserve">PPD 2010, </w:t>
      </w:r>
      <w:r w:rsidRPr="00EF2C72">
        <w:rPr>
          <w:i/>
        </w:rPr>
        <w:t>A proposal to export dragon fruit (Hylocereus undatus) from Vietnam to Australia</w:t>
      </w:r>
      <w:r w:rsidRPr="00EF2C72">
        <w:t>, Plant Protection Department (PPD), Ministry of Agriculture and Rural Development, Vietnam (pdf 761 kb).</w:t>
      </w:r>
      <w:bookmarkEnd w:id="174"/>
    </w:p>
    <w:p w:rsidR="004D5CBC" w:rsidRPr="00EF2C72" w:rsidRDefault="004D5CBC" w:rsidP="00EF2C72">
      <w:pPr>
        <w:pStyle w:val="EndNoteBibliography"/>
        <w:spacing w:after="0"/>
      </w:pPr>
      <w:bookmarkStart w:id="175" w:name="_ENREF_73"/>
      <w:r w:rsidRPr="00EF2C72">
        <w:t xml:space="preserve">Pung, H &amp; Cox, P 1999, ‘The development of crown rot disease on carrots’, </w:t>
      </w:r>
      <w:r w:rsidRPr="00EF2C72">
        <w:rPr>
          <w:i/>
        </w:rPr>
        <w:t>12th Biennial Australasian Plant Pathology Conference 27-30 September 1999, Devonport, Tasmania</w:t>
      </w:r>
      <w:r w:rsidRPr="00EF2C72">
        <w:t>, Serve-Ag Research, Tasmania.</w:t>
      </w:r>
      <w:bookmarkEnd w:id="175"/>
    </w:p>
    <w:p w:rsidR="004D5CBC" w:rsidRPr="00EF2C72" w:rsidRDefault="004D5CBC" w:rsidP="00EF2C72">
      <w:pPr>
        <w:pStyle w:val="EndNoteBibliography"/>
        <w:spacing w:after="0"/>
      </w:pPr>
      <w:bookmarkStart w:id="176" w:name="_ENREF_74"/>
      <w:r w:rsidRPr="00EF2C72">
        <w:t xml:space="preserve">Rafani, MI 2015, ‘Overview of fruit production, marketing, research and development system in Indonesia’, </w:t>
      </w:r>
      <w:r w:rsidRPr="00EF2C72">
        <w:rPr>
          <w:i/>
        </w:rPr>
        <w:t>Food and Fertilizer Technology Center</w:t>
      </w:r>
      <w:r w:rsidRPr="00EF2C72">
        <w:t xml:space="preserve">, Food and Fertilizer Technology Center, Taipei, available at </w:t>
      </w:r>
      <w:hyperlink r:id="rId76" w:history="1">
        <w:r w:rsidR="005528F5" w:rsidRPr="007E14E0">
          <w:rPr>
            <w:rStyle w:val="Hyperlink"/>
          </w:rPr>
          <w:t>http://www.fftc.agnet.org/library.php?func=view&amp;id=20150806102619&amp;type_id=4</w:t>
        </w:r>
      </w:hyperlink>
      <w:r w:rsidRPr="00EF2C72">
        <w:t>.</w:t>
      </w:r>
      <w:bookmarkEnd w:id="176"/>
    </w:p>
    <w:p w:rsidR="004D5CBC" w:rsidRPr="00EF2C72" w:rsidRDefault="004D5CBC" w:rsidP="00EF2C72">
      <w:pPr>
        <w:pStyle w:val="EndNoteBibliography"/>
        <w:spacing w:after="0"/>
      </w:pPr>
      <w:bookmarkStart w:id="177" w:name="_ENREF_75"/>
      <w:r w:rsidRPr="00EF2C72">
        <w:t>Roda, A, Francis, A, Kairo, MTK &amp; Culik, M 2013, ‘</w:t>
      </w:r>
      <w:r w:rsidRPr="00EF2C72">
        <w:rPr>
          <w:i/>
        </w:rPr>
        <w:t>Planococcus minor</w:t>
      </w:r>
      <w:r w:rsidRPr="00EF2C72">
        <w:t xml:space="preserve"> (Hemiptera: Pseudococcidae): bioecology, survey and mitigation strategies’, in </w:t>
      </w:r>
      <w:r w:rsidRPr="00EF2C72">
        <w:rPr>
          <w:i/>
        </w:rPr>
        <w:t>Potential invasive pests of agricultural crops</w:t>
      </w:r>
      <w:r w:rsidRPr="00EF2C72">
        <w:t>, Peña, J (ed), CABI.</w:t>
      </w:r>
      <w:bookmarkEnd w:id="177"/>
    </w:p>
    <w:p w:rsidR="004D5CBC" w:rsidRPr="00EF2C72" w:rsidRDefault="004D5CBC" w:rsidP="00EF2C72">
      <w:pPr>
        <w:pStyle w:val="EndNoteBibliography"/>
        <w:spacing w:after="0"/>
      </w:pPr>
      <w:bookmarkStart w:id="178" w:name="_ENREF_76"/>
      <w:r w:rsidRPr="00EF2C72">
        <w:t xml:space="preserve">Samson, R, Legendre, JB, Christen, R, Saux, MF, Achouak, W &amp; Gardan, L 2005, ‘Transfer of </w:t>
      </w:r>
      <w:r w:rsidRPr="00EF2C72">
        <w:rPr>
          <w:i/>
        </w:rPr>
        <w:t>Pectobacterium chrysanthemi</w:t>
      </w:r>
      <w:r w:rsidRPr="00EF2C72">
        <w:t xml:space="preserve"> (Burkholder et al. 1953) Brenner et al. 1973 and </w:t>
      </w:r>
      <w:r w:rsidRPr="00EF2C72">
        <w:rPr>
          <w:i/>
        </w:rPr>
        <w:t>Brenneria paradisiaca</w:t>
      </w:r>
      <w:r w:rsidRPr="00EF2C72">
        <w:t xml:space="preserve"> to the genus </w:t>
      </w:r>
      <w:r w:rsidRPr="00EF2C72">
        <w:rPr>
          <w:i/>
        </w:rPr>
        <w:t xml:space="preserve">Dickeya </w:t>
      </w:r>
      <w:r w:rsidRPr="00EF2C72">
        <w:t xml:space="preserve">gen. nov. as </w:t>
      </w:r>
      <w:r w:rsidRPr="00EF2C72">
        <w:rPr>
          <w:i/>
        </w:rPr>
        <w:t>Dickeya chrysanthemi</w:t>
      </w:r>
      <w:r w:rsidRPr="00EF2C72">
        <w:t xml:space="preserve"> comb. nov. and </w:t>
      </w:r>
      <w:r w:rsidRPr="00EF2C72">
        <w:rPr>
          <w:i/>
        </w:rPr>
        <w:t xml:space="preserve">Dickeya </w:t>
      </w:r>
      <w:r w:rsidRPr="00EF2C72">
        <w:rPr>
          <w:i/>
        </w:rPr>
        <w:lastRenderedPageBreak/>
        <w:t>paradisiaca</w:t>
      </w:r>
      <w:r w:rsidRPr="00EF2C72">
        <w:t xml:space="preserve"> comb. nov. and deliniation of four novel species, </w:t>
      </w:r>
      <w:r w:rsidRPr="00EF2C72">
        <w:rPr>
          <w:i/>
        </w:rPr>
        <w:t>Dickeya dadantii</w:t>
      </w:r>
      <w:r w:rsidRPr="00EF2C72">
        <w:t xml:space="preserve"> sp. nov., </w:t>
      </w:r>
      <w:r w:rsidRPr="00EF2C72">
        <w:rPr>
          <w:i/>
        </w:rPr>
        <w:t>Dickeya dianthicola</w:t>
      </w:r>
      <w:r w:rsidRPr="00EF2C72">
        <w:t xml:space="preserve"> sp. nov., </w:t>
      </w:r>
      <w:r w:rsidRPr="00EF2C72">
        <w:rPr>
          <w:i/>
        </w:rPr>
        <w:t>Dickeya dieffenbachiae</w:t>
      </w:r>
      <w:r w:rsidRPr="00EF2C72">
        <w:t xml:space="preserve"> sp. nov. and </w:t>
      </w:r>
      <w:r w:rsidRPr="00EF2C72">
        <w:rPr>
          <w:i/>
        </w:rPr>
        <w:t>Dickeya zeae</w:t>
      </w:r>
      <w:r w:rsidRPr="00EF2C72">
        <w:t xml:space="preserve"> sp. nov’, </w:t>
      </w:r>
      <w:r w:rsidRPr="00EF2C72">
        <w:rPr>
          <w:i/>
        </w:rPr>
        <w:t>International Journal of Systematic and Evolutionary Microbiology</w:t>
      </w:r>
      <w:r w:rsidRPr="00EF2C72">
        <w:t>, vol. 55, pp. 1415-27.</w:t>
      </w:r>
      <w:bookmarkEnd w:id="178"/>
    </w:p>
    <w:p w:rsidR="004D5CBC" w:rsidRPr="00EF2C72" w:rsidRDefault="004D5CBC" w:rsidP="00EF2C72">
      <w:pPr>
        <w:pStyle w:val="EndNoteBibliography"/>
        <w:spacing w:after="0"/>
      </w:pPr>
      <w:bookmarkStart w:id="179" w:name="_ENREF_77"/>
      <w:r w:rsidRPr="00EF2C72">
        <w:t xml:space="preserve">Sangalang, AE, Burgess, LW, Backhouse, D, Duff, J &amp; Wurst, M 1995, ‘Mycogeography of </w:t>
      </w:r>
      <w:r w:rsidRPr="00EF2C72">
        <w:rPr>
          <w:i/>
        </w:rPr>
        <w:t>Fusarium</w:t>
      </w:r>
      <w:r w:rsidRPr="00EF2C72">
        <w:t xml:space="preserve"> species in soils from tropical, arid and mediterranean regions of Australia’, </w:t>
      </w:r>
      <w:r w:rsidRPr="00EF2C72">
        <w:rPr>
          <w:i/>
        </w:rPr>
        <w:t>Mycological Research</w:t>
      </w:r>
      <w:r w:rsidRPr="00EF2C72">
        <w:t>, vol. 99, no. 5, pp. 523-8.</w:t>
      </w:r>
      <w:bookmarkEnd w:id="179"/>
    </w:p>
    <w:p w:rsidR="004D5CBC" w:rsidRPr="00EF2C72" w:rsidRDefault="004D5CBC" w:rsidP="00EF2C72">
      <w:pPr>
        <w:pStyle w:val="EndNoteBibliography"/>
        <w:spacing w:after="0"/>
      </w:pPr>
      <w:bookmarkStart w:id="180" w:name="_ENREF_78"/>
      <w:r w:rsidRPr="00EF2C72">
        <w:t xml:space="preserve">Sartiami, D, Watson, GW, Roff, MMN &amp; Idris, AB 2017, ‘New Indonesian country records and species informaiton for mealybugs (Hemiptera Pseudococcidae) in Wirjati's historic collection’, </w:t>
      </w:r>
      <w:r w:rsidRPr="00EF2C72">
        <w:rPr>
          <w:i/>
        </w:rPr>
        <w:t>Redia</w:t>
      </w:r>
      <w:r w:rsidRPr="00EF2C72">
        <w:t>, vol. 99, no. 1, pp. 155-61.</w:t>
      </w:r>
      <w:bookmarkEnd w:id="180"/>
    </w:p>
    <w:p w:rsidR="004D5CBC" w:rsidRPr="00EF2C72" w:rsidRDefault="004D5CBC" w:rsidP="00EF2C72">
      <w:pPr>
        <w:pStyle w:val="EndNoteBibliography"/>
        <w:spacing w:after="0"/>
      </w:pPr>
      <w:bookmarkStart w:id="181" w:name="_ENREF_79"/>
      <w:r w:rsidRPr="00EF2C72">
        <w:t xml:space="preserve">Schutze, MK, Aketarawong, N, Amornsak, W, Armstrong, KF, Augustinos, AA, Barr, N, Bo, W, Bourtzis, K, Boykin, LM, Cáceres, C, Cameron, SL, Chapman, TA, Chinvinijkul, S, Chomic, A, de Meyer, M, Drosopoulou, E, Englezou, A, Ekesi, S, Gariou-Papalexiou, A, Geib, SM, Hailstones, D, Hasanuzzaman, M, Haymer, D, Hee, AKW, Hendrichs, J, Jessup, A, Ji, Q, Khamis, FM, Krosch, MN, Leblanc, L, Mahmood, K, Malacrida, AR, Mavragani-Tsipidou, P, Mwatawala, M, Nishida, R, Ono, H, Reyes, J, Rubinoff, D, Sanjose, M, Shelly, TE, Spikachar, S, Tan, KH, Thanaphum, S, Haq, I, Vijaysegaran, S, Wee, SL, Yesmin, F, Zacharopoulou, A &amp; Clarke, AR 2014, ‘Synonymization of key pest species within the </w:t>
      </w:r>
      <w:r w:rsidRPr="00EF2C72">
        <w:rPr>
          <w:i/>
        </w:rPr>
        <w:t xml:space="preserve">Bactrocera dorsalis </w:t>
      </w:r>
      <w:r w:rsidRPr="00EF2C72">
        <w:t xml:space="preserve">species complex (Diptera: Tephritidae): taxonomic changes based on a review of 20 years of integrative morphological, molecular, cytogenetic, behavioural and chemoecological data’, </w:t>
      </w:r>
      <w:r w:rsidRPr="00EF2C72">
        <w:rPr>
          <w:i/>
        </w:rPr>
        <w:t>Systematic Entomology</w:t>
      </w:r>
      <w:r w:rsidRPr="00EF2C72">
        <w:t>, vol. 40, no. 2, pp. 456-71.</w:t>
      </w:r>
      <w:bookmarkEnd w:id="181"/>
    </w:p>
    <w:p w:rsidR="004D5CBC" w:rsidRPr="00EF2C72" w:rsidRDefault="004D5CBC" w:rsidP="00EF2C72">
      <w:pPr>
        <w:pStyle w:val="EndNoteBibliography"/>
        <w:spacing w:after="0"/>
      </w:pPr>
      <w:bookmarkStart w:id="182" w:name="_ENREF_80"/>
      <w:r w:rsidRPr="00EF2C72">
        <w:t xml:space="preserve">Simmonds, JH 1966, </w:t>
      </w:r>
      <w:r w:rsidRPr="00EF2C72">
        <w:rPr>
          <w:i/>
        </w:rPr>
        <w:t>Host index of plant diseases in Queensland</w:t>
      </w:r>
      <w:r w:rsidRPr="00EF2C72">
        <w:t>, Department of Primary Industries, Brisbane.</w:t>
      </w:r>
      <w:bookmarkEnd w:id="182"/>
    </w:p>
    <w:p w:rsidR="004D5CBC" w:rsidRPr="00EF2C72" w:rsidRDefault="004D5CBC" w:rsidP="00EF2C72">
      <w:pPr>
        <w:pStyle w:val="EndNoteBibliography"/>
        <w:spacing w:after="0"/>
      </w:pPr>
      <w:bookmarkStart w:id="183" w:name="_ENREF_81"/>
      <w:r w:rsidRPr="00EF2C72">
        <w:t xml:space="preserve">Sjamsuridzal, W &amp; Lisdiyanti, P, (eds) 2008, </w:t>
      </w:r>
      <w:r w:rsidRPr="00EF2C72">
        <w:rPr>
          <w:i/>
        </w:rPr>
        <w:t>Forkomikro catalogue of cultures of indonesian microorganisms: Bacteria, fungi, microalgae, protozoa, viruses</w:t>
      </w:r>
      <w:r w:rsidRPr="00EF2C72">
        <w:t>, Communication Forum of Indonesia Culture Collection Curators.</w:t>
      </w:r>
      <w:bookmarkEnd w:id="183"/>
    </w:p>
    <w:p w:rsidR="004D5CBC" w:rsidRPr="00EF2C72" w:rsidRDefault="004D5CBC" w:rsidP="00EF2C72">
      <w:pPr>
        <w:pStyle w:val="EndNoteBibliography"/>
        <w:spacing w:after="0"/>
      </w:pPr>
      <w:bookmarkStart w:id="184" w:name="_ENREF_82"/>
      <w:r w:rsidRPr="00EF2C72">
        <w:t xml:space="preserve">Suh, S, Yu, H &amp; Hong, K 2013, ‘List of intercepted scale insects at Korean ports of entry and potential invasive species of scale insects to Korea (Hemiptera: Coccoidea)’, </w:t>
      </w:r>
      <w:r w:rsidRPr="00EF2C72">
        <w:rPr>
          <w:i/>
        </w:rPr>
        <w:t>Korean Journal of Applied Entomology</w:t>
      </w:r>
      <w:r w:rsidRPr="00EF2C72">
        <w:t>, vol. 52, no. 2, pp. 141-60.</w:t>
      </w:r>
      <w:bookmarkEnd w:id="184"/>
    </w:p>
    <w:p w:rsidR="004D5CBC" w:rsidRPr="00EF2C72" w:rsidRDefault="004D5CBC" w:rsidP="00EF2C72">
      <w:pPr>
        <w:pStyle w:val="EndNoteBibliography"/>
        <w:spacing w:after="0"/>
      </w:pPr>
      <w:bookmarkStart w:id="185" w:name="_ENREF_83"/>
      <w:r w:rsidRPr="00EF2C72">
        <w:t>Summerell, BA, Leslie, JF, Liew, ECY, Laurence, MH, Bullock, S, Petrovic, T, Bentley, AR, Howard, CG, Peterson, SA, Walsh, JL &amp; Burgess, LW 2011, ‘</w:t>
      </w:r>
      <w:r w:rsidRPr="00EF2C72">
        <w:rPr>
          <w:i/>
        </w:rPr>
        <w:t>Fusarium</w:t>
      </w:r>
      <w:r w:rsidRPr="00EF2C72">
        <w:t xml:space="preserve"> species associated with plants in Australia’, </w:t>
      </w:r>
      <w:r w:rsidRPr="00EF2C72">
        <w:rPr>
          <w:i/>
        </w:rPr>
        <w:t>Fungal Diversity</w:t>
      </w:r>
      <w:r w:rsidRPr="00EF2C72">
        <w:t>, vol. 46, pp. 1-27.</w:t>
      </w:r>
      <w:bookmarkEnd w:id="185"/>
    </w:p>
    <w:p w:rsidR="004D5CBC" w:rsidRPr="00EF2C72" w:rsidRDefault="004D5CBC" w:rsidP="00EF2C72">
      <w:pPr>
        <w:pStyle w:val="EndNoteBibliography"/>
        <w:spacing w:after="0"/>
      </w:pPr>
      <w:bookmarkStart w:id="186" w:name="_ENREF_84"/>
      <w:r w:rsidRPr="00EF2C72">
        <w:t xml:space="preserve">Suprapta, DN, Maulina, NMI &amp; Khalimi, K 2014, ‘Effectiveness of </w:t>
      </w:r>
      <w:r w:rsidRPr="00EF2C72">
        <w:rPr>
          <w:i/>
        </w:rPr>
        <w:t>Enterobacter cloacae</w:t>
      </w:r>
      <w:r w:rsidRPr="00EF2C72">
        <w:t xml:space="preserve"> to promote the growth and increase the yield of rice’, </w:t>
      </w:r>
      <w:r w:rsidRPr="00EF2C72">
        <w:rPr>
          <w:i/>
        </w:rPr>
        <w:t>Journal of Biology, Agriculture and Healthcare</w:t>
      </w:r>
      <w:r w:rsidRPr="00EF2C72">
        <w:t>, vol. 4, pp. 44-50.</w:t>
      </w:r>
      <w:bookmarkEnd w:id="186"/>
    </w:p>
    <w:p w:rsidR="004D5CBC" w:rsidRPr="00EF2C72" w:rsidRDefault="004D5CBC" w:rsidP="00EF2C72">
      <w:pPr>
        <w:pStyle w:val="EndNoteBibliography"/>
        <w:spacing w:after="0"/>
      </w:pPr>
      <w:bookmarkStart w:id="187" w:name="_ENREF_85"/>
      <w:r w:rsidRPr="00EF2C72">
        <w:t xml:space="preserve">Suryanto, W 2016, ‘Technical guidelines dragon fruit cultivation’, </w:t>
      </w:r>
      <w:r w:rsidRPr="00EF2C72">
        <w:rPr>
          <w:i/>
        </w:rPr>
        <w:t>Farm agriculture</w:t>
      </w:r>
      <w:r w:rsidRPr="00EF2C72">
        <w:t xml:space="preserve">, available at </w:t>
      </w:r>
      <w:hyperlink r:id="rId77" w:history="1">
        <w:r w:rsidR="005528F5" w:rsidRPr="007E14E0">
          <w:rPr>
            <w:rStyle w:val="Hyperlink"/>
          </w:rPr>
          <w:t>http://www.ternakagro.com/2016/01/technical-guidelines-dragon-fruit.html</w:t>
        </w:r>
      </w:hyperlink>
      <w:r w:rsidRPr="00EF2C72">
        <w:t>.</w:t>
      </w:r>
      <w:bookmarkEnd w:id="187"/>
    </w:p>
    <w:p w:rsidR="004D5CBC" w:rsidRPr="00EF2C72" w:rsidRDefault="004D5CBC" w:rsidP="00EF2C72">
      <w:pPr>
        <w:pStyle w:val="EndNoteBibliography"/>
        <w:spacing w:after="0"/>
      </w:pPr>
      <w:bookmarkStart w:id="188" w:name="_ENREF_86"/>
      <w:r w:rsidRPr="00EF2C72">
        <w:t xml:space="preserve">USDA-APHIS 2008, </w:t>
      </w:r>
      <w:r w:rsidRPr="00EF2C72">
        <w:rPr>
          <w:i/>
        </w:rPr>
        <w:t>Importation of red dragon fruit (red pitaya) (Hylocereus spp.*) from Vietnam: a pathway-initiated risk assessment</w:t>
      </w:r>
      <w:r w:rsidRPr="00EF2C72">
        <w:t>, United States Department of Agriculture, Raleigh, NC (pdf 450 kb).</w:t>
      </w:r>
      <w:bookmarkEnd w:id="188"/>
    </w:p>
    <w:p w:rsidR="004D5CBC" w:rsidRPr="00EF2C72" w:rsidRDefault="004D5CBC" w:rsidP="00EF2C72">
      <w:pPr>
        <w:pStyle w:val="EndNoteBibliography"/>
        <w:spacing w:after="0"/>
      </w:pPr>
      <w:bookmarkStart w:id="189" w:name="_ENREF_87"/>
      <w:r w:rsidRPr="00EF2C72">
        <w:t xml:space="preserve">Vallad, G 2011, ‘Initial Characterization of </w:t>
      </w:r>
      <w:r w:rsidRPr="00EF2C72">
        <w:rPr>
          <w:i/>
        </w:rPr>
        <w:t>Corynespora cassiicola</w:t>
      </w:r>
      <w:r w:rsidRPr="00EF2C72">
        <w:t xml:space="preserve"> Affecting Florida Tomatoes’, </w:t>
      </w:r>
      <w:r w:rsidRPr="00EF2C72">
        <w:rPr>
          <w:i/>
        </w:rPr>
        <w:t>26th Annual Tomato Disease Workshop October 11-13, 2011, Proceedings</w:t>
      </w:r>
      <w:r w:rsidRPr="00EF2C72">
        <w:t xml:space="preserve">, Cornell University, Ithaca, New York </w:t>
      </w:r>
      <w:bookmarkEnd w:id="189"/>
    </w:p>
    <w:p w:rsidR="004D5CBC" w:rsidRPr="00EF2C72" w:rsidRDefault="004D5CBC" w:rsidP="00EF2C72">
      <w:pPr>
        <w:pStyle w:val="EndNoteBibliography"/>
        <w:spacing w:after="0"/>
      </w:pPr>
      <w:bookmarkStart w:id="190" w:name="_ENREF_88"/>
      <w:r w:rsidRPr="00EF2C72">
        <w:t xml:space="preserve">Venette, RC &amp; Davis, EE 2004, </w:t>
      </w:r>
      <w:r w:rsidRPr="00EF2C72">
        <w:rPr>
          <w:i/>
        </w:rPr>
        <w:t>Mini risk assessment: passionvine mealybug: Planococcus minor (Maskell) [Pseudococcidae: Hemiptera]</w:t>
      </w:r>
      <w:r w:rsidRPr="00EF2C72">
        <w:t xml:space="preserve">, University of Minnesota, St Paul, Minnesota, available at </w:t>
      </w:r>
      <w:hyperlink r:id="rId78" w:history="1">
        <w:r w:rsidR="005528F5" w:rsidRPr="007E14E0">
          <w:rPr>
            <w:rStyle w:val="Hyperlink"/>
          </w:rPr>
          <w:t>http://www.aphis.usda.gov/plant_health/plant_pest_info/pest_detection/downloads/pra/pminorpra.pdf</w:t>
        </w:r>
      </w:hyperlink>
      <w:r w:rsidRPr="00EF2C72">
        <w:t xml:space="preserve"> (pdf 7.31 mb).</w:t>
      </w:r>
      <w:bookmarkEnd w:id="190"/>
    </w:p>
    <w:p w:rsidR="004D5CBC" w:rsidRPr="00EF2C72" w:rsidRDefault="004D5CBC" w:rsidP="00EF2C72">
      <w:pPr>
        <w:pStyle w:val="EndNoteBibliography"/>
        <w:spacing w:after="0"/>
      </w:pPr>
      <w:bookmarkStart w:id="191" w:name="_ENREF_89"/>
      <w:r w:rsidRPr="00EF2C72">
        <w:t xml:space="preserve">Virgilio, M, Jordaens, K, Verwimp, C, White, IM &amp; de Meyer, M 2015, ‘Higher phylogeny of frugivorous flies (Diptera, Tephritidae, Dacini): localised partition conflicts and a novel generic classification’, </w:t>
      </w:r>
      <w:r w:rsidRPr="00EF2C72">
        <w:rPr>
          <w:i/>
        </w:rPr>
        <w:t>Molecular Phylogenetics and Evolution</w:t>
      </w:r>
      <w:r w:rsidRPr="00EF2C72">
        <w:t>, vol. 85, pp. 171-9.</w:t>
      </w:r>
      <w:bookmarkEnd w:id="191"/>
    </w:p>
    <w:p w:rsidR="004D5CBC" w:rsidRPr="00EF2C72" w:rsidRDefault="004D5CBC" w:rsidP="00EF2C72">
      <w:pPr>
        <w:pStyle w:val="EndNoteBibliography"/>
        <w:spacing w:after="0"/>
      </w:pPr>
      <w:bookmarkStart w:id="192" w:name="_ENREF_90"/>
      <w:r w:rsidRPr="00EF2C72">
        <w:lastRenderedPageBreak/>
        <w:t xml:space="preserve">Virginia Tech 2014, </w:t>
      </w:r>
      <w:r w:rsidRPr="00EF2C72">
        <w:rPr>
          <w:i/>
        </w:rPr>
        <w:t>The Plant disease clinic and weed identification lab annual report 2014</w:t>
      </w:r>
      <w:r w:rsidRPr="00EF2C72">
        <w:t xml:space="preserve">, Department of Plant Pathology, Physiology and Weed Science, Virginia Polytechnic Institute and State University, Blacksburg, Virginia, available at </w:t>
      </w:r>
      <w:hyperlink r:id="rId79" w:history="1">
        <w:r w:rsidR="005528F5" w:rsidRPr="007E14E0">
          <w:rPr>
            <w:rStyle w:val="Hyperlink"/>
          </w:rPr>
          <w:t>http://www.ppws.vt.edu/content/dam/ppws_vt_edu/extension/plant-disease-clinic/files/clinic-report-2014.pdf</w:t>
        </w:r>
      </w:hyperlink>
      <w:r w:rsidRPr="00EF2C72">
        <w:t>.</w:t>
      </w:r>
      <w:bookmarkEnd w:id="192"/>
    </w:p>
    <w:p w:rsidR="004D5CBC" w:rsidRPr="00EF2C72" w:rsidRDefault="004D5CBC" w:rsidP="00EF2C72">
      <w:pPr>
        <w:pStyle w:val="EndNoteBibliography"/>
        <w:spacing w:after="0"/>
      </w:pPr>
      <w:bookmarkStart w:id="193" w:name="_ENREF_91"/>
      <w:r w:rsidRPr="00EF2C72">
        <w:t xml:space="preserve">Waterhouse, DF 1993, </w:t>
      </w:r>
      <w:r w:rsidRPr="00EF2C72">
        <w:rPr>
          <w:i/>
        </w:rPr>
        <w:t>The major arthropod pests and weeds of agriculture in southeast Asia: distribution, importance and origin</w:t>
      </w:r>
      <w:r w:rsidRPr="00EF2C72">
        <w:t>, ACIAR, Canberra.</w:t>
      </w:r>
      <w:bookmarkEnd w:id="193"/>
    </w:p>
    <w:p w:rsidR="004D5CBC" w:rsidRPr="00EF2C72" w:rsidRDefault="004D5CBC" w:rsidP="00EF2C72">
      <w:pPr>
        <w:pStyle w:val="EndNoteBibliography"/>
        <w:spacing w:after="0"/>
      </w:pPr>
      <w:bookmarkStart w:id="194" w:name="_ENREF_92"/>
      <w:r w:rsidRPr="00EF2C72">
        <w:t xml:space="preserve">White, IM &amp; Elson-Harris, MM 1992, </w:t>
      </w:r>
      <w:r w:rsidRPr="00EF2C72">
        <w:rPr>
          <w:i/>
        </w:rPr>
        <w:t>Fruit flies of economic significance: their identification and bionomics</w:t>
      </w:r>
      <w:r w:rsidRPr="00EF2C72">
        <w:t>, CAB International, Wallingford, UK.</w:t>
      </w:r>
      <w:bookmarkEnd w:id="194"/>
    </w:p>
    <w:p w:rsidR="004D5CBC" w:rsidRPr="00EF2C72" w:rsidRDefault="004D5CBC" w:rsidP="00EF2C72">
      <w:pPr>
        <w:pStyle w:val="EndNoteBibliography"/>
        <w:spacing w:after="0"/>
      </w:pPr>
      <w:bookmarkStart w:id="195" w:name="_ENREF_93"/>
      <w:r w:rsidRPr="00EF2C72">
        <w:t xml:space="preserve">Williams, DJ 2004, </w:t>
      </w:r>
      <w:r w:rsidRPr="00EF2C72">
        <w:rPr>
          <w:i/>
        </w:rPr>
        <w:t>Mealybugs of Southern Asia</w:t>
      </w:r>
      <w:r w:rsidRPr="00EF2C72">
        <w:t>, Natural History Museum and Southdene, Kuala Lumpur.</w:t>
      </w:r>
      <w:bookmarkEnd w:id="195"/>
    </w:p>
    <w:p w:rsidR="004D5CBC" w:rsidRPr="00EF2C72" w:rsidRDefault="004D5CBC" w:rsidP="00EF2C72">
      <w:pPr>
        <w:pStyle w:val="EndNoteBibliography"/>
        <w:spacing w:after="0"/>
      </w:pPr>
      <w:bookmarkStart w:id="196" w:name="_ENREF_94"/>
      <w:r w:rsidRPr="00EF2C72">
        <w:t xml:space="preserve">World Weather Online 2017, </w:t>
      </w:r>
      <w:r w:rsidRPr="00EF2C72">
        <w:rPr>
          <w:i/>
        </w:rPr>
        <w:t>Monthly climate average</w:t>
      </w:r>
      <w:r w:rsidRPr="00EF2C72">
        <w:t xml:space="preserve">, World Weather Online, available at </w:t>
      </w:r>
      <w:hyperlink r:id="rId80" w:history="1">
        <w:r w:rsidR="005528F5" w:rsidRPr="007E14E0">
          <w:rPr>
            <w:rStyle w:val="Hyperlink"/>
          </w:rPr>
          <w:t>http://www.worldweatheronline.com/</w:t>
        </w:r>
      </w:hyperlink>
      <w:r w:rsidRPr="00EF2C72">
        <w:t>.</w:t>
      </w:r>
      <w:bookmarkEnd w:id="196"/>
    </w:p>
    <w:p w:rsidR="004D5CBC" w:rsidRPr="00EF2C72" w:rsidRDefault="004D5CBC" w:rsidP="00EF2C72">
      <w:pPr>
        <w:pStyle w:val="EndNoteBibliography"/>
        <w:spacing w:after="0"/>
      </w:pPr>
      <w:bookmarkStart w:id="197" w:name="_ENREF_95"/>
      <w:r w:rsidRPr="00EF2C72">
        <w:t xml:space="preserve">Wright, ER, Rivera, MC, Ghirlanda, A &amp; Lori, GA 2007, ‘Basal rot of </w:t>
      </w:r>
      <w:r w:rsidRPr="00EF2C72">
        <w:rPr>
          <w:i/>
        </w:rPr>
        <w:t>Hylocereus undatus</w:t>
      </w:r>
      <w:r w:rsidRPr="00EF2C72">
        <w:t xml:space="preserve"> caused by </w:t>
      </w:r>
      <w:r w:rsidRPr="00EF2C72">
        <w:rPr>
          <w:i/>
        </w:rPr>
        <w:t>Fusarium oxysporum</w:t>
      </w:r>
      <w:r w:rsidRPr="00EF2C72">
        <w:t xml:space="preserve"> in Buenos Aires, Argentina’, </w:t>
      </w:r>
      <w:r w:rsidRPr="00EF2C72">
        <w:rPr>
          <w:i/>
        </w:rPr>
        <w:t>Plant Disease</w:t>
      </w:r>
      <w:r w:rsidRPr="00EF2C72">
        <w:t>, vol. 91, p. 323.</w:t>
      </w:r>
      <w:bookmarkEnd w:id="197"/>
    </w:p>
    <w:p w:rsidR="003E7039" w:rsidRDefault="004D5CBC" w:rsidP="005528F5">
      <w:pPr>
        <w:pStyle w:val="EndNoteBibliography"/>
      </w:pPr>
      <w:bookmarkStart w:id="198" w:name="_ENREF_96"/>
      <w:r w:rsidRPr="00EF2C72">
        <w:t xml:space="preserve">WTO 1995, </w:t>
      </w:r>
      <w:r w:rsidRPr="00EF2C72">
        <w:rPr>
          <w:i/>
        </w:rPr>
        <w:t>Agreement on the application of sanitary and phytosanitary measures</w:t>
      </w:r>
      <w:r w:rsidRPr="00EF2C72">
        <w:t xml:space="preserve">, World Trade Organization, Geneva, available at </w:t>
      </w:r>
      <w:hyperlink r:id="rId81" w:history="1">
        <w:r w:rsidR="005528F5" w:rsidRPr="007E14E0">
          <w:rPr>
            <w:rStyle w:val="Hyperlink"/>
          </w:rPr>
          <w:t>https://www.wto.org/english/docs_e/legal_e/15-sps.pdf</w:t>
        </w:r>
      </w:hyperlink>
      <w:r w:rsidRPr="00EF2C72">
        <w:t xml:space="preserve"> (pdf 90.58 kb).</w:t>
      </w:r>
      <w:bookmarkEnd w:id="198"/>
    </w:p>
    <w:sectPr w:rsidR="003E7039">
      <w:headerReference w:type="default" r:id="rId8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166" w:rsidRDefault="00457166" w:rsidP="00457166">
      <w:pPr>
        <w:spacing w:after="0" w:line="240" w:lineRule="auto"/>
      </w:pPr>
      <w:r>
        <w:separator/>
      </w:r>
    </w:p>
  </w:endnote>
  <w:endnote w:type="continuationSeparator" w:id="0">
    <w:p w:rsidR="00457166" w:rsidRDefault="00457166" w:rsidP="00457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rsidP="00E44380">
    <w:pPr>
      <w:pStyle w:val="Footer"/>
      <w:tabs>
        <w:tab w:val="clear" w:pos="4536"/>
        <w:tab w:val="left" w:pos="6286"/>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502BAD">
      <w:rPr>
        <w:noProof/>
      </w:rPr>
      <w:t>35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rsidP="00BD1218">
    <w:pPr>
      <w:pStyle w:val="Footer"/>
      <w:tabs>
        <w:tab w:val="clear" w:pos="4536"/>
        <w:tab w:val="left" w:pos="13608"/>
        <w:tab w:val="left" w:pos="14034"/>
      </w:tabs>
      <w:spacing w:before="120"/>
      <w:jc w:val="left"/>
    </w:pPr>
    <w:r>
      <w:t>Australian Government Department of Agriculture and Water Resources</w:t>
    </w:r>
    <w:r>
      <w:ptab w:relativeTo="margin" w:alignment="right" w:leader="none"/>
    </w:r>
    <w:r>
      <w:fldChar w:fldCharType="begin"/>
    </w:r>
    <w:r>
      <w:instrText xml:space="preserve"> PAGE   \* MERGEFORMAT </w:instrText>
    </w:r>
    <w:r>
      <w:fldChar w:fldCharType="separate"/>
    </w:r>
    <w:r w:rsidR="00502BAD">
      <w:rPr>
        <w:noProof/>
      </w:rPr>
      <w:t>70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166" w:rsidRDefault="00457166" w:rsidP="00457166">
      <w:pPr>
        <w:spacing w:after="0" w:line="240" w:lineRule="auto"/>
      </w:pPr>
      <w:r>
        <w:separator/>
      </w:r>
    </w:p>
  </w:footnote>
  <w:footnote w:type="continuationSeparator" w:id="0">
    <w:p w:rsidR="00457166" w:rsidRDefault="00457166" w:rsidP="004571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rsidP="001C65FB">
    <w:pPr>
      <w:pStyle w:val="Header"/>
      <w:jc w:val="left"/>
    </w:pPr>
    <w:r>
      <w:rPr>
        <w:noProof/>
        <w:lang w:eastAsia="en-AU"/>
      </w:rPr>
      <w:drawing>
        <wp:inline distT="0" distB="0" distL="0" distR="0" wp14:anchorId="04B60A8A" wp14:editId="56BF11D8">
          <wp:extent cx="2316480" cy="741680"/>
          <wp:effectExtent l="0" t="0" r="7620" b="1270"/>
          <wp:docPr id="1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pPr>
      <w:pStyle w:val="Header"/>
      <w:tabs>
        <w:tab w:val="clear" w:pos="4820"/>
        <w:tab w:val="center" w:pos="8505"/>
        <w:tab w:val="center" w:pos="13041"/>
      </w:tabs>
      <w:jc w:val="left"/>
    </w:pPr>
    <w:r>
      <w:t>Final</w:t>
    </w:r>
    <w:r w:rsidRPr="00F201BE">
      <w:t xml:space="preserve"> report: dragon fruit from Indonesia</w:t>
    </w:r>
    <w:r>
      <w:tab/>
      <w:t>Conclusion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pPr>
      <w:pStyle w:val="Header"/>
      <w:tabs>
        <w:tab w:val="clear" w:pos="4820"/>
        <w:tab w:val="center" w:pos="13041"/>
      </w:tabs>
      <w:jc w:val="left"/>
    </w:pPr>
    <w:r>
      <w:t>Final</w:t>
    </w:r>
    <w:r w:rsidRPr="00F201BE">
      <w:t xml:space="preserve"> report: dragon fruit from Indonesia</w:t>
    </w:r>
    <w:r>
      <w:tab/>
      <w:t>Appendix 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pPr>
      <w:pStyle w:val="Header"/>
      <w:tabs>
        <w:tab w:val="clear" w:pos="4820"/>
        <w:tab w:val="center" w:pos="8505"/>
        <w:tab w:val="center" w:pos="13041"/>
      </w:tabs>
      <w:jc w:val="left"/>
    </w:pPr>
    <w:r>
      <w:t>Final</w:t>
    </w:r>
    <w:r w:rsidRPr="00F201BE">
      <w:t xml:space="preserve"> report: dragon fruit from Indonesia</w:t>
    </w:r>
    <w:r>
      <w:tab/>
      <w:t>Appendix B</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pPr>
      <w:pStyle w:val="Header"/>
      <w:tabs>
        <w:tab w:val="clear" w:pos="4820"/>
        <w:tab w:val="center" w:pos="8505"/>
        <w:tab w:val="center" w:pos="13041"/>
      </w:tabs>
      <w:jc w:val="left"/>
    </w:pPr>
    <w:r>
      <w:t>Final</w:t>
    </w:r>
    <w:r w:rsidRPr="00F201BE">
      <w:t xml:space="preserve"> report: dragon fruit from Indonesia</w:t>
    </w:r>
    <w:r>
      <w:tab/>
      <w:t>Glossary</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pPr>
      <w:pStyle w:val="Header"/>
      <w:tabs>
        <w:tab w:val="clear" w:pos="4820"/>
        <w:tab w:val="center" w:pos="8505"/>
        <w:tab w:val="center" w:pos="13041"/>
      </w:tabs>
      <w:jc w:val="left"/>
    </w:pPr>
    <w:r>
      <w:t>Final report: dragon fruit from Indonesia</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Pr="003948B8" w:rsidRDefault="00ED4852" w:rsidP="00E44380">
    <w:pPr>
      <w:pStyle w:val="Header"/>
      <w:tabs>
        <w:tab w:val="clear" w:pos="4820"/>
        <w:tab w:val="right" w:pos="13892"/>
      </w:tabs>
      <w:jc w:val="left"/>
    </w:pPr>
    <w:r>
      <w:t>Final</w:t>
    </w:r>
    <w:r w:rsidRPr="000F44E5">
      <w:t xml:space="preserve"> report: dragon fruit from Indonesia</w:t>
    </w:r>
    <w:r>
      <w:tab/>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Pr="007971DD" w:rsidRDefault="00ED4852" w:rsidP="007971DD">
    <w:pPr>
      <w:pStyle w:val="Header"/>
      <w:tabs>
        <w:tab w:val="clear" w:pos="4820"/>
        <w:tab w:val="right" w:pos="13892"/>
      </w:tabs>
      <w:jc w:val="left"/>
    </w:pPr>
    <w:r>
      <w:t>Final</w:t>
    </w:r>
    <w:r w:rsidRPr="000F44E5">
      <w:t xml:space="preserve"> report: dragon fruit from Indonesia</w:t>
    </w:r>
    <w:r>
      <w:tab/>
      <w:t>Acronyms and abbreviations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rsidP="00E44380">
    <w:pPr>
      <w:pStyle w:val="Header"/>
      <w:tabs>
        <w:tab w:val="clear" w:pos="4820"/>
        <w:tab w:val="right" w:pos="13892"/>
      </w:tabs>
      <w:jc w:val="left"/>
    </w:pPr>
    <w:r>
      <w:t>Final</w:t>
    </w:r>
    <w:r w:rsidRPr="000F44E5">
      <w:t xml:space="preserve"> report: dragon fruit from Indonesia</w:t>
    </w:r>
    <w:r>
      <w:tab/>
      <w:t>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rsidP="00E44380">
    <w:pPr>
      <w:pStyle w:val="Header"/>
      <w:tabs>
        <w:tab w:val="clear" w:pos="4820"/>
        <w:tab w:val="right" w:pos="13892"/>
      </w:tabs>
      <w:jc w:val="left"/>
    </w:pPr>
    <w:r>
      <w:t>Final</w:t>
    </w:r>
    <w:r w:rsidRPr="000F44E5">
      <w:t xml:space="preserve"> report: dragon fruit from Indonesia</w:t>
    </w:r>
    <w:r>
      <w:tab/>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rsidP="00E44380">
    <w:pPr>
      <w:pStyle w:val="Header"/>
      <w:tabs>
        <w:tab w:val="clear" w:pos="4820"/>
        <w:tab w:val="right" w:pos="13892"/>
      </w:tabs>
      <w:jc w:val="left"/>
    </w:pPr>
    <w:r>
      <w:t>Final</w:t>
    </w:r>
    <w:r w:rsidRPr="000F44E5">
      <w:t xml:space="preserve"> report: dragon fruit from Indonesia</w:t>
    </w:r>
    <w:r>
      <w:tab/>
      <w:t>Method for pest risk analysis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rsidP="00E44380">
    <w:pPr>
      <w:pStyle w:val="Header"/>
      <w:tabs>
        <w:tab w:val="clear" w:pos="4820"/>
        <w:tab w:val="right" w:pos="13892"/>
      </w:tabs>
      <w:jc w:val="left"/>
    </w:pPr>
    <w:r>
      <w:t>Final</w:t>
    </w:r>
    <w:r w:rsidRPr="00E41AC4">
      <w:t xml:space="preserve"> report: dragon fruit from Indonesia</w:t>
    </w:r>
    <w:r>
      <w:tab/>
      <w:t>Commercial production practices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rsidP="00E44380">
    <w:pPr>
      <w:pStyle w:val="Header"/>
      <w:tabs>
        <w:tab w:val="clear" w:pos="4820"/>
        <w:tab w:val="right" w:pos="13892"/>
      </w:tabs>
      <w:jc w:val="left"/>
    </w:pPr>
    <w:r>
      <w:t>Final</w:t>
    </w:r>
    <w:r w:rsidRPr="00E41AC4">
      <w:t xml:space="preserve"> report: dragon fruit from Indonesia</w:t>
    </w:r>
    <w:r>
      <w:tab/>
      <w:t>Pest risk assessment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7C0" w:rsidRDefault="00ED4852">
    <w:pPr>
      <w:pStyle w:val="Header"/>
      <w:tabs>
        <w:tab w:val="clear" w:pos="4820"/>
        <w:tab w:val="center" w:pos="8505"/>
        <w:tab w:val="center" w:pos="13041"/>
      </w:tabs>
      <w:jc w:val="left"/>
    </w:pPr>
    <w:r>
      <w:t>Final</w:t>
    </w:r>
    <w:r w:rsidRPr="0017336D">
      <w:t xml:space="preserve"> report: dragon fruit from Indonesia</w:t>
    </w:r>
    <w:r>
      <w:tab/>
      <w:t>Pest risk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A6CF68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220"/>
        </w:tabs>
        <w:ind w:left="1220"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53399E"/>
    <w:multiLevelType w:val="multilevel"/>
    <w:tmpl w:val="40A462FE"/>
    <w:numStyleLink w:val="heading"/>
  </w:abstractNum>
  <w:abstractNum w:abstractNumId="4"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5" w15:restartNumberingAfterBreak="0">
    <w:nsid w:val="2D595B46"/>
    <w:multiLevelType w:val="multilevel"/>
    <w:tmpl w:val="C32AB9AA"/>
    <w:numStyleLink w:val="ListNumber1"/>
  </w:abstractNum>
  <w:abstractNum w:abstractNumId="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0" w15:restartNumberingAfterBreak="0">
    <w:nsid w:val="50E76C3D"/>
    <w:multiLevelType w:val="hybridMultilevel"/>
    <w:tmpl w:val="19867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C2B1FBD"/>
    <w:multiLevelType w:val="hybridMultilevel"/>
    <w:tmpl w:val="B3820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636387C"/>
    <w:multiLevelType w:val="multilevel"/>
    <w:tmpl w:val="6346ED0E"/>
    <w:numStyleLink w:val="listbullets"/>
  </w:abstractNum>
  <w:num w:numId="1">
    <w:abstractNumId w:val="8"/>
  </w:num>
  <w:num w:numId="2">
    <w:abstractNumId w:val="2"/>
  </w:num>
  <w:num w:numId="3">
    <w:abstractNumId w:val="11"/>
  </w:num>
  <w:num w:numId="4">
    <w:abstractNumId w:val="4"/>
  </w:num>
  <w:num w:numId="5">
    <w:abstractNumId w:val="6"/>
  </w:num>
  <w:num w:numId="6">
    <w:abstractNumId w:val="9"/>
  </w:num>
  <w:num w:numId="7">
    <w:abstractNumId w:val="14"/>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8">
    <w:abstractNumId w:val="7"/>
  </w:num>
  <w:num w:numId="9">
    <w:abstractNumId w:val="5"/>
  </w:num>
  <w:num w:numId="10">
    <w:abstractNumId w:val="1"/>
  </w:num>
  <w:num w:numId="11">
    <w:abstractNumId w:val="3"/>
    <w:lvlOverride w:ilvl="0">
      <w:lvl w:ilvl="0">
        <w:start w:val="1"/>
        <w:numFmt w:val="decimal"/>
        <w:lvlText w:val="%1"/>
        <w:lvlJc w:val="left"/>
        <w:pPr>
          <w:tabs>
            <w:tab w:val="num" w:pos="794"/>
          </w:tabs>
          <w:ind w:left="794" w:hanging="794"/>
        </w:pPr>
        <w:rPr>
          <w:rFonts w:hint="default"/>
        </w:rPr>
      </w:lvl>
    </w:lvlOverride>
    <w:lvlOverride w:ilvl="1">
      <w:lvl w:ilvl="1">
        <w:start w:val="1"/>
        <w:numFmt w:val="decimal"/>
        <w:lvlText w:val="%1.%2"/>
        <w:lvlJc w:val="left"/>
        <w:pPr>
          <w:tabs>
            <w:tab w:val="num" w:pos="794"/>
          </w:tabs>
          <w:ind w:left="794" w:hanging="794"/>
        </w:pPr>
        <w:rPr>
          <w:rFonts w:hint="default"/>
        </w:rPr>
      </w:lvl>
    </w:lvlOverride>
    <w:lvlOverride w:ilvl="2">
      <w:lvl w:ilvl="2">
        <w:start w:val="1"/>
        <w:numFmt w:val="decimal"/>
        <w:lvlText w:val="%1.%2.%3"/>
        <w:lvlJc w:val="left"/>
        <w:pPr>
          <w:tabs>
            <w:tab w:val="num" w:pos="1220"/>
          </w:tabs>
          <w:ind w:left="1220"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abstractNumId w:val="13"/>
  </w:num>
  <w:num w:numId="13">
    <w:abstractNumId w:val="14"/>
    <w:lvlOverride w:ilvl="0">
      <w:lvl w:ilvl="0">
        <w:start w:val="1"/>
        <w:numFmt w:val="bullet"/>
        <w:lvlText w:val=""/>
        <w:lvlJc w:val="left"/>
        <w:pPr>
          <w:tabs>
            <w:tab w:val="num" w:pos="567"/>
          </w:tabs>
          <w:ind w:left="397" w:hanging="397"/>
        </w:pPr>
        <w:rPr>
          <w:rFonts w:ascii="Symbol" w:hAnsi="Symbol" w:hint="default"/>
          <w:color w:val="auto"/>
        </w:rPr>
      </w:lvl>
    </w:lvlOverride>
  </w:num>
  <w:num w:numId="14">
    <w:abstractNumId w:val="14"/>
  </w:num>
  <w:num w:numId="15">
    <w:abstractNumId w:val="3"/>
    <w:lvlOverride w:ilvl="1">
      <w:lvl w:ilvl="1">
        <w:start w:val="1"/>
        <w:numFmt w:val="decimal"/>
        <w:lvlText w:val="%1.%2"/>
        <w:lvlJc w:val="left"/>
        <w:pPr>
          <w:tabs>
            <w:tab w:val="num" w:pos="794"/>
          </w:tabs>
          <w:ind w:left="794" w:hanging="794"/>
        </w:pPr>
        <w:rPr>
          <w:rFonts w:hint="default"/>
        </w:rPr>
      </w:lvl>
    </w:lvlOverride>
  </w:num>
  <w:num w:numId="16">
    <w:abstractNumId w:val="10"/>
  </w:num>
  <w:num w:numId="17">
    <w:abstractNumId w:val="3"/>
    <w:lvlOverride w:ilvl="0">
      <w:lvl w:ilvl="0">
        <w:start w:val="1"/>
        <w:numFmt w:val="decimal"/>
        <w:lvlText w:val="%1"/>
        <w:lvlJc w:val="left"/>
        <w:pPr>
          <w:tabs>
            <w:tab w:val="num" w:pos="794"/>
          </w:tabs>
          <w:ind w:left="794" w:hanging="794"/>
        </w:pPr>
        <w:rPr>
          <w:rFonts w:hint="default"/>
        </w:rPr>
      </w:lvl>
    </w:lvlOverride>
    <w:lvlOverride w:ilvl="1">
      <w:lvl w:ilvl="1">
        <w:start w:val="1"/>
        <w:numFmt w:val="decimal"/>
        <w:lvlText w:val="%1.%2"/>
        <w:lvlJc w:val="left"/>
        <w:pPr>
          <w:tabs>
            <w:tab w:val="num" w:pos="794"/>
          </w:tabs>
          <w:ind w:left="794" w:hanging="794"/>
        </w:pPr>
        <w:rPr>
          <w:rFonts w:hint="default"/>
        </w:rPr>
      </w:lvl>
    </w:lvlOverride>
    <w:lvlOverride w:ilvl="2">
      <w:lvl w:ilvl="2">
        <w:start w:val="1"/>
        <w:numFmt w:val="decimal"/>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8">
    <w:abstractNumId w:val="12"/>
  </w:num>
  <w:num w:numId="19">
    <w:abstractNumId w:val="3"/>
    <w:lvlOverride w:ilvl="0">
      <w:lvl w:ilvl="0">
        <w:start w:val="1"/>
        <w:numFmt w:val="decimal"/>
        <w:lvlText w:val="%1"/>
        <w:lvlJc w:val="left"/>
        <w:pPr>
          <w:tabs>
            <w:tab w:val="num" w:pos="794"/>
          </w:tabs>
          <w:ind w:left="794" w:hanging="794"/>
        </w:pPr>
        <w:rPr>
          <w:rFonts w:hint="default"/>
        </w:rPr>
      </w:lvl>
    </w:lvlOverride>
    <w:lvlOverride w:ilvl="1">
      <w:lvl w:ilvl="1">
        <w:start w:val="1"/>
        <w:numFmt w:val="decimal"/>
        <w:lvlText w:val="%1.%2"/>
        <w:lvlJc w:val="left"/>
        <w:pPr>
          <w:tabs>
            <w:tab w:val="num" w:pos="794"/>
          </w:tabs>
          <w:ind w:left="794" w:hanging="794"/>
        </w:pPr>
        <w:rPr>
          <w:rFonts w:hint="default"/>
        </w:rPr>
      </w:lvl>
    </w:lvlOverride>
    <w:lvlOverride w:ilvl="2">
      <w:lvl w:ilvl="2">
        <w:start w:val="1"/>
        <w:numFmt w:val="decimal"/>
        <w:lvlText w:val="%1.%2.%3"/>
        <w:lvlJc w:val="left"/>
        <w:pPr>
          <w:tabs>
            <w:tab w:val="num" w:pos="1220"/>
          </w:tabs>
          <w:ind w:left="1220"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D5CBC"/>
    <w:rsid w:val="00023E1A"/>
    <w:rsid w:val="000772D5"/>
    <w:rsid w:val="00114261"/>
    <w:rsid w:val="001B7328"/>
    <w:rsid w:val="001E7CA8"/>
    <w:rsid w:val="001F5D0E"/>
    <w:rsid w:val="00260E15"/>
    <w:rsid w:val="00267720"/>
    <w:rsid w:val="003E7039"/>
    <w:rsid w:val="00411A10"/>
    <w:rsid w:val="00457166"/>
    <w:rsid w:val="004962B1"/>
    <w:rsid w:val="004D5CBC"/>
    <w:rsid w:val="00502BAD"/>
    <w:rsid w:val="005528F5"/>
    <w:rsid w:val="00562AFC"/>
    <w:rsid w:val="00612744"/>
    <w:rsid w:val="0064659B"/>
    <w:rsid w:val="007F3A08"/>
    <w:rsid w:val="008E2879"/>
    <w:rsid w:val="00937C23"/>
    <w:rsid w:val="009B3B20"/>
    <w:rsid w:val="00A500C9"/>
    <w:rsid w:val="00B2533E"/>
    <w:rsid w:val="00BB4425"/>
    <w:rsid w:val="00C408ED"/>
    <w:rsid w:val="00C66BBA"/>
    <w:rsid w:val="00DD3C7F"/>
    <w:rsid w:val="00E42D50"/>
    <w:rsid w:val="00ED48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CBC"/>
    <w:pPr>
      <w:spacing w:after="200" w:line="276" w:lineRule="auto"/>
    </w:pPr>
    <w:rPr>
      <w:rFonts w:ascii="Cambria" w:hAnsi="Cambria"/>
    </w:rPr>
  </w:style>
  <w:style w:type="paragraph" w:styleId="Heading1">
    <w:name w:val="heading 1"/>
    <w:next w:val="Normal"/>
    <w:link w:val="Heading1Char"/>
    <w:uiPriority w:val="9"/>
    <w:qFormat/>
    <w:rsid w:val="004D5CBC"/>
    <w:pPr>
      <w:keepNext/>
      <w:keepLines/>
      <w:pBdr>
        <w:bottom w:val="single" w:sz="4" w:space="1" w:color="auto"/>
      </w:pBdr>
      <w:spacing w:before="480" w:after="120" w:line="240" w:lineRule="auto"/>
      <w:outlineLvl w:val="0"/>
    </w:pPr>
    <w:rPr>
      <w:rFonts w:ascii="Calibri" w:eastAsiaTheme="majorEastAsia" w:hAnsi="Calibri" w:cstheme="majorBidi"/>
      <w:b/>
      <w:bCs/>
      <w:sz w:val="60"/>
      <w:szCs w:val="28"/>
    </w:rPr>
  </w:style>
  <w:style w:type="paragraph" w:styleId="Heading2">
    <w:name w:val="heading 2"/>
    <w:next w:val="Normal"/>
    <w:link w:val="Heading2Char"/>
    <w:uiPriority w:val="9"/>
    <w:qFormat/>
    <w:rsid w:val="004D5CBC"/>
    <w:pPr>
      <w:keepNext/>
      <w:keepLines/>
      <w:tabs>
        <w:tab w:val="num" w:pos="794"/>
      </w:tabs>
      <w:spacing w:after="120" w:line="240" w:lineRule="auto"/>
      <w:ind w:left="794" w:hanging="794"/>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4D5CBC"/>
    <w:pPr>
      <w:keepNext/>
      <w:keepLines/>
      <w:tabs>
        <w:tab w:val="num" w:pos="794"/>
      </w:tabs>
      <w:spacing w:before="120" w:after="0" w:line="240" w:lineRule="auto"/>
      <w:ind w:left="794" w:hanging="794"/>
      <w:outlineLvl w:val="2"/>
    </w:pPr>
    <w:rPr>
      <w:rFonts w:ascii="Calibri" w:hAnsi="Calibri"/>
      <w:b/>
      <w:bCs/>
      <w:color w:val="773141"/>
      <w:sz w:val="28"/>
    </w:rPr>
  </w:style>
  <w:style w:type="paragraph" w:styleId="Heading4">
    <w:name w:val="heading 4"/>
    <w:next w:val="Normal"/>
    <w:link w:val="Heading4Char"/>
    <w:uiPriority w:val="5"/>
    <w:qFormat/>
    <w:rsid w:val="004D5CBC"/>
    <w:pPr>
      <w:keepNext/>
      <w:keepLines/>
      <w:tabs>
        <w:tab w:val="num" w:pos="1220"/>
      </w:tabs>
      <w:spacing w:before="120" w:after="120" w:line="240" w:lineRule="auto"/>
      <w:ind w:left="1220" w:hanging="794"/>
      <w:outlineLvl w:val="3"/>
    </w:pPr>
    <w:rPr>
      <w:rFonts w:ascii="Calibri" w:hAnsi="Calibri"/>
      <w:b/>
      <w:bCs/>
      <w:iCs/>
      <w:sz w:val="24"/>
    </w:rPr>
  </w:style>
  <w:style w:type="paragraph" w:styleId="Heading5">
    <w:name w:val="heading 5"/>
    <w:next w:val="Normal"/>
    <w:link w:val="Heading5Char"/>
    <w:uiPriority w:val="6"/>
    <w:qFormat/>
    <w:rsid w:val="004D5CBC"/>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4D5CBC"/>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rsid w:val="004D5CBC"/>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CBC"/>
    <w:rPr>
      <w:rFonts w:ascii="Calibri" w:eastAsiaTheme="majorEastAsia" w:hAnsi="Calibri" w:cstheme="majorBidi"/>
      <w:b/>
      <w:bCs/>
      <w:sz w:val="60"/>
      <w:szCs w:val="28"/>
    </w:rPr>
  </w:style>
  <w:style w:type="character" w:customStyle="1" w:styleId="Heading2Char">
    <w:name w:val="Heading 2 Char"/>
    <w:basedOn w:val="DefaultParagraphFont"/>
    <w:link w:val="Heading2"/>
    <w:uiPriority w:val="9"/>
    <w:rsid w:val="004D5CBC"/>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4D5CBC"/>
    <w:rPr>
      <w:rFonts w:ascii="Calibri" w:hAnsi="Calibri"/>
      <w:b/>
      <w:bCs/>
      <w:color w:val="773141"/>
      <w:sz w:val="28"/>
    </w:rPr>
  </w:style>
  <w:style w:type="character" w:customStyle="1" w:styleId="Heading4Char">
    <w:name w:val="Heading 4 Char"/>
    <w:basedOn w:val="DefaultParagraphFont"/>
    <w:link w:val="Heading4"/>
    <w:uiPriority w:val="5"/>
    <w:rsid w:val="004D5CBC"/>
    <w:rPr>
      <w:rFonts w:ascii="Calibri" w:hAnsi="Calibri"/>
      <w:b/>
      <w:bCs/>
      <w:iCs/>
      <w:sz w:val="24"/>
    </w:rPr>
  </w:style>
  <w:style w:type="character" w:customStyle="1" w:styleId="Heading5Char">
    <w:name w:val="Heading 5 Char"/>
    <w:basedOn w:val="DefaultParagraphFont"/>
    <w:link w:val="Heading5"/>
    <w:uiPriority w:val="6"/>
    <w:rsid w:val="004D5CBC"/>
    <w:rPr>
      <w:rFonts w:ascii="Calibri" w:hAnsi="Calibri"/>
      <w:b/>
    </w:rPr>
  </w:style>
  <w:style w:type="character" w:customStyle="1" w:styleId="Heading6Char">
    <w:name w:val="Heading 6 Char"/>
    <w:basedOn w:val="DefaultParagraphFont"/>
    <w:link w:val="Heading6"/>
    <w:uiPriority w:val="9"/>
    <w:rsid w:val="004D5CBC"/>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4D5CBC"/>
    <w:rPr>
      <w:rFonts w:asciiTheme="majorHAnsi" w:eastAsiaTheme="majorEastAsia" w:hAnsiTheme="majorHAnsi" w:cstheme="majorBidi"/>
      <w:i/>
      <w:color w:val="1F4D78" w:themeColor="accent1" w:themeShade="7F"/>
    </w:rPr>
  </w:style>
  <w:style w:type="paragraph" w:styleId="CommentText">
    <w:name w:val="annotation text"/>
    <w:basedOn w:val="Normal"/>
    <w:link w:val="CommentTextChar"/>
    <w:uiPriority w:val="99"/>
    <w:semiHidden/>
    <w:unhideWhenUsed/>
    <w:rsid w:val="004D5CBC"/>
    <w:rPr>
      <w:sz w:val="20"/>
      <w:szCs w:val="20"/>
    </w:rPr>
  </w:style>
  <w:style w:type="character" w:customStyle="1" w:styleId="CommentTextChar">
    <w:name w:val="Comment Text Char"/>
    <w:basedOn w:val="DefaultParagraphFont"/>
    <w:link w:val="CommentText"/>
    <w:uiPriority w:val="99"/>
    <w:semiHidden/>
    <w:rsid w:val="004D5CBC"/>
    <w:rPr>
      <w:rFonts w:ascii="Cambria" w:hAnsi="Cambria"/>
      <w:sz w:val="20"/>
      <w:szCs w:val="20"/>
    </w:rPr>
  </w:style>
  <w:style w:type="paragraph" w:styleId="Header">
    <w:name w:val="header"/>
    <w:basedOn w:val="Normal"/>
    <w:link w:val="HeaderChar"/>
    <w:uiPriority w:val="26"/>
    <w:rsid w:val="004D5CB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D5CBC"/>
    <w:rPr>
      <w:rFonts w:ascii="Calibri" w:hAnsi="Calibri"/>
      <w:sz w:val="20"/>
    </w:rPr>
  </w:style>
  <w:style w:type="paragraph" w:styleId="Footer">
    <w:name w:val="footer"/>
    <w:basedOn w:val="Normal"/>
    <w:link w:val="FooterChar"/>
    <w:uiPriority w:val="99"/>
    <w:rsid w:val="004D5CB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D5CBC"/>
    <w:rPr>
      <w:rFonts w:ascii="Calibri" w:hAnsi="Calibri"/>
      <w:sz w:val="20"/>
    </w:rPr>
  </w:style>
  <w:style w:type="character" w:styleId="CommentReference">
    <w:name w:val="annotation reference"/>
    <w:basedOn w:val="DefaultParagraphFont"/>
    <w:uiPriority w:val="99"/>
    <w:semiHidden/>
    <w:unhideWhenUsed/>
    <w:rsid w:val="004D5CBC"/>
    <w:rPr>
      <w:sz w:val="16"/>
      <w:szCs w:val="16"/>
    </w:rPr>
  </w:style>
  <w:style w:type="paragraph" w:styleId="CommentSubject">
    <w:name w:val="annotation subject"/>
    <w:basedOn w:val="CommentText"/>
    <w:next w:val="CommentText"/>
    <w:link w:val="CommentSubjectChar"/>
    <w:uiPriority w:val="99"/>
    <w:semiHidden/>
    <w:unhideWhenUsed/>
    <w:rsid w:val="004D5CBC"/>
    <w:rPr>
      <w:b/>
      <w:bCs/>
    </w:rPr>
  </w:style>
  <w:style w:type="character" w:customStyle="1" w:styleId="CommentSubjectChar">
    <w:name w:val="Comment Subject Char"/>
    <w:basedOn w:val="CommentTextChar"/>
    <w:link w:val="CommentSubject"/>
    <w:uiPriority w:val="99"/>
    <w:semiHidden/>
    <w:rsid w:val="004D5CBC"/>
    <w:rPr>
      <w:rFonts w:ascii="Cambria" w:hAnsi="Cambria"/>
      <w:b/>
      <w:bCs/>
      <w:sz w:val="20"/>
      <w:szCs w:val="20"/>
    </w:rPr>
  </w:style>
  <w:style w:type="paragraph" w:styleId="BalloonText">
    <w:name w:val="Balloon Text"/>
    <w:basedOn w:val="Normal"/>
    <w:link w:val="BalloonTextChar"/>
    <w:uiPriority w:val="99"/>
    <w:semiHidden/>
    <w:unhideWhenUsed/>
    <w:rsid w:val="004D5CBC"/>
    <w:rPr>
      <w:rFonts w:ascii="Calibri" w:hAnsi="Calibri"/>
      <w:sz w:val="18"/>
      <w:szCs w:val="18"/>
    </w:rPr>
  </w:style>
  <w:style w:type="character" w:customStyle="1" w:styleId="BalloonTextChar">
    <w:name w:val="Balloon Text Char"/>
    <w:basedOn w:val="DefaultParagraphFont"/>
    <w:link w:val="BalloonText"/>
    <w:uiPriority w:val="99"/>
    <w:semiHidden/>
    <w:rsid w:val="004D5CBC"/>
    <w:rPr>
      <w:rFonts w:ascii="Calibri" w:hAnsi="Calibri"/>
      <w:sz w:val="18"/>
      <w:szCs w:val="18"/>
    </w:rPr>
  </w:style>
  <w:style w:type="table" w:styleId="TableGrid">
    <w:name w:val="Table Grid"/>
    <w:basedOn w:val="TableNormal"/>
    <w:uiPriority w:val="59"/>
    <w:rsid w:val="004D5CB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D5CBC"/>
    <w:rPr>
      <w:sz w:val="16"/>
    </w:rPr>
  </w:style>
  <w:style w:type="numbering" w:customStyle="1" w:styleId="Headings">
    <w:name w:val="Headings"/>
    <w:uiPriority w:val="99"/>
    <w:rsid w:val="004D5CBC"/>
    <w:pPr>
      <w:numPr>
        <w:numId w:val="4"/>
      </w:numPr>
    </w:pPr>
  </w:style>
  <w:style w:type="paragraph" w:styleId="ListParagraph">
    <w:name w:val="List Paragraph"/>
    <w:basedOn w:val="Normal"/>
    <w:uiPriority w:val="34"/>
    <w:qFormat/>
    <w:rsid w:val="004D5CBC"/>
    <w:pPr>
      <w:ind w:left="720"/>
    </w:pPr>
  </w:style>
  <w:style w:type="paragraph" w:styleId="Quote">
    <w:name w:val="Quote"/>
    <w:basedOn w:val="Normal"/>
    <w:next w:val="Normal"/>
    <w:link w:val="QuoteChar"/>
    <w:uiPriority w:val="18"/>
    <w:qFormat/>
    <w:rsid w:val="004D5CBC"/>
    <w:pPr>
      <w:ind w:left="709" w:right="567"/>
    </w:pPr>
    <w:rPr>
      <w:iCs/>
      <w:color w:val="000000"/>
    </w:rPr>
  </w:style>
  <w:style w:type="character" w:customStyle="1" w:styleId="QuoteChar">
    <w:name w:val="Quote Char"/>
    <w:basedOn w:val="DefaultParagraphFont"/>
    <w:link w:val="Quote"/>
    <w:uiPriority w:val="18"/>
    <w:rsid w:val="004D5CBC"/>
    <w:rPr>
      <w:rFonts w:ascii="Cambria" w:hAnsi="Cambria"/>
      <w:iCs/>
      <w:color w:val="000000"/>
    </w:rPr>
  </w:style>
  <w:style w:type="paragraph" w:customStyle="1" w:styleId="BoxText">
    <w:name w:val="Box Text"/>
    <w:basedOn w:val="Normal"/>
    <w:uiPriority w:val="19"/>
    <w:qFormat/>
    <w:rsid w:val="004D5CB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4D5CBC"/>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4D5CBC"/>
    <w:pPr>
      <w:spacing w:before="120" w:line="264" w:lineRule="auto"/>
      <w:contextualSpacing/>
    </w:pPr>
    <w:rPr>
      <w:rFonts w:ascii="Calibri" w:hAnsi="Calibri"/>
      <w:sz w:val="18"/>
    </w:rPr>
  </w:style>
  <w:style w:type="paragraph" w:styleId="TOCHeading">
    <w:name w:val="TOC Heading"/>
    <w:next w:val="Normal"/>
    <w:uiPriority w:val="39"/>
    <w:qFormat/>
    <w:rsid w:val="004D5CBC"/>
    <w:pPr>
      <w:spacing w:after="0" w:line="240" w:lineRule="auto"/>
    </w:pPr>
    <w:rPr>
      <w:rFonts w:ascii="Calibri" w:eastAsiaTheme="majorEastAsia" w:hAnsi="Calibri" w:cstheme="majorBidi"/>
      <w:b/>
      <w:bCs/>
      <w:color w:val="D52B1E"/>
      <w:sz w:val="34"/>
      <w:szCs w:val="28"/>
      <w:lang w:val="en-US"/>
    </w:rPr>
  </w:style>
  <w:style w:type="paragraph" w:styleId="TOC1">
    <w:name w:val="toc 1"/>
    <w:next w:val="Normal"/>
    <w:uiPriority w:val="39"/>
    <w:unhideWhenUsed/>
    <w:rsid w:val="004D5CB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4D5CB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4D5CB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D5CBC"/>
    <w:rPr>
      <w:color w:val="165788"/>
      <w:u w:val="single"/>
    </w:rPr>
  </w:style>
  <w:style w:type="paragraph" w:styleId="ListBullet">
    <w:name w:val="List Bullet"/>
    <w:uiPriority w:val="7"/>
    <w:qFormat/>
    <w:rsid w:val="004D5CBC"/>
    <w:pPr>
      <w:tabs>
        <w:tab w:val="num" w:pos="567"/>
      </w:tabs>
      <w:spacing w:before="120" w:after="120" w:line="240" w:lineRule="auto"/>
      <w:ind w:left="397" w:hanging="397"/>
    </w:pPr>
    <w:rPr>
      <w:rFonts w:ascii="Cambria" w:hAnsi="Cambria"/>
    </w:rPr>
  </w:style>
  <w:style w:type="paragraph" w:styleId="TableofFigures">
    <w:name w:val="table of figures"/>
    <w:basedOn w:val="Normal"/>
    <w:next w:val="Normal"/>
    <w:uiPriority w:val="99"/>
    <w:rsid w:val="004D5CBC"/>
    <w:pPr>
      <w:spacing w:before="120" w:after="120" w:line="240" w:lineRule="auto"/>
    </w:pPr>
    <w:rPr>
      <w:rFonts w:asciiTheme="minorHAnsi" w:hAnsiTheme="minorHAnsi"/>
    </w:rPr>
  </w:style>
  <w:style w:type="paragraph" w:styleId="ListBullet2">
    <w:name w:val="List Bullet 2"/>
    <w:uiPriority w:val="8"/>
    <w:qFormat/>
    <w:rsid w:val="004D5CBC"/>
    <w:pPr>
      <w:tabs>
        <w:tab w:val="num" w:pos="794"/>
      </w:tabs>
      <w:spacing w:before="120" w:after="120" w:line="240" w:lineRule="auto"/>
      <w:ind w:left="397"/>
      <w:contextualSpacing/>
    </w:pPr>
    <w:rPr>
      <w:rFonts w:ascii="Cambria" w:hAnsi="Cambria"/>
    </w:rPr>
  </w:style>
  <w:style w:type="paragraph" w:styleId="ListNumber">
    <w:name w:val="List Number"/>
    <w:basedOn w:val="Normal"/>
    <w:uiPriority w:val="9"/>
    <w:qFormat/>
    <w:rsid w:val="004D5CBC"/>
    <w:pPr>
      <w:numPr>
        <w:numId w:val="9"/>
      </w:numPr>
      <w:spacing w:before="120" w:after="120" w:line="280" w:lineRule="atLeast"/>
    </w:pPr>
    <w:rPr>
      <w:szCs w:val="20"/>
    </w:rPr>
  </w:style>
  <w:style w:type="paragraph" w:styleId="ListNumber2">
    <w:name w:val="List Number 2"/>
    <w:uiPriority w:val="10"/>
    <w:qFormat/>
    <w:rsid w:val="004D5CBC"/>
    <w:pPr>
      <w:numPr>
        <w:ilvl w:val="1"/>
        <w:numId w:val="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4D5CBC"/>
    <w:pPr>
      <w:numPr>
        <w:ilvl w:val="2"/>
        <w:numId w:val="9"/>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4D5CBC"/>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D5CBC"/>
    <w:rPr>
      <w:color w:val="E36C0A"/>
      <w:lang w:eastAsia="zh-CN" w:bidi="ta-LK"/>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4D5CBC"/>
    <w:pPr>
      <w:spacing w:before="60" w:after="60" w:line="240" w:lineRule="auto"/>
    </w:pPr>
    <w:rPr>
      <w:rFonts w:ascii="Cambria" w:hAnsi="Cambria"/>
      <w:sz w:val="18"/>
    </w:rPr>
  </w:style>
  <w:style w:type="table" w:styleId="TableGrid1">
    <w:name w:val="Table Grid 1"/>
    <w:basedOn w:val="TableNormal"/>
    <w:uiPriority w:val="99"/>
    <w:semiHidden/>
    <w:unhideWhenUsed/>
    <w:rsid w:val="004D5CBC"/>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D5CBC"/>
    <w:pPr>
      <w:keepNext/>
    </w:pPr>
    <w:rPr>
      <w:b/>
    </w:rPr>
  </w:style>
  <w:style w:type="character" w:styleId="PlaceholderText">
    <w:name w:val="Placeholder Text"/>
    <w:basedOn w:val="DefaultParagraphFont"/>
    <w:uiPriority w:val="99"/>
    <w:semiHidden/>
    <w:rsid w:val="004D5CBC"/>
    <w:rPr>
      <w:color w:val="808080"/>
    </w:rPr>
  </w:style>
  <w:style w:type="paragraph" w:customStyle="1" w:styleId="Author">
    <w:name w:val="Author"/>
    <w:basedOn w:val="Normal"/>
    <w:next w:val="Normal"/>
    <w:uiPriority w:val="24"/>
    <w:qFormat/>
    <w:rsid w:val="004D5CBC"/>
    <w:pPr>
      <w:spacing w:after="60"/>
    </w:pPr>
    <w:rPr>
      <w:b/>
      <w:sz w:val="28"/>
      <w:szCs w:val="28"/>
    </w:rPr>
  </w:style>
  <w:style w:type="paragraph" w:customStyle="1" w:styleId="AuthorOrganisationAffiliation">
    <w:name w:val="Author Organisation/Affiliation"/>
    <w:basedOn w:val="Normal"/>
    <w:next w:val="Normal"/>
    <w:uiPriority w:val="25"/>
    <w:qFormat/>
    <w:rsid w:val="004D5CBC"/>
    <w:pPr>
      <w:spacing w:after="720"/>
    </w:pPr>
  </w:style>
  <w:style w:type="character" w:styleId="Strong">
    <w:name w:val="Strong"/>
    <w:uiPriority w:val="22"/>
    <w:qFormat/>
    <w:rsid w:val="004D5CBC"/>
    <w:rPr>
      <w:b/>
      <w:bCs/>
    </w:rPr>
  </w:style>
  <w:style w:type="character" w:styleId="Emphasis">
    <w:name w:val="Emphasis"/>
    <w:basedOn w:val="DefaultParagraphFont"/>
    <w:uiPriority w:val="99"/>
    <w:qFormat/>
    <w:rsid w:val="004D5CBC"/>
    <w:rPr>
      <w:i/>
      <w:iCs/>
    </w:rPr>
  </w:style>
  <w:style w:type="paragraph" w:styleId="TOAHeading">
    <w:name w:val="toa heading"/>
    <w:basedOn w:val="Heading1"/>
    <w:next w:val="Normal"/>
    <w:uiPriority w:val="99"/>
    <w:semiHidden/>
    <w:unhideWhenUsed/>
    <w:rsid w:val="004D5CBC"/>
    <w:pPr>
      <w:spacing w:before="120"/>
    </w:pPr>
    <w:rPr>
      <w:bCs w:val="0"/>
      <w:sz w:val="24"/>
    </w:rPr>
  </w:style>
  <w:style w:type="paragraph" w:styleId="NormalWeb">
    <w:name w:val="Normal (Web)"/>
    <w:basedOn w:val="Normal"/>
    <w:uiPriority w:val="99"/>
    <w:semiHidden/>
    <w:unhideWhenUsed/>
    <w:rsid w:val="004D5CB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4D5CBC"/>
    <w:pPr>
      <w:ind w:left="357" w:hanging="357"/>
    </w:pPr>
  </w:style>
  <w:style w:type="paragraph" w:customStyle="1" w:styleId="TableBullet">
    <w:name w:val="Table Bullet"/>
    <w:basedOn w:val="TableText"/>
    <w:uiPriority w:val="15"/>
    <w:qFormat/>
    <w:rsid w:val="004D5CBC"/>
    <w:pPr>
      <w:numPr>
        <w:numId w:val="2"/>
      </w:numPr>
      <w:ind w:left="284" w:hanging="284"/>
    </w:pPr>
  </w:style>
  <w:style w:type="paragraph" w:styleId="DocumentMap">
    <w:name w:val="Document Map"/>
    <w:basedOn w:val="Normal"/>
    <w:link w:val="DocumentMapChar"/>
    <w:uiPriority w:val="99"/>
    <w:semiHidden/>
    <w:unhideWhenUsed/>
    <w:rsid w:val="004D5CB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D5CBC"/>
    <w:rPr>
      <w:rFonts w:ascii="Tahoma" w:hAnsi="Tahoma" w:cs="Tahoma"/>
      <w:sz w:val="16"/>
      <w:szCs w:val="16"/>
    </w:rPr>
  </w:style>
  <w:style w:type="paragraph" w:customStyle="1" w:styleId="TOCHeadingsamepage">
    <w:name w:val="TOC Heading (same page)"/>
    <w:basedOn w:val="TOCHeading"/>
    <w:next w:val="Normal"/>
    <w:uiPriority w:val="39"/>
    <w:rsid w:val="004D5CBC"/>
  </w:style>
  <w:style w:type="paragraph" w:customStyle="1" w:styleId="BoxHeading">
    <w:name w:val="Box Heading"/>
    <w:basedOn w:val="BoxText"/>
    <w:uiPriority w:val="20"/>
    <w:qFormat/>
    <w:rsid w:val="004D5CBC"/>
    <w:pPr>
      <w:spacing w:line="240" w:lineRule="auto"/>
    </w:pPr>
    <w:rPr>
      <w:b/>
    </w:rPr>
  </w:style>
  <w:style w:type="paragraph" w:customStyle="1" w:styleId="Picture">
    <w:name w:val="Picture"/>
    <w:basedOn w:val="Normal"/>
    <w:uiPriority w:val="17"/>
    <w:qFormat/>
    <w:rsid w:val="004D5CB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4D5CBC"/>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4D5CBC"/>
    <w:pPr>
      <w:spacing w:after="0"/>
    </w:pPr>
    <w:rPr>
      <w:b/>
      <w:color w:val="FF0000"/>
      <w:sz w:val="36"/>
      <w:szCs w:val="36"/>
    </w:rPr>
  </w:style>
  <w:style w:type="paragraph" w:styleId="FootnoteText">
    <w:name w:val="footnote text"/>
    <w:basedOn w:val="Normal"/>
    <w:link w:val="FootnoteTextChar"/>
    <w:uiPriority w:val="99"/>
    <w:unhideWhenUsed/>
    <w:rsid w:val="004D5CBC"/>
    <w:pPr>
      <w:spacing w:after="60" w:line="264" w:lineRule="auto"/>
    </w:pPr>
    <w:rPr>
      <w:sz w:val="20"/>
      <w:szCs w:val="20"/>
    </w:rPr>
  </w:style>
  <w:style w:type="character" w:customStyle="1" w:styleId="FootnoteTextChar">
    <w:name w:val="Footnote Text Char"/>
    <w:basedOn w:val="DefaultParagraphFont"/>
    <w:link w:val="FootnoteText"/>
    <w:uiPriority w:val="99"/>
    <w:rsid w:val="004D5CBC"/>
    <w:rPr>
      <w:rFonts w:ascii="Cambria" w:hAnsi="Cambria"/>
      <w:sz w:val="20"/>
      <w:szCs w:val="20"/>
    </w:rPr>
  </w:style>
  <w:style w:type="character" w:styleId="FootnoteReference">
    <w:name w:val="footnote reference"/>
    <w:basedOn w:val="DefaultParagraphFont"/>
    <w:uiPriority w:val="99"/>
    <w:semiHidden/>
    <w:unhideWhenUsed/>
    <w:rsid w:val="004D5CBC"/>
    <w:rPr>
      <w:vertAlign w:val="superscript"/>
    </w:rPr>
  </w:style>
  <w:style w:type="paragraph" w:styleId="EndnoteText">
    <w:name w:val="endnote text"/>
    <w:basedOn w:val="Normal"/>
    <w:link w:val="EndnoteTextChar"/>
    <w:uiPriority w:val="99"/>
    <w:unhideWhenUsed/>
    <w:rsid w:val="004D5CBC"/>
    <w:pPr>
      <w:spacing w:before="120" w:after="240" w:line="240" w:lineRule="auto"/>
    </w:pPr>
    <w:rPr>
      <w:szCs w:val="20"/>
    </w:rPr>
  </w:style>
  <w:style w:type="character" w:customStyle="1" w:styleId="EndnoteTextChar">
    <w:name w:val="Endnote Text Char"/>
    <w:basedOn w:val="DefaultParagraphFont"/>
    <w:link w:val="EndnoteText"/>
    <w:uiPriority w:val="99"/>
    <w:rsid w:val="004D5CBC"/>
    <w:rPr>
      <w:rFonts w:ascii="Cambria" w:hAnsi="Cambria"/>
      <w:szCs w:val="20"/>
    </w:rPr>
  </w:style>
  <w:style w:type="character" w:styleId="EndnoteReference">
    <w:name w:val="endnote reference"/>
    <w:basedOn w:val="DefaultParagraphFont"/>
    <w:uiPriority w:val="99"/>
    <w:semiHidden/>
    <w:unhideWhenUsed/>
    <w:rsid w:val="004D5CBC"/>
    <w:rPr>
      <w:vertAlign w:val="superscript"/>
    </w:rPr>
  </w:style>
  <w:style w:type="character" w:styleId="FollowedHyperlink">
    <w:name w:val="FollowedHyperlink"/>
    <w:basedOn w:val="DefaultParagraphFont"/>
    <w:uiPriority w:val="99"/>
    <w:semiHidden/>
    <w:unhideWhenUsed/>
    <w:rsid w:val="004D5CBC"/>
    <w:rPr>
      <w:color w:val="800080"/>
      <w:u w:val="single"/>
    </w:rPr>
  </w:style>
  <w:style w:type="paragraph" w:customStyle="1" w:styleId="BoxSource">
    <w:name w:val="Box Source"/>
    <w:basedOn w:val="FigureTableNoteSource"/>
    <w:uiPriority w:val="22"/>
    <w:qFormat/>
    <w:rsid w:val="004D5CBC"/>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4D5CBC"/>
    <w:pPr>
      <w:numPr>
        <w:numId w:val="10"/>
      </w:numPr>
    </w:pPr>
  </w:style>
  <w:style w:type="numbering" w:customStyle="1" w:styleId="captions">
    <w:name w:val="captions"/>
    <w:uiPriority w:val="99"/>
    <w:rsid w:val="004D5CBC"/>
    <w:pPr>
      <w:numPr>
        <w:numId w:val="5"/>
      </w:numPr>
    </w:pPr>
  </w:style>
  <w:style w:type="paragraph" w:customStyle="1" w:styleId="TableNotes">
    <w:name w:val="TableNotes"/>
    <w:basedOn w:val="Normal"/>
    <w:link w:val="TableNotesChar"/>
    <w:rsid w:val="004D5CBC"/>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4D5CBC"/>
    <w:rPr>
      <w:rFonts w:ascii="Arial Narrow" w:hAnsi="Arial Narrow"/>
      <w:color w:val="000000"/>
      <w:sz w:val="16"/>
    </w:rPr>
  </w:style>
  <w:style w:type="character" w:customStyle="1" w:styleId="TableTextChar">
    <w:name w:val="Table Text Char"/>
    <w:basedOn w:val="DefaultParagraphFont"/>
    <w:link w:val="TableText"/>
    <w:rsid w:val="004D5CBC"/>
    <w:rPr>
      <w:rFonts w:ascii="Cambria" w:hAnsi="Cambria"/>
      <w:sz w:val="18"/>
    </w:rPr>
  </w:style>
  <w:style w:type="numbering" w:customStyle="1" w:styleId="List1">
    <w:name w:val="List1"/>
    <w:basedOn w:val="NoList"/>
    <w:uiPriority w:val="99"/>
    <w:rsid w:val="004D5CBC"/>
    <w:pPr>
      <w:numPr>
        <w:numId w:val="3"/>
      </w:numPr>
    </w:pPr>
  </w:style>
  <w:style w:type="character" w:customStyle="1" w:styleId="CaptionChar">
    <w:name w:val="Caption Char"/>
    <w:basedOn w:val="Heading1Char"/>
    <w:link w:val="Caption"/>
    <w:uiPriority w:val="12"/>
    <w:rsid w:val="004D5CBC"/>
    <w:rPr>
      <w:rFonts w:ascii="Cambria" w:eastAsiaTheme="majorEastAsia" w:hAnsi="Cambria" w:cstheme="majorBidi"/>
      <w:b/>
      <w:bCs/>
      <w:color w:val="595959" w:themeColor="text1" w:themeTint="A6"/>
      <w:sz w:val="20"/>
      <w:szCs w:val="18"/>
    </w:rPr>
  </w:style>
  <w:style w:type="numbering" w:customStyle="1" w:styleId="listbullets">
    <w:name w:val="list bullets"/>
    <w:uiPriority w:val="99"/>
    <w:rsid w:val="004D5CBC"/>
    <w:pPr>
      <w:numPr>
        <w:numId w:val="6"/>
      </w:numPr>
    </w:pPr>
  </w:style>
  <w:style w:type="numbering" w:customStyle="1" w:styleId="ListNumber1">
    <w:name w:val="List Number1"/>
    <w:uiPriority w:val="99"/>
    <w:rsid w:val="004D5CBC"/>
    <w:pPr>
      <w:numPr>
        <w:numId w:val="8"/>
      </w:numPr>
    </w:pPr>
  </w:style>
  <w:style w:type="paragraph" w:customStyle="1" w:styleId="EndNoteBibliographyTitle">
    <w:name w:val="EndNote Bibliography Title"/>
    <w:basedOn w:val="Normal"/>
    <w:link w:val="EndNoteBibliographyTitleChar"/>
    <w:semiHidden/>
    <w:rsid w:val="004D5CBC"/>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4D5CBC"/>
    <w:rPr>
      <w:rFonts w:ascii="Cambria" w:hAnsi="Cambria"/>
      <w:noProof/>
      <w:lang w:val="en-US"/>
    </w:rPr>
  </w:style>
  <w:style w:type="paragraph" w:customStyle="1" w:styleId="EndNoteBibliography">
    <w:name w:val="EndNote Bibliography"/>
    <w:basedOn w:val="Normal"/>
    <w:link w:val="EndNoteBibliographyChar"/>
    <w:rsid w:val="004D5CBC"/>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4D5CBC"/>
    <w:rPr>
      <w:rFonts w:ascii="Cambria" w:hAnsi="Cambria"/>
      <w:noProof/>
      <w:lang w:val="en-US"/>
    </w:rPr>
  </w:style>
  <w:style w:type="paragraph" w:styleId="Revision">
    <w:name w:val="Revision"/>
    <w:hidden/>
    <w:uiPriority w:val="99"/>
    <w:semiHidden/>
    <w:rsid w:val="004D5CBC"/>
    <w:pPr>
      <w:spacing w:after="0" w:line="240" w:lineRule="auto"/>
    </w:pPr>
    <w:rPr>
      <w:rFonts w:ascii="Cambria" w:hAnsi="Cambria"/>
    </w:rPr>
  </w:style>
  <w:style w:type="character" w:customStyle="1" w:styleId="name">
    <w:name w:val="name"/>
    <w:rsid w:val="004D5CBC"/>
  </w:style>
  <w:style w:type="paragraph" w:styleId="Title">
    <w:name w:val="Title"/>
    <w:basedOn w:val="Normal"/>
    <w:next w:val="Normal"/>
    <w:link w:val="TitleChar"/>
    <w:uiPriority w:val="10"/>
    <w:qFormat/>
    <w:rsid w:val="004D5C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CB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https://bicon.agriculture.gov.au/BiconWeb4.0" TargetMode="External"/><Relationship Id="rId42" Type="http://schemas.openxmlformats.org/officeDocument/2006/relationships/header" Target="header11.xml"/><Relationship Id="rId47" Type="http://schemas.openxmlformats.org/officeDocument/2006/relationships/hyperlink" Target="http://www.agriculture.gov.au/biosecurity/risk-analysis/plant/mangoes-from-india" TargetMode="External"/><Relationship Id="rId63" Type="http://schemas.openxmlformats.org/officeDocument/2006/relationships/hyperlink" Target="https://www.ippc.int/en/core-activities/standards-setting/ispms/" TargetMode="External"/><Relationship Id="rId68" Type="http://schemas.openxmlformats.org/officeDocument/2006/relationships/hyperlink" Target="http://scalenet.info" TargetMode="External"/><Relationship Id="rId84"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hyperlink" Target="https://creativecommons.org/licenses/by/3.0/au/deed.en" TargetMode="External"/><Relationship Id="rId32" Type="http://schemas.openxmlformats.org/officeDocument/2006/relationships/image" Target="media/image12.jpeg"/><Relationship Id="rId37" Type="http://schemas.openxmlformats.org/officeDocument/2006/relationships/hyperlink" Target="http://agriculture.gov.au/import/goods/food/inspection-compliance/inspection-scheme" TargetMode="External"/><Relationship Id="rId53" Type="http://schemas.openxmlformats.org/officeDocument/2006/relationships/hyperlink" Target="http://www.agriculture.gov.au/biosecurity/risk-analysis/memos/ba2015-20" TargetMode="External"/><Relationship Id="rId58" Type="http://schemas.openxmlformats.org/officeDocument/2006/relationships/hyperlink" Target="https://www.ippc.int/en/core-activities/standards-setting/ispms/" TargetMode="External"/><Relationship Id="rId74" Type="http://schemas.openxmlformats.org/officeDocument/2006/relationships/hyperlink" Target="https://www.legislation.qld.gov.au/LEGISLTN/CURRENT/P/PlantProtR02.pdf" TargetMode="External"/><Relationship Id="rId79" Type="http://schemas.openxmlformats.org/officeDocument/2006/relationships/hyperlink" Target="http://www.ppws.vt.edu/content/dam/ppws_vt_edu/extension/plant-disease-clinic/files/clinic-report-2014.pdf" TargetMode="External"/><Relationship Id="rId5" Type="http://schemas.openxmlformats.org/officeDocument/2006/relationships/footnotes" Target="footnotes.xml"/><Relationship Id="rId19" Type="http://schemas.openxmlformats.org/officeDocument/2006/relationships/hyperlink" Target="http://www.agriculture.gov.au/biosecurity/risk-analysis/guidelines" TargetMode="External"/><Relationship Id="rId14" Type="http://schemas.openxmlformats.org/officeDocument/2006/relationships/hyperlink" Target="http://www.agriculture.gov.au/" TargetMode="Externa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8.xml"/><Relationship Id="rId43" Type="http://schemas.openxmlformats.org/officeDocument/2006/relationships/footer" Target="footer2.xml"/><Relationship Id="rId48" Type="http://schemas.openxmlformats.org/officeDocument/2006/relationships/hyperlink" Target="http://www.cabi.org/cpc/" TargetMode="External"/><Relationship Id="rId56" Type="http://schemas.openxmlformats.org/officeDocument/2006/relationships/hyperlink" Target="http://www.discoverlife.org/" TargetMode="External"/><Relationship Id="rId64" Type="http://schemas.openxmlformats.org/officeDocument/2006/relationships/hyperlink" Target="https://www.ippc.int/en/core-activities/standards-setting/ispms/" TargetMode="External"/><Relationship Id="rId69" Type="http://schemas.openxmlformats.org/officeDocument/2006/relationships/hyperlink" Target="https://www.legislation.qld.gov.au/LEGISLTN/SLS/RIS_EN/2016/16SL046E.pdf" TargetMode="External"/><Relationship Id="rId77" Type="http://schemas.openxmlformats.org/officeDocument/2006/relationships/hyperlink" Target="http://www.ternakagro.com/2016/01/technical-guidelines-dragon-fruit.html" TargetMode="External"/><Relationship Id="rId8" Type="http://schemas.openxmlformats.org/officeDocument/2006/relationships/footer" Target="footer1.xml"/><Relationship Id="rId51" Type="http://schemas.openxmlformats.org/officeDocument/2006/relationships/hyperlink" Target="http://www.agriculture.gov.au/biosecurity/risk-analysis/plant/mangosteens-indonesia/ba2012-12-final-mangosteens" TargetMode="External"/><Relationship Id="rId72" Type="http://schemas.openxmlformats.org/officeDocument/2006/relationships/hyperlink" Target="http://comtrade.un.org/" TargetMode="External"/><Relationship Id="rId80" Type="http://schemas.openxmlformats.org/officeDocument/2006/relationships/hyperlink" Target="http://www.worldweatheronline.com/" TargetMode="External"/><Relationship Id="rId85"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creativecommons.org/licenses/by/3.0/au/legalcode" TargetMode="External"/><Relationship Id="rId17" Type="http://schemas.openxmlformats.org/officeDocument/2006/relationships/header" Target="header3.xml"/><Relationship Id="rId25" Type="http://schemas.openxmlformats.org/officeDocument/2006/relationships/hyperlink" Target="http://www.indonesia-tourism.com/map/indonesia-map.html" TargetMode="External"/><Relationship Id="rId33" Type="http://schemas.openxmlformats.org/officeDocument/2006/relationships/image" Target="media/image13.JPG"/><Relationship Id="rId38" Type="http://schemas.openxmlformats.org/officeDocument/2006/relationships/hyperlink" Target="https://www.legislation.gov.au/" TargetMode="External"/><Relationship Id="rId46" Type="http://schemas.openxmlformats.org/officeDocument/2006/relationships/hyperlink" Target="http://www.agriculture.gov.au/biosecurity/risk-analysis/group-pest-risk-analyses/group-pra-thrips-orthotospoviruses/final-report" TargetMode="External"/><Relationship Id="rId59" Type="http://schemas.openxmlformats.org/officeDocument/2006/relationships/hyperlink" Target="https://www.ippc.int/en/core-activities/standards-setting/ispms/" TargetMode="External"/><Relationship Id="rId67" Type="http://schemas.openxmlformats.org/officeDocument/2006/relationships/hyperlink" Target="https://nt.ars-grin.gov/fungaldatabases/" TargetMode="External"/><Relationship Id="rId20" Type="http://schemas.openxmlformats.org/officeDocument/2006/relationships/image" Target="media/image4.png"/><Relationship Id="rId41" Type="http://schemas.openxmlformats.org/officeDocument/2006/relationships/header" Target="header10.xml"/><Relationship Id="rId54" Type="http://schemas.openxmlformats.org/officeDocument/2006/relationships/hyperlink" Target="http://www.agriculture.gov.au/biosecurity/risk-analysis/plant/dragon-fruit-from-vietnam/final-report" TargetMode="External"/><Relationship Id="rId62" Type="http://schemas.openxmlformats.org/officeDocument/2006/relationships/hyperlink" Target="https://www.ippc.int/en/core-activities/standards-setting/ispms/" TargetMode="External"/><Relationship Id="rId70" Type="http://schemas.openxmlformats.org/officeDocument/2006/relationships/hyperlink" Target="https://www.agric.wa.gov.au/bam/western-australian-organism-list-waol" TargetMode="External"/><Relationship Id="rId75" Type="http://schemas.openxmlformats.org/officeDocument/2006/relationships/hyperlink" Target="http://www.planthealthaustralia.com.au/resources/australian-plant-pest-database/"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lant@agriculture.gov.au" TargetMode="Externa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hyperlink" Target="http://www.foodstandards.gov.au/consumer/foodtech/irradiation/Pages/default.aspx" TargetMode="External"/><Relationship Id="rId49" Type="http://schemas.openxmlformats.org/officeDocument/2006/relationships/hyperlink" Target="https://en.climate-data.org/" TargetMode="External"/><Relationship Id="rId57" Type="http://schemas.openxmlformats.org/officeDocument/2006/relationships/hyperlink" Target="http://www.google.com.au/url?sa=t&amp;rct=j&amp;q=&amp;esrc=s&amp;source=web&amp;cd=1&amp;cad=rja&amp;uact=8&amp;ved=0ahUKEwjv_r2Bk6TPAhWPq5QKHVdPCOwQFggfMAA&amp;url=http%3A%2F%2Fedepot.wur.nl%2F3617&amp;usg=AFQjCNHMw9MWgH9BQVguBC_IrBgTc_jv2Q&amp;bvm=bv.133700528,d.dGo" TargetMode="External"/><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header" Target="header12.xml"/><Relationship Id="rId52" Type="http://schemas.openxmlformats.org/officeDocument/2006/relationships/hyperlink" Target="http://www.agriculture.gov.au/biosecurity/risk-analysis/plant/lychees-taiwan-vietnam/ba2013-07-final-lychees-taiwan-vietnam" TargetMode="External"/><Relationship Id="rId60" Type="http://schemas.openxmlformats.org/officeDocument/2006/relationships/hyperlink" Target="https://www.ippc.int/en/core-activities/standards-setting/ispms/" TargetMode="External"/><Relationship Id="rId65" Type="http://schemas.openxmlformats.org/officeDocument/2006/relationships/hyperlink" Target="https://www.ippc.int/en/core-activities/standards-setting/ispms/" TargetMode="External"/><Relationship Id="rId73" Type="http://schemas.openxmlformats.org/officeDocument/2006/relationships/hyperlink" Target="http://www.extento.hawaii.edu/kbase/crop/Type/bactro_d.htm" TargetMode="External"/><Relationship Id="rId78" Type="http://schemas.openxmlformats.org/officeDocument/2006/relationships/hyperlink" Target="http://www.aphis.usda.gov/plant_health/plant_pest_info/pest_detection/downloads/pra/pminorpra.pdf" TargetMode="External"/><Relationship Id="rId81" Type="http://schemas.openxmlformats.org/officeDocument/2006/relationships/hyperlink" Target="https://www.wto.org/english/docs_e/legal_e/15-sps.pdf" TargetMode="External"/><Relationship Id="rId86"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mailto:copyright@agriculture.gov.au" TargetMode="External"/><Relationship Id="rId18" Type="http://schemas.openxmlformats.org/officeDocument/2006/relationships/header" Target="header4.xml"/><Relationship Id="rId39" Type="http://schemas.openxmlformats.org/officeDocument/2006/relationships/hyperlink" Target="http://www.foodstandards.gov.au/code/Pages/default.aspx" TargetMode="External"/><Relationship Id="rId34" Type="http://schemas.openxmlformats.org/officeDocument/2006/relationships/header" Target="header7.xml"/><Relationship Id="rId50" Type="http://schemas.openxmlformats.org/officeDocument/2006/relationships/hyperlink" Target="http://www.ces.csiro.au/aicn/name_s/b_1.htm" TargetMode="External"/><Relationship Id="rId55" Type="http://schemas.openxmlformats.org/officeDocument/2006/relationships/hyperlink" Target="http://www.agriculture.gov.au/biosecurity/australia/naqs" TargetMode="External"/><Relationship Id="rId76" Type="http://schemas.openxmlformats.org/officeDocument/2006/relationships/hyperlink" Target="http://www.fftc.agnet.org/library.php?func=view&amp;id=20150806102619&amp;type_id=4" TargetMode="External"/><Relationship Id="rId7" Type="http://schemas.openxmlformats.org/officeDocument/2006/relationships/image" Target="media/image1.jpeg"/><Relationship Id="rId71" Type="http://schemas.openxmlformats.org/officeDocument/2006/relationships/hyperlink" Target="http://factsanddetails.com/"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5.jpg"/><Relationship Id="rId40" Type="http://schemas.openxmlformats.org/officeDocument/2006/relationships/header" Target="header9.xml"/><Relationship Id="rId45" Type="http://schemas.openxmlformats.org/officeDocument/2006/relationships/header" Target="header13.xml"/><Relationship Id="rId66" Type="http://schemas.openxmlformats.org/officeDocument/2006/relationships/hyperlink" Target="https://www.ippc.int/en/core-activities/standards-setting/ispms/" TargetMode="External"/><Relationship Id="rId87" Type="http://schemas.openxmlformats.org/officeDocument/2006/relationships/customXml" Target="../customXml/item3.xml"/><Relationship Id="rId61" Type="http://schemas.openxmlformats.org/officeDocument/2006/relationships/hyperlink" Target="https://www.ippc.int/en/core-activities/standards-setting/ispms/" TargetMode="External"/><Relationship Id="rId82"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49CDFDA2-BCCA-4289-81D3-DDCDD111E62E}"/>
</file>

<file path=customXml/itemProps2.xml><?xml version="1.0" encoding="utf-8"?>
<ds:datastoreItem xmlns:ds="http://schemas.openxmlformats.org/officeDocument/2006/customXml" ds:itemID="{D2C3EF95-646E-43C3-812B-6C12FA513C4A}"/>
</file>

<file path=customXml/itemProps3.xml><?xml version="1.0" encoding="utf-8"?>
<ds:datastoreItem xmlns:ds="http://schemas.openxmlformats.org/officeDocument/2006/customXml" ds:itemID="{A9DF22AB-16ED-4717-B496-726D65ACD085}"/>
</file>

<file path=docProps/app.xml><?xml version="1.0" encoding="utf-8"?>
<Properties xmlns="http://schemas.openxmlformats.org/officeDocument/2006/extended-properties" xmlns:vt="http://schemas.openxmlformats.org/officeDocument/2006/docPropsVTypes">
  <Template>Normal</Template>
  <TotalTime>0</TotalTime>
  <Pages>78</Pages>
  <Words>24912</Words>
  <Characters>142003</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Final report for the review of biosecurity import requirements for fresh dragon fruit from Indonesia</vt:lpstr>
    </vt:vector>
  </TitlesOfParts>
  <Company/>
  <LinksUpToDate>false</LinksUpToDate>
  <CharactersWithSpaces>166582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review of biosecurity import requirements for fresh dragon fruit from Indonesia</dc:title>
  <dc:subject/>
  <dc:creator/>
  <cp:keywords/>
  <dc:description/>
  <cp:lastModifiedBy/>
  <cp:revision>1</cp:revision>
  <dcterms:created xsi:type="dcterms:W3CDTF">2018-08-02T08:09:00Z</dcterms:created>
  <dcterms:modified xsi:type="dcterms:W3CDTF">2018-08-06T23:56:00Z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