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49F6" w14:textId="77777777" w:rsidR="008A2C21" w:rsidRDefault="008A2C21" w:rsidP="00A93AAB">
      <w:pPr>
        <w:pStyle w:val="ListNumber2"/>
        <w:spacing w:after="240"/>
        <w:jc w:val="left"/>
        <w:rPr>
          <w:sz w:val="28"/>
          <w:szCs w:val="28"/>
        </w:rPr>
      </w:pPr>
    </w:p>
    <w:p w14:paraId="54099AED" w14:textId="5480AFE9" w:rsidR="00E9565B" w:rsidRPr="00A93AAB" w:rsidRDefault="00F91EE2" w:rsidP="00AC7F71">
      <w:pPr>
        <w:pStyle w:val="Heading1"/>
      </w:pPr>
      <w:r w:rsidRPr="00A93AAB">
        <w:t>2017 Environmental</w:t>
      </w:r>
      <w:r w:rsidR="00C90016" w:rsidRPr="00A93AAB">
        <w:t xml:space="preserve"> </w:t>
      </w:r>
      <w:r w:rsidR="006B3AC2" w:rsidRPr="00A93AAB">
        <w:t>B</w:t>
      </w:r>
      <w:r w:rsidR="00C90016" w:rsidRPr="00A93AAB">
        <w:t xml:space="preserve">iosecurity </w:t>
      </w:r>
      <w:r w:rsidR="006B3AC2" w:rsidRPr="00A93AAB">
        <w:t>R</w:t>
      </w:r>
      <w:r w:rsidR="00C90016" w:rsidRPr="00A93AAB">
        <w:t>oundtable</w:t>
      </w:r>
      <w:r w:rsidR="00EE643A" w:rsidRPr="00A93AAB">
        <w:t>s</w:t>
      </w:r>
    </w:p>
    <w:p w14:paraId="0B7D6F89" w14:textId="40670FB0" w:rsidR="00C90016" w:rsidRPr="00A93AAB" w:rsidRDefault="00EE643A" w:rsidP="00AC7F71">
      <w:pPr>
        <w:pStyle w:val="Heading1"/>
      </w:pPr>
      <w:r w:rsidRPr="00A93AAB">
        <w:t>Sydney</w:t>
      </w:r>
      <w:r w:rsidR="00F91EE2" w:rsidRPr="00A93AAB">
        <w:t xml:space="preserve"> </w:t>
      </w:r>
      <w:r w:rsidR="00851310" w:rsidRPr="00A93AAB">
        <w:t>Summary R</w:t>
      </w:r>
      <w:r w:rsidR="00FE30B9" w:rsidRPr="00A93AAB">
        <w:t>eport</w:t>
      </w:r>
    </w:p>
    <w:p w14:paraId="2B71A4C7" w14:textId="6EFC2ACD" w:rsidR="004864C0" w:rsidRDefault="001A4A82" w:rsidP="00C90016">
      <w:pPr>
        <w:pStyle w:val="ListNumber"/>
        <w:rPr>
          <w:sz w:val="22"/>
        </w:rPr>
      </w:pPr>
      <w:r>
        <w:rPr>
          <w:sz w:val="22"/>
        </w:rPr>
        <w:t>T</w:t>
      </w:r>
      <w:r w:rsidR="002247AF" w:rsidRPr="00DF4752">
        <w:rPr>
          <w:sz w:val="22"/>
        </w:rPr>
        <w:t>he 2017</w:t>
      </w:r>
      <w:r w:rsidR="00C90016" w:rsidRPr="00DF4752">
        <w:rPr>
          <w:sz w:val="22"/>
        </w:rPr>
        <w:t xml:space="preserve"> National Biosecurity </w:t>
      </w:r>
      <w:r w:rsidR="000B734F" w:rsidRPr="00DF4752">
        <w:rPr>
          <w:sz w:val="22"/>
        </w:rPr>
        <w:t xml:space="preserve">Environmental </w:t>
      </w:r>
      <w:r w:rsidR="004F5D50" w:rsidRPr="00DF4752">
        <w:rPr>
          <w:sz w:val="22"/>
        </w:rPr>
        <w:t xml:space="preserve">Biosecurity Roundtable </w:t>
      </w:r>
      <w:r>
        <w:rPr>
          <w:sz w:val="22"/>
        </w:rPr>
        <w:t xml:space="preserve">was </w:t>
      </w:r>
      <w:r w:rsidR="00C90016" w:rsidRPr="00DF4752">
        <w:rPr>
          <w:sz w:val="22"/>
        </w:rPr>
        <w:t xml:space="preserve">held in </w:t>
      </w:r>
      <w:r w:rsidR="00EE643A">
        <w:rPr>
          <w:sz w:val="22"/>
        </w:rPr>
        <w:t>Sydney, NSW</w:t>
      </w:r>
      <w:r w:rsidR="00C90016" w:rsidRPr="00DF4752">
        <w:rPr>
          <w:sz w:val="22"/>
        </w:rPr>
        <w:t xml:space="preserve"> on </w:t>
      </w:r>
      <w:r w:rsidR="000B734F" w:rsidRPr="00DF4752">
        <w:rPr>
          <w:sz w:val="22"/>
        </w:rPr>
        <w:t>Thursday</w:t>
      </w:r>
      <w:r w:rsidR="00B338B8">
        <w:rPr>
          <w:sz w:val="22"/>
        </w:rPr>
        <w:t>,</w:t>
      </w:r>
      <w:r w:rsidR="002247AF" w:rsidRPr="00DF4752">
        <w:rPr>
          <w:sz w:val="22"/>
        </w:rPr>
        <w:t xml:space="preserve"> </w:t>
      </w:r>
      <w:r w:rsidR="00EE643A">
        <w:rPr>
          <w:sz w:val="22"/>
        </w:rPr>
        <w:t>16</w:t>
      </w:r>
      <w:r w:rsidR="000B734F" w:rsidRPr="00DF4752">
        <w:rPr>
          <w:sz w:val="22"/>
        </w:rPr>
        <w:t xml:space="preserve"> </w:t>
      </w:r>
      <w:r w:rsidR="00EE643A">
        <w:rPr>
          <w:sz w:val="22"/>
        </w:rPr>
        <w:t>November</w:t>
      </w:r>
      <w:r w:rsidR="002247AF" w:rsidRPr="00DF4752">
        <w:rPr>
          <w:sz w:val="22"/>
        </w:rPr>
        <w:t xml:space="preserve"> 2017.</w:t>
      </w:r>
      <w:r w:rsidR="004864C0">
        <w:rPr>
          <w:sz w:val="22"/>
        </w:rPr>
        <w:t xml:space="preserve"> </w:t>
      </w:r>
    </w:p>
    <w:p w14:paraId="55544454" w14:textId="5697CFA9" w:rsidR="00C90016" w:rsidRDefault="000B734F" w:rsidP="00C90016">
      <w:pPr>
        <w:pStyle w:val="ListNumber"/>
        <w:rPr>
          <w:sz w:val="22"/>
        </w:rPr>
      </w:pPr>
      <w:r w:rsidRPr="00DF4752">
        <w:rPr>
          <w:sz w:val="22"/>
        </w:rPr>
        <w:t xml:space="preserve">This event was hosted by </w:t>
      </w:r>
      <w:r w:rsidR="00C90016" w:rsidRPr="00DF4752">
        <w:rPr>
          <w:sz w:val="22"/>
        </w:rPr>
        <w:t>the Department of Agriculture and Water Resources</w:t>
      </w:r>
      <w:r w:rsidR="00C8754D" w:rsidRPr="00DF4752">
        <w:rPr>
          <w:sz w:val="22"/>
        </w:rPr>
        <w:t xml:space="preserve"> </w:t>
      </w:r>
      <w:r w:rsidR="0070722E" w:rsidRPr="00DF4752">
        <w:rPr>
          <w:sz w:val="22"/>
        </w:rPr>
        <w:t>and the</w:t>
      </w:r>
      <w:r w:rsidR="0081684C" w:rsidRPr="00DF4752">
        <w:rPr>
          <w:sz w:val="22"/>
        </w:rPr>
        <w:t xml:space="preserve"> Department of </w:t>
      </w:r>
      <w:r w:rsidRPr="00DF4752">
        <w:rPr>
          <w:sz w:val="22"/>
        </w:rPr>
        <w:t>the Environment and Energy</w:t>
      </w:r>
      <w:r w:rsidR="00C522F5" w:rsidRPr="00DF4752">
        <w:rPr>
          <w:sz w:val="22"/>
        </w:rPr>
        <w:t xml:space="preserve">. </w:t>
      </w:r>
      <w:r w:rsidR="00FA0DED" w:rsidRPr="00DF4752">
        <w:rPr>
          <w:sz w:val="22"/>
        </w:rPr>
        <w:t>The roundtable was</w:t>
      </w:r>
      <w:r w:rsidR="00D246FE" w:rsidRPr="00DF4752">
        <w:rPr>
          <w:sz w:val="22"/>
        </w:rPr>
        <w:t xml:space="preserve"> the </w:t>
      </w:r>
      <w:r w:rsidR="00EE643A">
        <w:rPr>
          <w:sz w:val="22"/>
        </w:rPr>
        <w:t>second</w:t>
      </w:r>
      <w:r w:rsidR="00D246FE" w:rsidRPr="00DF4752">
        <w:rPr>
          <w:sz w:val="22"/>
        </w:rPr>
        <w:t xml:space="preserve"> </w:t>
      </w:r>
      <w:r w:rsidR="00A5569F">
        <w:rPr>
          <w:sz w:val="22"/>
        </w:rPr>
        <w:t>environmental roundtable</w:t>
      </w:r>
      <w:r w:rsidR="00FA0DED" w:rsidRPr="00DF4752">
        <w:rPr>
          <w:sz w:val="22"/>
        </w:rPr>
        <w:t xml:space="preserve"> </w:t>
      </w:r>
      <w:r w:rsidR="00D246FE" w:rsidRPr="00DF4752">
        <w:rPr>
          <w:sz w:val="22"/>
        </w:rPr>
        <w:t xml:space="preserve">held in 2017, with the </w:t>
      </w:r>
      <w:r w:rsidR="00EE643A">
        <w:rPr>
          <w:sz w:val="22"/>
        </w:rPr>
        <w:t>first</w:t>
      </w:r>
      <w:r w:rsidR="00D246FE" w:rsidRPr="00DF4752">
        <w:rPr>
          <w:sz w:val="22"/>
        </w:rPr>
        <w:t xml:space="preserve"> </w:t>
      </w:r>
      <w:r w:rsidR="001A4A82">
        <w:rPr>
          <w:sz w:val="22"/>
        </w:rPr>
        <w:t xml:space="preserve">held on </w:t>
      </w:r>
      <w:r w:rsidR="00EE643A">
        <w:rPr>
          <w:sz w:val="22"/>
        </w:rPr>
        <w:t>29</w:t>
      </w:r>
      <w:r w:rsidR="00FA0DED" w:rsidRPr="00DF4752">
        <w:rPr>
          <w:sz w:val="22"/>
        </w:rPr>
        <w:t xml:space="preserve"> </w:t>
      </w:r>
      <w:r w:rsidR="00EE643A">
        <w:rPr>
          <w:sz w:val="22"/>
        </w:rPr>
        <w:t xml:space="preserve">June </w:t>
      </w:r>
      <w:r w:rsidR="00FA0DED" w:rsidRPr="00DF4752">
        <w:rPr>
          <w:sz w:val="22"/>
        </w:rPr>
        <w:t xml:space="preserve">in </w:t>
      </w:r>
      <w:r w:rsidR="001A4A82">
        <w:rPr>
          <w:sz w:val="22"/>
        </w:rPr>
        <w:t>Canberra</w:t>
      </w:r>
      <w:r w:rsidR="00CB4406" w:rsidRPr="00DF4752">
        <w:rPr>
          <w:sz w:val="22"/>
        </w:rPr>
        <w:t xml:space="preserve">. </w:t>
      </w:r>
      <w:r w:rsidR="00443749" w:rsidRPr="00DF4752">
        <w:rPr>
          <w:sz w:val="22"/>
        </w:rPr>
        <w:t xml:space="preserve"> </w:t>
      </w:r>
    </w:p>
    <w:p w14:paraId="343C3E5D" w14:textId="2DF4983A" w:rsidR="00295A08" w:rsidRDefault="000E403F" w:rsidP="00C90016">
      <w:pPr>
        <w:pStyle w:val="ListNumber"/>
        <w:rPr>
          <w:sz w:val="22"/>
        </w:rPr>
      </w:pPr>
      <w:r>
        <w:rPr>
          <w:sz w:val="22"/>
        </w:rPr>
        <w:t>Fifty</w:t>
      </w:r>
      <w:r w:rsidR="00295A08" w:rsidRPr="00295A08">
        <w:rPr>
          <w:sz w:val="22"/>
        </w:rPr>
        <w:t xml:space="preserve"> environmental biosecurity stakeholders attended the roundtable, represen</w:t>
      </w:r>
      <w:r w:rsidR="00295A08">
        <w:rPr>
          <w:sz w:val="22"/>
        </w:rPr>
        <w:t xml:space="preserve">ting a diverse range of sectors, including </w:t>
      </w:r>
      <w:r w:rsidR="00B338B8">
        <w:rPr>
          <w:sz w:val="22"/>
        </w:rPr>
        <w:t>e</w:t>
      </w:r>
      <w:r w:rsidR="001A4A82">
        <w:rPr>
          <w:sz w:val="22"/>
        </w:rPr>
        <w:t xml:space="preserve">nvironmental </w:t>
      </w:r>
      <w:r w:rsidR="00B338B8">
        <w:rPr>
          <w:sz w:val="22"/>
        </w:rPr>
        <w:t>n</w:t>
      </w:r>
      <w:r w:rsidR="001A4A82">
        <w:rPr>
          <w:sz w:val="22"/>
        </w:rPr>
        <w:t>on-</w:t>
      </w:r>
      <w:r w:rsidR="00B338B8">
        <w:rPr>
          <w:sz w:val="22"/>
        </w:rPr>
        <w:t>g</w:t>
      </w:r>
      <w:r w:rsidR="001A4A82">
        <w:rPr>
          <w:sz w:val="22"/>
        </w:rPr>
        <w:t xml:space="preserve">overnment </w:t>
      </w:r>
      <w:r w:rsidR="00B338B8">
        <w:rPr>
          <w:sz w:val="22"/>
        </w:rPr>
        <w:t>o</w:t>
      </w:r>
      <w:r w:rsidR="001A4A82">
        <w:rPr>
          <w:sz w:val="22"/>
        </w:rPr>
        <w:t>rganisations, land management and</w:t>
      </w:r>
      <w:r w:rsidR="00295A08" w:rsidRPr="00295A08">
        <w:rPr>
          <w:sz w:val="22"/>
        </w:rPr>
        <w:t xml:space="preserve"> conservation, research</w:t>
      </w:r>
      <w:r w:rsidR="001A4A82">
        <w:rPr>
          <w:sz w:val="22"/>
        </w:rPr>
        <w:t xml:space="preserve"> organisations</w:t>
      </w:r>
      <w:r w:rsidR="00295A08" w:rsidRPr="00295A08">
        <w:rPr>
          <w:sz w:val="22"/>
        </w:rPr>
        <w:t xml:space="preserve"> and </w:t>
      </w:r>
      <w:r w:rsidR="001A4A82">
        <w:rPr>
          <w:sz w:val="22"/>
        </w:rPr>
        <w:t>Commonwealth and state</w:t>
      </w:r>
      <w:r w:rsidR="00295A08" w:rsidRPr="00295A08">
        <w:rPr>
          <w:sz w:val="22"/>
        </w:rPr>
        <w:t xml:space="preserve"> governments.</w:t>
      </w:r>
    </w:p>
    <w:p w14:paraId="065C22A9" w14:textId="6790D580" w:rsidR="00295A08" w:rsidRDefault="00295A08" w:rsidP="00295A08">
      <w:pPr>
        <w:pStyle w:val="ListNumber"/>
        <w:rPr>
          <w:sz w:val="22"/>
        </w:rPr>
      </w:pPr>
      <w:r>
        <w:rPr>
          <w:sz w:val="22"/>
        </w:rPr>
        <w:t xml:space="preserve">The Department of Agriculture and Water Resources and the Department of the Environment and Energy both provided updates on </w:t>
      </w:r>
      <w:r w:rsidR="001A4A82">
        <w:rPr>
          <w:sz w:val="22"/>
        </w:rPr>
        <w:t>priority</w:t>
      </w:r>
      <w:r>
        <w:rPr>
          <w:sz w:val="22"/>
        </w:rPr>
        <w:t xml:space="preserve"> environmental biosecurity activities. These included:</w:t>
      </w:r>
    </w:p>
    <w:p w14:paraId="17AA745B" w14:textId="77777777" w:rsidR="00295A08" w:rsidRDefault="00295A08" w:rsidP="00295A08">
      <w:pPr>
        <w:pStyle w:val="NoSpacing"/>
        <w:numPr>
          <w:ilvl w:val="0"/>
          <w:numId w:val="22"/>
        </w:numPr>
      </w:pPr>
      <w:r>
        <w:t xml:space="preserve">Proposed updates to the </w:t>
      </w:r>
      <w:r w:rsidRPr="004B4949">
        <w:t xml:space="preserve">live import list under the </w:t>
      </w:r>
      <w:r w:rsidRPr="001206B3">
        <w:t>Environment Protection and Biodiversity Conservation Act 1999</w:t>
      </w:r>
    </w:p>
    <w:p w14:paraId="013E7B10" w14:textId="72F1B9A2" w:rsidR="00295A08" w:rsidRDefault="00295A08" w:rsidP="00295A08">
      <w:pPr>
        <w:pStyle w:val="NoSpacing"/>
        <w:numPr>
          <w:ilvl w:val="0"/>
          <w:numId w:val="22"/>
        </w:numPr>
      </w:pPr>
      <w:r>
        <w:t>a</w:t>
      </w:r>
      <w:r w:rsidRPr="004B4949">
        <w:t xml:space="preserve">ctivities </w:t>
      </w:r>
      <w:r w:rsidR="00C9764F">
        <w:t>funded under</w:t>
      </w:r>
      <w:r w:rsidRPr="004B4949">
        <w:t xml:space="preserve"> the Agricultural Competitiveness White Paper and National Landcare Program (Phase 2)</w:t>
      </w:r>
    </w:p>
    <w:p w14:paraId="5503CA89" w14:textId="77777777" w:rsidR="00295A08" w:rsidRDefault="00295A08" w:rsidP="00295A08">
      <w:pPr>
        <w:pStyle w:val="NoSpacing"/>
        <w:numPr>
          <w:ilvl w:val="0"/>
          <w:numId w:val="22"/>
        </w:numPr>
      </w:pPr>
      <w:r>
        <w:t xml:space="preserve">the National </w:t>
      </w:r>
      <w:r w:rsidRPr="004B4949">
        <w:t>Environmental Biosecurity Stocktake</w:t>
      </w:r>
      <w:r>
        <w:t xml:space="preserve"> project</w:t>
      </w:r>
    </w:p>
    <w:p w14:paraId="0D7DCCAE" w14:textId="77777777" w:rsidR="00295A08" w:rsidRDefault="00295A08" w:rsidP="00295A08">
      <w:pPr>
        <w:pStyle w:val="NoSpacing"/>
        <w:numPr>
          <w:ilvl w:val="0"/>
          <w:numId w:val="22"/>
        </w:numPr>
      </w:pPr>
      <w:r>
        <w:t xml:space="preserve">the development of a </w:t>
      </w:r>
      <w:r w:rsidRPr="004B4949">
        <w:t>National Priority List of Exotic Environmental Pests and Diseases</w:t>
      </w:r>
    </w:p>
    <w:p w14:paraId="2E21E529" w14:textId="6B1487A5" w:rsidR="00295A08" w:rsidRDefault="00B338B8" w:rsidP="00295A08">
      <w:pPr>
        <w:pStyle w:val="NoSpacing"/>
        <w:numPr>
          <w:ilvl w:val="0"/>
          <w:numId w:val="22"/>
        </w:numPr>
      </w:pPr>
      <w:r>
        <w:t>the 2017 P</w:t>
      </w:r>
      <w:r w:rsidR="00295A08" w:rsidRPr="004B4949">
        <w:t xml:space="preserve">riorities for Australia’s Biosecurity System </w:t>
      </w:r>
      <w:r>
        <w:t xml:space="preserve">independent </w:t>
      </w:r>
      <w:r w:rsidR="00295A08" w:rsidRPr="004B4949">
        <w:t xml:space="preserve">report </w:t>
      </w:r>
    </w:p>
    <w:p w14:paraId="65612757" w14:textId="436CDB67" w:rsidR="00295A08" w:rsidRDefault="00295A08" w:rsidP="00295A08">
      <w:pPr>
        <w:pStyle w:val="NoSpacing"/>
        <w:numPr>
          <w:ilvl w:val="0"/>
          <w:numId w:val="22"/>
        </w:numPr>
      </w:pPr>
      <w:r>
        <w:t xml:space="preserve">review of the </w:t>
      </w:r>
      <w:r w:rsidRPr="004B4949">
        <w:t>N</w:t>
      </w:r>
      <w:r>
        <w:t xml:space="preserve">ational </w:t>
      </w:r>
      <w:r w:rsidRPr="004B4949">
        <w:t>E</w:t>
      </w:r>
      <w:r>
        <w:t xml:space="preserve">nvironmental </w:t>
      </w:r>
      <w:r w:rsidRPr="004B4949">
        <w:t>B</w:t>
      </w:r>
      <w:r>
        <w:t xml:space="preserve">iosecurity </w:t>
      </w:r>
      <w:r w:rsidRPr="004B4949">
        <w:t>R</w:t>
      </w:r>
      <w:r>
        <w:t xml:space="preserve">esponse </w:t>
      </w:r>
      <w:r w:rsidRPr="004B4949">
        <w:t>A</w:t>
      </w:r>
      <w:r>
        <w:t>greement</w:t>
      </w:r>
      <w:r w:rsidR="007903B4">
        <w:t>,</w:t>
      </w:r>
      <w:r w:rsidRPr="004B4949">
        <w:t xml:space="preserve"> </w:t>
      </w:r>
      <w:r>
        <w:t>and</w:t>
      </w:r>
    </w:p>
    <w:p w14:paraId="2EF43092" w14:textId="31DD35B3" w:rsidR="00295A08" w:rsidRDefault="007903B4" w:rsidP="00C90016">
      <w:pPr>
        <w:pStyle w:val="NoSpacing"/>
        <w:numPr>
          <w:ilvl w:val="0"/>
          <w:numId w:val="22"/>
        </w:numPr>
      </w:pPr>
      <w:proofErr w:type="gramStart"/>
      <w:r>
        <w:t>the</w:t>
      </w:r>
      <w:proofErr w:type="gramEnd"/>
      <w:r>
        <w:t xml:space="preserve"> </w:t>
      </w:r>
      <w:r w:rsidR="00295A08" w:rsidRPr="004B4949">
        <w:t xml:space="preserve">establishment of an Environment and </w:t>
      </w:r>
      <w:proofErr w:type="spellStart"/>
      <w:r w:rsidR="00295A08" w:rsidRPr="004B4949">
        <w:t>Invasives</w:t>
      </w:r>
      <w:proofErr w:type="spellEnd"/>
      <w:r w:rsidR="00295A08" w:rsidRPr="004B4949">
        <w:t xml:space="preserve"> Committee</w:t>
      </w:r>
      <w:r>
        <w:t xml:space="preserve"> </w:t>
      </w:r>
      <w:r w:rsidR="00EE20AB">
        <w:t xml:space="preserve">under the National Biosecurity </w:t>
      </w:r>
      <w:r>
        <w:t>C</w:t>
      </w:r>
      <w:r w:rsidR="00EE20AB">
        <w:t>ommittee (NBC)</w:t>
      </w:r>
      <w:r w:rsidR="00295A08">
        <w:t>.</w:t>
      </w:r>
    </w:p>
    <w:p w14:paraId="4B7C84C5" w14:textId="77777777" w:rsidR="00295A08" w:rsidRPr="00295A08" w:rsidRDefault="00295A08" w:rsidP="00295A08">
      <w:pPr>
        <w:pStyle w:val="NoSpacing"/>
        <w:ind w:left="720"/>
      </w:pPr>
    </w:p>
    <w:p w14:paraId="199FF032" w14:textId="315DC177" w:rsidR="00295A08" w:rsidRPr="00F776AE" w:rsidRDefault="00DD6F37" w:rsidP="00C90016">
      <w:pPr>
        <w:pStyle w:val="ListNumber"/>
        <w:rPr>
          <w:rFonts w:asciiTheme="minorHAnsi" w:hAnsiTheme="minorHAnsi"/>
          <w:sz w:val="22"/>
        </w:rPr>
      </w:pPr>
      <w:r w:rsidRPr="00F776AE">
        <w:rPr>
          <w:rFonts w:asciiTheme="minorHAnsi" w:hAnsiTheme="minorHAnsi"/>
          <w:sz w:val="22"/>
        </w:rPr>
        <w:t>P</w:t>
      </w:r>
      <w:r w:rsidR="00295A08" w:rsidRPr="00F776AE">
        <w:rPr>
          <w:rFonts w:asciiTheme="minorHAnsi" w:hAnsiTheme="minorHAnsi"/>
          <w:sz w:val="22"/>
        </w:rPr>
        <w:t xml:space="preserve">articipants </w:t>
      </w:r>
      <w:r w:rsidRPr="00F776AE">
        <w:rPr>
          <w:rFonts w:asciiTheme="minorHAnsi" w:hAnsiTheme="minorHAnsi"/>
          <w:sz w:val="22"/>
        </w:rPr>
        <w:t xml:space="preserve">took part in a range of workshops </w:t>
      </w:r>
      <w:r w:rsidR="00295A08" w:rsidRPr="00F776AE">
        <w:rPr>
          <w:rFonts w:asciiTheme="minorHAnsi" w:hAnsiTheme="minorHAnsi"/>
          <w:sz w:val="22"/>
        </w:rPr>
        <w:t xml:space="preserve">on the </w:t>
      </w:r>
      <w:r w:rsidR="007903B4" w:rsidRPr="00F776AE">
        <w:rPr>
          <w:rFonts w:asciiTheme="minorHAnsi" w:hAnsiTheme="minorHAnsi"/>
          <w:sz w:val="22"/>
        </w:rPr>
        <w:t>e</w:t>
      </w:r>
      <w:r w:rsidR="003C0203" w:rsidRPr="00F776AE">
        <w:rPr>
          <w:rFonts w:asciiTheme="minorHAnsi" w:hAnsiTheme="minorHAnsi"/>
          <w:sz w:val="22"/>
        </w:rPr>
        <w:t xml:space="preserve">nvironmental </w:t>
      </w:r>
      <w:r w:rsidR="007903B4" w:rsidRPr="00F776AE">
        <w:rPr>
          <w:rFonts w:asciiTheme="minorHAnsi" w:hAnsiTheme="minorHAnsi"/>
          <w:sz w:val="22"/>
        </w:rPr>
        <w:t>b</w:t>
      </w:r>
      <w:r w:rsidR="003C0203" w:rsidRPr="00F776AE">
        <w:rPr>
          <w:rFonts w:asciiTheme="minorHAnsi" w:hAnsiTheme="minorHAnsi"/>
          <w:sz w:val="22"/>
        </w:rPr>
        <w:t xml:space="preserve">iosecurity </w:t>
      </w:r>
      <w:r w:rsidR="007903B4" w:rsidRPr="00F776AE">
        <w:rPr>
          <w:rFonts w:asciiTheme="minorHAnsi" w:hAnsiTheme="minorHAnsi"/>
          <w:sz w:val="22"/>
        </w:rPr>
        <w:t>s</w:t>
      </w:r>
      <w:r w:rsidR="003C0203" w:rsidRPr="00F776AE">
        <w:rPr>
          <w:rFonts w:asciiTheme="minorHAnsi" w:hAnsiTheme="minorHAnsi"/>
          <w:sz w:val="22"/>
        </w:rPr>
        <w:t xml:space="preserve">tocktake, </w:t>
      </w:r>
      <w:r w:rsidR="007903B4" w:rsidRPr="00F776AE">
        <w:rPr>
          <w:rFonts w:asciiTheme="minorHAnsi" w:hAnsiTheme="minorHAnsi"/>
          <w:sz w:val="22"/>
        </w:rPr>
        <w:t>d</w:t>
      </w:r>
      <w:r w:rsidR="00295A08" w:rsidRPr="00F776AE">
        <w:rPr>
          <w:rFonts w:asciiTheme="minorHAnsi" w:hAnsiTheme="minorHAnsi"/>
          <w:sz w:val="22"/>
        </w:rPr>
        <w:t>raft National Biosecurity Statement, an Industry and Community Advisory Group</w:t>
      </w:r>
      <w:r w:rsidR="007903B4" w:rsidRPr="00F776AE">
        <w:rPr>
          <w:rFonts w:asciiTheme="minorHAnsi" w:hAnsiTheme="minorHAnsi"/>
          <w:sz w:val="22"/>
        </w:rPr>
        <w:t xml:space="preserve"> to directly engage with NBC</w:t>
      </w:r>
      <w:r w:rsidR="00295A08" w:rsidRPr="00F776AE">
        <w:rPr>
          <w:rFonts w:asciiTheme="minorHAnsi" w:hAnsiTheme="minorHAnsi"/>
          <w:sz w:val="22"/>
        </w:rPr>
        <w:t xml:space="preserve"> and on future engagement </w:t>
      </w:r>
      <w:r w:rsidRPr="00F776AE">
        <w:rPr>
          <w:rFonts w:asciiTheme="minorHAnsi" w:hAnsiTheme="minorHAnsi"/>
          <w:sz w:val="22"/>
        </w:rPr>
        <w:t>on</w:t>
      </w:r>
      <w:r w:rsidR="00295A08" w:rsidRPr="00F776AE">
        <w:rPr>
          <w:rFonts w:asciiTheme="minorHAnsi" w:hAnsiTheme="minorHAnsi"/>
          <w:sz w:val="22"/>
        </w:rPr>
        <w:t xml:space="preserve"> </w:t>
      </w:r>
      <w:r w:rsidRPr="00F776AE">
        <w:rPr>
          <w:rFonts w:asciiTheme="minorHAnsi" w:hAnsiTheme="minorHAnsi"/>
          <w:sz w:val="22"/>
        </w:rPr>
        <w:t xml:space="preserve">Environmental </w:t>
      </w:r>
      <w:r w:rsidR="00295A08" w:rsidRPr="00F776AE">
        <w:rPr>
          <w:rFonts w:asciiTheme="minorHAnsi" w:hAnsiTheme="minorHAnsi"/>
          <w:sz w:val="22"/>
        </w:rPr>
        <w:t xml:space="preserve">Biosecurity next year. In addition to written feedback provided by table groups, </w:t>
      </w:r>
      <w:r w:rsidRPr="00F776AE">
        <w:rPr>
          <w:rFonts w:asciiTheme="minorHAnsi" w:hAnsiTheme="minorHAnsi"/>
          <w:sz w:val="22"/>
        </w:rPr>
        <w:t>participants</w:t>
      </w:r>
      <w:r w:rsidR="00295A08" w:rsidRPr="00F776AE">
        <w:rPr>
          <w:rFonts w:asciiTheme="minorHAnsi" w:hAnsiTheme="minorHAnsi"/>
          <w:sz w:val="22"/>
        </w:rPr>
        <w:t xml:space="preserve"> also </w:t>
      </w:r>
      <w:r w:rsidRPr="00F776AE">
        <w:rPr>
          <w:rFonts w:asciiTheme="minorHAnsi" w:hAnsiTheme="minorHAnsi"/>
          <w:sz w:val="22"/>
        </w:rPr>
        <w:t>took part</w:t>
      </w:r>
      <w:r w:rsidR="00295A08" w:rsidRPr="00F776AE">
        <w:rPr>
          <w:rFonts w:asciiTheme="minorHAnsi" w:hAnsiTheme="minorHAnsi"/>
          <w:sz w:val="22"/>
        </w:rPr>
        <w:t xml:space="preserve"> in live poll</w:t>
      </w:r>
      <w:r w:rsidR="003C0203" w:rsidRPr="00F776AE">
        <w:rPr>
          <w:rFonts w:asciiTheme="minorHAnsi" w:hAnsiTheme="minorHAnsi"/>
          <w:sz w:val="22"/>
        </w:rPr>
        <w:t>s</w:t>
      </w:r>
      <w:r w:rsidR="00295A08" w:rsidRPr="00F776AE">
        <w:rPr>
          <w:rFonts w:asciiTheme="minorHAnsi" w:hAnsiTheme="minorHAnsi"/>
          <w:sz w:val="22"/>
        </w:rPr>
        <w:t xml:space="preserve"> using Poll Everywhere.</w:t>
      </w:r>
    </w:p>
    <w:p w14:paraId="0F8FF824" w14:textId="5B199781" w:rsidR="00F06755" w:rsidRPr="00DF4752" w:rsidRDefault="007B74FD" w:rsidP="00B8157A">
      <w:pPr>
        <w:pStyle w:val="ListNumber"/>
        <w:rPr>
          <w:sz w:val="22"/>
        </w:rPr>
      </w:pPr>
      <w:r w:rsidRPr="00DF4752">
        <w:rPr>
          <w:noProof/>
          <w:sz w:val="22"/>
          <w:lang w:eastAsia="en-AU"/>
        </w:rPr>
        <mc:AlternateContent>
          <mc:Choice Requires="wps">
            <w:drawing>
              <wp:inline distT="0" distB="0" distL="0" distR="0" wp14:anchorId="756922A7" wp14:editId="46322946">
                <wp:extent cx="5521036" cy="973666"/>
                <wp:effectExtent l="0" t="0" r="2286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036" cy="973666"/>
                        </a:xfrm>
                        <a:prstGeom prst="rect">
                          <a:avLst/>
                        </a:prstGeom>
                        <a:solidFill>
                          <a:srgbClr val="FFFFFF"/>
                        </a:solidFill>
                        <a:ln w="9525">
                          <a:solidFill>
                            <a:srgbClr val="000000"/>
                          </a:solidFill>
                          <a:miter lim="800000"/>
                          <a:headEnd/>
                          <a:tailEnd/>
                        </a:ln>
                      </wps:spPr>
                      <wps:txbx>
                        <w:txbxContent>
                          <w:p w14:paraId="742265EA" w14:textId="77777777" w:rsidR="007B74FD" w:rsidRDefault="007B74FD" w:rsidP="007B74FD">
                            <w:pPr>
                              <w:rPr>
                                <w:b/>
                              </w:rPr>
                            </w:pPr>
                            <w:r w:rsidRPr="00295A08">
                              <w:rPr>
                                <w:b/>
                              </w:rPr>
                              <w:t>What we heard from participants</w:t>
                            </w:r>
                            <w:r>
                              <w:rPr>
                                <w:b/>
                              </w:rPr>
                              <w:t xml:space="preserve"> </w:t>
                            </w:r>
                          </w:p>
                          <w:p w14:paraId="514F2037" w14:textId="74D3B79C" w:rsidR="00A021A1" w:rsidRDefault="00A021A1" w:rsidP="00A021A1">
                            <w:r>
                              <w:t>The need for clear priorities was a major theme of the day. In a live poll, participants expressed an interest in contributing to the prioritisation of environmental biosecurity issues and risks.</w:t>
                            </w:r>
                          </w:p>
                          <w:p w14:paraId="33CBCFDA" w14:textId="77777777" w:rsidR="00A021A1" w:rsidRDefault="00A021A1" w:rsidP="007B74FD">
                            <w:pPr>
                              <w:rPr>
                                <w:b/>
                              </w:rPr>
                            </w:pPr>
                          </w:p>
                        </w:txbxContent>
                      </wps:txbx>
                      <wps:bodyPr rot="0" vert="horz" wrap="square" lIns="91440" tIns="45720" rIns="91440" bIns="45720" anchor="t" anchorCtr="0">
                        <a:noAutofit/>
                      </wps:bodyPr>
                    </wps:wsp>
                  </a:graphicData>
                </a:graphic>
              </wp:inline>
            </w:drawing>
          </mc:Choice>
          <mc:Fallback>
            <w:pict>
              <v:shapetype w14:anchorId="756922A7" id="_x0000_t202" coordsize="21600,21600" o:spt="202" path="m,l,21600r21600,l21600,xe">
                <v:stroke joinstyle="miter"/>
                <v:path gradientshapeok="t" o:connecttype="rect"/>
              </v:shapetype>
              <v:shape id="Text Box 2" o:spid="_x0000_s1026" type="#_x0000_t202" style="width:434.7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">
                <v:textbox>
                  <w:txbxContent>
                    <w:p w14:paraId="742265EA" w14:textId="77777777" w:rsidR="007B74FD" w:rsidRDefault="007B74FD" w:rsidP="007B74FD">
                      <w:pPr>
                        <w:rPr>
                          <w:b/>
                        </w:rPr>
                      </w:pPr>
                      <w:r w:rsidRPr="00295A08">
                        <w:rPr>
                          <w:b/>
                        </w:rPr>
                        <w:t>What we heard from participants</w:t>
                      </w:r>
                      <w:r>
                        <w:rPr>
                          <w:b/>
                        </w:rPr>
                        <w:t xml:space="preserve"> </w:t>
                      </w:r>
                    </w:p>
                    <w:p w14:paraId="514F2037" w14:textId="74D3B79C" w:rsidR="00A021A1" w:rsidRDefault="00A021A1" w:rsidP="00A021A1">
                      <w:r>
                        <w:t>The need for clear priorities was a major theme of the day. In a live poll, participants expressed an interest in contributing to the prioritisation of environmental biosecurity issues and risks.</w:t>
                      </w:r>
                    </w:p>
                    <w:p w14:paraId="33CBCFDA" w14:textId="77777777" w:rsidR="00A021A1" w:rsidRDefault="00A021A1" w:rsidP="007B74FD">
                      <w:pPr>
                        <w:rPr>
                          <w:b/>
                        </w:rPr>
                      </w:pPr>
                    </w:p>
                  </w:txbxContent>
                </v:textbox>
                <w10:anchorlock/>
              </v:shape>
            </w:pict>
          </mc:Fallback>
        </mc:AlternateContent>
      </w:r>
    </w:p>
    <w:p w14:paraId="69701511" w14:textId="77777777" w:rsidR="00962B83" w:rsidRPr="00F776AE" w:rsidRDefault="00962B83" w:rsidP="00AC7F71">
      <w:pPr>
        <w:pStyle w:val="Heading2"/>
      </w:pPr>
      <w:r w:rsidRPr="00F776AE">
        <w:t>Presentations</w:t>
      </w:r>
    </w:p>
    <w:p w14:paraId="7C6C7FCF" w14:textId="3389718F" w:rsidR="00962B83" w:rsidRDefault="006D299A" w:rsidP="00295A08">
      <w:r>
        <w:t xml:space="preserve">Presentations began with Lyn O’Connell (Department of Agriculture and Water Resources) and Milena Rafic (Department of the Environment and Energy) who provided departmental updates. Dr Angus Carnegie (NSW Department of Primary Industries) presented on the risks and costs of exotic pests to Australian forests and provided an interesting insight into forestry industry preparedness activities and the challenges with engagement. Dr Lori Lach (James Cook University) and Scott Buchanan (Wet Tropics Management Authority) talked about community-led efforts to eradicate </w:t>
      </w:r>
      <w:r w:rsidR="00AD68BE">
        <w:t>y</w:t>
      </w:r>
      <w:r>
        <w:t xml:space="preserve">ellow </w:t>
      </w:r>
      <w:r w:rsidR="00AD68BE">
        <w:t>c</w:t>
      </w:r>
      <w:r>
        <w:t xml:space="preserve">razy </w:t>
      </w:r>
      <w:r w:rsidR="00AD68BE">
        <w:t>a</w:t>
      </w:r>
      <w:r>
        <w:t xml:space="preserve">nts in the Wet Tropics region; successful initiatives have included a community </w:t>
      </w:r>
      <w:r>
        <w:lastRenderedPageBreak/>
        <w:t>champions program and a community taskforce which crowd-sourced funding of $20,000 towards eradication. Mike Welling (WEJUGO) presented on the environmental footprint and biosecurity risks associated with recreation and tourism; the presentation focused on the potential to use data and analytics to deliver tailored biosecurity messages to travellers</w:t>
      </w:r>
      <w:r w:rsidR="006F17A8">
        <w:t>.</w:t>
      </w:r>
    </w:p>
    <w:p w14:paraId="2DA3C242" w14:textId="133539A6" w:rsidR="006F17A8" w:rsidRDefault="006F17A8" w:rsidP="00295A08">
      <w:pPr>
        <w:rPr>
          <w:b/>
        </w:rPr>
      </w:pPr>
      <w:r w:rsidRPr="00DF4752">
        <w:rPr>
          <w:noProof/>
          <w:lang w:eastAsia="en-AU"/>
        </w:rPr>
        <mc:AlternateContent>
          <mc:Choice Requires="wps">
            <w:drawing>
              <wp:inline distT="0" distB="0" distL="0" distR="0" wp14:anchorId="7BF14DDF" wp14:editId="51021884">
                <wp:extent cx="5521036" cy="2639121"/>
                <wp:effectExtent l="0" t="0" r="22860"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036" cy="2639121"/>
                        </a:xfrm>
                        <a:prstGeom prst="rect">
                          <a:avLst/>
                        </a:prstGeom>
                        <a:solidFill>
                          <a:srgbClr val="FFFFFF"/>
                        </a:solidFill>
                        <a:ln w="9525">
                          <a:solidFill>
                            <a:srgbClr val="000000"/>
                          </a:solidFill>
                          <a:miter lim="800000"/>
                          <a:headEnd/>
                          <a:tailEnd/>
                        </a:ln>
                      </wps:spPr>
                      <wps:txbx>
                        <w:txbxContent>
                          <w:p w14:paraId="60D2BD35" w14:textId="2FCC0FD5" w:rsidR="006F17A8" w:rsidRDefault="006F17A8" w:rsidP="006F17A8">
                            <w:pPr>
                              <w:rPr>
                                <w:b/>
                              </w:rPr>
                            </w:pPr>
                            <w:r>
                              <w:rPr>
                                <w:b/>
                              </w:rPr>
                              <w:t xml:space="preserve">Key </w:t>
                            </w:r>
                            <w:r w:rsidR="00C95709">
                              <w:rPr>
                                <w:b/>
                              </w:rPr>
                              <w:t>learnings</w:t>
                            </w:r>
                          </w:p>
                          <w:p w14:paraId="3AD6408F" w14:textId="26AA2125" w:rsidR="00575CF2" w:rsidRDefault="00575CF2" w:rsidP="00C95709">
                            <w:pPr>
                              <w:pStyle w:val="ListParagraph"/>
                              <w:numPr>
                                <w:ilvl w:val="0"/>
                                <w:numId w:val="26"/>
                              </w:numPr>
                            </w:pPr>
                            <w:r>
                              <w:t>The Department of Agriculture and Water Resources and the Department of the Environment and Energy</w:t>
                            </w:r>
                            <w:r w:rsidR="00FB009C">
                              <w:t xml:space="preserve"> are working on a number of key activities and projects in relation to environmental biosecurity. These span from prevention and preparedness (</w:t>
                            </w:r>
                            <w:r w:rsidR="00FB009C" w:rsidRPr="00FB009C">
                              <w:rPr>
                                <w:i/>
                              </w:rPr>
                              <w:t>for example, maintaining the live animal prohibited import list and the indigenous ranger program</w:t>
                            </w:r>
                            <w:r w:rsidR="00FB009C">
                              <w:t>) to response and eradication (</w:t>
                            </w:r>
                            <w:r w:rsidR="00FB009C" w:rsidRPr="00FB009C">
                              <w:rPr>
                                <w:i/>
                              </w:rPr>
                              <w:t>for example</w:t>
                            </w:r>
                            <w:r w:rsidR="00385325">
                              <w:rPr>
                                <w:i/>
                              </w:rPr>
                              <w:t>,</w:t>
                            </w:r>
                            <w:r w:rsidR="00FB009C" w:rsidRPr="00FB009C">
                              <w:rPr>
                                <w:i/>
                              </w:rPr>
                              <w:t xml:space="preserve"> </w:t>
                            </w:r>
                            <w:r w:rsidR="00385325">
                              <w:rPr>
                                <w:i/>
                              </w:rPr>
                              <w:t>funding for red imported fire ants eradication).</w:t>
                            </w:r>
                          </w:p>
                          <w:p w14:paraId="0FB17F1C" w14:textId="72715674" w:rsidR="006F17A8" w:rsidRDefault="00575CF2" w:rsidP="00C95709">
                            <w:pPr>
                              <w:pStyle w:val="ListParagraph"/>
                              <w:numPr>
                                <w:ilvl w:val="0"/>
                                <w:numId w:val="26"/>
                              </w:numPr>
                            </w:pPr>
                            <w:r>
                              <w:t>We cannot</w:t>
                            </w:r>
                            <w:r w:rsidR="00C95709">
                              <w:t xml:space="preserve"> underestimate the importance of forest biosecurity.</w:t>
                            </w:r>
                            <w:r w:rsidR="00AD68BE">
                              <w:t xml:space="preserve"> Prevention activities and timely intervention are crucial to protect </w:t>
                            </w:r>
                            <w:r>
                              <w:t xml:space="preserve">valuable </w:t>
                            </w:r>
                            <w:r w:rsidR="00AD68BE">
                              <w:t>timber production</w:t>
                            </w:r>
                            <w:r>
                              <w:t xml:space="preserve"> industries</w:t>
                            </w:r>
                            <w:r w:rsidR="00AD68BE">
                              <w:t>.</w:t>
                            </w:r>
                          </w:p>
                          <w:p w14:paraId="7E7497A2" w14:textId="69999825" w:rsidR="00AD68BE" w:rsidRDefault="00AD68BE" w:rsidP="00C95709">
                            <w:pPr>
                              <w:pStyle w:val="ListParagraph"/>
                              <w:numPr>
                                <w:ilvl w:val="0"/>
                                <w:numId w:val="26"/>
                              </w:numPr>
                            </w:pPr>
                            <w:r>
                              <w:t>Investment in community engagement through the yellow crazy ant eradication program has been very successful and resulted in a reduction in the number of ants.</w:t>
                            </w:r>
                          </w:p>
                          <w:p w14:paraId="27661B62" w14:textId="7D54D782" w:rsidR="006F17A8" w:rsidRPr="00575CF2" w:rsidRDefault="00AD68BE" w:rsidP="006F17A8">
                            <w:pPr>
                              <w:pStyle w:val="ListParagraph"/>
                              <w:numPr>
                                <w:ilvl w:val="0"/>
                                <w:numId w:val="26"/>
                              </w:numPr>
                            </w:pPr>
                            <w:r w:rsidRPr="00AD68BE">
                              <w:rPr>
                                <w:rFonts w:asciiTheme="minorHAnsi" w:hAnsiTheme="minorHAnsi"/>
                              </w:rPr>
                              <w:t xml:space="preserve">Using technology </w:t>
                            </w:r>
                            <w:r w:rsidR="00575CF2">
                              <w:rPr>
                                <w:rFonts w:asciiTheme="minorHAnsi" w:hAnsiTheme="minorHAnsi"/>
                              </w:rPr>
                              <w:t xml:space="preserve">and data analytics to communicate biosecurity messages could help minimise the biosecurity risks associated with increasing recreational tourism. </w:t>
                            </w:r>
                          </w:p>
                        </w:txbxContent>
                      </wps:txbx>
                      <wps:bodyPr rot="0" vert="horz" wrap="square" lIns="91440" tIns="45720" rIns="91440" bIns="45720" anchor="t" anchorCtr="0">
                        <a:noAutofit/>
                      </wps:bodyPr>
                    </wps:wsp>
                  </a:graphicData>
                </a:graphic>
              </wp:inline>
            </w:drawing>
          </mc:Choice>
          <mc:Fallback>
            <w:pict>
              <v:shape w14:anchorId="7BF14DDF" id="_x0000_s1027" type="#_x0000_t202" style="width:434.75pt;height:2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znJgIAAEw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">
                <v:textbox>
                  <w:txbxContent>
                    <w:p w14:paraId="60D2BD35" w14:textId="2FCC0FD5" w:rsidR="006F17A8" w:rsidRDefault="006F17A8" w:rsidP="006F17A8">
                      <w:pPr>
                        <w:rPr>
                          <w:b/>
                        </w:rPr>
                      </w:pPr>
                      <w:r>
                        <w:rPr>
                          <w:b/>
                        </w:rPr>
                        <w:t xml:space="preserve">Key </w:t>
                      </w:r>
                      <w:r w:rsidR="00C95709">
                        <w:rPr>
                          <w:b/>
                        </w:rPr>
                        <w:t>learnings</w:t>
                      </w:r>
                    </w:p>
                    <w:p w14:paraId="3AD6408F" w14:textId="26AA2125" w:rsidR="00575CF2" w:rsidRDefault="00575CF2" w:rsidP="00C95709">
                      <w:pPr>
                        <w:pStyle w:val="ListParagraph"/>
                        <w:numPr>
                          <w:ilvl w:val="0"/>
                          <w:numId w:val="26"/>
                        </w:numPr>
                      </w:pPr>
                      <w:r>
                        <w:t>The Department of Agriculture and Water Resources and the Department of the Environment and Energy</w:t>
                      </w:r>
                      <w:r w:rsidR="00FB009C">
                        <w:t xml:space="preserve"> are working on a number of key activities and projects in relation to environmental biosecurity. These span from prevention and preparedness (</w:t>
                      </w:r>
                      <w:r w:rsidR="00FB009C" w:rsidRPr="00FB009C">
                        <w:rPr>
                          <w:i/>
                        </w:rPr>
                        <w:t>for example, maintaining the live animal prohibited import list and the indigenous ranger program</w:t>
                      </w:r>
                      <w:r w:rsidR="00FB009C">
                        <w:t>) to response and eradication (</w:t>
                      </w:r>
                      <w:r w:rsidR="00FB009C" w:rsidRPr="00FB009C">
                        <w:rPr>
                          <w:i/>
                        </w:rPr>
                        <w:t>for example</w:t>
                      </w:r>
                      <w:r w:rsidR="00385325">
                        <w:rPr>
                          <w:i/>
                        </w:rPr>
                        <w:t>,</w:t>
                      </w:r>
                      <w:r w:rsidR="00FB009C" w:rsidRPr="00FB009C">
                        <w:rPr>
                          <w:i/>
                        </w:rPr>
                        <w:t xml:space="preserve"> </w:t>
                      </w:r>
                      <w:r w:rsidR="00385325">
                        <w:rPr>
                          <w:i/>
                        </w:rPr>
                        <w:t>funding for red imported fire ants eradication).</w:t>
                      </w:r>
                    </w:p>
                    <w:p w14:paraId="0FB17F1C" w14:textId="72715674" w:rsidR="006F17A8" w:rsidRDefault="00575CF2" w:rsidP="00C95709">
                      <w:pPr>
                        <w:pStyle w:val="ListParagraph"/>
                        <w:numPr>
                          <w:ilvl w:val="0"/>
                          <w:numId w:val="26"/>
                        </w:numPr>
                      </w:pPr>
                      <w:r>
                        <w:t>We cannot</w:t>
                      </w:r>
                      <w:r w:rsidR="00C95709">
                        <w:t xml:space="preserve"> underestimate the importance of forest biosecurity.</w:t>
                      </w:r>
                      <w:r w:rsidR="00AD68BE">
                        <w:t xml:space="preserve"> Prevention activities and timely intervention are crucial to protect </w:t>
                      </w:r>
                      <w:r>
                        <w:t xml:space="preserve">valuable </w:t>
                      </w:r>
                      <w:r w:rsidR="00AD68BE">
                        <w:t>timber production</w:t>
                      </w:r>
                      <w:r>
                        <w:t xml:space="preserve"> industries</w:t>
                      </w:r>
                      <w:r w:rsidR="00AD68BE">
                        <w:t>.</w:t>
                      </w:r>
                    </w:p>
                    <w:p w14:paraId="7E7497A2" w14:textId="69999825" w:rsidR="00AD68BE" w:rsidRDefault="00AD68BE" w:rsidP="00C95709">
                      <w:pPr>
                        <w:pStyle w:val="ListParagraph"/>
                        <w:numPr>
                          <w:ilvl w:val="0"/>
                          <w:numId w:val="26"/>
                        </w:numPr>
                      </w:pPr>
                      <w:r>
                        <w:t>Investment in community engagement through the yellow crazy ant eradication program has been very successful and resulted in a reduction in the number of ants.</w:t>
                      </w:r>
                    </w:p>
                    <w:p w14:paraId="27661B62" w14:textId="7D54D782" w:rsidR="006F17A8" w:rsidRPr="00575CF2" w:rsidRDefault="00AD68BE" w:rsidP="006F17A8">
                      <w:pPr>
                        <w:pStyle w:val="ListParagraph"/>
                        <w:numPr>
                          <w:ilvl w:val="0"/>
                          <w:numId w:val="26"/>
                        </w:numPr>
                      </w:pPr>
                      <w:r w:rsidRPr="00AD68BE">
                        <w:rPr>
                          <w:rFonts w:asciiTheme="minorHAnsi" w:hAnsiTheme="minorHAnsi"/>
                        </w:rPr>
                        <w:t xml:space="preserve">Using technology </w:t>
                      </w:r>
                      <w:r w:rsidR="00575CF2">
                        <w:rPr>
                          <w:rFonts w:asciiTheme="minorHAnsi" w:hAnsiTheme="minorHAnsi"/>
                        </w:rPr>
                        <w:t xml:space="preserve">and data analytics to communicate biosecurity messages could help minimise the biosecurity risks associated with increasing recreational tourism. </w:t>
                      </w:r>
                    </w:p>
                  </w:txbxContent>
                </v:textbox>
                <w10:anchorlock/>
              </v:shape>
            </w:pict>
          </mc:Fallback>
        </mc:AlternateContent>
      </w:r>
    </w:p>
    <w:p w14:paraId="0B33AF5F" w14:textId="1FAF1333" w:rsidR="00F216BA" w:rsidRPr="00385325" w:rsidRDefault="00B4583C" w:rsidP="00AC7F71">
      <w:pPr>
        <w:pStyle w:val="Heading2"/>
      </w:pPr>
      <w:r w:rsidRPr="00385325">
        <w:t>Worksho</w:t>
      </w:r>
      <w:bookmarkStart w:id="0" w:name="_GoBack"/>
      <w:bookmarkEnd w:id="0"/>
      <w:r w:rsidRPr="00385325">
        <w:t>p activities</w:t>
      </w:r>
    </w:p>
    <w:p w14:paraId="2F63552F" w14:textId="0E7D8B5C" w:rsidR="00B4583C" w:rsidRPr="00B4583C" w:rsidRDefault="00B4583C" w:rsidP="00295A08">
      <w:pPr>
        <w:rPr>
          <w:b/>
        </w:rPr>
      </w:pPr>
      <w:r w:rsidRPr="00B4583C">
        <w:rPr>
          <w:b/>
        </w:rPr>
        <w:t>Environmental Biosecurity Stocktake</w:t>
      </w:r>
    </w:p>
    <w:p w14:paraId="5E9397AD" w14:textId="12115A2D" w:rsidR="00B4583C" w:rsidRDefault="007B6ED7" w:rsidP="00D063A1">
      <w:r>
        <w:t>Amy Donaldson from the Department of Agriculture and Water Resources presented on the</w:t>
      </w:r>
      <w:r w:rsidRPr="007B6ED7">
        <w:t xml:space="preserve"> </w:t>
      </w:r>
      <w:r>
        <w:t xml:space="preserve">National </w:t>
      </w:r>
      <w:r w:rsidR="007903B4">
        <w:t>e</w:t>
      </w:r>
      <w:r>
        <w:t xml:space="preserve">nvironmental </w:t>
      </w:r>
      <w:r w:rsidR="007903B4">
        <w:t>b</w:t>
      </w:r>
      <w:r>
        <w:t xml:space="preserve">iosecurity </w:t>
      </w:r>
      <w:r w:rsidR="007903B4">
        <w:t>s</w:t>
      </w:r>
      <w:r>
        <w:t>tocktake.</w:t>
      </w:r>
      <w:r w:rsidRPr="007B6ED7">
        <w:t xml:space="preserve"> </w:t>
      </w:r>
      <w:r>
        <w:t>The presentation outline</w:t>
      </w:r>
      <w:r w:rsidR="007903B4">
        <w:t>d</w:t>
      </w:r>
      <w:r>
        <w:t xml:space="preserve"> its</w:t>
      </w:r>
      <w:r w:rsidRPr="007B6ED7">
        <w:t xml:space="preserve"> purpose and what data was collected</w:t>
      </w:r>
      <w:r>
        <w:t>; p</w:t>
      </w:r>
      <w:r w:rsidR="00367177" w:rsidRPr="007B6ED7">
        <w:t>reliminary fin</w:t>
      </w:r>
      <w:r>
        <w:t>dings, including potential gaps;</w:t>
      </w:r>
      <w:r w:rsidR="00367177" w:rsidRPr="007B6ED7">
        <w:t xml:space="preserve"> </w:t>
      </w:r>
      <w:r>
        <w:t xml:space="preserve">and next steps. Participants were </w:t>
      </w:r>
      <w:r w:rsidR="00D063A1">
        <w:t xml:space="preserve">then </w:t>
      </w:r>
      <w:r>
        <w:t>invited to</w:t>
      </w:r>
      <w:r w:rsidR="00D063A1">
        <w:t xml:space="preserve"> take part in an interactive session in their table groups to categorise ‘activity types’. </w:t>
      </w:r>
    </w:p>
    <w:p w14:paraId="289C462A" w14:textId="77777777" w:rsidR="00DC2127" w:rsidRDefault="002A47D1" w:rsidP="00C84641">
      <w:pPr>
        <w:contextualSpacing/>
        <w:rPr>
          <w:lang w:eastAsia="ja-JP"/>
        </w:rPr>
      </w:pPr>
      <w:r>
        <w:t xml:space="preserve">An email has been sent to representatives </w:t>
      </w:r>
      <w:r w:rsidRPr="00F216BA">
        <w:t>who agreed to participate in the stocktake seeking input on their environmental biosecurity activities</w:t>
      </w:r>
      <w:r>
        <w:t xml:space="preserve">. </w:t>
      </w:r>
      <w:r w:rsidR="000B2146">
        <w:rPr>
          <w:lang w:eastAsia="ja-JP"/>
        </w:rPr>
        <w:t>T</w:t>
      </w:r>
      <w:r>
        <w:rPr>
          <w:lang w:eastAsia="ja-JP"/>
        </w:rPr>
        <w:t>his information will be provided to the N</w:t>
      </w:r>
      <w:r w:rsidR="00AE4C03">
        <w:rPr>
          <w:lang w:eastAsia="ja-JP"/>
        </w:rPr>
        <w:t xml:space="preserve">ational </w:t>
      </w:r>
      <w:r>
        <w:rPr>
          <w:lang w:eastAsia="ja-JP"/>
        </w:rPr>
        <w:t>B</w:t>
      </w:r>
      <w:r w:rsidR="00AE4C03">
        <w:rPr>
          <w:lang w:eastAsia="ja-JP"/>
        </w:rPr>
        <w:t xml:space="preserve">iosecurity </w:t>
      </w:r>
      <w:r>
        <w:rPr>
          <w:lang w:eastAsia="ja-JP"/>
        </w:rPr>
        <w:t>C</w:t>
      </w:r>
      <w:r w:rsidR="00AE4C03">
        <w:rPr>
          <w:lang w:eastAsia="ja-JP"/>
        </w:rPr>
        <w:t>ommittee</w:t>
      </w:r>
      <w:r>
        <w:rPr>
          <w:lang w:eastAsia="ja-JP"/>
        </w:rPr>
        <w:t xml:space="preserve"> along with the national environmental biosecurity stocktake. If you would like to participate, please email your contact details to: </w:t>
      </w:r>
      <w:hyperlink r:id="rId8" w:history="1">
        <w:r w:rsidRPr="004554C2">
          <w:rPr>
            <w:rStyle w:val="Hyperlink"/>
            <w:lang w:eastAsia="ja-JP"/>
          </w:rPr>
          <w:t>biosecurityroundtable@agriculture.gov.au</w:t>
        </w:r>
      </w:hyperlink>
    </w:p>
    <w:p w14:paraId="405AAC00" w14:textId="77777777" w:rsidR="00DC2127" w:rsidRDefault="00DC2127" w:rsidP="00C84641">
      <w:pPr>
        <w:contextualSpacing/>
        <w:rPr>
          <w:lang w:eastAsia="ja-JP"/>
        </w:rPr>
      </w:pPr>
    </w:p>
    <w:p w14:paraId="4C44EA60" w14:textId="0E3C74D4" w:rsidR="00C84641" w:rsidRPr="00DC2127" w:rsidRDefault="00C84641" w:rsidP="00C84641">
      <w:pPr>
        <w:contextualSpacing/>
        <w:rPr>
          <w:lang w:eastAsia="ja-JP"/>
        </w:rPr>
      </w:pPr>
      <w:r w:rsidRPr="000A15D5">
        <w:rPr>
          <w:b/>
        </w:rPr>
        <w:t xml:space="preserve">Priorities for Australia’s Biosecurity System report – draft </w:t>
      </w:r>
      <w:r w:rsidR="002A47D1">
        <w:rPr>
          <w:b/>
        </w:rPr>
        <w:t>National B</w:t>
      </w:r>
      <w:r w:rsidRPr="000A15D5">
        <w:rPr>
          <w:b/>
        </w:rPr>
        <w:t xml:space="preserve">iosecurity </w:t>
      </w:r>
      <w:r w:rsidR="002A47D1">
        <w:rPr>
          <w:b/>
        </w:rPr>
        <w:t>S</w:t>
      </w:r>
      <w:r w:rsidRPr="000A15D5">
        <w:rPr>
          <w:b/>
        </w:rPr>
        <w:t>tatement</w:t>
      </w:r>
    </w:p>
    <w:p w14:paraId="0AE05053" w14:textId="48B20CDF" w:rsidR="00C84641" w:rsidRPr="00D31861" w:rsidRDefault="00C84641" w:rsidP="00C84641">
      <w:r w:rsidRPr="00953553">
        <w:t>Jo</w:t>
      </w:r>
      <w:r w:rsidR="00ED6684">
        <w:t>sephine</w:t>
      </w:r>
      <w:r w:rsidRPr="00953553">
        <w:t xml:space="preserve"> Laduzko</w:t>
      </w:r>
      <w:r>
        <w:t xml:space="preserve"> from the Department of Agriculture and Water Resources presented on the Priorities for Australia’s Biosecurity System report, the result of a</w:t>
      </w:r>
      <w:r w:rsidR="00BC13D1">
        <w:t>n independent</w:t>
      </w:r>
      <w:r w:rsidRPr="00953553">
        <w:t xml:space="preserve"> review of the national biosecurity system and the intergovernmental agreement on biosecurity (IGAB)</w:t>
      </w:r>
      <w:r w:rsidR="000B2146">
        <w:t xml:space="preserve"> finalise</w:t>
      </w:r>
      <w:r>
        <w:t>d in 201</w:t>
      </w:r>
      <w:r w:rsidR="000B2146">
        <w:t>7</w:t>
      </w:r>
      <w:r>
        <w:t>.</w:t>
      </w:r>
      <w:r w:rsidR="007022DC">
        <w:t xml:space="preserve"> The report listed</w:t>
      </w:r>
      <w:r w:rsidR="00402323">
        <w:t xml:space="preserve"> 42</w:t>
      </w:r>
      <w:r w:rsidR="007022DC">
        <w:t xml:space="preserve"> recommendations </w:t>
      </w:r>
      <w:r w:rsidR="007022DC" w:rsidRPr="007022DC">
        <w:t>aimed at strengthening the national biosecurity system</w:t>
      </w:r>
      <w:r w:rsidR="007022DC">
        <w:t xml:space="preserve"> over the next five to ten years. Some of the recommendations </w:t>
      </w:r>
      <w:r>
        <w:t>were im</w:t>
      </w:r>
      <w:r w:rsidR="007022DC">
        <w:t>mediately endorsed by ministers – o</w:t>
      </w:r>
      <w:r>
        <w:t xml:space="preserve">ne of which was recommendation 2 – the development of a National </w:t>
      </w:r>
      <w:r w:rsidR="007022DC">
        <w:t>B</w:t>
      </w:r>
      <w:r>
        <w:t xml:space="preserve">iosecurity Statement. </w:t>
      </w:r>
      <w:r w:rsidR="007022DC">
        <w:t>Participants were asked to give feedback in table groups about how they think the statement should be worded. A summary of the comments is below.</w:t>
      </w:r>
    </w:p>
    <w:p w14:paraId="5A7645C2" w14:textId="77777777" w:rsidR="00C84641" w:rsidRDefault="00C84641" w:rsidP="001206B3">
      <w:pPr>
        <w:pStyle w:val="NoSpacing"/>
        <w:numPr>
          <w:ilvl w:val="0"/>
          <w:numId w:val="22"/>
        </w:numPr>
      </w:pPr>
      <w:r>
        <w:t>Our engagement needs to be more tailored to the environment sector and the community.</w:t>
      </w:r>
    </w:p>
    <w:p w14:paraId="065F19DE" w14:textId="77777777" w:rsidR="00C84641" w:rsidRDefault="00C84641" w:rsidP="001206B3">
      <w:pPr>
        <w:pStyle w:val="NoSpacing"/>
        <w:numPr>
          <w:ilvl w:val="0"/>
          <w:numId w:val="22"/>
        </w:numPr>
      </w:pPr>
      <w:r>
        <w:t xml:space="preserve">We need to simplify the language in which we communicate to stakeholders and use, less ‘government speak’. </w:t>
      </w:r>
    </w:p>
    <w:p w14:paraId="09700CD4" w14:textId="77777777" w:rsidR="00C84641" w:rsidRDefault="00C84641" w:rsidP="001206B3">
      <w:pPr>
        <w:pStyle w:val="NoSpacing"/>
        <w:numPr>
          <w:ilvl w:val="0"/>
          <w:numId w:val="22"/>
        </w:numPr>
      </w:pPr>
      <w:r>
        <w:t>We need to clearly define what shared responsibility means and what we expect from the environmental sector.</w:t>
      </w:r>
    </w:p>
    <w:p w14:paraId="1C10AF06" w14:textId="7CE57EDA" w:rsidR="002A47D1" w:rsidRDefault="00C84641" w:rsidP="001206B3">
      <w:pPr>
        <w:pStyle w:val="NoSpacing"/>
        <w:numPr>
          <w:ilvl w:val="0"/>
          <w:numId w:val="22"/>
        </w:numPr>
      </w:pPr>
      <w:r>
        <w:lastRenderedPageBreak/>
        <w:t>We need to use images, videos and language that connect with people’s emotions/values and describe the dangers and consequences from exotic pests and diseases.</w:t>
      </w:r>
    </w:p>
    <w:p w14:paraId="0B4067A9" w14:textId="77777777" w:rsidR="00962B83" w:rsidRDefault="00962B83" w:rsidP="00962B83">
      <w:pPr>
        <w:pStyle w:val="ListParagraph"/>
        <w:ind w:left="360"/>
      </w:pPr>
    </w:p>
    <w:p w14:paraId="7530B835" w14:textId="048F765F" w:rsidR="00C84641" w:rsidRPr="00F216BA" w:rsidRDefault="002A47D1" w:rsidP="00D063A1">
      <w:r>
        <w:rPr>
          <w:lang w:eastAsia="ja-JP"/>
        </w:rPr>
        <w:t>Feedback from the roundtable will be considered in developing a draft statement and participants will also be invited to a</w:t>
      </w:r>
      <w:r w:rsidRPr="00437B64">
        <w:rPr>
          <w:lang w:eastAsia="ja-JP"/>
        </w:rPr>
        <w:t xml:space="preserve"> biosecurity workshop, to b</w:t>
      </w:r>
      <w:r>
        <w:rPr>
          <w:lang w:eastAsia="ja-JP"/>
        </w:rPr>
        <w:t xml:space="preserve">e held in March 2018, </w:t>
      </w:r>
      <w:r w:rsidR="000B2146">
        <w:rPr>
          <w:lang w:eastAsia="ja-JP"/>
        </w:rPr>
        <w:t>to develop a</w:t>
      </w:r>
      <w:r>
        <w:rPr>
          <w:lang w:eastAsia="ja-JP"/>
        </w:rPr>
        <w:t xml:space="preserve"> draft statement. Open public consultation on the draft statement will follow, </w:t>
      </w:r>
      <w:r w:rsidR="000B2146">
        <w:rPr>
          <w:lang w:eastAsia="ja-JP"/>
        </w:rPr>
        <w:t>before it goes</w:t>
      </w:r>
      <w:r>
        <w:rPr>
          <w:lang w:eastAsia="ja-JP"/>
        </w:rPr>
        <w:t xml:space="preserve"> to the National Biosecurity Committee, industry and community for endorsement. The statement will be released along with </w:t>
      </w:r>
      <w:r w:rsidR="000B2146">
        <w:rPr>
          <w:lang w:eastAsia="ja-JP"/>
        </w:rPr>
        <w:t>a</w:t>
      </w:r>
      <w:r>
        <w:rPr>
          <w:lang w:eastAsia="ja-JP"/>
        </w:rPr>
        <w:t xml:space="preserve"> consolidated national response to the Priorities for Australia’s Biosecurity System report and </w:t>
      </w:r>
      <w:r w:rsidR="000B2146">
        <w:rPr>
          <w:lang w:eastAsia="ja-JP"/>
        </w:rPr>
        <w:t>new</w:t>
      </w:r>
      <w:r>
        <w:rPr>
          <w:lang w:eastAsia="ja-JP"/>
        </w:rPr>
        <w:t xml:space="preserve"> Intergovernmental Agreement on Biosecurity.</w:t>
      </w:r>
    </w:p>
    <w:p w14:paraId="542A0286" w14:textId="0157F9FE" w:rsidR="008C1F06" w:rsidRDefault="008C1F06" w:rsidP="00295A08">
      <w:pPr>
        <w:rPr>
          <w:b/>
        </w:rPr>
      </w:pPr>
      <w:r>
        <w:rPr>
          <w:b/>
        </w:rPr>
        <w:t>National Priority List of Exotic Environmental Pests and Diseases</w:t>
      </w:r>
    </w:p>
    <w:p w14:paraId="1148C2A8" w14:textId="5F868AEE" w:rsidR="00225A6D" w:rsidRDefault="00D31861" w:rsidP="00295A08">
      <w:r>
        <w:t>Sandra Parsons</w:t>
      </w:r>
      <w:r w:rsidR="00953553">
        <w:t xml:space="preserve"> from the Department of Agriculture and Water Resources presented on the </w:t>
      </w:r>
      <w:r w:rsidR="00953553" w:rsidRPr="00225A6D">
        <w:t>Priori</w:t>
      </w:r>
      <w:r w:rsidR="00C47C45" w:rsidRPr="00225A6D">
        <w:t>ty</w:t>
      </w:r>
      <w:r w:rsidR="00953553" w:rsidRPr="00225A6D">
        <w:t xml:space="preserve"> </w:t>
      </w:r>
      <w:r w:rsidR="00C47C45">
        <w:t>L</w:t>
      </w:r>
      <w:r w:rsidR="00225A6D">
        <w:t xml:space="preserve">ist of Exotic Environmental Pests and Diseases. The list is one of </w:t>
      </w:r>
      <w:r w:rsidR="007022DC">
        <w:t>s</w:t>
      </w:r>
      <w:r w:rsidR="00225A6D">
        <w:t xml:space="preserve">ix </w:t>
      </w:r>
      <w:r w:rsidR="007022DC">
        <w:t>recommendations out of the Priorities for Australia’s Biosecurity System report directly related to environmental biosecurity. Table groups were asked to think about the purpose of the list and how it would be utilised by them or their organisation.</w:t>
      </w:r>
    </w:p>
    <w:p w14:paraId="5F81C958" w14:textId="388C591E" w:rsidR="008C1F06" w:rsidRDefault="00174653" w:rsidP="001206B3">
      <w:pPr>
        <w:pStyle w:val="NoSpacing"/>
        <w:numPr>
          <w:ilvl w:val="0"/>
          <w:numId w:val="22"/>
        </w:numPr>
      </w:pPr>
      <w:r>
        <w:t xml:space="preserve">Participants acknowledged that the purpose of the list was </w:t>
      </w:r>
      <w:r w:rsidR="008C1F06">
        <w:t>to</w:t>
      </w:r>
      <w:r>
        <w:t xml:space="preserve"> help</w:t>
      </w:r>
      <w:r w:rsidR="008C1F06">
        <w:t xml:space="preserve"> improve our biosecurity preparedness</w:t>
      </w:r>
      <w:r>
        <w:t xml:space="preserve"> and our capacity respond to an incursion. </w:t>
      </w:r>
    </w:p>
    <w:p w14:paraId="4C8D30BF" w14:textId="591BF105" w:rsidR="00174653" w:rsidRDefault="004409CF" w:rsidP="001206B3">
      <w:pPr>
        <w:pStyle w:val="NoSpacing"/>
        <w:numPr>
          <w:ilvl w:val="0"/>
          <w:numId w:val="22"/>
        </w:numPr>
      </w:pPr>
      <w:r>
        <w:t xml:space="preserve">When asked what would define a priority influence to act on a pest, three main </w:t>
      </w:r>
      <w:r w:rsidR="00174653">
        <w:t xml:space="preserve">criteria were </w:t>
      </w:r>
      <w:r>
        <w:t>suggested, these were</w:t>
      </w:r>
      <w:r w:rsidR="00B273B6">
        <w:t>;</w:t>
      </w:r>
      <w:r w:rsidR="00174653">
        <w:t xml:space="preserve"> Impact level, feasibility of eradication/control and risk of spread.</w:t>
      </w:r>
    </w:p>
    <w:p w14:paraId="506A5D98" w14:textId="1FFA33B2" w:rsidR="002A47D1" w:rsidRDefault="004409CF" w:rsidP="001206B3">
      <w:pPr>
        <w:pStyle w:val="NoSpacing"/>
        <w:numPr>
          <w:ilvl w:val="0"/>
          <w:numId w:val="22"/>
        </w:numPr>
      </w:pPr>
      <w:r>
        <w:t>Participants noted that the list would be beneficial because: it would help focus resources to manage responses or fund research;  raise awareness and act as a conduit to communicate with the community</w:t>
      </w:r>
      <w:r w:rsidR="00B273B6">
        <w:t>;</w:t>
      </w:r>
      <w:r>
        <w:t xml:space="preserve"> and aid in detection and response.</w:t>
      </w:r>
    </w:p>
    <w:p w14:paraId="522A39B8" w14:textId="77777777" w:rsidR="001206B3" w:rsidRDefault="001206B3" w:rsidP="001206B3">
      <w:pPr>
        <w:pStyle w:val="NoSpacing"/>
        <w:ind w:left="720"/>
      </w:pPr>
    </w:p>
    <w:p w14:paraId="14161589" w14:textId="679ED21F" w:rsidR="007022DC" w:rsidRDefault="002A47D1" w:rsidP="005F4730">
      <w:r>
        <w:rPr>
          <w:lang w:eastAsia="ja-JP"/>
        </w:rPr>
        <w:t>Attendees and their networks are invited to nominate exotic pests and diseases that their organisation considers as a concern</w:t>
      </w:r>
      <w:r w:rsidR="00962B83">
        <w:rPr>
          <w:lang w:eastAsia="ja-JP"/>
        </w:rPr>
        <w:t xml:space="preserve"> a</w:t>
      </w:r>
      <w:r>
        <w:rPr>
          <w:lang w:eastAsia="ja-JP"/>
        </w:rPr>
        <w:t xml:space="preserve">nd any relevant prioritisation methodologies that should be considered. Nominations can be sent to </w:t>
      </w:r>
      <w:hyperlink r:id="rId9" w:history="1">
        <w:r w:rsidRPr="00D17849">
          <w:rPr>
            <w:rStyle w:val="Hyperlink"/>
            <w:lang w:eastAsia="ja-JP"/>
          </w:rPr>
          <w:t>environmentalpestlist@agriculture.gov.au</w:t>
        </w:r>
      </w:hyperlink>
    </w:p>
    <w:p w14:paraId="412C2A6E" w14:textId="39380348" w:rsidR="00295A08" w:rsidRDefault="00295A08" w:rsidP="00295A08">
      <w:pPr>
        <w:rPr>
          <w:b/>
        </w:rPr>
      </w:pPr>
      <w:r w:rsidRPr="000A15D5">
        <w:rPr>
          <w:b/>
        </w:rPr>
        <w:t xml:space="preserve">NEBRA </w:t>
      </w:r>
      <w:r w:rsidR="00F8245E">
        <w:rPr>
          <w:b/>
        </w:rPr>
        <w:t>review implementation</w:t>
      </w:r>
    </w:p>
    <w:p w14:paraId="2E44E8D6" w14:textId="139920C8" w:rsidR="007022DC" w:rsidRPr="00BC13D1" w:rsidRDefault="00BC13D1" w:rsidP="00295A08">
      <w:r w:rsidRPr="00BC13D1">
        <w:t xml:space="preserve">Karina Keast from </w:t>
      </w:r>
      <w:r>
        <w:t xml:space="preserve">the Department of Agriculture and Water Resources talked about the National Environmental Biosecurity Response Agreement (NEBRA) </w:t>
      </w:r>
      <w:r w:rsidR="00962B83">
        <w:t>r</w:t>
      </w:r>
      <w:r>
        <w:t xml:space="preserve">eview that </w:t>
      </w:r>
      <w:r w:rsidR="00962B83">
        <w:t>was finalised</w:t>
      </w:r>
      <w:r>
        <w:t xml:space="preserve"> in early 2017. The independent review </w:t>
      </w:r>
      <w:r w:rsidR="00F8245E">
        <w:t>made 16 recommendations across four broad themes. Participants were asked to discuss three of the recommendations (5, 10 &amp; 13) and share their thoughts. Below is a summary of their feedback.</w:t>
      </w:r>
    </w:p>
    <w:p w14:paraId="5664A848" w14:textId="7676B79B" w:rsidR="00295A08" w:rsidRDefault="00962B83" w:rsidP="001206B3">
      <w:pPr>
        <w:pStyle w:val="NoSpacing"/>
        <w:numPr>
          <w:ilvl w:val="0"/>
          <w:numId w:val="22"/>
        </w:numPr>
      </w:pPr>
      <w:r>
        <w:t>T</w:t>
      </w:r>
      <w:r w:rsidR="00295A08">
        <w:t xml:space="preserve">he NEBRA custodian </w:t>
      </w:r>
      <w:r>
        <w:t xml:space="preserve">should </w:t>
      </w:r>
      <w:r w:rsidR="00295A08">
        <w:t xml:space="preserve">be able to identify priorities, </w:t>
      </w:r>
      <w:r>
        <w:t xml:space="preserve">develop </w:t>
      </w:r>
      <w:r w:rsidR="00295A08">
        <w:t>a framework for engagement with stakeholders and provide information to the community on their obligations and contribution.</w:t>
      </w:r>
    </w:p>
    <w:p w14:paraId="6E98C8B1" w14:textId="7579B872" w:rsidR="00295A08" w:rsidRDefault="00295A08" w:rsidP="001206B3">
      <w:pPr>
        <w:pStyle w:val="NoSpacing"/>
        <w:numPr>
          <w:ilvl w:val="0"/>
          <w:numId w:val="22"/>
        </w:numPr>
      </w:pPr>
      <w:r>
        <w:t xml:space="preserve">Among attendees there was some interest in possible interaction with the NEBRA custodian. Some were also interested </w:t>
      </w:r>
      <w:r w:rsidR="00962B83">
        <w:t xml:space="preserve">in becoming a signatory, however, </w:t>
      </w:r>
      <w:r>
        <w:t>resources at hand were limited mostly to community outreach, expertise and volunteer work.</w:t>
      </w:r>
    </w:p>
    <w:p w14:paraId="765815C6" w14:textId="77777777" w:rsidR="00295A08" w:rsidRDefault="00295A08" w:rsidP="001206B3">
      <w:pPr>
        <w:pStyle w:val="NoSpacing"/>
        <w:numPr>
          <w:ilvl w:val="0"/>
          <w:numId w:val="22"/>
        </w:numPr>
      </w:pPr>
      <w:r>
        <w:t>All tables supported the concept of ‘transition to management’ for NEBRA responses, however many noted that there should be flexibility (longer) for the 12 month timeframe.</w:t>
      </w:r>
    </w:p>
    <w:p w14:paraId="2C48474A" w14:textId="77777777" w:rsidR="00295A08" w:rsidRDefault="00295A08" w:rsidP="001206B3">
      <w:pPr>
        <w:pStyle w:val="NoSpacing"/>
        <w:numPr>
          <w:ilvl w:val="0"/>
          <w:numId w:val="22"/>
        </w:numPr>
      </w:pPr>
      <w:r>
        <w:t>Many groups believed that transition to management activities should be ongoing and focus on ongoing containment.</w:t>
      </w:r>
    </w:p>
    <w:p w14:paraId="64AD40FA" w14:textId="5FDBD924" w:rsidR="00385325" w:rsidRDefault="00295A08" w:rsidP="001206B3">
      <w:pPr>
        <w:pStyle w:val="NoSpacing"/>
        <w:numPr>
          <w:ilvl w:val="0"/>
          <w:numId w:val="22"/>
        </w:numPr>
      </w:pPr>
      <w:r>
        <w:t>Groups could see themselves playing a role in transition t</w:t>
      </w:r>
      <w:r w:rsidR="00962B83">
        <w:t>o management activities through;</w:t>
      </w:r>
      <w:r>
        <w:t xml:space="preserve"> research</w:t>
      </w:r>
      <w:r w:rsidR="00962B83">
        <w:t xml:space="preserve"> and</w:t>
      </w:r>
      <w:r>
        <w:t xml:space="preserve"> advice</w:t>
      </w:r>
      <w:r w:rsidR="00962B83">
        <w:t>;</w:t>
      </w:r>
      <w:r>
        <w:t xml:space="preserve"> sampling and surveillance</w:t>
      </w:r>
      <w:r w:rsidR="00962B83">
        <w:t>; and</w:t>
      </w:r>
      <w:r>
        <w:t xml:space="preserve"> engagement and awareness</w:t>
      </w:r>
      <w:r w:rsidR="008C1F06">
        <w:t>.</w:t>
      </w:r>
    </w:p>
    <w:p w14:paraId="3616DB04" w14:textId="77777777" w:rsidR="00962B83" w:rsidRPr="00962B83" w:rsidRDefault="00962B83" w:rsidP="001206B3"/>
    <w:p w14:paraId="4B0547FA" w14:textId="65104F48" w:rsidR="005F4730" w:rsidRPr="0064126E" w:rsidRDefault="00C420DB" w:rsidP="005F4730">
      <w:pPr>
        <w:rPr>
          <w:b/>
        </w:rPr>
      </w:pPr>
      <w:r>
        <w:rPr>
          <w:b/>
        </w:rPr>
        <w:lastRenderedPageBreak/>
        <w:t xml:space="preserve">Future engagement on environmental biosecurity </w:t>
      </w:r>
    </w:p>
    <w:p w14:paraId="293C1061" w14:textId="328834AF" w:rsidR="00C420DB" w:rsidRDefault="00C420DB" w:rsidP="00C420DB">
      <w:r w:rsidRPr="00953553">
        <w:t>Jo</w:t>
      </w:r>
      <w:r w:rsidR="00AC06B1">
        <w:t>sephine</w:t>
      </w:r>
      <w:r w:rsidRPr="00953553">
        <w:t xml:space="preserve"> Laduzko</w:t>
      </w:r>
      <w:r>
        <w:t xml:space="preserve"> from the Department of Agriculture and Water Resources led a workshop on future engagement on environmental biosecurity. </w:t>
      </w:r>
      <w:r w:rsidRPr="00C420DB">
        <w:t>Th</w:t>
      </w:r>
      <w:r>
        <w:t xml:space="preserve">e </w:t>
      </w:r>
      <w:r w:rsidRPr="00C420DB">
        <w:t xml:space="preserve">session </w:t>
      </w:r>
      <w:r>
        <w:t>wa</w:t>
      </w:r>
      <w:r w:rsidRPr="00C420DB">
        <w:t xml:space="preserve">s focussed on getting </w:t>
      </w:r>
      <w:r>
        <w:t>participants’</w:t>
      </w:r>
      <w:r w:rsidRPr="00C420DB">
        <w:t xml:space="preserve"> views on how </w:t>
      </w:r>
      <w:r>
        <w:t>they</w:t>
      </w:r>
      <w:r w:rsidRPr="00C420DB">
        <w:t xml:space="preserve"> would prefer consultation and engagement on environmental biosecurity issues to take place.</w:t>
      </w:r>
      <w:r>
        <w:t xml:space="preserve"> Opportunities for future engagement will be increased through the formation of a new </w:t>
      </w:r>
      <w:r w:rsidRPr="00C420DB">
        <w:t>Industry and Community Advisory Group</w:t>
      </w:r>
      <w:r w:rsidR="006D299A">
        <w:t>,</w:t>
      </w:r>
      <w:r w:rsidRPr="00C420DB">
        <w:t xml:space="preserve"> </w:t>
      </w:r>
      <w:r>
        <w:t>which will</w:t>
      </w:r>
      <w:r w:rsidRPr="00C420DB">
        <w:t xml:space="preserve"> provide advice to the National Biosecurity Committee</w:t>
      </w:r>
      <w:r>
        <w:t xml:space="preserve">. There will also be a change to the existing </w:t>
      </w:r>
      <w:r w:rsidRPr="00C420DB">
        <w:t>Invasive Plants and Animals Committee</w:t>
      </w:r>
      <w:r>
        <w:t xml:space="preserve">, which will be replaced by </w:t>
      </w:r>
      <w:r w:rsidR="006D299A">
        <w:t>an</w:t>
      </w:r>
      <w:r>
        <w:t xml:space="preserve"> Environment and </w:t>
      </w:r>
      <w:proofErr w:type="spellStart"/>
      <w:r>
        <w:t>Invasives</w:t>
      </w:r>
      <w:proofErr w:type="spellEnd"/>
      <w:r>
        <w:t xml:space="preserve"> Committee</w:t>
      </w:r>
      <w:r w:rsidR="00B409BA">
        <w:t xml:space="preserve"> (EIC). </w:t>
      </w:r>
      <w:r w:rsidR="006D299A">
        <w:t>An</w:t>
      </w:r>
      <w:r w:rsidR="00B409BA">
        <w:t xml:space="preserve"> EIC will have</w:t>
      </w:r>
      <w:r w:rsidR="00B409BA" w:rsidRPr="00B409BA">
        <w:t xml:space="preserve"> a clear mandate to include environmental biosecurity </w:t>
      </w:r>
      <w:r w:rsidR="00B409BA">
        <w:t xml:space="preserve">issues together with broadened </w:t>
      </w:r>
      <w:r w:rsidR="00B409BA" w:rsidRPr="00B409BA">
        <w:t>coverage of invasive plants and animals, while maintaining</w:t>
      </w:r>
      <w:r w:rsidR="006D299A">
        <w:t xml:space="preserve"> its</w:t>
      </w:r>
      <w:r w:rsidR="00B409BA" w:rsidRPr="00B409BA">
        <w:t xml:space="preserve"> focus on</w:t>
      </w:r>
      <w:r w:rsidR="006D299A">
        <w:t xml:space="preserve"> management of established plant and animal pests</w:t>
      </w:r>
      <w:r w:rsidR="00B409BA">
        <w:t>.</w:t>
      </w:r>
    </w:p>
    <w:p w14:paraId="0237BCF8" w14:textId="08181FEE" w:rsidR="00323DEC" w:rsidRDefault="00B409BA" w:rsidP="00C420DB">
      <w:r>
        <w:t xml:space="preserve">With regards to the advisory group, </w:t>
      </w:r>
      <w:r w:rsidR="006D299A">
        <w:t>participant’s</w:t>
      </w:r>
      <w:r w:rsidR="004409CF">
        <w:t xml:space="preserve"> </w:t>
      </w:r>
      <w:r w:rsidR="000A3C36">
        <w:t>feedback indicated</w:t>
      </w:r>
      <w:r w:rsidR="004409CF">
        <w:t xml:space="preserve"> that an</w:t>
      </w:r>
      <w:r w:rsidR="005F4730">
        <w:t xml:space="preserve"> advisory group should</w:t>
      </w:r>
      <w:r w:rsidR="00323DEC">
        <w:t>:</w:t>
      </w:r>
    </w:p>
    <w:p w14:paraId="564914B6" w14:textId="5599456B" w:rsidR="00323DEC" w:rsidRDefault="00962B83" w:rsidP="001206B3">
      <w:pPr>
        <w:pStyle w:val="NoSpacing"/>
        <w:numPr>
          <w:ilvl w:val="0"/>
          <w:numId w:val="22"/>
        </w:numPr>
      </w:pPr>
      <w:r>
        <w:t>b</w:t>
      </w:r>
      <w:r w:rsidR="00323DEC">
        <w:t>e r</w:t>
      </w:r>
      <w:r w:rsidR="005F4730">
        <w:t>epresentative</w:t>
      </w:r>
      <w:r w:rsidR="004409CF">
        <w:t xml:space="preserve"> and reflect the views of all sectors within the community</w:t>
      </w:r>
    </w:p>
    <w:p w14:paraId="70FDC84A" w14:textId="45396BD3" w:rsidR="00323DEC" w:rsidRDefault="00323DEC" w:rsidP="001206B3">
      <w:pPr>
        <w:pStyle w:val="NoSpacing"/>
        <w:numPr>
          <w:ilvl w:val="0"/>
          <w:numId w:val="22"/>
        </w:numPr>
      </w:pPr>
      <w:r>
        <w:t>share information openly and engage with stakeholders</w:t>
      </w:r>
    </w:p>
    <w:p w14:paraId="4025CDD6" w14:textId="32A5469B" w:rsidR="00323DEC" w:rsidRDefault="00323DEC" w:rsidP="001206B3">
      <w:pPr>
        <w:pStyle w:val="NoSpacing"/>
        <w:numPr>
          <w:ilvl w:val="0"/>
          <w:numId w:val="22"/>
        </w:numPr>
      </w:pPr>
      <w:r>
        <w:t>provide community assurance and source technical advice, and</w:t>
      </w:r>
    </w:p>
    <w:p w14:paraId="55F0A38E" w14:textId="63ECF2F1" w:rsidR="00323DEC" w:rsidRDefault="00323DEC" w:rsidP="001206B3">
      <w:pPr>
        <w:pStyle w:val="NoSpacing"/>
        <w:numPr>
          <w:ilvl w:val="0"/>
          <w:numId w:val="22"/>
        </w:numPr>
      </w:pPr>
      <w:proofErr w:type="gramStart"/>
      <w:r>
        <w:t>set</w:t>
      </w:r>
      <w:proofErr w:type="gramEnd"/>
      <w:r>
        <w:t xml:space="preserve"> reasonable expectations &amp; terms of reference.</w:t>
      </w:r>
    </w:p>
    <w:p w14:paraId="71C183EF" w14:textId="6A3697DA" w:rsidR="006D299A" w:rsidRDefault="006D299A" w:rsidP="00A8473C">
      <w:pPr>
        <w:pStyle w:val="ListNumber"/>
        <w:rPr>
          <w:rFonts w:eastAsiaTheme="minorHAnsi"/>
          <w:sz w:val="22"/>
        </w:rPr>
      </w:pPr>
      <w:r w:rsidRPr="00DF4752">
        <w:rPr>
          <w:noProof/>
          <w:sz w:val="22"/>
          <w:lang w:eastAsia="en-AU"/>
        </w:rPr>
        <mc:AlternateContent>
          <mc:Choice Requires="wps">
            <w:drawing>
              <wp:anchor distT="45720" distB="45720" distL="114300" distR="114300" simplePos="0" relativeHeight="251659264" behindDoc="1" locked="0" layoutInCell="1" allowOverlap="1" wp14:anchorId="2DA1A214" wp14:editId="48CCCFA2">
                <wp:simplePos x="0" y="0"/>
                <wp:positionH relativeFrom="margin">
                  <wp:posOffset>-1038</wp:posOffset>
                </wp:positionH>
                <wp:positionV relativeFrom="paragraph">
                  <wp:posOffset>404077</wp:posOffset>
                </wp:positionV>
                <wp:extent cx="5849620" cy="2299335"/>
                <wp:effectExtent l="0" t="0" r="17780" b="24765"/>
                <wp:wrapTight wrapText="bothSides">
                  <wp:wrapPolygon edited="0">
                    <wp:start x="0" y="0"/>
                    <wp:lineTo x="0" y="21654"/>
                    <wp:lineTo x="21595" y="21654"/>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2299335"/>
                        </a:xfrm>
                        <a:prstGeom prst="rect">
                          <a:avLst/>
                        </a:prstGeom>
                        <a:solidFill>
                          <a:srgbClr val="FFFFFF"/>
                        </a:solidFill>
                        <a:ln w="9525">
                          <a:solidFill>
                            <a:srgbClr val="000000"/>
                          </a:solidFill>
                          <a:miter lim="800000"/>
                          <a:headEnd/>
                          <a:tailEnd/>
                        </a:ln>
                      </wps:spPr>
                      <wps:txbx>
                        <w:txbxContent>
                          <w:p w14:paraId="5AA341B5" w14:textId="10B59D2A" w:rsidR="00DD6F37" w:rsidRPr="002A47D1" w:rsidRDefault="00FC3406" w:rsidP="002A47D1">
                            <w:pPr>
                              <w:rPr>
                                <w:b/>
                              </w:rPr>
                            </w:pPr>
                            <w:r w:rsidRPr="00DF4752">
                              <w:rPr>
                                <w:b/>
                              </w:rPr>
                              <w:t xml:space="preserve">Next steps… </w:t>
                            </w:r>
                          </w:p>
                          <w:p w14:paraId="5DB201EC" w14:textId="2DFFA07E" w:rsidR="002A47D1" w:rsidRDefault="00ED0BC9" w:rsidP="00ED0BC9">
                            <w:r>
                              <w:t>Participants were asked to vote on their preferences for engagement through the environmental biosecurity roundtables next year. The majority indicated that they would like to see</w:t>
                            </w:r>
                            <w:r w:rsidR="002A47D1">
                              <w:t xml:space="preserve"> </w:t>
                            </w:r>
                            <w:r w:rsidR="002A47D1" w:rsidRPr="002A47D1">
                              <w:t>two environmental biosecurity roundtables</w:t>
                            </w:r>
                            <w:r>
                              <w:t xml:space="preserve"> run</w:t>
                            </w:r>
                            <w:r w:rsidR="002A47D1" w:rsidRPr="002A47D1">
                              <w:t xml:space="preserve"> </w:t>
                            </w:r>
                            <w:r>
                              <w:t xml:space="preserve">again </w:t>
                            </w:r>
                            <w:r w:rsidR="002A47D1" w:rsidRPr="002A47D1">
                              <w:t>next year</w:t>
                            </w:r>
                            <w:r>
                              <w:t>.</w:t>
                            </w:r>
                            <w:r w:rsidR="002A47D1" w:rsidRPr="002A47D1">
                              <w:t xml:space="preserve"> </w:t>
                            </w:r>
                            <w:r>
                              <w:t xml:space="preserve">In regards to format of the roundtables, </w:t>
                            </w:r>
                            <w:r w:rsidR="00402323">
                              <w:t>41</w:t>
                            </w:r>
                            <w:r>
                              <w:t xml:space="preserve"> per</w:t>
                            </w:r>
                            <w:r w:rsidR="003555E5">
                              <w:t xml:space="preserve"> </w:t>
                            </w:r>
                            <w:r>
                              <w:t>cent voted</w:t>
                            </w:r>
                            <w:r w:rsidRPr="002A47D1">
                              <w:t xml:space="preserve"> to have a similar mix of presentations a</w:t>
                            </w:r>
                            <w:r>
                              <w:t xml:space="preserve">nd workshops and </w:t>
                            </w:r>
                            <w:r w:rsidR="00402323">
                              <w:t>55</w:t>
                            </w:r>
                            <w:r w:rsidR="003555E5">
                              <w:t xml:space="preserve"> per </w:t>
                            </w:r>
                            <w:r>
                              <w:t xml:space="preserve">cent </w:t>
                            </w:r>
                            <w:r w:rsidR="002A47D1" w:rsidRPr="002A47D1">
                              <w:t>vot</w:t>
                            </w:r>
                            <w:r>
                              <w:t>ed</w:t>
                            </w:r>
                            <w:r w:rsidR="002A47D1" w:rsidRPr="002A47D1">
                              <w:t xml:space="preserve"> for more open discussio</w:t>
                            </w:r>
                            <w:r w:rsidR="0019514B">
                              <w:t>n and question time</w:t>
                            </w:r>
                            <w:r w:rsidR="00AE4C03">
                              <w:t>.</w:t>
                            </w:r>
                          </w:p>
                          <w:p w14:paraId="5B49BDFD" w14:textId="03DFE87A" w:rsidR="008C1F06" w:rsidRDefault="008C1F06" w:rsidP="008C1F06">
                            <w:pPr>
                              <w:pStyle w:val="ListNumber"/>
                              <w:jc w:val="both"/>
                              <w:rPr>
                                <w:sz w:val="22"/>
                              </w:rPr>
                            </w:pPr>
                            <w:r w:rsidRPr="008C1F06">
                              <w:rPr>
                                <w:sz w:val="22"/>
                              </w:rPr>
                              <w:t xml:space="preserve">The Australian Government Department of Agriculture and Water Resources and the Department of the Environment and Energy would like to thank everyone who participated in the Sydney Environmental Biosecurity Roundtable for their time and contributions. </w:t>
                            </w:r>
                            <w:r w:rsidRPr="00DF4752">
                              <w:rPr>
                                <w:sz w:val="22"/>
                              </w:rPr>
                              <w:t xml:space="preserve"> </w:t>
                            </w:r>
                            <w:r>
                              <w:rPr>
                                <w:sz w:val="22"/>
                              </w:rPr>
                              <w:t>We look forward to working with you in 2018.</w:t>
                            </w:r>
                          </w:p>
                          <w:p w14:paraId="1D878064" w14:textId="582BE8CB" w:rsidR="006C2FA9" w:rsidRDefault="006C2FA9" w:rsidP="00D6282D">
                            <w:pPr>
                              <w:contextualSpacing/>
                              <w:rPr>
                                <w:lang w:eastAsia="ja-JP"/>
                              </w:rPr>
                            </w:pPr>
                          </w:p>
                          <w:p w14:paraId="6CDC2C17" w14:textId="4E501237" w:rsidR="003C0203" w:rsidRDefault="003C0203" w:rsidP="001119AF">
                            <w:pPr>
                              <w:pStyle w:val="ListNumber"/>
                              <w:jc w:val="both"/>
                              <w:rPr>
                                <w:sz w:val="22"/>
                              </w:rPr>
                            </w:pPr>
                          </w:p>
                          <w:p w14:paraId="263B2C6C" w14:textId="77777777" w:rsidR="00F216BA" w:rsidRPr="00DF4752" w:rsidRDefault="00F216BA" w:rsidP="001119AF">
                            <w:pPr>
                              <w:pStyle w:val="ListNumber"/>
                              <w:jc w:val="bot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A214" id="_x0000_s1028" type="#_x0000_t202" style="position:absolute;margin-left:-.1pt;margin-top:31.8pt;width:460.6pt;height:181.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">
                <v:textbox>
                  <w:txbxContent>
                    <w:p w14:paraId="5AA341B5" w14:textId="10B59D2A" w:rsidR="00DD6F37" w:rsidRPr="002A47D1" w:rsidRDefault="00FC3406" w:rsidP="002A47D1">
                      <w:pPr>
                        <w:rPr>
                          <w:b/>
                        </w:rPr>
                      </w:pPr>
                      <w:r w:rsidRPr="00DF4752">
                        <w:rPr>
                          <w:b/>
                        </w:rPr>
                        <w:t xml:space="preserve">Next steps… </w:t>
                      </w:r>
                    </w:p>
                    <w:p w14:paraId="5DB201EC" w14:textId="2DFFA07E" w:rsidR="002A47D1" w:rsidRDefault="00ED0BC9" w:rsidP="00ED0BC9">
                      <w:r>
                        <w:t>Participants were asked to vote on their preferences for engagement through the environmental biosecurity roundtables next year. The majority indicated that they would like to see</w:t>
                      </w:r>
                      <w:r w:rsidR="002A47D1">
                        <w:t xml:space="preserve"> </w:t>
                      </w:r>
                      <w:r w:rsidR="002A47D1" w:rsidRPr="002A47D1">
                        <w:t>two environmental biosecurity roundtables</w:t>
                      </w:r>
                      <w:r>
                        <w:t xml:space="preserve"> run</w:t>
                      </w:r>
                      <w:r w:rsidR="002A47D1" w:rsidRPr="002A47D1">
                        <w:t xml:space="preserve"> </w:t>
                      </w:r>
                      <w:r>
                        <w:t xml:space="preserve">again </w:t>
                      </w:r>
                      <w:r w:rsidR="002A47D1" w:rsidRPr="002A47D1">
                        <w:t>next year</w:t>
                      </w:r>
                      <w:r>
                        <w:t>.</w:t>
                      </w:r>
                      <w:r w:rsidR="002A47D1" w:rsidRPr="002A47D1">
                        <w:t xml:space="preserve"> </w:t>
                      </w:r>
                      <w:r>
                        <w:t xml:space="preserve">In regards to format of the roundtables, </w:t>
                      </w:r>
                      <w:r w:rsidR="00402323">
                        <w:t>41</w:t>
                      </w:r>
                      <w:r>
                        <w:t xml:space="preserve"> per</w:t>
                      </w:r>
                      <w:r w:rsidR="003555E5">
                        <w:t xml:space="preserve"> </w:t>
                      </w:r>
                      <w:r>
                        <w:t>cent voted</w:t>
                      </w:r>
                      <w:r w:rsidRPr="002A47D1">
                        <w:t xml:space="preserve"> to have a similar mix of presentations a</w:t>
                      </w:r>
                      <w:r>
                        <w:t xml:space="preserve">nd workshops and </w:t>
                      </w:r>
                      <w:r w:rsidR="00402323">
                        <w:t>55</w:t>
                      </w:r>
                      <w:r w:rsidR="003555E5">
                        <w:t xml:space="preserve"> per </w:t>
                      </w:r>
                      <w:r>
                        <w:t xml:space="preserve">cent </w:t>
                      </w:r>
                      <w:r w:rsidR="002A47D1" w:rsidRPr="002A47D1">
                        <w:t>vot</w:t>
                      </w:r>
                      <w:r>
                        <w:t>ed</w:t>
                      </w:r>
                      <w:r w:rsidR="002A47D1" w:rsidRPr="002A47D1">
                        <w:t xml:space="preserve"> for more open discussio</w:t>
                      </w:r>
                      <w:r w:rsidR="0019514B">
                        <w:t>n and question time</w:t>
                      </w:r>
                      <w:r w:rsidR="00AE4C03">
                        <w:t>.</w:t>
                      </w:r>
                    </w:p>
                    <w:p w14:paraId="5B49BDFD" w14:textId="03DFE87A" w:rsidR="008C1F06" w:rsidRDefault="008C1F06" w:rsidP="008C1F06">
                      <w:pPr>
                        <w:pStyle w:val="ListNumber"/>
                        <w:jc w:val="both"/>
                        <w:rPr>
                          <w:sz w:val="22"/>
                        </w:rPr>
                      </w:pPr>
                      <w:r w:rsidRPr="008C1F06">
                        <w:rPr>
                          <w:sz w:val="22"/>
                        </w:rPr>
                        <w:t xml:space="preserve">The Australian Government Department of Agriculture and Water Resources and the Department of the Environment and Energy would like to thank everyone who participated in the Sydney Environmental Biosecurity Roundtable for their time and contributions. </w:t>
                      </w:r>
                      <w:r w:rsidRPr="00DF4752">
                        <w:rPr>
                          <w:sz w:val="22"/>
                        </w:rPr>
                        <w:t xml:space="preserve"> </w:t>
                      </w:r>
                      <w:r>
                        <w:rPr>
                          <w:sz w:val="22"/>
                        </w:rPr>
                        <w:t>We look forward to working with you in 2018.</w:t>
                      </w:r>
                    </w:p>
                    <w:p w14:paraId="1D878064" w14:textId="582BE8CB" w:rsidR="006C2FA9" w:rsidRDefault="006C2FA9" w:rsidP="00D6282D">
                      <w:pPr>
                        <w:contextualSpacing/>
                        <w:rPr>
                          <w:lang w:eastAsia="ja-JP"/>
                        </w:rPr>
                      </w:pPr>
                    </w:p>
                    <w:p w14:paraId="6CDC2C17" w14:textId="4E501237" w:rsidR="003C0203" w:rsidRDefault="003C0203" w:rsidP="001119AF">
                      <w:pPr>
                        <w:pStyle w:val="ListNumber"/>
                        <w:jc w:val="both"/>
                        <w:rPr>
                          <w:sz w:val="22"/>
                        </w:rPr>
                      </w:pPr>
                    </w:p>
                    <w:p w14:paraId="263B2C6C" w14:textId="77777777" w:rsidR="00F216BA" w:rsidRPr="00DF4752" w:rsidRDefault="00F216BA" w:rsidP="001119AF">
                      <w:pPr>
                        <w:pStyle w:val="ListNumber"/>
                        <w:jc w:val="both"/>
                        <w:rPr>
                          <w:sz w:val="22"/>
                        </w:rPr>
                      </w:pPr>
                    </w:p>
                  </w:txbxContent>
                </v:textbox>
                <w10:wrap type="tight" anchorx="margin"/>
              </v:shape>
            </w:pict>
          </mc:Fallback>
        </mc:AlternateContent>
      </w:r>
    </w:p>
    <w:p w14:paraId="4B6123D0" w14:textId="77777777" w:rsidR="006D299A" w:rsidRDefault="006D299A" w:rsidP="006D299A">
      <w:pPr>
        <w:pStyle w:val="ListNumber"/>
        <w:jc w:val="center"/>
        <w:rPr>
          <w:b/>
          <w:sz w:val="22"/>
        </w:rPr>
      </w:pPr>
    </w:p>
    <w:p w14:paraId="7446636C" w14:textId="2F23A4BA" w:rsidR="006D299A" w:rsidRDefault="006D299A" w:rsidP="006D299A">
      <w:pPr>
        <w:pStyle w:val="ListNumber"/>
        <w:jc w:val="center"/>
        <w:rPr>
          <w:b/>
          <w:sz w:val="22"/>
        </w:rPr>
      </w:pPr>
      <w:r w:rsidRPr="00DF4752">
        <w:rPr>
          <w:b/>
          <w:sz w:val="22"/>
        </w:rPr>
        <w:t xml:space="preserve">We value your feedback – if you have suggestions about this </w:t>
      </w:r>
      <w:r>
        <w:rPr>
          <w:b/>
          <w:sz w:val="22"/>
        </w:rPr>
        <w:t>r</w:t>
      </w:r>
      <w:r w:rsidRPr="00DF4752">
        <w:rPr>
          <w:b/>
          <w:sz w:val="22"/>
        </w:rPr>
        <w:t xml:space="preserve">oundtable or </w:t>
      </w:r>
      <w:r>
        <w:rPr>
          <w:b/>
          <w:sz w:val="22"/>
        </w:rPr>
        <w:t xml:space="preserve">next year’s </w:t>
      </w:r>
      <w:r w:rsidRPr="00DF4752">
        <w:rPr>
          <w:b/>
          <w:sz w:val="22"/>
        </w:rPr>
        <w:t>Environmental Biosecurity Roundtable</w:t>
      </w:r>
      <w:r>
        <w:rPr>
          <w:b/>
          <w:sz w:val="22"/>
        </w:rPr>
        <w:t xml:space="preserve"> program</w:t>
      </w:r>
      <w:r w:rsidRPr="00DF4752">
        <w:rPr>
          <w:b/>
          <w:sz w:val="22"/>
        </w:rPr>
        <w:t xml:space="preserve"> please </w:t>
      </w:r>
      <w:r>
        <w:rPr>
          <w:b/>
          <w:sz w:val="22"/>
        </w:rPr>
        <w:t>email</w:t>
      </w:r>
      <w:r w:rsidRPr="00DF4752">
        <w:rPr>
          <w:b/>
          <w:sz w:val="22"/>
        </w:rPr>
        <w:t xml:space="preserve"> us at</w:t>
      </w:r>
      <w:r>
        <w:rPr>
          <w:b/>
          <w:sz w:val="22"/>
        </w:rPr>
        <w:t>:</w:t>
      </w:r>
      <w:r w:rsidRPr="00DF4752">
        <w:rPr>
          <w:b/>
          <w:sz w:val="22"/>
        </w:rPr>
        <w:t xml:space="preserve"> </w:t>
      </w:r>
      <w:r w:rsidRPr="006D299A">
        <w:rPr>
          <w:b/>
          <w:sz w:val="22"/>
        </w:rPr>
        <w:t>biosecurityroundtable@agriculture.gov.au</w:t>
      </w:r>
      <w:r>
        <w:rPr>
          <w:b/>
          <w:sz w:val="22"/>
        </w:rPr>
        <w:t xml:space="preserve"> </w:t>
      </w:r>
    </w:p>
    <w:p w14:paraId="126187B1" w14:textId="2A386965" w:rsidR="006D299A" w:rsidRDefault="006D299A" w:rsidP="006D299A">
      <w:pPr>
        <w:pStyle w:val="ListNumber"/>
        <w:rPr>
          <w:b/>
          <w:sz w:val="22"/>
        </w:rPr>
      </w:pPr>
    </w:p>
    <w:sectPr w:rsidR="006D299A" w:rsidSect="008A2C21">
      <w:headerReference w:type="default" r:id="rId10"/>
      <w:footerReference w:type="default" r:id="rId11"/>
      <w:headerReference w:type="first" r:id="rId12"/>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EB0" w14:textId="77777777" w:rsidR="00FC3406" w:rsidRDefault="00FC3406" w:rsidP="00280A18">
      <w:pPr>
        <w:spacing w:after="0" w:line="240" w:lineRule="auto"/>
      </w:pPr>
      <w:r>
        <w:separator/>
      </w:r>
    </w:p>
  </w:endnote>
  <w:endnote w:type="continuationSeparator" w:id="0">
    <w:p w14:paraId="6AB37DA2" w14:textId="77777777" w:rsidR="00FC3406" w:rsidRDefault="00FC3406"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71B93739" w14:textId="31FF7600" w:rsidR="00FC3406" w:rsidRDefault="00FC3406">
        <w:pPr>
          <w:pStyle w:val="Footer"/>
          <w:jc w:val="right"/>
        </w:pPr>
        <w:r>
          <w:fldChar w:fldCharType="begin"/>
        </w:r>
        <w:r>
          <w:instrText xml:space="preserve"> PAGE   \* MERGEFORMAT </w:instrText>
        </w:r>
        <w:r>
          <w:fldChar w:fldCharType="separate"/>
        </w:r>
        <w:r w:rsidR="00AC7F71">
          <w:rPr>
            <w:noProof/>
          </w:rPr>
          <w:t>4</w:t>
        </w:r>
        <w:r>
          <w:rPr>
            <w:noProof/>
          </w:rPr>
          <w:fldChar w:fldCharType="end"/>
        </w:r>
      </w:p>
    </w:sdtContent>
  </w:sdt>
  <w:p w14:paraId="0C258047" w14:textId="77777777" w:rsidR="00FC3406" w:rsidRDefault="00FC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AF59" w14:textId="77777777" w:rsidR="00FC3406" w:rsidRDefault="00FC3406" w:rsidP="00280A18">
      <w:pPr>
        <w:spacing w:after="0" w:line="240" w:lineRule="auto"/>
      </w:pPr>
      <w:r>
        <w:separator/>
      </w:r>
    </w:p>
  </w:footnote>
  <w:footnote w:type="continuationSeparator" w:id="0">
    <w:p w14:paraId="0E5828CF" w14:textId="77777777" w:rsidR="00FC3406" w:rsidRDefault="00FC3406"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BA85" w14:textId="36D115E9" w:rsidR="00FC3406" w:rsidRPr="00CE61C6" w:rsidRDefault="00FC3406" w:rsidP="002247AF">
    <w:pPr>
      <w:rPr>
        <w:rStyle w:val="HeaderChar"/>
        <w:rFonts w:cs="Times New Roman"/>
        <w:caps/>
        <w:noProof/>
        <w:sz w:val="24"/>
        <w:lang w:eastAsia="en-AU"/>
      </w:rPr>
    </w:pPr>
    <w:r>
      <w:rPr>
        <w:rStyle w:val="HeaderChar"/>
        <w:rFonts w:cs="Times New Roman"/>
        <w:noProof/>
        <w:sz w:val="24"/>
        <w:lang w:eastAsia="en-AU"/>
      </w:rPr>
      <w:t xml:space="preserve">                                                                             </w:t>
    </w:r>
  </w:p>
  <w:p w14:paraId="253CDCE9" w14:textId="215B291B" w:rsidR="00FC3406" w:rsidRDefault="00FC3406" w:rsidP="00280A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538C" w14:textId="659E436A" w:rsidR="00902409" w:rsidRDefault="008A2C21">
    <w:pPr>
      <w:pStyle w:val="Header"/>
    </w:pPr>
    <w:r w:rsidRPr="00D57952">
      <w:rPr>
        <w:noProof/>
        <w:sz w:val="36"/>
        <w:szCs w:val="36"/>
        <w:lang w:eastAsia="en-AU"/>
      </w:rPr>
      <w:drawing>
        <wp:anchor distT="0" distB="0" distL="114300" distR="114300" simplePos="0" relativeHeight="251660288" behindDoc="0" locked="0" layoutInCell="1" allowOverlap="1" wp14:anchorId="20AE4000" wp14:editId="127504A4">
          <wp:simplePos x="0" y="0"/>
          <wp:positionH relativeFrom="margin">
            <wp:posOffset>2742565</wp:posOffset>
          </wp:positionH>
          <wp:positionV relativeFrom="paragraph">
            <wp:posOffset>-169699</wp:posOffset>
          </wp:positionV>
          <wp:extent cx="3077210" cy="530225"/>
          <wp:effectExtent l="0" t="0" r="8890" b="3175"/>
          <wp:wrapThrough wrapText="bothSides">
            <wp:wrapPolygon edited="0">
              <wp:start x="0" y="0"/>
              <wp:lineTo x="0" y="20953"/>
              <wp:lineTo x="21529" y="20953"/>
              <wp:lineTo x="21529" y="0"/>
              <wp:lineTo x="0" y="0"/>
            </wp:wrapPolygon>
          </wp:wrapThrough>
          <wp:docPr id="5" name="Picture 1" descr="Logo of the Australian Government Department of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204.INTERNAL\AppData\Local\Microsoft\Windows\Temporary Internet Files\Content.Outlook\P4FF5QZV\DotEnE-inline_nosafespac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7210" cy="53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97B10">
      <w:rPr>
        <w:noProof/>
        <w:lang w:eastAsia="en-AU"/>
      </w:rPr>
      <w:drawing>
        <wp:anchor distT="0" distB="0" distL="114300" distR="114300" simplePos="0" relativeHeight="251661312" behindDoc="0" locked="0" layoutInCell="1" allowOverlap="1" wp14:anchorId="3284F4BB" wp14:editId="5A480370">
          <wp:simplePos x="0" y="0"/>
          <wp:positionH relativeFrom="column">
            <wp:posOffset>-96737</wp:posOffset>
          </wp:positionH>
          <wp:positionV relativeFrom="page">
            <wp:posOffset>155575</wp:posOffset>
          </wp:positionV>
          <wp:extent cx="2352675" cy="752475"/>
          <wp:effectExtent l="0" t="0" r="9525" b="9525"/>
          <wp:wrapNone/>
          <wp:docPr id="4" name="Picture 4"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5267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82C"/>
    <w:multiLevelType w:val="hybridMultilevel"/>
    <w:tmpl w:val="BAB0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5577"/>
    <w:multiLevelType w:val="hybridMultilevel"/>
    <w:tmpl w:val="DDA8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F39CA"/>
    <w:multiLevelType w:val="hybridMultilevel"/>
    <w:tmpl w:val="F84AE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63B7D"/>
    <w:multiLevelType w:val="hybridMultilevel"/>
    <w:tmpl w:val="D922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7B653D"/>
    <w:multiLevelType w:val="hybridMultilevel"/>
    <w:tmpl w:val="8FCE66A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5911665"/>
    <w:multiLevelType w:val="hybridMultilevel"/>
    <w:tmpl w:val="C9A8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86528"/>
    <w:multiLevelType w:val="hybridMultilevel"/>
    <w:tmpl w:val="FA88D7B2"/>
    <w:lvl w:ilvl="0" w:tplc="781C63D2">
      <w:start w:val="1"/>
      <w:numFmt w:val="bullet"/>
      <w:lvlText w:val="•"/>
      <w:lvlJc w:val="left"/>
      <w:pPr>
        <w:tabs>
          <w:tab w:val="num" w:pos="720"/>
        </w:tabs>
        <w:ind w:left="720" w:hanging="360"/>
      </w:pPr>
      <w:rPr>
        <w:rFonts w:ascii="Arial" w:hAnsi="Arial" w:hint="default"/>
      </w:rPr>
    </w:lvl>
    <w:lvl w:ilvl="1" w:tplc="08224A58" w:tentative="1">
      <w:start w:val="1"/>
      <w:numFmt w:val="bullet"/>
      <w:lvlText w:val="•"/>
      <w:lvlJc w:val="left"/>
      <w:pPr>
        <w:tabs>
          <w:tab w:val="num" w:pos="1440"/>
        </w:tabs>
        <w:ind w:left="1440" w:hanging="360"/>
      </w:pPr>
      <w:rPr>
        <w:rFonts w:ascii="Arial" w:hAnsi="Arial" w:hint="default"/>
      </w:rPr>
    </w:lvl>
    <w:lvl w:ilvl="2" w:tplc="697C27EC" w:tentative="1">
      <w:start w:val="1"/>
      <w:numFmt w:val="bullet"/>
      <w:lvlText w:val="•"/>
      <w:lvlJc w:val="left"/>
      <w:pPr>
        <w:tabs>
          <w:tab w:val="num" w:pos="2160"/>
        </w:tabs>
        <w:ind w:left="2160" w:hanging="360"/>
      </w:pPr>
      <w:rPr>
        <w:rFonts w:ascii="Arial" w:hAnsi="Arial" w:hint="default"/>
      </w:rPr>
    </w:lvl>
    <w:lvl w:ilvl="3" w:tplc="17267C1A" w:tentative="1">
      <w:start w:val="1"/>
      <w:numFmt w:val="bullet"/>
      <w:lvlText w:val="•"/>
      <w:lvlJc w:val="left"/>
      <w:pPr>
        <w:tabs>
          <w:tab w:val="num" w:pos="2880"/>
        </w:tabs>
        <w:ind w:left="2880" w:hanging="360"/>
      </w:pPr>
      <w:rPr>
        <w:rFonts w:ascii="Arial" w:hAnsi="Arial" w:hint="default"/>
      </w:rPr>
    </w:lvl>
    <w:lvl w:ilvl="4" w:tplc="8B48D438" w:tentative="1">
      <w:start w:val="1"/>
      <w:numFmt w:val="bullet"/>
      <w:lvlText w:val="•"/>
      <w:lvlJc w:val="left"/>
      <w:pPr>
        <w:tabs>
          <w:tab w:val="num" w:pos="3600"/>
        </w:tabs>
        <w:ind w:left="3600" w:hanging="360"/>
      </w:pPr>
      <w:rPr>
        <w:rFonts w:ascii="Arial" w:hAnsi="Arial" w:hint="default"/>
      </w:rPr>
    </w:lvl>
    <w:lvl w:ilvl="5" w:tplc="ECB8DD64" w:tentative="1">
      <w:start w:val="1"/>
      <w:numFmt w:val="bullet"/>
      <w:lvlText w:val="•"/>
      <w:lvlJc w:val="left"/>
      <w:pPr>
        <w:tabs>
          <w:tab w:val="num" w:pos="4320"/>
        </w:tabs>
        <w:ind w:left="4320" w:hanging="360"/>
      </w:pPr>
      <w:rPr>
        <w:rFonts w:ascii="Arial" w:hAnsi="Arial" w:hint="default"/>
      </w:rPr>
    </w:lvl>
    <w:lvl w:ilvl="6" w:tplc="C83AE6D0" w:tentative="1">
      <w:start w:val="1"/>
      <w:numFmt w:val="bullet"/>
      <w:lvlText w:val="•"/>
      <w:lvlJc w:val="left"/>
      <w:pPr>
        <w:tabs>
          <w:tab w:val="num" w:pos="5040"/>
        </w:tabs>
        <w:ind w:left="5040" w:hanging="360"/>
      </w:pPr>
      <w:rPr>
        <w:rFonts w:ascii="Arial" w:hAnsi="Arial" w:hint="default"/>
      </w:rPr>
    </w:lvl>
    <w:lvl w:ilvl="7" w:tplc="7E2AB5F6" w:tentative="1">
      <w:start w:val="1"/>
      <w:numFmt w:val="bullet"/>
      <w:lvlText w:val="•"/>
      <w:lvlJc w:val="left"/>
      <w:pPr>
        <w:tabs>
          <w:tab w:val="num" w:pos="5760"/>
        </w:tabs>
        <w:ind w:left="5760" w:hanging="360"/>
      </w:pPr>
      <w:rPr>
        <w:rFonts w:ascii="Arial" w:hAnsi="Arial" w:hint="default"/>
      </w:rPr>
    </w:lvl>
    <w:lvl w:ilvl="8" w:tplc="1550E6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B10483"/>
    <w:multiLevelType w:val="hybridMultilevel"/>
    <w:tmpl w:val="675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05C5E"/>
    <w:multiLevelType w:val="hybridMultilevel"/>
    <w:tmpl w:val="BB08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B70BB"/>
    <w:multiLevelType w:val="hybridMultilevel"/>
    <w:tmpl w:val="F92CA42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8EF1C88"/>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D9448B"/>
    <w:multiLevelType w:val="hybridMultilevel"/>
    <w:tmpl w:val="834EE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66DF6"/>
    <w:multiLevelType w:val="hybridMultilevel"/>
    <w:tmpl w:val="7908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D273D1E"/>
    <w:multiLevelType w:val="hybridMultilevel"/>
    <w:tmpl w:val="C70C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C0606"/>
    <w:multiLevelType w:val="hybridMultilevel"/>
    <w:tmpl w:val="853A9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B6402A"/>
    <w:multiLevelType w:val="hybridMultilevel"/>
    <w:tmpl w:val="D4FC3F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4"/>
  </w:num>
  <w:num w:numId="6">
    <w:abstractNumId w:val="7"/>
  </w:num>
  <w:num w:numId="7">
    <w:abstractNumId w:val="5"/>
  </w:num>
  <w:num w:numId="8">
    <w:abstractNumId w:val="9"/>
  </w:num>
  <w:num w:numId="9">
    <w:abstractNumId w:val="8"/>
  </w:num>
  <w:num w:numId="10">
    <w:abstractNumId w:val="15"/>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20"/>
  </w:num>
  <w:num w:numId="16">
    <w:abstractNumId w:val="6"/>
  </w:num>
  <w:num w:numId="17">
    <w:abstractNumId w:val="18"/>
  </w:num>
  <w:num w:numId="18">
    <w:abstractNumId w:val="22"/>
  </w:num>
  <w:num w:numId="19">
    <w:abstractNumId w:val="14"/>
  </w:num>
  <w:num w:numId="20">
    <w:abstractNumId w:val="12"/>
  </w:num>
  <w:num w:numId="21">
    <w:abstractNumId w:val="17"/>
  </w:num>
  <w:num w:numId="22">
    <w:abstractNumId w:val="13"/>
  </w:num>
  <w:num w:numId="23">
    <w:abstractNumId w:val="21"/>
  </w:num>
  <w:num w:numId="24">
    <w:abstractNumId w:val="1"/>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117E6"/>
    <w:rsid w:val="00012474"/>
    <w:rsid w:val="0002192F"/>
    <w:rsid w:val="000225FD"/>
    <w:rsid w:val="00037A85"/>
    <w:rsid w:val="000508EE"/>
    <w:rsid w:val="000520FD"/>
    <w:rsid w:val="000605FE"/>
    <w:rsid w:val="00071DFB"/>
    <w:rsid w:val="000736D2"/>
    <w:rsid w:val="00073C4B"/>
    <w:rsid w:val="000839B6"/>
    <w:rsid w:val="0009714D"/>
    <w:rsid w:val="00097DF3"/>
    <w:rsid w:val="000A15D5"/>
    <w:rsid w:val="000A3C36"/>
    <w:rsid w:val="000A73AC"/>
    <w:rsid w:val="000B2146"/>
    <w:rsid w:val="000B734F"/>
    <w:rsid w:val="000D3517"/>
    <w:rsid w:val="000D58C2"/>
    <w:rsid w:val="000E2D10"/>
    <w:rsid w:val="000E403F"/>
    <w:rsid w:val="000E4520"/>
    <w:rsid w:val="000F278A"/>
    <w:rsid w:val="00104507"/>
    <w:rsid w:val="001119AF"/>
    <w:rsid w:val="001206B3"/>
    <w:rsid w:val="001215F3"/>
    <w:rsid w:val="00131851"/>
    <w:rsid w:val="0017267A"/>
    <w:rsid w:val="00174653"/>
    <w:rsid w:val="00176814"/>
    <w:rsid w:val="001877F3"/>
    <w:rsid w:val="0019251B"/>
    <w:rsid w:val="0019514B"/>
    <w:rsid w:val="001A4A82"/>
    <w:rsid w:val="001A6E9D"/>
    <w:rsid w:val="001B5F6A"/>
    <w:rsid w:val="001C0769"/>
    <w:rsid w:val="001E4EB0"/>
    <w:rsid w:val="001F1689"/>
    <w:rsid w:val="001F292F"/>
    <w:rsid w:val="001F340F"/>
    <w:rsid w:val="002247AF"/>
    <w:rsid w:val="00225A6D"/>
    <w:rsid w:val="00237B26"/>
    <w:rsid w:val="00241A6A"/>
    <w:rsid w:val="0024309D"/>
    <w:rsid w:val="002475DC"/>
    <w:rsid w:val="00253E95"/>
    <w:rsid w:val="0026669F"/>
    <w:rsid w:val="00271519"/>
    <w:rsid w:val="00274338"/>
    <w:rsid w:val="00280A18"/>
    <w:rsid w:val="00282723"/>
    <w:rsid w:val="002933D3"/>
    <w:rsid w:val="00295A08"/>
    <w:rsid w:val="002A2E4D"/>
    <w:rsid w:val="002A47D1"/>
    <w:rsid w:val="002A7F7D"/>
    <w:rsid w:val="002B4220"/>
    <w:rsid w:val="002C2D23"/>
    <w:rsid w:val="002C49BA"/>
    <w:rsid w:val="002C4D78"/>
    <w:rsid w:val="002D3FC9"/>
    <w:rsid w:val="002E0FD0"/>
    <w:rsid w:val="003124C0"/>
    <w:rsid w:val="00323DEC"/>
    <w:rsid w:val="00343425"/>
    <w:rsid w:val="003452C2"/>
    <w:rsid w:val="003509F5"/>
    <w:rsid w:val="003555E5"/>
    <w:rsid w:val="003663C9"/>
    <w:rsid w:val="00367177"/>
    <w:rsid w:val="00370463"/>
    <w:rsid w:val="00384AF4"/>
    <w:rsid w:val="00385325"/>
    <w:rsid w:val="003877AD"/>
    <w:rsid w:val="003923AD"/>
    <w:rsid w:val="00392AA4"/>
    <w:rsid w:val="00396988"/>
    <w:rsid w:val="0039744C"/>
    <w:rsid w:val="003A020A"/>
    <w:rsid w:val="003B041B"/>
    <w:rsid w:val="003C0203"/>
    <w:rsid w:val="003C1079"/>
    <w:rsid w:val="003C3A01"/>
    <w:rsid w:val="003C5C0F"/>
    <w:rsid w:val="003C73E9"/>
    <w:rsid w:val="003D22EC"/>
    <w:rsid w:val="003D716C"/>
    <w:rsid w:val="003E7260"/>
    <w:rsid w:val="003F10F3"/>
    <w:rsid w:val="00402323"/>
    <w:rsid w:val="004309F3"/>
    <w:rsid w:val="0043121C"/>
    <w:rsid w:val="00437B64"/>
    <w:rsid w:val="004409CF"/>
    <w:rsid w:val="00443749"/>
    <w:rsid w:val="00450576"/>
    <w:rsid w:val="00450CBE"/>
    <w:rsid w:val="0045132A"/>
    <w:rsid w:val="00453B32"/>
    <w:rsid w:val="00465985"/>
    <w:rsid w:val="004751D1"/>
    <w:rsid w:val="00476CAD"/>
    <w:rsid w:val="004864C0"/>
    <w:rsid w:val="004A4A78"/>
    <w:rsid w:val="004B2A34"/>
    <w:rsid w:val="004B41F4"/>
    <w:rsid w:val="004B4949"/>
    <w:rsid w:val="004B6B45"/>
    <w:rsid w:val="004B6D64"/>
    <w:rsid w:val="004C0D1E"/>
    <w:rsid w:val="004C20B3"/>
    <w:rsid w:val="004C4989"/>
    <w:rsid w:val="004D74AF"/>
    <w:rsid w:val="004F5D50"/>
    <w:rsid w:val="00526894"/>
    <w:rsid w:val="00531A33"/>
    <w:rsid w:val="005378E3"/>
    <w:rsid w:val="005616F0"/>
    <w:rsid w:val="00566F24"/>
    <w:rsid w:val="0057228A"/>
    <w:rsid w:val="00575CF2"/>
    <w:rsid w:val="00583B0E"/>
    <w:rsid w:val="00586D1A"/>
    <w:rsid w:val="005904EA"/>
    <w:rsid w:val="005A6100"/>
    <w:rsid w:val="005A6394"/>
    <w:rsid w:val="005B031C"/>
    <w:rsid w:val="005B46BD"/>
    <w:rsid w:val="005C36EB"/>
    <w:rsid w:val="005C3749"/>
    <w:rsid w:val="005C573C"/>
    <w:rsid w:val="005E7140"/>
    <w:rsid w:val="005E7625"/>
    <w:rsid w:val="005E7DE2"/>
    <w:rsid w:val="005F4730"/>
    <w:rsid w:val="005F560C"/>
    <w:rsid w:val="005F5774"/>
    <w:rsid w:val="005F76F7"/>
    <w:rsid w:val="006264EA"/>
    <w:rsid w:val="00626D6A"/>
    <w:rsid w:val="0064126E"/>
    <w:rsid w:val="006448F5"/>
    <w:rsid w:val="00650447"/>
    <w:rsid w:val="006623DC"/>
    <w:rsid w:val="00681671"/>
    <w:rsid w:val="00695341"/>
    <w:rsid w:val="006A2009"/>
    <w:rsid w:val="006A7474"/>
    <w:rsid w:val="006B3AC2"/>
    <w:rsid w:val="006C14A4"/>
    <w:rsid w:val="006C2FA9"/>
    <w:rsid w:val="006C76EA"/>
    <w:rsid w:val="006D299A"/>
    <w:rsid w:val="006D4A62"/>
    <w:rsid w:val="006D76D2"/>
    <w:rsid w:val="006F13CE"/>
    <w:rsid w:val="006F17A8"/>
    <w:rsid w:val="007022DC"/>
    <w:rsid w:val="0070722E"/>
    <w:rsid w:val="0071047B"/>
    <w:rsid w:val="007121AB"/>
    <w:rsid w:val="00742EC0"/>
    <w:rsid w:val="00744026"/>
    <w:rsid w:val="00747D98"/>
    <w:rsid w:val="007533F0"/>
    <w:rsid w:val="007671ED"/>
    <w:rsid w:val="007718F9"/>
    <w:rsid w:val="00771B80"/>
    <w:rsid w:val="0077303C"/>
    <w:rsid w:val="00780C49"/>
    <w:rsid w:val="00783CB4"/>
    <w:rsid w:val="0078406C"/>
    <w:rsid w:val="007903B4"/>
    <w:rsid w:val="00797557"/>
    <w:rsid w:val="007B6ED7"/>
    <w:rsid w:val="007B74FD"/>
    <w:rsid w:val="007E3331"/>
    <w:rsid w:val="007E419D"/>
    <w:rsid w:val="007F1336"/>
    <w:rsid w:val="007F6C70"/>
    <w:rsid w:val="00800E3F"/>
    <w:rsid w:val="00814A95"/>
    <w:rsid w:val="0081684C"/>
    <w:rsid w:val="00821761"/>
    <w:rsid w:val="008354B5"/>
    <w:rsid w:val="00851310"/>
    <w:rsid w:val="0085379B"/>
    <w:rsid w:val="0087481C"/>
    <w:rsid w:val="00875CA0"/>
    <w:rsid w:val="00881704"/>
    <w:rsid w:val="008A2C21"/>
    <w:rsid w:val="008A69B7"/>
    <w:rsid w:val="008C1F06"/>
    <w:rsid w:val="008C4472"/>
    <w:rsid w:val="008C5596"/>
    <w:rsid w:val="008E199B"/>
    <w:rsid w:val="008E1DA9"/>
    <w:rsid w:val="009019CC"/>
    <w:rsid w:val="00902409"/>
    <w:rsid w:val="009207FD"/>
    <w:rsid w:val="0092165B"/>
    <w:rsid w:val="009449FD"/>
    <w:rsid w:val="00953553"/>
    <w:rsid w:val="00955A7C"/>
    <w:rsid w:val="00956CFE"/>
    <w:rsid w:val="00962B83"/>
    <w:rsid w:val="009669FD"/>
    <w:rsid w:val="0097176C"/>
    <w:rsid w:val="009833AB"/>
    <w:rsid w:val="00985F08"/>
    <w:rsid w:val="009B36DE"/>
    <w:rsid w:val="009B4523"/>
    <w:rsid w:val="009B7C98"/>
    <w:rsid w:val="009D67EC"/>
    <w:rsid w:val="009E30D5"/>
    <w:rsid w:val="009E7F60"/>
    <w:rsid w:val="009F0E30"/>
    <w:rsid w:val="009F5070"/>
    <w:rsid w:val="00A021A1"/>
    <w:rsid w:val="00A05F6C"/>
    <w:rsid w:val="00A13829"/>
    <w:rsid w:val="00A5569F"/>
    <w:rsid w:val="00A55C87"/>
    <w:rsid w:val="00A61AB7"/>
    <w:rsid w:val="00A7031B"/>
    <w:rsid w:val="00A84150"/>
    <w:rsid w:val="00A8473C"/>
    <w:rsid w:val="00A849E6"/>
    <w:rsid w:val="00A93AAB"/>
    <w:rsid w:val="00AB6372"/>
    <w:rsid w:val="00AC06B1"/>
    <w:rsid w:val="00AC0D22"/>
    <w:rsid w:val="00AC22F3"/>
    <w:rsid w:val="00AC7F71"/>
    <w:rsid w:val="00AD5E33"/>
    <w:rsid w:val="00AD68BE"/>
    <w:rsid w:val="00AE00B3"/>
    <w:rsid w:val="00AE4C03"/>
    <w:rsid w:val="00AE6CC7"/>
    <w:rsid w:val="00AF097E"/>
    <w:rsid w:val="00AF1F5C"/>
    <w:rsid w:val="00AF1F8F"/>
    <w:rsid w:val="00AF38C2"/>
    <w:rsid w:val="00B04F8D"/>
    <w:rsid w:val="00B0603C"/>
    <w:rsid w:val="00B14ED0"/>
    <w:rsid w:val="00B273B6"/>
    <w:rsid w:val="00B3388B"/>
    <w:rsid w:val="00B338B8"/>
    <w:rsid w:val="00B409BA"/>
    <w:rsid w:val="00B43E4F"/>
    <w:rsid w:val="00B4583C"/>
    <w:rsid w:val="00B461F8"/>
    <w:rsid w:val="00B473D1"/>
    <w:rsid w:val="00B51CE8"/>
    <w:rsid w:val="00B5528D"/>
    <w:rsid w:val="00B5649D"/>
    <w:rsid w:val="00B57D80"/>
    <w:rsid w:val="00B739CF"/>
    <w:rsid w:val="00B74C6F"/>
    <w:rsid w:val="00B8157A"/>
    <w:rsid w:val="00B902CB"/>
    <w:rsid w:val="00BA2756"/>
    <w:rsid w:val="00BB6C88"/>
    <w:rsid w:val="00BC13D1"/>
    <w:rsid w:val="00BD4FDC"/>
    <w:rsid w:val="00BE1516"/>
    <w:rsid w:val="00BE535C"/>
    <w:rsid w:val="00C0184E"/>
    <w:rsid w:val="00C04757"/>
    <w:rsid w:val="00C27CFB"/>
    <w:rsid w:val="00C32DDA"/>
    <w:rsid w:val="00C40666"/>
    <w:rsid w:val="00C420DB"/>
    <w:rsid w:val="00C464F6"/>
    <w:rsid w:val="00C47C45"/>
    <w:rsid w:val="00C522F5"/>
    <w:rsid w:val="00C61DD0"/>
    <w:rsid w:val="00C7367A"/>
    <w:rsid w:val="00C74D3B"/>
    <w:rsid w:val="00C817FB"/>
    <w:rsid w:val="00C84641"/>
    <w:rsid w:val="00C85830"/>
    <w:rsid w:val="00C8754D"/>
    <w:rsid w:val="00C90016"/>
    <w:rsid w:val="00C910C1"/>
    <w:rsid w:val="00C93665"/>
    <w:rsid w:val="00C93A18"/>
    <w:rsid w:val="00C95709"/>
    <w:rsid w:val="00C9764F"/>
    <w:rsid w:val="00CA0837"/>
    <w:rsid w:val="00CA093D"/>
    <w:rsid w:val="00CA2920"/>
    <w:rsid w:val="00CB29F6"/>
    <w:rsid w:val="00CB4406"/>
    <w:rsid w:val="00CC6D48"/>
    <w:rsid w:val="00CD1C32"/>
    <w:rsid w:val="00CF1F18"/>
    <w:rsid w:val="00CF3E85"/>
    <w:rsid w:val="00D003CC"/>
    <w:rsid w:val="00D05A34"/>
    <w:rsid w:val="00D063A1"/>
    <w:rsid w:val="00D13663"/>
    <w:rsid w:val="00D20B3D"/>
    <w:rsid w:val="00D223B4"/>
    <w:rsid w:val="00D246FE"/>
    <w:rsid w:val="00D24E9B"/>
    <w:rsid w:val="00D27B28"/>
    <w:rsid w:val="00D31861"/>
    <w:rsid w:val="00D43338"/>
    <w:rsid w:val="00D450F0"/>
    <w:rsid w:val="00D61AF7"/>
    <w:rsid w:val="00D6282D"/>
    <w:rsid w:val="00D632FD"/>
    <w:rsid w:val="00D6390D"/>
    <w:rsid w:val="00D6585B"/>
    <w:rsid w:val="00D6657B"/>
    <w:rsid w:val="00D7094E"/>
    <w:rsid w:val="00D84E74"/>
    <w:rsid w:val="00D85CE7"/>
    <w:rsid w:val="00DA2ADD"/>
    <w:rsid w:val="00DB0DC2"/>
    <w:rsid w:val="00DB2D31"/>
    <w:rsid w:val="00DB6933"/>
    <w:rsid w:val="00DC2127"/>
    <w:rsid w:val="00DC2F64"/>
    <w:rsid w:val="00DC73B5"/>
    <w:rsid w:val="00DD3982"/>
    <w:rsid w:val="00DD6F37"/>
    <w:rsid w:val="00DE078E"/>
    <w:rsid w:val="00DE1EBD"/>
    <w:rsid w:val="00DF4451"/>
    <w:rsid w:val="00DF4752"/>
    <w:rsid w:val="00E02D10"/>
    <w:rsid w:val="00E2427F"/>
    <w:rsid w:val="00E408BD"/>
    <w:rsid w:val="00E43820"/>
    <w:rsid w:val="00E56988"/>
    <w:rsid w:val="00E71025"/>
    <w:rsid w:val="00E7163C"/>
    <w:rsid w:val="00E72FDF"/>
    <w:rsid w:val="00E9565B"/>
    <w:rsid w:val="00EA6B85"/>
    <w:rsid w:val="00EB2567"/>
    <w:rsid w:val="00EC25A2"/>
    <w:rsid w:val="00ED0BC9"/>
    <w:rsid w:val="00ED6684"/>
    <w:rsid w:val="00EE20AB"/>
    <w:rsid w:val="00EE643A"/>
    <w:rsid w:val="00EF422C"/>
    <w:rsid w:val="00F01770"/>
    <w:rsid w:val="00F06755"/>
    <w:rsid w:val="00F07261"/>
    <w:rsid w:val="00F10D4E"/>
    <w:rsid w:val="00F1534B"/>
    <w:rsid w:val="00F216BA"/>
    <w:rsid w:val="00F27B22"/>
    <w:rsid w:val="00F45830"/>
    <w:rsid w:val="00F47E6D"/>
    <w:rsid w:val="00F51C9A"/>
    <w:rsid w:val="00F60114"/>
    <w:rsid w:val="00F6178F"/>
    <w:rsid w:val="00F67D5D"/>
    <w:rsid w:val="00F776AE"/>
    <w:rsid w:val="00F8245E"/>
    <w:rsid w:val="00F91EE2"/>
    <w:rsid w:val="00FA0DED"/>
    <w:rsid w:val="00FA192C"/>
    <w:rsid w:val="00FA67D4"/>
    <w:rsid w:val="00FA7E43"/>
    <w:rsid w:val="00FB009C"/>
    <w:rsid w:val="00FB1BB1"/>
    <w:rsid w:val="00FB2367"/>
    <w:rsid w:val="00FC3406"/>
    <w:rsid w:val="00FC7834"/>
    <w:rsid w:val="00FE30B9"/>
    <w:rsid w:val="00FE60C0"/>
    <w:rsid w:val="00FF69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paragraph" w:styleId="Heading1">
    <w:name w:val="heading 1"/>
    <w:basedOn w:val="ListNumber2"/>
    <w:next w:val="Normal"/>
    <w:link w:val="Heading1Char"/>
    <w:uiPriority w:val="9"/>
    <w:qFormat/>
    <w:rsid w:val="00AC7F71"/>
    <w:pPr>
      <w:spacing w:after="240"/>
      <w:outlineLvl w:val="0"/>
    </w:pPr>
    <w:rPr>
      <w:sz w:val="32"/>
      <w:szCs w:val="32"/>
    </w:rPr>
  </w:style>
  <w:style w:type="paragraph" w:styleId="Heading2">
    <w:name w:val="heading 2"/>
    <w:basedOn w:val="ListNumber"/>
    <w:next w:val="Normal"/>
    <w:link w:val="Heading2Char"/>
    <w:uiPriority w:val="9"/>
    <w:unhideWhenUsed/>
    <w:qFormat/>
    <w:rsid w:val="00AC7F71"/>
    <w:pPr>
      <w:outlineLvl w:val="1"/>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B43E4F"/>
    <w:pPr>
      <w:spacing w:after="200" w:line="240" w:lineRule="auto"/>
    </w:pPr>
    <w:rPr>
      <w:rFonts w:ascii="Calibri" w:eastAsia="Calibri" w:hAnsi="Calibri" w:cs="Times New Roman"/>
      <w:sz w:val="24"/>
    </w:rPr>
  </w:style>
  <w:style w:type="paragraph" w:styleId="ListNumber2">
    <w:name w:val="List Number 2"/>
    <w:basedOn w:val="Normal"/>
    <w:autoRedefine/>
    <w:uiPriority w:val="99"/>
    <w:rsid w:val="0078406C"/>
    <w:pPr>
      <w:spacing w:after="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character" w:styleId="Hyperlink">
    <w:name w:val="Hyperlink"/>
    <w:basedOn w:val="DefaultParagraphFont"/>
    <w:uiPriority w:val="99"/>
    <w:unhideWhenUsed/>
    <w:rsid w:val="00D632FD"/>
    <w:rPr>
      <w:color w:val="0563C1" w:themeColor="hyperlink"/>
      <w:u w:val="single"/>
    </w:rPr>
  </w:style>
  <w:style w:type="character" w:styleId="FollowedHyperlink">
    <w:name w:val="FollowedHyperlink"/>
    <w:basedOn w:val="DefaultParagraphFont"/>
    <w:uiPriority w:val="99"/>
    <w:semiHidden/>
    <w:unhideWhenUsed/>
    <w:rsid w:val="005C573C"/>
    <w:rPr>
      <w:color w:val="954F72" w:themeColor="followedHyperlink"/>
      <w:u w:val="single"/>
    </w:rPr>
  </w:style>
  <w:style w:type="paragraph" w:styleId="NoSpacing">
    <w:name w:val="No Spacing"/>
    <w:uiPriority w:val="1"/>
    <w:qFormat/>
    <w:rsid w:val="004B4949"/>
    <w:pPr>
      <w:spacing w:after="0" w:line="240" w:lineRule="auto"/>
    </w:pPr>
  </w:style>
  <w:style w:type="paragraph" w:styleId="NormalWeb">
    <w:name w:val="Normal (Web)"/>
    <w:basedOn w:val="Normal"/>
    <w:uiPriority w:val="99"/>
    <w:semiHidden/>
    <w:unhideWhenUsed/>
    <w:rsid w:val="00C420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C7F71"/>
    <w:rPr>
      <w:rFonts w:ascii="Calibri" w:eastAsia="Calibri" w:hAnsi="Calibri" w:cs="Times New Roman"/>
      <w:b/>
      <w:sz w:val="32"/>
      <w:szCs w:val="32"/>
    </w:rPr>
  </w:style>
  <w:style w:type="character" w:customStyle="1" w:styleId="Heading2Char">
    <w:name w:val="Heading 2 Char"/>
    <w:basedOn w:val="DefaultParagraphFont"/>
    <w:link w:val="Heading2"/>
    <w:uiPriority w:val="9"/>
    <w:rsid w:val="00AC7F71"/>
    <w:rPr>
      <w:rFonts w:eastAsia="Calibri"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0342">
      <w:bodyDiv w:val="1"/>
      <w:marLeft w:val="0"/>
      <w:marRight w:val="0"/>
      <w:marTop w:val="0"/>
      <w:marBottom w:val="0"/>
      <w:divBdr>
        <w:top w:val="none" w:sz="0" w:space="0" w:color="auto"/>
        <w:left w:val="none" w:sz="0" w:space="0" w:color="auto"/>
        <w:bottom w:val="none" w:sz="0" w:space="0" w:color="auto"/>
        <w:right w:val="none" w:sz="0" w:space="0" w:color="auto"/>
      </w:divBdr>
    </w:div>
    <w:div w:id="576130245">
      <w:bodyDiv w:val="1"/>
      <w:marLeft w:val="0"/>
      <w:marRight w:val="0"/>
      <w:marTop w:val="0"/>
      <w:marBottom w:val="0"/>
      <w:divBdr>
        <w:top w:val="none" w:sz="0" w:space="0" w:color="auto"/>
        <w:left w:val="none" w:sz="0" w:space="0" w:color="auto"/>
        <w:bottom w:val="none" w:sz="0" w:space="0" w:color="auto"/>
        <w:right w:val="none" w:sz="0" w:space="0" w:color="auto"/>
      </w:divBdr>
    </w:div>
    <w:div w:id="583881241">
      <w:bodyDiv w:val="1"/>
      <w:marLeft w:val="0"/>
      <w:marRight w:val="0"/>
      <w:marTop w:val="0"/>
      <w:marBottom w:val="0"/>
      <w:divBdr>
        <w:top w:val="none" w:sz="0" w:space="0" w:color="auto"/>
        <w:left w:val="none" w:sz="0" w:space="0" w:color="auto"/>
        <w:bottom w:val="none" w:sz="0" w:space="0" w:color="auto"/>
        <w:right w:val="none" w:sz="0" w:space="0" w:color="auto"/>
      </w:divBdr>
    </w:div>
    <w:div w:id="588270585">
      <w:bodyDiv w:val="1"/>
      <w:marLeft w:val="0"/>
      <w:marRight w:val="0"/>
      <w:marTop w:val="0"/>
      <w:marBottom w:val="0"/>
      <w:divBdr>
        <w:top w:val="none" w:sz="0" w:space="0" w:color="auto"/>
        <w:left w:val="none" w:sz="0" w:space="0" w:color="auto"/>
        <w:bottom w:val="none" w:sz="0" w:space="0" w:color="auto"/>
        <w:right w:val="none" w:sz="0" w:space="0" w:color="auto"/>
      </w:divBdr>
    </w:div>
    <w:div w:id="626544518">
      <w:bodyDiv w:val="1"/>
      <w:marLeft w:val="0"/>
      <w:marRight w:val="0"/>
      <w:marTop w:val="0"/>
      <w:marBottom w:val="0"/>
      <w:divBdr>
        <w:top w:val="none" w:sz="0" w:space="0" w:color="auto"/>
        <w:left w:val="none" w:sz="0" w:space="0" w:color="auto"/>
        <w:bottom w:val="none" w:sz="0" w:space="0" w:color="auto"/>
        <w:right w:val="none" w:sz="0" w:space="0" w:color="auto"/>
      </w:divBdr>
    </w:div>
    <w:div w:id="749429095">
      <w:bodyDiv w:val="1"/>
      <w:marLeft w:val="0"/>
      <w:marRight w:val="0"/>
      <w:marTop w:val="0"/>
      <w:marBottom w:val="0"/>
      <w:divBdr>
        <w:top w:val="none" w:sz="0" w:space="0" w:color="auto"/>
        <w:left w:val="none" w:sz="0" w:space="0" w:color="auto"/>
        <w:bottom w:val="none" w:sz="0" w:space="0" w:color="auto"/>
        <w:right w:val="none" w:sz="0" w:space="0" w:color="auto"/>
      </w:divBdr>
    </w:div>
    <w:div w:id="825514994">
      <w:bodyDiv w:val="1"/>
      <w:marLeft w:val="0"/>
      <w:marRight w:val="0"/>
      <w:marTop w:val="0"/>
      <w:marBottom w:val="0"/>
      <w:divBdr>
        <w:top w:val="none" w:sz="0" w:space="0" w:color="auto"/>
        <w:left w:val="none" w:sz="0" w:space="0" w:color="auto"/>
        <w:bottom w:val="none" w:sz="0" w:space="0" w:color="auto"/>
        <w:right w:val="none" w:sz="0" w:space="0" w:color="auto"/>
      </w:divBdr>
    </w:div>
    <w:div w:id="860121598">
      <w:bodyDiv w:val="1"/>
      <w:marLeft w:val="0"/>
      <w:marRight w:val="0"/>
      <w:marTop w:val="0"/>
      <w:marBottom w:val="0"/>
      <w:divBdr>
        <w:top w:val="none" w:sz="0" w:space="0" w:color="auto"/>
        <w:left w:val="none" w:sz="0" w:space="0" w:color="auto"/>
        <w:bottom w:val="none" w:sz="0" w:space="0" w:color="auto"/>
        <w:right w:val="none" w:sz="0" w:space="0" w:color="auto"/>
      </w:divBdr>
      <w:divsChild>
        <w:div w:id="1169371074">
          <w:marLeft w:val="274"/>
          <w:marRight w:val="0"/>
          <w:marTop w:val="0"/>
          <w:marBottom w:val="0"/>
          <w:divBdr>
            <w:top w:val="none" w:sz="0" w:space="0" w:color="auto"/>
            <w:left w:val="none" w:sz="0" w:space="0" w:color="auto"/>
            <w:bottom w:val="none" w:sz="0" w:space="0" w:color="auto"/>
            <w:right w:val="none" w:sz="0" w:space="0" w:color="auto"/>
          </w:divBdr>
        </w:div>
      </w:divsChild>
    </w:div>
    <w:div w:id="1798334672">
      <w:bodyDiv w:val="1"/>
      <w:marLeft w:val="0"/>
      <w:marRight w:val="0"/>
      <w:marTop w:val="0"/>
      <w:marBottom w:val="0"/>
      <w:divBdr>
        <w:top w:val="none" w:sz="0" w:space="0" w:color="auto"/>
        <w:left w:val="none" w:sz="0" w:space="0" w:color="auto"/>
        <w:bottom w:val="none" w:sz="0" w:space="0" w:color="auto"/>
        <w:right w:val="none" w:sz="0" w:space="0" w:color="auto"/>
      </w:divBdr>
    </w:div>
    <w:div w:id="1840391139">
      <w:bodyDiv w:val="1"/>
      <w:marLeft w:val="0"/>
      <w:marRight w:val="0"/>
      <w:marTop w:val="0"/>
      <w:marBottom w:val="0"/>
      <w:divBdr>
        <w:top w:val="none" w:sz="0" w:space="0" w:color="auto"/>
        <w:left w:val="none" w:sz="0" w:space="0" w:color="auto"/>
        <w:bottom w:val="none" w:sz="0" w:space="0" w:color="auto"/>
        <w:right w:val="none" w:sz="0" w:space="0" w:color="auto"/>
      </w:divBdr>
    </w:div>
    <w:div w:id="20039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ecurityroundtable@agricultu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vironmentalpestlist@agriculture.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D8ECFAE-D824-4F9F-9AB7-F57F6355462B}"/>
</file>

<file path=customXml/itemProps2.xml><?xml version="1.0" encoding="utf-8"?>
<ds:datastoreItem xmlns:ds="http://schemas.openxmlformats.org/officeDocument/2006/customXml" ds:itemID="{7BCA3A8C-9B4F-46D1-9973-CE9B610CC677}"/>
</file>

<file path=customXml/itemProps3.xml><?xml version="1.0" encoding="utf-8"?>
<ds:datastoreItem xmlns:ds="http://schemas.openxmlformats.org/officeDocument/2006/customXml" ds:itemID="{CE36C7A2-34FB-4CD8-8FDB-2BE99DBD16A7}"/>
</file>

<file path=customXml/itemProps4.xml><?xml version="1.0" encoding="utf-8"?>
<ds:datastoreItem xmlns:ds="http://schemas.openxmlformats.org/officeDocument/2006/customXml" ds:itemID="{4B5ADFF6-2762-4FB0-A4BA-48FDD88E75E5}"/>
</file>

<file path=docProps/app.xml><?xml version="1.0" encoding="utf-8"?>
<Properties xmlns="http://schemas.openxmlformats.org/officeDocument/2006/extended-properties" xmlns:vt="http://schemas.openxmlformats.org/officeDocument/2006/docPropsVTypes">
  <Template>Normal</Template>
  <TotalTime>126</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Environmental Biosecurity Roundtables Sydney Summary Report</dc:title>
  <dc:subject/>
  <dc:creator>Department of Agriculture and Water Resources; Department of the Environment and Energy</dc:creator>
  <cp:keywords/>
  <dc:description/>
  <cp:lastModifiedBy>Dang, Van</cp:lastModifiedBy>
  <cp:revision>19</cp:revision>
  <cp:lastPrinted>2018-01-07T23:09:00Z</cp:lastPrinted>
  <dcterms:created xsi:type="dcterms:W3CDTF">2017-11-26T21:29:00Z</dcterms:created>
  <dcterms:modified xsi:type="dcterms:W3CDTF">2018-02-12T01:01:00Z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