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7CC02" w14:textId="753D51A4" w:rsidR="005D02CA" w:rsidRDefault="00552565" w:rsidP="005F36C2">
      <w:pPr>
        <w:pStyle w:val="ListNumber2"/>
        <w:spacing w:before="120" w:after="120"/>
      </w:pPr>
      <w:r>
        <w:rPr>
          <w:sz w:val="28"/>
          <w:szCs w:val="28"/>
        </w:rPr>
        <w:t>Queensland</w:t>
      </w:r>
      <w:r w:rsidR="005D02CA" w:rsidRPr="00C93665">
        <w:rPr>
          <w:sz w:val="28"/>
          <w:szCs w:val="28"/>
        </w:rPr>
        <w:t xml:space="preserve"> </w:t>
      </w:r>
      <w:r w:rsidR="005D02CA">
        <w:rPr>
          <w:sz w:val="28"/>
          <w:szCs w:val="28"/>
        </w:rPr>
        <w:t>B</w:t>
      </w:r>
      <w:r w:rsidR="005D02CA" w:rsidRPr="00C93665">
        <w:rPr>
          <w:sz w:val="28"/>
          <w:szCs w:val="28"/>
        </w:rPr>
        <w:t xml:space="preserve">iosecurity </w:t>
      </w:r>
      <w:r w:rsidR="005D02CA">
        <w:rPr>
          <w:sz w:val="28"/>
          <w:szCs w:val="28"/>
        </w:rPr>
        <w:t>R</w:t>
      </w:r>
      <w:r w:rsidR="005D02CA" w:rsidRPr="00C93665">
        <w:rPr>
          <w:sz w:val="28"/>
          <w:szCs w:val="28"/>
        </w:rPr>
        <w:t>oundtable</w:t>
      </w:r>
      <w:r w:rsidR="005D02CA">
        <w:rPr>
          <w:sz w:val="28"/>
          <w:szCs w:val="28"/>
        </w:rPr>
        <w:t xml:space="preserve"> report</w:t>
      </w:r>
    </w:p>
    <w:p w14:paraId="662C876D" w14:textId="41641FEF" w:rsidR="00C90016" w:rsidRPr="00833D51" w:rsidRDefault="002247AF" w:rsidP="00833D51">
      <w:pPr>
        <w:pStyle w:val="ListNumber"/>
        <w:rPr>
          <w:b w:val="0"/>
        </w:rPr>
      </w:pPr>
      <w:r w:rsidRPr="00833D51">
        <w:rPr>
          <w:b w:val="0"/>
        </w:rPr>
        <w:t>Thank you for attending the 2017</w:t>
      </w:r>
      <w:r w:rsidR="00C90016" w:rsidRPr="00833D51">
        <w:rPr>
          <w:b w:val="0"/>
        </w:rPr>
        <w:t xml:space="preserve"> National Biosecurity C</w:t>
      </w:r>
      <w:r w:rsidR="009B4523" w:rsidRPr="00833D51">
        <w:rPr>
          <w:b w:val="0"/>
        </w:rPr>
        <w:t>ommittee</w:t>
      </w:r>
      <w:r w:rsidR="00C90016" w:rsidRPr="00833D51">
        <w:rPr>
          <w:b w:val="0"/>
        </w:rPr>
        <w:t xml:space="preserve"> (NBC) Biosecurity Roundtable held in</w:t>
      </w:r>
      <w:r w:rsidR="00EF4FF0" w:rsidRPr="00833D51">
        <w:rPr>
          <w:b w:val="0"/>
        </w:rPr>
        <w:t xml:space="preserve"> </w:t>
      </w:r>
      <w:r w:rsidR="00552565" w:rsidRPr="00833D51">
        <w:rPr>
          <w:b w:val="0"/>
        </w:rPr>
        <w:t>Brisbane</w:t>
      </w:r>
      <w:r w:rsidR="00EF4FF0" w:rsidRPr="00833D51">
        <w:rPr>
          <w:b w:val="0"/>
        </w:rPr>
        <w:t xml:space="preserve">, </w:t>
      </w:r>
      <w:r w:rsidR="00552565" w:rsidRPr="00833D51">
        <w:rPr>
          <w:b w:val="0"/>
        </w:rPr>
        <w:t>Queensland on 15 September</w:t>
      </w:r>
      <w:r w:rsidR="00EF4FF0" w:rsidRPr="00833D51">
        <w:rPr>
          <w:b w:val="0"/>
        </w:rPr>
        <w:t xml:space="preserve"> 2017.</w:t>
      </w:r>
    </w:p>
    <w:p w14:paraId="3192084C" w14:textId="0650E072" w:rsidR="005D02CA" w:rsidRPr="00833D51" w:rsidRDefault="00C90016" w:rsidP="00833D51">
      <w:pPr>
        <w:pStyle w:val="ListNumber"/>
        <w:rPr>
          <w:b w:val="0"/>
        </w:rPr>
      </w:pPr>
      <w:r w:rsidRPr="00833D51">
        <w:rPr>
          <w:b w:val="0"/>
        </w:rPr>
        <w:t xml:space="preserve">This event was hosted by the NBC, together with the </w:t>
      </w:r>
      <w:r w:rsidR="002C54D2" w:rsidRPr="00833D51">
        <w:rPr>
          <w:b w:val="0"/>
        </w:rPr>
        <w:t xml:space="preserve">Australian Government </w:t>
      </w:r>
      <w:r w:rsidRPr="00833D51">
        <w:rPr>
          <w:b w:val="0"/>
        </w:rPr>
        <w:t>Department of Agriculture and Water Resources</w:t>
      </w:r>
      <w:r w:rsidR="000670F9" w:rsidRPr="00833D51">
        <w:rPr>
          <w:b w:val="0"/>
        </w:rPr>
        <w:t>,</w:t>
      </w:r>
      <w:r w:rsidR="00552565" w:rsidRPr="00833D51">
        <w:rPr>
          <w:b w:val="0"/>
        </w:rPr>
        <w:t xml:space="preserve"> and the Queensland Department of Agriculture and Fisheries. </w:t>
      </w:r>
      <w:r w:rsidR="000670F9" w:rsidRPr="00833D51">
        <w:rPr>
          <w:b w:val="0"/>
        </w:rPr>
        <w:t xml:space="preserve"> </w:t>
      </w:r>
    </w:p>
    <w:p w14:paraId="4D51B612" w14:textId="3268A12D" w:rsidR="00E96902" w:rsidRPr="00833D51" w:rsidRDefault="005D02CA" w:rsidP="00833D51">
      <w:pPr>
        <w:pStyle w:val="ListNumber"/>
        <w:rPr>
          <w:b w:val="0"/>
        </w:rPr>
      </w:pPr>
      <w:r w:rsidRPr="00833D51">
        <w:rPr>
          <w:b w:val="0"/>
          <w:noProof/>
          <w:lang w:eastAsia="en-AU"/>
        </w:rPr>
        <mc:AlternateContent>
          <mc:Choice Requires="wps">
            <w:drawing>
              <wp:anchor distT="45720" distB="45720" distL="114300" distR="114300" simplePos="0" relativeHeight="251659264" behindDoc="0" locked="0" layoutInCell="1" allowOverlap="1" wp14:anchorId="1F07D26B" wp14:editId="3F5A1E54">
                <wp:simplePos x="0" y="0"/>
                <wp:positionH relativeFrom="margin">
                  <wp:align>left</wp:align>
                </wp:positionH>
                <wp:positionV relativeFrom="paragraph">
                  <wp:posOffset>742315</wp:posOffset>
                </wp:positionV>
                <wp:extent cx="5730240" cy="2545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545080"/>
                        </a:xfrm>
                        <a:prstGeom prst="rect">
                          <a:avLst/>
                        </a:prstGeom>
                        <a:solidFill>
                          <a:srgbClr val="FFFFFF"/>
                        </a:solidFill>
                        <a:ln w="9525">
                          <a:solidFill>
                            <a:srgbClr val="000000"/>
                          </a:solidFill>
                          <a:miter lim="800000"/>
                          <a:headEnd/>
                          <a:tailEnd/>
                        </a:ln>
                      </wps:spPr>
                      <wps:txbx>
                        <w:txbxContent>
                          <w:p w14:paraId="150259DD" w14:textId="4C631109" w:rsidR="00C64344" w:rsidRDefault="00C64344">
                            <w:pPr>
                              <w:rPr>
                                <w:b/>
                              </w:rPr>
                            </w:pPr>
                            <w:r>
                              <w:rPr>
                                <w:b/>
                              </w:rPr>
                              <w:t>What we heard from participants</w:t>
                            </w:r>
                          </w:p>
                          <w:p w14:paraId="498DC2AE" w14:textId="7F6106A5" w:rsidR="00C64344" w:rsidRPr="00736958" w:rsidRDefault="00C64344" w:rsidP="00736958">
                            <w:pPr>
                              <w:pStyle w:val="ListParagraph"/>
                              <w:numPr>
                                <w:ilvl w:val="0"/>
                                <w:numId w:val="19"/>
                              </w:numPr>
                              <w:rPr>
                                <w:rFonts w:eastAsia="Calibri"/>
                              </w:rPr>
                            </w:pPr>
                            <w:r>
                              <w:t>Biosecurity surveillance and monitoring could be boosted by educating and empowering the community to participate</w:t>
                            </w:r>
                            <w:r w:rsidR="00D52C8E">
                              <w:t xml:space="preserve"> and be more active</w:t>
                            </w:r>
                            <w:r>
                              <w:t xml:space="preserve">. </w:t>
                            </w:r>
                          </w:p>
                          <w:p w14:paraId="5E7259F0" w14:textId="3BCFAF98" w:rsidR="00C64344" w:rsidRDefault="00C64344" w:rsidP="00FE172D">
                            <w:pPr>
                              <w:pStyle w:val="ListParagraph"/>
                              <w:numPr>
                                <w:ilvl w:val="0"/>
                                <w:numId w:val="19"/>
                              </w:numPr>
                              <w:rPr>
                                <w:rFonts w:eastAsia="Calibri"/>
                              </w:rPr>
                            </w:pPr>
                            <w:r>
                              <w:rPr>
                                <w:rFonts w:eastAsia="Calibri"/>
                              </w:rPr>
                              <w:t xml:space="preserve">We need better </w:t>
                            </w:r>
                            <w:r w:rsidRPr="0059395A">
                              <w:rPr>
                                <w:rFonts w:eastAsia="Calibri"/>
                              </w:rPr>
                              <w:t>driver</w:t>
                            </w:r>
                            <w:r>
                              <w:rPr>
                                <w:rFonts w:eastAsia="Calibri"/>
                              </w:rPr>
                              <w:t>s</w:t>
                            </w:r>
                            <w:r w:rsidRPr="0059395A">
                              <w:rPr>
                                <w:rFonts w:eastAsia="Calibri"/>
                              </w:rPr>
                              <w:t xml:space="preserve"> for change</w:t>
                            </w:r>
                            <w:r w:rsidR="00D52C8E">
                              <w:rPr>
                                <w:rFonts w:eastAsia="Calibri"/>
                              </w:rPr>
                              <w:t>,</w:t>
                            </w:r>
                            <w:r w:rsidRPr="0059395A">
                              <w:rPr>
                                <w:rFonts w:eastAsia="Calibri"/>
                              </w:rPr>
                              <w:t xml:space="preserve"> a</w:t>
                            </w:r>
                            <w:r w:rsidR="00D52C8E">
                              <w:rPr>
                                <w:rFonts w:eastAsia="Calibri"/>
                              </w:rPr>
                              <w:t>long with</w:t>
                            </w:r>
                            <w:r w:rsidRPr="0059395A">
                              <w:rPr>
                                <w:rFonts w:eastAsia="Calibri"/>
                              </w:rPr>
                              <w:t xml:space="preserve"> incentives and disincentives to </w:t>
                            </w:r>
                            <w:r>
                              <w:rPr>
                                <w:rFonts w:eastAsia="Calibri"/>
                              </w:rPr>
                              <w:t>improve</w:t>
                            </w:r>
                            <w:r w:rsidRPr="0059395A">
                              <w:rPr>
                                <w:rFonts w:eastAsia="Calibri"/>
                              </w:rPr>
                              <w:t xml:space="preserve"> biosecurity compliance</w:t>
                            </w:r>
                            <w:r>
                              <w:rPr>
                                <w:rFonts w:eastAsia="Calibri"/>
                              </w:rPr>
                              <w:t xml:space="preserve">. </w:t>
                            </w:r>
                          </w:p>
                          <w:p w14:paraId="13EAE40B" w14:textId="5FB88557" w:rsidR="00C64344" w:rsidRDefault="00C64344" w:rsidP="00FE172D">
                            <w:pPr>
                              <w:pStyle w:val="ListParagraph"/>
                              <w:numPr>
                                <w:ilvl w:val="0"/>
                                <w:numId w:val="19"/>
                              </w:numPr>
                              <w:rPr>
                                <w:rFonts w:eastAsia="Calibri"/>
                              </w:rPr>
                            </w:pPr>
                            <w:r>
                              <w:rPr>
                                <w:rFonts w:eastAsia="Calibri"/>
                              </w:rPr>
                              <w:t>Broad conversations need to be had with all stakeholders</w:t>
                            </w:r>
                            <w:r w:rsidR="00D52C8E">
                              <w:rPr>
                                <w:rFonts w:eastAsia="Calibri"/>
                              </w:rPr>
                              <w:t xml:space="preserve"> in order</w:t>
                            </w:r>
                            <w:r>
                              <w:rPr>
                                <w:rFonts w:eastAsia="Calibri"/>
                              </w:rPr>
                              <w:t xml:space="preserve"> for them to understand and adopt the concept of shared responsibility.</w:t>
                            </w:r>
                          </w:p>
                          <w:p w14:paraId="437B23E8" w14:textId="2CDC3C1E" w:rsidR="00C64344" w:rsidRDefault="00C64344" w:rsidP="00FE172D">
                            <w:pPr>
                              <w:pStyle w:val="ListParagraph"/>
                              <w:numPr>
                                <w:ilvl w:val="0"/>
                                <w:numId w:val="19"/>
                              </w:numPr>
                              <w:rPr>
                                <w:rFonts w:eastAsia="Calibri"/>
                              </w:rPr>
                            </w:pPr>
                            <w:r>
                              <w:rPr>
                                <w:rFonts w:eastAsia="Calibri"/>
                              </w:rPr>
                              <w:t>Different industries and different stakeholders have very different views on biosecurity.</w:t>
                            </w:r>
                          </w:p>
                          <w:p w14:paraId="17FB135B" w14:textId="42D3479F" w:rsidR="00C64344" w:rsidRPr="002C54D2" w:rsidRDefault="00B12BEE" w:rsidP="00FE172D">
                            <w:pPr>
                              <w:pStyle w:val="ListParagraph"/>
                              <w:numPr>
                                <w:ilvl w:val="0"/>
                                <w:numId w:val="19"/>
                              </w:numPr>
                              <w:rPr>
                                <w:rFonts w:eastAsia="Calibri"/>
                              </w:rPr>
                            </w:pPr>
                            <w:r>
                              <w:t>“</w:t>
                            </w:r>
                            <w:r w:rsidR="00C64344">
                              <w:t>Acceptable risk</w:t>
                            </w:r>
                            <w:r>
                              <w:t>”</w:t>
                            </w:r>
                            <w:r w:rsidR="00C64344">
                              <w:t xml:space="preserve"> needs ongoing conversations and verification. </w:t>
                            </w:r>
                          </w:p>
                          <w:p w14:paraId="5891FD83" w14:textId="116CD7F8" w:rsidR="00C64344" w:rsidRPr="00155150" w:rsidRDefault="00B12BEE" w:rsidP="00FE172D">
                            <w:pPr>
                              <w:pStyle w:val="ListParagraph"/>
                              <w:numPr>
                                <w:ilvl w:val="0"/>
                                <w:numId w:val="19"/>
                              </w:numPr>
                              <w:rPr>
                                <w:rFonts w:eastAsia="Calibri"/>
                              </w:rPr>
                            </w:pPr>
                            <w:r>
                              <w:t xml:space="preserve">The </w:t>
                            </w:r>
                            <w:r w:rsidR="00C64344">
                              <w:t>Intergovernmental Agreement on Biosecurity</w:t>
                            </w:r>
                            <w:r w:rsidR="003628FB">
                              <w:t xml:space="preserve"> (IGAB) roles and responsibilities</w:t>
                            </w:r>
                            <w:r w:rsidR="00C64344">
                              <w:t xml:space="preserve"> table is a great tool but needs some refining.</w:t>
                            </w:r>
                          </w:p>
                          <w:p w14:paraId="22C4F7D2" w14:textId="613A84DD" w:rsidR="00C64344" w:rsidRPr="00FE172D" w:rsidRDefault="00C64344" w:rsidP="00FE172D">
                            <w:pPr>
                              <w:pStyle w:val="ListParagraph"/>
                              <w:numPr>
                                <w:ilvl w:val="0"/>
                                <w:numId w:val="19"/>
                              </w:numPr>
                              <w:rPr>
                                <w:rFonts w:eastAsia="Calibri"/>
                              </w:rPr>
                            </w:pPr>
                            <w:r>
                              <w:rPr>
                                <w:lang w:val="en-US"/>
                              </w:rPr>
                              <w:t>Building confidence in reporting and response processes will improve planning and reporting outcomes, including through increasing general awareness of biosecurity.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7D26B" id="_x0000_t202" coordsize="21600,21600" o:spt="202" path="m,l,21600r21600,l21600,xe">
                <v:stroke joinstyle="miter"/>
                <v:path gradientshapeok="t" o:connecttype="rect"/>
              </v:shapetype>
              <v:shape id="Text Box 2" o:spid="_x0000_s1026" type="#_x0000_t202" style="position:absolute;margin-left:0;margin-top:58.45pt;width:451.2pt;height:200.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">
                <v:textbox>
                  <w:txbxContent>
                    <w:p w14:paraId="150259DD" w14:textId="4C631109" w:rsidR="00C64344" w:rsidRDefault="00C64344">
                      <w:pPr>
                        <w:rPr>
                          <w:b/>
                        </w:rPr>
                      </w:pPr>
                      <w:r>
                        <w:rPr>
                          <w:b/>
                        </w:rPr>
                        <w:t>What we heard from participants</w:t>
                      </w:r>
                    </w:p>
                    <w:p w14:paraId="498DC2AE" w14:textId="7F6106A5" w:rsidR="00C64344" w:rsidRPr="00736958" w:rsidRDefault="00C64344" w:rsidP="00736958">
                      <w:pPr>
                        <w:pStyle w:val="ListParagraph"/>
                        <w:numPr>
                          <w:ilvl w:val="0"/>
                          <w:numId w:val="19"/>
                        </w:numPr>
                        <w:rPr>
                          <w:rFonts w:eastAsia="Calibri"/>
                        </w:rPr>
                      </w:pPr>
                      <w:r>
                        <w:t>Biosecurity surveillance and monitoring could be boosted by educating and empowering the community to participate</w:t>
                      </w:r>
                      <w:r w:rsidR="00D52C8E">
                        <w:t xml:space="preserve"> and be more active</w:t>
                      </w:r>
                      <w:r>
                        <w:t xml:space="preserve">. </w:t>
                      </w:r>
                    </w:p>
                    <w:p w14:paraId="5E7259F0" w14:textId="3BCFAF98" w:rsidR="00C64344" w:rsidRDefault="00C64344" w:rsidP="00FE172D">
                      <w:pPr>
                        <w:pStyle w:val="ListParagraph"/>
                        <w:numPr>
                          <w:ilvl w:val="0"/>
                          <w:numId w:val="19"/>
                        </w:numPr>
                        <w:rPr>
                          <w:rFonts w:eastAsia="Calibri"/>
                        </w:rPr>
                      </w:pPr>
                      <w:r>
                        <w:rPr>
                          <w:rFonts w:eastAsia="Calibri"/>
                        </w:rPr>
                        <w:t xml:space="preserve">We need better </w:t>
                      </w:r>
                      <w:r w:rsidRPr="0059395A">
                        <w:rPr>
                          <w:rFonts w:eastAsia="Calibri"/>
                        </w:rPr>
                        <w:t>driver</w:t>
                      </w:r>
                      <w:r>
                        <w:rPr>
                          <w:rFonts w:eastAsia="Calibri"/>
                        </w:rPr>
                        <w:t>s</w:t>
                      </w:r>
                      <w:r w:rsidRPr="0059395A">
                        <w:rPr>
                          <w:rFonts w:eastAsia="Calibri"/>
                        </w:rPr>
                        <w:t xml:space="preserve"> for change</w:t>
                      </w:r>
                      <w:r w:rsidR="00D52C8E">
                        <w:rPr>
                          <w:rFonts w:eastAsia="Calibri"/>
                        </w:rPr>
                        <w:t>,</w:t>
                      </w:r>
                      <w:r w:rsidRPr="0059395A">
                        <w:rPr>
                          <w:rFonts w:eastAsia="Calibri"/>
                        </w:rPr>
                        <w:t xml:space="preserve"> a</w:t>
                      </w:r>
                      <w:r w:rsidR="00D52C8E">
                        <w:rPr>
                          <w:rFonts w:eastAsia="Calibri"/>
                        </w:rPr>
                        <w:t>long with</w:t>
                      </w:r>
                      <w:r w:rsidRPr="0059395A">
                        <w:rPr>
                          <w:rFonts w:eastAsia="Calibri"/>
                        </w:rPr>
                        <w:t xml:space="preserve"> incentives and disincentives to </w:t>
                      </w:r>
                      <w:r>
                        <w:rPr>
                          <w:rFonts w:eastAsia="Calibri"/>
                        </w:rPr>
                        <w:t>improve</w:t>
                      </w:r>
                      <w:r w:rsidRPr="0059395A">
                        <w:rPr>
                          <w:rFonts w:eastAsia="Calibri"/>
                        </w:rPr>
                        <w:t xml:space="preserve"> biosecurity compliance</w:t>
                      </w:r>
                      <w:r>
                        <w:rPr>
                          <w:rFonts w:eastAsia="Calibri"/>
                        </w:rPr>
                        <w:t xml:space="preserve">. </w:t>
                      </w:r>
                    </w:p>
                    <w:p w14:paraId="13EAE40B" w14:textId="5FB88557" w:rsidR="00C64344" w:rsidRDefault="00C64344" w:rsidP="00FE172D">
                      <w:pPr>
                        <w:pStyle w:val="ListParagraph"/>
                        <w:numPr>
                          <w:ilvl w:val="0"/>
                          <w:numId w:val="19"/>
                        </w:numPr>
                        <w:rPr>
                          <w:rFonts w:eastAsia="Calibri"/>
                        </w:rPr>
                      </w:pPr>
                      <w:r>
                        <w:rPr>
                          <w:rFonts w:eastAsia="Calibri"/>
                        </w:rPr>
                        <w:t>Broad conversations need to be had with all stakeholders</w:t>
                      </w:r>
                      <w:r w:rsidR="00D52C8E">
                        <w:rPr>
                          <w:rFonts w:eastAsia="Calibri"/>
                        </w:rPr>
                        <w:t xml:space="preserve"> in order</w:t>
                      </w:r>
                      <w:r>
                        <w:rPr>
                          <w:rFonts w:eastAsia="Calibri"/>
                        </w:rPr>
                        <w:t xml:space="preserve"> for them to understand and adopt the concept of shared responsibility.</w:t>
                      </w:r>
                    </w:p>
                    <w:p w14:paraId="437B23E8" w14:textId="2CDC3C1E" w:rsidR="00C64344" w:rsidRDefault="00C64344" w:rsidP="00FE172D">
                      <w:pPr>
                        <w:pStyle w:val="ListParagraph"/>
                        <w:numPr>
                          <w:ilvl w:val="0"/>
                          <w:numId w:val="19"/>
                        </w:numPr>
                        <w:rPr>
                          <w:rFonts w:eastAsia="Calibri"/>
                        </w:rPr>
                      </w:pPr>
                      <w:r>
                        <w:rPr>
                          <w:rFonts w:eastAsia="Calibri"/>
                        </w:rPr>
                        <w:t>Different industries and different stakeholders have very different views on biosecurity.</w:t>
                      </w:r>
                    </w:p>
                    <w:p w14:paraId="17FB135B" w14:textId="42D3479F" w:rsidR="00C64344" w:rsidRPr="002C54D2" w:rsidRDefault="00B12BEE" w:rsidP="00FE172D">
                      <w:pPr>
                        <w:pStyle w:val="ListParagraph"/>
                        <w:numPr>
                          <w:ilvl w:val="0"/>
                          <w:numId w:val="19"/>
                        </w:numPr>
                        <w:rPr>
                          <w:rFonts w:eastAsia="Calibri"/>
                        </w:rPr>
                      </w:pPr>
                      <w:r>
                        <w:t>“</w:t>
                      </w:r>
                      <w:r w:rsidR="00C64344">
                        <w:t>Acceptable risk</w:t>
                      </w:r>
                      <w:r>
                        <w:t>”</w:t>
                      </w:r>
                      <w:r w:rsidR="00C64344">
                        <w:t xml:space="preserve"> needs ongoing conversations and verification. </w:t>
                      </w:r>
                    </w:p>
                    <w:p w14:paraId="5891FD83" w14:textId="116CD7F8" w:rsidR="00C64344" w:rsidRPr="00155150" w:rsidRDefault="00B12BEE" w:rsidP="00FE172D">
                      <w:pPr>
                        <w:pStyle w:val="ListParagraph"/>
                        <w:numPr>
                          <w:ilvl w:val="0"/>
                          <w:numId w:val="19"/>
                        </w:numPr>
                        <w:rPr>
                          <w:rFonts w:eastAsia="Calibri"/>
                        </w:rPr>
                      </w:pPr>
                      <w:r>
                        <w:t xml:space="preserve">The </w:t>
                      </w:r>
                      <w:r w:rsidR="00C64344">
                        <w:t>Intergovernmental Agreement on Biosecurity</w:t>
                      </w:r>
                      <w:r w:rsidR="003628FB">
                        <w:t xml:space="preserve"> (IGAB) roles and responsibilities</w:t>
                      </w:r>
                      <w:r w:rsidR="00C64344">
                        <w:t xml:space="preserve"> table is a great tool but needs some refining.</w:t>
                      </w:r>
                    </w:p>
                    <w:p w14:paraId="22C4F7D2" w14:textId="613A84DD" w:rsidR="00C64344" w:rsidRPr="00FE172D" w:rsidRDefault="00C64344" w:rsidP="00FE172D">
                      <w:pPr>
                        <w:pStyle w:val="ListParagraph"/>
                        <w:numPr>
                          <w:ilvl w:val="0"/>
                          <w:numId w:val="19"/>
                        </w:numPr>
                        <w:rPr>
                          <w:rFonts w:eastAsia="Calibri"/>
                        </w:rPr>
                      </w:pPr>
                      <w:r>
                        <w:rPr>
                          <w:lang w:val="en-US"/>
                        </w:rPr>
                        <w:t>Building confidence in reporting and response processes will improve planning and reporting outcomes, including through increasing general awareness of biosecurity.</w:t>
                      </w:r>
                    </w:p>
                  </w:txbxContent>
                </v:textbox>
                <w10:wrap type="square" anchorx="margin"/>
              </v:shape>
            </w:pict>
          </mc:Fallback>
        </mc:AlternateContent>
      </w:r>
      <w:r w:rsidR="00E96902" w:rsidRPr="00833D51">
        <w:rPr>
          <w:b w:val="0"/>
        </w:rPr>
        <w:t xml:space="preserve">There were </w:t>
      </w:r>
      <w:r w:rsidR="00D52C8E" w:rsidRPr="00833D51">
        <w:rPr>
          <w:b w:val="0"/>
        </w:rPr>
        <w:t xml:space="preserve">more than </w:t>
      </w:r>
      <w:r w:rsidR="002C54D2" w:rsidRPr="00833D51">
        <w:rPr>
          <w:b w:val="0"/>
        </w:rPr>
        <w:t>50</w:t>
      </w:r>
      <w:r w:rsidR="00436D59" w:rsidRPr="00833D51">
        <w:rPr>
          <w:b w:val="0"/>
        </w:rPr>
        <w:t xml:space="preserve"> </w:t>
      </w:r>
      <w:r w:rsidR="00FE172D" w:rsidRPr="00833D51">
        <w:rPr>
          <w:b w:val="0"/>
        </w:rPr>
        <w:t>participants</w:t>
      </w:r>
      <w:r w:rsidR="00436D59" w:rsidRPr="00833D51">
        <w:rPr>
          <w:b w:val="0"/>
        </w:rPr>
        <w:t xml:space="preserve"> </w:t>
      </w:r>
      <w:r w:rsidR="00EF2751">
        <w:rPr>
          <w:b w:val="0"/>
        </w:rPr>
        <w:t>at</w:t>
      </w:r>
      <w:r w:rsidR="00D52C8E" w:rsidRPr="00833D51">
        <w:rPr>
          <w:b w:val="0"/>
        </w:rPr>
        <w:t xml:space="preserve"> </w:t>
      </w:r>
      <w:r w:rsidR="00436D59" w:rsidRPr="00833D51">
        <w:rPr>
          <w:b w:val="0"/>
        </w:rPr>
        <w:t>the roundtable</w:t>
      </w:r>
      <w:r w:rsidR="00D52C8E" w:rsidRPr="00833D51">
        <w:rPr>
          <w:b w:val="0"/>
        </w:rPr>
        <w:t>,</w:t>
      </w:r>
      <w:r w:rsidR="00436D59" w:rsidRPr="00833D51">
        <w:rPr>
          <w:b w:val="0"/>
        </w:rPr>
        <w:t xml:space="preserve"> </w:t>
      </w:r>
      <w:r w:rsidR="00E96902" w:rsidRPr="00833D51">
        <w:rPr>
          <w:b w:val="0"/>
        </w:rPr>
        <w:t xml:space="preserve">representing a wide range of </w:t>
      </w:r>
      <w:r w:rsidR="00444812" w:rsidRPr="00833D51">
        <w:rPr>
          <w:b w:val="0"/>
        </w:rPr>
        <w:t>o</w:t>
      </w:r>
      <w:bookmarkStart w:id="0" w:name="_GoBack"/>
      <w:bookmarkEnd w:id="0"/>
      <w:r w:rsidR="00444812" w:rsidRPr="00833D51">
        <w:rPr>
          <w:b w:val="0"/>
        </w:rPr>
        <w:t>rganisations</w:t>
      </w:r>
      <w:r w:rsidR="00FE172D" w:rsidRPr="00833D51">
        <w:rPr>
          <w:b w:val="0"/>
        </w:rPr>
        <w:t xml:space="preserve"> </w:t>
      </w:r>
      <w:r w:rsidR="00FE172D" w:rsidRPr="00C51CDD">
        <w:rPr>
          <w:b w:val="0"/>
        </w:rPr>
        <w:t>including</w:t>
      </w:r>
      <w:r w:rsidR="00436D59" w:rsidRPr="00C51CDD">
        <w:rPr>
          <w:b w:val="0"/>
        </w:rPr>
        <w:t xml:space="preserve"> </w:t>
      </w:r>
      <w:r w:rsidR="00E96902" w:rsidRPr="00C51CDD">
        <w:rPr>
          <w:b w:val="0"/>
        </w:rPr>
        <w:t>meat</w:t>
      </w:r>
      <w:r w:rsidR="003D72E6">
        <w:rPr>
          <w:b w:val="0"/>
        </w:rPr>
        <w:t xml:space="preserve"> and</w:t>
      </w:r>
      <w:r w:rsidR="00FE172D" w:rsidRPr="00C51CDD">
        <w:rPr>
          <w:b w:val="0"/>
        </w:rPr>
        <w:t xml:space="preserve"> horticulture industries</w:t>
      </w:r>
      <w:r w:rsidR="00D52C8E" w:rsidRPr="00C51CDD">
        <w:rPr>
          <w:b w:val="0"/>
        </w:rPr>
        <w:t>;</w:t>
      </w:r>
      <w:r w:rsidR="00FE172D" w:rsidRPr="00C51CDD">
        <w:rPr>
          <w:b w:val="0"/>
        </w:rPr>
        <w:t xml:space="preserve"> </w:t>
      </w:r>
      <w:r w:rsidR="00436D59" w:rsidRPr="00C51CDD">
        <w:rPr>
          <w:b w:val="0"/>
        </w:rPr>
        <w:t>wildlife,</w:t>
      </w:r>
      <w:r w:rsidR="002C54D2" w:rsidRPr="00C51CDD">
        <w:rPr>
          <w:b w:val="0"/>
        </w:rPr>
        <w:t xml:space="preserve"> educational,</w:t>
      </w:r>
      <w:r w:rsidR="004A4F46" w:rsidRPr="00C51CDD">
        <w:rPr>
          <w:b w:val="0"/>
        </w:rPr>
        <w:t xml:space="preserve"> apiary, aquaculture, </w:t>
      </w:r>
      <w:r w:rsidR="002C54D2" w:rsidRPr="00C51CDD">
        <w:rPr>
          <w:b w:val="0"/>
        </w:rPr>
        <w:t xml:space="preserve">environmental, research </w:t>
      </w:r>
      <w:r w:rsidR="00436D59" w:rsidRPr="00C51CDD">
        <w:rPr>
          <w:b w:val="0"/>
        </w:rPr>
        <w:t>and animal husbandry representatives</w:t>
      </w:r>
      <w:r w:rsidR="00D52C8E" w:rsidRPr="00C51CDD">
        <w:rPr>
          <w:b w:val="0"/>
        </w:rPr>
        <w:t>;</w:t>
      </w:r>
      <w:r w:rsidR="00FE172D" w:rsidRPr="00C51CDD">
        <w:rPr>
          <w:b w:val="0"/>
        </w:rPr>
        <w:t xml:space="preserve"> and state and territory government.</w:t>
      </w:r>
    </w:p>
    <w:p w14:paraId="732423CA" w14:textId="11CDF1D0" w:rsidR="00BC191F" w:rsidRPr="00833D51" w:rsidRDefault="00B12BEE" w:rsidP="00833D51">
      <w:pPr>
        <w:pStyle w:val="ListNumber"/>
        <w:rPr>
          <w:b w:val="0"/>
        </w:rPr>
      </w:pPr>
      <w:r w:rsidRPr="00833D51">
        <w:rPr>
          <w:b w:val="0"/>
        </w:rPr>
        <w:t xml:space="preserve">Ms </w:t>
      </w:r>
      <w:r w:rsidR="00BC191F" w:rsidRPr="00833D51">
        <w:rPr>
          <w:b w:val="0"/>
        </w:rPr>
        <w:t xml:space="preserve">Amber Parr from the Department of </w:t>
      </w:r>
      <w:r w:rsidR="0058791A">
        <w:rPr>
          <w:b w:val="0"/>
        </w:rPr>
        <w:t>Agriculture and Water Resources</w:t>
      </w:r>
      <w:r w:rsidR="00E11525" w:rsidRPr="00833D51">
        <w:rPr>
          <w:b w:val="0"/>
        </w:rPr>
        <w:t xml:space="preserve"> officially welcomed </w:t>
      </w:r>
      <w:r w:rsidR="007C0002">
        <w:rPr>
          <w:b w:val="0"/>
        </w:rPr>
        <w:t>participants</w:t>
      </w:r>
      <w:r w:rsidR="007C0002" w:rsidRPr="00833D51">
        <w:rPr>
          <w:b w:val="0"/>
        </w:rPr>
        <w:t xml:space="preserve"> </w:t>
      </w:r>
      <w:r w:rsidR="00E11525" w:rsidRPr="00833D51">
        <w:rPr>
          <w:b w:val="0"/>
        </w:rPr>
        <w:t xml:space="preserve">to the Biosecurity Roundtable and </w:t>
      </w:r>
      <w:r w:rsidR="00FE172D" w:rsidRPr="00833D51">
        <w:rPr>
          <w:b w:val="0"/>
        </w:rPr>
        <w:t>provided an Acknowledgement of C</w:t>
      </w:r>
      <w:r w:rsidR="00BC191F" w:rsidRPr="00833D51">
        <w:rPr>
          <w:b w:val="0"/>
        </w:rPr>
        <w:t>ountry</w:t>
      </w:r>
      <w:r w:rsidR="00E11525" w:rsidRPr="00833D51">
        <w:rPr>
          <w:b w:val="0"/>
        </w:rPr>
        <w:t>.</w:t>
      </w:r>
    </w:p>
    <w:p w14:paraId="50524BAE" w14:textId="270F521D" w:rsidR="00EB0FB0" w:rsidRPr="00833D51" w:rsidRDefault="00F4706E" w:rsidP="00833D51">
      <w:pPr>
        <w:pStyle w:val="ListNumber"/>
        <w:rPr>
          <w:b w:val="0"/>
        </w:rPr>
      </w:pPr>
      <w:r w:rsidRPr="00833D51">
        <w:rPr>
          <w:b w:val="0"/>
        </w:rPr>
        <w:t>Morning presentations bega</w:t>
      </w:r>
      <w:r w:rsidR="003B7B0C" w:rsidRPr="00833D51">
        <w:rPr>
          <w:b w:val="0"/>
        </w:rPr>
        <w:t>n with</w:t>
      </w:r>
      <w:r w:rsidR="00FE172D" w:rsidRPr="00833D51">
        <w:rPr>
          <w:b w:val="0"/>
        </w:rPr>
        <w:t xml:space="preserve"> biosecurity updates from</w:t>
      </w:r>
      <w:r w:rsidR="005C0AC9" w:rsidRPr="00833D51">
        <w:rPr>
          <w:b w:val="0"/>
        </w:rPr>
        <w:t xml:space="preserve"> </w:t>
      </w:r>
      <w:r w:rsidR="00E11525" w:rsidRPr="00833D51">
        <w:rPr>
          <w:b w:val="0"/>
        </w:rPr>
        <w:t>the Queensland Department of Agriculture and Fisheries, the Australian Government Department of Agriculture and Water Resources</w:t>
      </w:r>
      <w:r w:rsidR="003628FB" w:rsidRPr="00833D51">
        <w:rPr>
          <w:b w:val="0"/>
        </w:rPr>
        <w:t xml:space="preserve"> as well as </w:t>
      </w:r>
      <w:r w:rsidR="00AB4CEA" w:rsidRPr="00833D51">
        <w:rPr>
          <w:b w:val="0"/>
        </w:rPr>
        <w:t>m</w:t>
      </w:r>
      <w:r w:rsidR="00E11525" w:rsidRPr="00833D51">
        <w:rPr>
          <w:b w:val="0"/>
        </w:rPr>
        <w:t xml:space="preserve">elon and </w:t>
      </w:r>
      <w:r w:rsidR="00AB4CEA" w:rsidRPr="00833D51">
        <w:rPr>
          <w:b w:val="0"/>
        </w:rPr>
        <w:t>banana i</w:t>
      </w:r>
      <w:r w:rsidR="00E11525" w:rsidRPr="00833D51">
        <w:rPr>
          <w:b w:val="0"/>
        </w:rPr>
        <w:t>ndustr</w:t>
      </w:r>
      <w:r w:rsidR="003628FB" w:rsidRPr="00833D51">
        <w:rPr>
          <w:b w:val="0"/>
        </w:rPr>
        <w:t>ies</w:t>
      </w:r>
      <w:r w:rsidR="00E11525" w:rsidRPr="00833D51">
        <w:rPr>
          <w:b w:val="0"/>
        </w:rPr>
        <w:t xml:space="preserve">. </w:t>
      </w:r>
      <w:r w:rsidR="003B7B0C" w:rsidRPr="00833D51">
        <w:rPr>
          <w:b w:val="0"/>
        </w:rPr>
        <w:t xml:space="preserve">Dr </w:t>
      </w:r>
      <w:r w:rsidR="00E11525" w:rsidRPr="00833D51">
        <w:rPr>
          <w:b w:val="0"/>
        </w:rPr>
        <w:t xml:space="preserve">Allison Crook </w:t>
      </w:r>
      <w:r w:rsidR="003B7B0C" w:rsidRPr="00833D51">
        <w:rPr>
          <w:b w:val="0"/>
        </w:rPr>
        <w:t>(</w:t>
      </w:r>
      <w:r w:rsidR="00E11525" w:rsidRPr="00833D51">
        <w:rPr>
          <w:b w:val="0"/>
        </w:rPr>
        <w:t>Queensland)</w:t>
      </w:r>
      <w:r w:rsidR="00EB0FB0" w:rsidRPr="00833D51">
        <w:rPr>
          <w:b w:val="0"/>
        </w:rPr>
        <w:t xml:space="preserve"> spoke about</w:t>
      </w:r>
      <w:r w:rsidR="00D56410" w:rsidRPr="00833D51">
        <w:rPr>
          <w:b w:val="0"/>
        </w:rPr>
        <w:t xml:space="preserve"> </w:t>
      </w:r>
      <w:r w:rsidR="00B12BEE" w:rsidRPr="00833D51">
        <w:rPr>
          <w:b w:val="0"/>
        </w:rPr>
        <w:t xml:space="preserve">the </w:t>
      </w:r>
      <w:r w:rsidR="00D56410" w:rsidRPr="00833D51">
        <w:rPr>
          <w:b w:val="0"/>
        </w:rPr>
        <w:t>significant biosecurity work undertaken by Biosecurity Queensland</w:t>
      </w:r>
      <w:r w:rsidR="00B12BEE" w:rsidRPr="00833D51">
        <w:rPr>
          <w:b w:val="0"/>
        </w:rPr>
        <w:t>,</w:t>
      </w:r>
      <w:r w:rsidR="00D56410" w:rsidRPr="00833D51">
        <w:rPr>
          <w:b w:val="0"/>
        </w:rPr>
        <w:t xml:space="preserve"> </w:t>
      </w:r>
      <w:r w:rsidR="00B12BEE" w:rsidRPr="00833D51">
        <w:rPr>
          <w:b w:val="0"/>
        </w:rPr>
        <w:t xml:space="preserve">which </w:t>
      </w:r>
      <w:r w:rsidR="00D56410" w:rsidRPr="00833D51">
        <w:rPr>
          <w:b w:val="0"/>
        </w:rPr>
        <w:t>included drafting the Biosecurity Strategy 2017-2022</w:t>
      </w:r>
      <w:r w:rsidR="00B12BEE" w:rsidRPr="00833D51">
        <w:rPr>
          <w:b w:val="0"/>
        </w:rPr>
        <w:t>;</w:t>
      </w:r>
      <w:r w:rsidR="00EB0FB0" w:rsidRPr="00833D51">
        <w:rPr>
          <w:b w:val="0"/>
        </w:rPr>
        <w:t xml:space="preserve"> implementing recommendations from the Queensland Biosecurity Capability review</w:t>
      </w:r>
      <w:r w:rsidR="00B12BEE" w:rsidRPr="00833D51">
        <w:rPr>
          <w:b w:val="0"/>
        </w:rPr>
        <w:t>;</w:t>
      </w:r>
      <w:r w:rsidR="00EB0FB0" w:rsidRPr="00833D51">
        <w:rPr>
          <w:b w:val="0"/>
        </w:rPr>
        <w:t xml:space="preserve"> and</w:t>
      </w:r>
      <w:r w:rsidR="003628FB" w:rsidRPr="00833D51">
        <w:rPr>
          <w:b w:val="0"/>
        </w:rPr>
        <w:t>,</w:t>
      </w:r>
      <w:r w:rsidR="00EB0FB0" w:rsidRPr="00833D51">
        <w:rPr>
          <w:b w:val="0"/>
        </w:rPr>
        <w:t xml:space="preserve"> </w:t>
      </w:r>
      <w:r w:rsidR="0073379A">
        <w:rPr>
          <w:b w:val="0"/>
        </w:rPr>
        <w:t xml:space="preserve">drafting new dog breeder legislation. </w:t>
      </w:r>
      <w:r w:rsidR="00EB0FB0" w:rsidRPr="00833D51">
        <w:rPr>
          <w:b w:val="0"/>
        </w:rPr>
        <w:t xml:space="preserve">  </w:t>
      </w:r>
    </w:p>
    <w:p w14:paraId="063997A7" w14:textId="4C307FE6" w:rsidR="00D56410" w:rsidRPr="00833D51" w:rsidRDefault="003628FB" w:rsidP="00833D51">
      <w:pPr>
        <w:pStyle w:val="ListNumber"/>
        <w:rPr>
          <w:b w:val="0"/>
        </w:rPr>
      </w:pPr>
      <w:r w:rsidRPr="00833D51">
        <w:rPr>
          <w:b w:val="0"/>
        </w:rPr>
        <w:t>B</w:t>
      </w:r>
      <w:r w:rsidR="00EB0FB0" w:rsidRPr="00833D51">
        <w:rPr>
          <w:b w:val="0"/>
        </w:rPr>
        <w:t>iosecurity incidents managed by Biosecurity Queensland since July 2016 were highlighted</w:t>
      </w:r>
      <w:r w:rsidR="00B12BEE" w:rsidRPr="00833D51">
        <w:rPr>
          <w:b w:val="0"/>
        </w:rPr>
        <w:t>,</w:t>
      </w:r>
      <w:r w:rsidR="00EB0FB0" w:rsidRPr="00833D51">
        <w:rPr>
          <w:b w:val="0"/>
        </w:rPr>
        <w:t xml:space="preserve"> along with the financial implications of these incidents. Dr Crook also spoke about the </w:t>
      </w:r>
      <w:r w:rsidR="00B12BEE" w:rsidRPr="00833D51">
        <w:rPr>
          <w:b w:val="0"/>
        </w:rPr>
        <w:br/>
      </w:r>
      <w:r w:rsidRPr="00833D51">
        <w:rPr>
          <w:b w:val="0"/>
          <w:i/>
        </w:rPr>
        <w:t xml:space="preserve">Queensland </w:t>
      </w:r>
      <w:r w:rsidR="00EB0FB0" w:rsidRPr="00833D51">
        <w:rPr>
          <w:b w:val="0"/>
          <w:i/>
        </w:rPr>
        <w:t>Biosecurity Act</w:t>
      </w:r>
      <w:r w:rsidR="00B12BEE" w:rsidRPr="00833D51">
        <w:rPr>
          <w:b w:val="0"/>
          <w:i/>
        </w:rPr>
        <w:t xml:space="preserve"> 2015</w:t>
      </w:r>
      <w:r w:rsidR="00EB0FB0" w:rsidRPr="00833D51">
        <w:rPr>
          <w:b w:val="0"/>
        </w:rPr>
        <w:t xml:space="preserve"> and the powers and tools already utilised in the management of these incidents.   </w:t>
      </w:r>
    </w:p>
    <w:p w14:paraId="6F087EF0" w14:textId="3691A103" w:rsidR="00EB0FB0" w:rsidRPr="00833D51" w:rsidRDefault="00B12BEE" w:rsidP="00833D51">
      <w:pPr>
        <w:pStyle w:val="ListNumber"/>
        <w:rPr>
          <w:b w:val="0"/>
        </w:rPr>
      </w:pPr>
      <w:r w:rsidRPr="00833D51">
        <w:rPr>
          <w:b w:val="0"/>
        </w:rPr>
        <w:t xml:space="preserve">Mr </w:t>
      </w:r>
      <w:r w:rsidR="00EB0FB0" w:rsidRPr="00833D51">
        <w:rPr>
          <w:b w:val="0"/>
        </w:rPr>
        <w:t xml:space="preserve">Tim Chapman (Department of Agriculture and Water Resources) spoke about the importance of shared responsibility and collaboration in the face of increasing passenger, cargo and mail movements; and the growing diversity of supply chains. He gave an overview of recent national investment and activities including implementation of the </w:t>
      </w:r>
      <w:r w:rsidR="00EB0FB0" w:rsidRPr="00833D51">
        <w:rPr>
          <w:b w:val="0"/>
          <w:i/>
        </w:rPr>
        <w:t>Biosecurity Act 2015</w:t>
      </w:r>
      <w:r w:rsidR="00EB0FB0" w:rsidRPr="00833D51">
        <w:rPr>
          <w:b w:val="0"/>
        </w:rPr>
        <w:t xml:space="preserve"> </w:t>
      </w:r>
      <w:r w:rsidR="00F56DFA">
        <w:rPr>
          <w:b w:val="0"/>
        </w:rPr>
        <w:t xml:space="preserve">(Cwlth) </w:t>
      </w:r>
      <w:r w:rsidR="00EB0FB0" w:rsidRPr="00833D51">
        <w:rPr>
          <w:b w:val="0"/>
        </w:rPr>
        <w:t>in June 2016</w:t>
      </w:r>
      <w:r w:rsidRPr="00833D51">
        <w:rPr>
          <w:b w:val="0"/>
        </w:rPr>
        <w:t xml:space="preserve">; </w:t>
      </w:r>
      <w:r w:rsidR="00EB0FB0" w:rsidRPr="00833D51">
        <w:rPr>
          <w:b w:val="0"/>
        </w:rPr>
        <w:t>the $200 million allocated to biosecurity under the Agricultural Competitiveness White Paper</w:t>
      </w:r>
      <w:r w:rsidRPr="00833D51">
        <w:rPr>
          <w:b w:val="0"/>
        </w:rPr>
        <w:t>;</w:t>
      </w:r>
      <w:r w:rsidR="00EB0FB0" w:rsidRPr="00833D51">
        <w:rPr>
          <w:b w:val="0"/>
        </w:rPr>
        <w:t xml:space="preserve"> and the Intergovernmental Agreement on Biosecurity and National Environmental Biosecurity Response Agreement reviews.</w:t>
      </w:r>
    </w:p>
    <w:p w14:paraId="0C78D7E0" w14:textId="77777777" w:rsidR="00EB0FB0" w:rsidRPr="004A4F46" w:rsidRDefault="00EB0FB0" w:rsidP="00833D51">
      <w:pPr>
        <w:pStyle w:val="ListNumber"/>
      </w:pPr>
    </w:p>
    <w:p w14:paraId="19E161AD" w14:textId="43E3C4B2" w:rsidR="009E4120" w:rsidRPr="006076E5" w:rsidRDefault="00B12BEE" w:rsidP="006076E5">
      <w:r>
        <w:t xml:space="preserve">Ms </w:t>
      </w:r>
      <w:r w:rsidR="00EB0FB0" w:rsidRPr="006076E5">
        <w:t xml:space="preserve">Dianne Fullelove </w:t>
      </w:r>
      <w:r w:rsidR="00F9176F" w:rsidRPr="006076E5">
        <w:t>(</w:t>
      </w:r>
      <w:r w:rsidR="00EB0FB0" w:rsidRPr="006076E5">
        <w:t>Australian Melon Association</w:t>
      </w:r>
      <w:r w:rsidR="003B7B0C" w:rsidRPr="006076E5">
        <w:t xml:space="preserve">) </w:t>
      </w:r>
      <w:r w:rsidR="00AB4CEA" w:rsidRPr="006076E5">
        <w:t>provided an update on the</w:t>
      </w:r>
      <w:r w:rsidR="00EB0FB0" w:rsidRPr="006076E5">
        <w:t xml:space="preserve"> Cucumber</w:t>
      </w:r>
      <w:r w:rsidR="003628FB">
        <w:t xml:space="preserve"> Green</w:t>
      </w:r>
      <w:r w:rsidR="00EB0FB0" w:rsidRPr="006076E5">
        <w:t xml:space="preserve"> Mottle </w:t>
      </w:r>
      <w:r w:rsidR="004A4F46" w:rsidRPr="006076E5">
        <w:t>Mosaic</w:t>
      </w:r>
      <w:r w:rsidR="00EB0FB0" w:rsidRPr="006076E5">
        <w:t xml:space="preserve"> Virus (C</w:t>
      </w:r>
      <w:r w:rsidR="003628FB">
        <w:t>G</w:t>
      </w:r>
      <w:r w:rsidR="00EB0FB0" w:rsidRPr="006076E5">
        <w:t xml:space="preserve">CMV) incursion and its impact on the </w:t>
      </w:r>
      <w:r w:rsidR="004F2636" w:rsidRPr="006076E5">
        <w:t>m</w:t>
      </w:r>
      <w:r w:rsidR="00EB0FB0" w:rsidRPr="006076E5">
        <w:t>elon industry</w:t>
      </w:r>
      <w:r w:rsidR="0032755F" w:rsidRPr="006076E5">
        <w:t>. Ms Fullelove reported that whil</w:t>
      </w:r>
      <w:r>
        <w:t>e</w:t>
      </w:r>
      <w:r w:rsidR="0032755F" w:rsidRPr="006076E5">
        <w:t xml:space="preserve"> on-farm biosecurity was low at the onset of the incursion, awareness and practices around effective on-farm biosecurity have now dramatically increased. </w:t>
      </w:r>
      <w:r w:rsidR="006076E5" w:rsidRPr="006076E5">
        <w:t>The continuance</w:t>
      </w:r>
      <w:r w:rsidR="004F2636" w:rsidRPr="006076E5">
        <w:t xml:space="preserve"> </w:t>
      </w:r>
      <w:r w:rsidR="006076E5" w:rsidRPr="006076E5">
        <w:t xml:space="preserve">of </w:t>
      </w:r>
      <w:r w:rsidR="004F2636" w:rsidRPr="006076E5">
        <w:t xml:space="preserve">surveillance activities in Queensland and South </w:t>
      </w:r>
      <w:r w:rsidR="00AB4CEA" w:rsidRPr="006076E5">
        <w:t>Australia</w:t>
      </w:r>
      <w:r w:rsidR="004F2636" w:rsidRPr="006076E5">
        <w:t xml:space="preserve"> </w:t>
      </w:r>
      <w:r>
        <w:t xml:space="preserve">– </w:t>
      </w:r>
      <w:r w:rsidR="004F2636" w:rsidRPr="006076E5">
        <w:t>and developing biosecurity contingency plans for high priority pests</w:t>
      </w:r>
      <w:r w:rsidR="006076E5" w:rsidRPr="006076E5">
        <w:t xml:space="preserve"> </w:t>
      </w:r>
      <w:r>
        <w:t xml:space="preserve">– </w:t>
      </w:r>
      <w:r w:rsidR="006076E5" w:rsidRPr="006076E5">
        <w:t>was also noted</w:t>
      </w:r>
      <w:r w:rsidR="004F2636" w:rsidRPr="006076E5">
        <w:t xml:space="preserve">. </w:t>
      </w:r>
    </w:p>
    <w:p w14:paraId="3F56BE8A" w14:textId="46CFCC4C" w:rsidR="004F2636" w:rsidRPr="00833D51" w:rsidRDefault="00B12BEE" w:rsidP="00833D51">
      <w:pPr>
        <w:pStyle w:val="ListNumber"/>
        <w:rPr>
          <w:b w:val="0"/>
        </w:rPr>
      </w:pPr>
      <w:r w:rsidRPr="00833D51">
        <w:rPr>
          <w:b w:val="0"/>
        </w:rPr>
        <w:t xml:space="preserve">Mr </w:t>
      </w:r>
      <w:r w:rsidR="004F2636" w:rsidRPr="00833D51">
        <w:rPr>
          <w:b w:val="0"/>
        </w:rPr>
        <w:t>Jim Pekin (Australian Banana Growers Association) provided an update on the effects of</w:t>
      </w:r>
      <w:r w:rsidRPr="00833D51">
        <w:rPr>
          <w:b w:val="0"/>
        </w:rPr>
        <w:t xml:space="preserve"> the</w:t>
      </w:r>
      <w:r w:rsidR="004F2636" w:rsidRPr="00833D51">
        <w:rPr>
          <w:b w:val="0"/>
        </w:rPr>
        <w:t xml:space="preserve"> Panama Tropical Race 4 incursion and its impact on the banana industry. Mr Pekin noted that the disease had not been eradicable in other countries and that the best case for the disease is a slow spread containment. Mr Pekin hoped that through </w:t>
      </w:r>
      <w:r w:rsidRPr="00833D51">
        <w:rPr>
          <w:b w:val="0"/>
        </w:rPr>
        <w:t xml:space="preserve">research and development </w:t>
      </w:r>
      <w:r w:rsidR="004F2636" w:rsidRPr="00833D51">
        <w:rPr>
          <w:b w:val="0"/>
        </w:rPr>
        <w:t>there may be resistant banana varieties developed</w:t>
      </w:r>
      <w:r w:rsidRPr="00833D51">
        <w:rPr>
          <w:b w:val="0"/>
        </w:rPr>
        <w:t>,</w:t>
      </w:r>
      <w:r w:rsidR="004F2636" w:rsidRPr="00833D51">
        <w:rPr>
          <w:b w:val="0"/>
        </w:rPr>
        <w:t xml:space="preserve"> but that the future for the banana industry was uncertain. </w:t>
      </w:r>
    </w:p>
    <w:p w14:paraId="35A94659" w14:textId="341E7D4E" w:rsidR="00632584" w:rsidRPr="00833D51" w:rsidRDefault="00EE23D7" w:rsidP="00833D51">
      <w:pPr>
        <w:pStyle w:val="ListNumber"/>
        <w:rPr>
          <w:b w:val="0"/>
          <w:lang w:val="en-US"/>
        </w:rPr>
      </w:pPr>
      <w:r w:rsidRPr="00833D51">
        <w:rPr>
          <w:b w:val="0"/>
          <w:lang w:val="en-US"/>
        </w:rPr>
        <w:t>During the first workshop of the day</w:t>
      </w:r>
      <w:r w:rsidR="003628FB" w:rsidRPr="00833D51">
        <w:rPr>
          <w:b w:val="0"/>
          <w:lang w:val="en-US"/>
        </w:rPr>
        <w:t xml:space="preserve"> on</w:t>
      </w:r>
      <w:r w:rsidR="00155150" w:rsidRPr="00833D51">
        <w:rPr>
          <w:b w:val="0"/>
          <w:lang w:val="en-US"/>
        </w:rPr>
        <w:t xml:space="preserve"> </w:t>
      </w:r>
      <w:r w:rsidR="00F4706E" w:rsidRPr="00833D51">
        <w:rPr>
          <w:b w:val="0"/>
          <w:lang w:val="en-US"/>
        </w:rPr>
        <w:t>s</w:t>
      </w:r>
      <w:r w:rsidR="003628FB" w:rsidRPr="00833D51">
        <w:rPr>
          <w:b w:val="0"/>
          <w:lang w:val="en-US"/>
        </w:rPr>
        <w:t>urveillance and reporting</w:t>
      </w:r>
      <w:r w:rsidR="00155150" w:rsidRPr="00833D51">
        <w:rPr>
          <w:b w:val="0"/>
          <w:lang w:val="en-US"/>
        </w:rPr>
        <w:t xml:space="preserve">, participants highlighted a number of barriers to reporting. These included </w:t>
      </w:r>
      <w:r w:rsidR="00615862" w:rsidRPr="00833D51">
        <w:rPr>
          <w:b w:val="0"/>
          <w:lang w:val="en-US"/>
        </w:rPr>
        <w:t>a lack of knowledge on what / how to</w:t>
      </w:r>
      <w:r w:rsidRPr="00833D51">
        <w:rPr>
          <w:b w:val="0"/>
          <w:lang w:val="en-US"/>
        </w:rPr>
        <w:t xml:space="preserve"> report</w:t>
      </w:r>
      <w:r w:rsidR="00615862" w:rsidRPr="00833D51">
        <w:rPr>
          <w:b w:val="0"/>
          <w:lang w:val="en-US"/>
        </w:rPr>
        <w:t>;</w:t>
      </w:r>
      <w:r w:rsidRPr="00833D51">
        <w:rPr>
          <w:b w:val="0"/>
          <w:lang w:val="en-US"/>
        </w:rPr>
        <w:t xml:space="preserve"> not knowing or understanding the consequences of reporting</w:t>
      </w:r>
      <w:r w:rsidR="002A46A2" w:rsidRPr="00833D51">
        <w:rPr>
          <w:b w:val="0"/>
          <w:lang w:val="en-US"/>
        </w:rPr>
        <w:t xml:space="preserve"> or not reporting</w:t>
      </w:r>
      <w:r w:rsidR="003628FB" w:rsidRPr="00833D51">
        <w:rPr>
          <w:b w:val="0"/>
          <w:lang w:val="en-US"/>
        </w:rPr>
        <w:t>;</w:t>
      </w:r>
      <w:r w:rsidRPr="00833D51">
        <w:rPr>
          <w:b w:val="0"/>
          <w:lang w:val="en-US"/>
        </w:rPr>
        <w:t xml:space="preserve"> a</w:t>
      </w:r>
      <w:r w:rsidR="00155150" w:rsidRPr="00833D51">
        <w:rPr>
          <w:b w:val="0"/>
          <w:lang w:val="en-US"/>
        </w:rPr>
        <w:t>nd</w:t>
      </w:r>
      <w:r w:rsidR="003628FB" w:rsidRPr="00833D51">
        <w:rPr>
          <w:b w:val="0"/>
          <w:lang w:val="en-US"/>
        </w:rPr>
        <w:t>,</w:t>
      </w:r>
      <w:r w:rsidR="00155150" w:rsidRPr="00833D51">
        <w:rPr>
          <w:b w:val="0"/>
          <w:lang w:val="en-US"/>
        </w:rPr>
        <w:t xml:space="preserve"> a general lack</w:t>
      </w:r>
      <w:r w:rsidR="00D967C3" w:rsidRPr="00833D51">
        <w:rPr>
          <w:b w:val="0"/>
          <w:lang w:val="en-US"/>
        </w:rPr>
        <w:t xml:space="preserve"> </w:t>
      </w:r>
      <w:r w:rsidR="00155150" w:rsidRPr="00833D51">
        <w:rPr>
          <w:b w:val="0"/>
          <w:lang w:val="en-US"/>
        </w:rPr>
        <w:t>of</w:t>
      </w:r>
      <w:r w:rsidR="00D967C3" w:rsidRPr="00833D51">
        <w:rPr>
          <w:b w:val="0"/>
          <w:lang w:val="en-US"/>
        </w:rPr>
        <w:t xml:space="preserve"> awareness </w:t>
      </w:r>
      <w:r w:rsidR="00615862" w:rsidRPr="00833D51">
        <w:rPr>
          <w:b w:val="0"/>
          <w:lang w:val="en-US"/>
        </w:rPr>
        <w:t xml:space="preserve">towards </w:t>
      </w:r>
      <w:r w:rsidR="00D967C3" w:rsidRPr="00833D51">
        <w:rPr>
          <w:b w:val="0"/>
          <w:lang w:val="en-US"/>
        </w:rPr>
        <w:t>biosecurity.</w:t>
      </w:r>
      <w:r w:rsidR="00155150" w:rsidRPr="00833D51">
        <w:rPr>
          <w:b w:val="0"/>
          <w:lang w:val="en-US"/>
        </w:rPr>
        <w:t xml:space="preserve"> Participants thought that</w:t>
      </w:r>
      <w:r w:rsidR="00615862" w:rsidRPr="00833D51">
        <w:rPr>
          <w:b w:val="0"/>
          <w:lang w:val="en-US"/>
        </w:rPr>
        <w:t xml:space="preserve"> possible </w:t>
      </w:r>
      <w:r w:rsidR="003628FB" w:rsidRPr="00833D51">
        <w:rPr>
          <w:b w:val="0"/>
          <w:lang w:val="en-US"/>
        </w:rPr>
        <w:t>solutions to</w:t>
      </w:r>
      <w:r w:rsidR="0014126B" w:rsidRPr="00833D51">
        <w:rPr>
          <w:b w:val="0"/>
          <w:lang w:val="en-US"/>
        </w:rPr>
        <w:t xml:space="preserve"> reporting barriers</w:t>
      </w:r>
      <w:r w:rsidR="00615862" w:rsidRPr="00833D51">
        <w:rPr>
          <w:b w:val="0"/>
          <w:lang w:val="en-US"/>
        </w:rPr>
        <w:t xml:space="preserve"> included providing</w:t>
      </w:r>
      <w:r w:rsidR="00155150" w:rsidRPr="00833D51">
        <w:rPr>
          <w:b w:val="0"/>
          <w:lang w:val="en-US"/>
        </w:rPr>
        <w:t xml:space="preserve"> incentives to report</w:t>
      </w:r>
      <w:r w:rsidR="00615862" w:rsidRPr="00833D51">
        <w:rPr>
          <w:b w:val="0"/>
          <w:lang w:val="en-US"/>
        </w:rPr>
        <w:t>ing</w:t>
      </w:r>
      <w:r w:rsidR="00155150" w:rsidRPr="00833D51">
        <w:rPr>
          <w:b w:val="0"/>
          <w:lang w:val="en-US"/>
        </w:rPr>
        <w:t xml:space="preserve"> (financial or otherwise), </w:t>
      </w:r>
      <w:r w:rsidRPr="00833D51">
        <w:rPr>
          <w:b w:val="0"/>
          <w:lang w:val="en-US"/>
        </w:rPr>
        <w:t>using language that is widely understood by the community and outlining the process of reporting</w:t>
      </w:r>
      <w:r w:rsidR="00615862" w:rsidRPr="00833D51">
        <w:rPr>
          <w:b w:val="0"/>
          <w:lang w:val="en-US"/>
        </w:rPr>
        <w:t>.</w:t>
      </w:r>
      <w:r w:rsidRPr="00833D51">
        <w:rPr>
          <w:b w:val="0"/>
          <w:lang w:val="en-US"/>
        </w:rPr>
        <w:t xml:space="preserve"> </w:t>
      </w:r>
    </w:p>
    <w:p w14:paraId="7B3E3892" w14:textId="24C272C9" w:rsidR="00EE23D7" w:rsidRPr="00833D51" w:rsidRDefault="0014126B" w:rsidP="00833D51">
      <w:pPr>
        <w:pStyle w:val="ListNumber"/>
        <w:rPr>
          <w:b w:val="0"/>
          <w:lang w:val="en-US"/>
        </w:rPr>
      </w:pPr>
      <w:r w:rsidRPr="00833D51">
        <w:rPr>
          <w:b w:val="0"/>
          <w:lang w:val="en-US"/>
        </w:rPr>
        <w:t>The next session</w:t>
      </w:r>
      <w:r w:rsidR="002A46A2" w:rsidRPr="00833D51">
        <w:rPr>
          <w:b w:val="0"/>
          <w:lang w:val="en-US"/>
        </w:rPr>
        <w:t xml:space="preserve"> focused on the IGAB review report. Ms Parr began by providing an introduction</w:t>
      </w:r>
      <w:r w:rsidR="00EE23D7" w:rsidRPr="00833D51">
        <w:rPr>
          <w:b w:val="0"/>
          <w:lang w:val="en-US"/>
        </w:rPr>
        <w:t xml:space="preserve"> to the </w:t>
      </w:r>
      <w:r w:rsidR="00AB4CEA" w:rsidRPr="00833D51">
        <w:rPr>
          <w:b w:val="0"/>
          <w:lang w:val="en-US"/>
        </w:rPr>
        <w:t>IGAB</w:t>
      </w:r>
      <w:r w:rsidR="002A46A2" w:rsidRPr="00833D51">
        <w:rPr>
          <w:b w:val="0"/>
          <w:lang w:val="en-US"/>
        </w:rPr>
        <w:t>.</w:t>
      </w:r>
      <w:r w:rsidR="00AB4CEA" w:rsidRPr="00833D51">
        <w:rPr>
          <w:b w:val="0"/>
          <w:lang w:val="en-US"/>
        </w:rPr>
        <w:t xml:space="preserve"> </w:t>
      </w:r>
      <w:r w:rsidR="00EE23D7" w:rsidRPr="00833D51">
        <w:rPr>
          <w:b w:val="0"/>
          <w:lang w:val="en-US"/>
        </w:rPr>
        <w:t>Biosecurity Queensland Minister</w:t>
      </w:r>
      <w:r w:rsidR="003D6F68" w:rsidRPr="00833D51">
        <w:rPr>
          <w:b w:val="0"/>
          <w:lang w:val="en-US"/>
        </w:rPr>
        <w:t xml:space="preserve">ial Advisory Committee members </w:t>
      </w:r>
      <w:r w:rsidR="00EE23D7" w:rsidRPr="00833D51">
        <w:rPr>
          <w:b w:val="0"/>
          <w:lang w:val="en-US"/>
        </w:rPr>
        <w:t>Ron Glanville</w:t>
      </w:r>
      <w:r w:rsidR="004A4F46" w:rsidRPr="00833D51">
        <w:rPr>
          <w:b w:val="0"/>
          <w:lang w:val="en-US"/>
        </w:rPr>
        <w:t xml:space="preserve"> – Department of Agriculture and Fisheries</w:t>
      </w:r>
      <w:r w:rsidR="00615862" w:rsidRPr="00833D51">
        <w:rPr>
          <w:b w:val="0"/>
          <w:lang w:val="en-US"/>
        </w:rPr>
        <w:t>;</w:t>
      </w:r>
      <w:r w:rsidR="00EE23D7" w:rsidRPr="00833D51">
        <w:rPr>
          <w:b w:val="0"/>
          <w:lang w:val="en-US"/>
        </w:rPr>
        <w:t xml:space="preserve"> Greg Hallam</w:t>
      </w:r>
      <w:r w:rsidR="004A4F46" w:rsidRPr="00833D51">
        <w:rPr>
          <w:b w:val="0"/>
          <w:lang w:val="en-US"/>
        </w:rPr>
        <w:t xml:space="preserve"> – Local Government Association Queensland</w:t>
      </w:r>
      <w:r w:rsidR="0032755F" w:rsidRPr="00833D51">
        <w:rPr>
          <w:b w:val="0"/>
          <w:lang w:val="en-US"/>
        </w:rPr>
        <w:t xml:space="preserve"> (LGAQ)</w:t>
      </w:r>
      <w:r w:rsidR="00615862" w:rsidRPr="00833D51">
        <w:rPr>
          <w:b w:val="0"/>
          <w:lang w:val="en-US"/>
        </w:rPr>
        <w:t xml:space="preserve">; </w:t>
      </w:r>
      <w:r w:rsidR="00EE23D7" w:rsidRPr="00833D51">
        <w:rPr>
          <w:b w:val="0"/>
          <w:lang w:val="en-US"/>
        </w:rPr>
        <w:t>Andrew Drysdale – NRM Regions</w:t>
      </w:r>
      <w:r w:rsidR="00615862" w:rsidRPr="00833D51">
        <w:rPr>
          <w:b w:val="0"/>
          <w:lang w:val="en-US"/>
        </w:rPr>
        <w:t>;</w:t>
      </w:r>
      <w:r w:rsidR="00EE23D7" w:rsidRPr="00833D51">
        <w:rPr>
          <w:b w:val="0"/>
          <w:lang w:val="en-US"/>
        </w:rPr>
        <w:t xml:space="preserve"> </w:t>
      </w:r>
      <w:r w:rsidR="003D6F68" w:rsidRPr="00833D51">
        <w:rPr>
          <w:b w:val="0"/>
          <w:lang w:val="en-US"/>
        </w:rPr>
        <w:t xml:space="preserve">and </w:t>
      </w:r>
      <w:r w:rsidR="00EE23D7" w:rsidRPr="00833D51">
        <w:rPr>
          <w:b w:val="0"/>
          <w:lang w:val="en-US"/>
        </w:rPr>
        <w:t>Andrew Cox – Invasive Speci</w:t>
      </w:r>
      <w:r w:rsidR="003D6F68" w:rsidRPr="00833D51">
        <w:rPr>
          <w:b w:val="0"/>
          <w:lang w:val="en-US"/>
        </w:rPr>
        <w:t>es Council</w:t>
      </w:r>
      <w:r w:rsidRPr="00833D51">
        <w:rPr>
          <w:b w:val="0"/>
          <w:lang w:val="en-US"/>
        </w:rPr>
        <w:t xml:space="preserve"> then</w:t>
      </w:r>
      <w:r w:rsidR="003D6F68" w:rsidRPr="00833D51">
        <w:rPr>
          <w:b w:val="0"/>
          <w:lang w:val="en-US"/>
        </w:rPr>
        <w:t xml:space="preserve"> </w:t>
      </w:r>
      <w:r w:rsidR="00EE23D7" w:rsidRPr="00833D51">
        <w:rPr>
          <w:b w:val="0"/>
          <w:lang w:val="en-US"/>
        </w:rPr>
        <w:t>spoke about biosecurity</w:t>
      </w:r>
      <w:r w:rsidRPr="00833D51">
        <w:rPr>
          <w:b w:val="0"/>
          <w:lang w:val="en-US"/>
        </w:rPr>
        <w:t xml:space="preserve"> in the context of </w:t>
      </w:r>
      <w:r w:rsidR="00EE23D7" w:rsidRPr="00833D51">
        <w:rPr>
          <w:b w:val="0"/>
          <w:lang w:val="en-US"/>
        </w:rPr>
        <w:t>their organisations and</w:t>
      </w:r>
      <w:r w:rsidRPr="00833D51">
        <w:rPr>
          <w:b w:val="0"/>
          <w:lang w:val="en-US"/>
        </w:rPr>
        <w:t xml:space="preserve"> </w:t>
      </w:r>
      <w:r w:rsidR="00EE23D7" w:rsidRPr="00833D51">
        <w:rPr>
          <w:b w:val="0"/>
          <w:lang w:val="en-US"/>
        </w:rPr>
        <w:t>their perspective on the IGAB</w:t>
      </w:r>
      <w:r w:rsidR="007F58CC" w:rsidRPr="00833D51">
        <w:rPr>
          <w:b w:val="0"/>
          <w:lang w:val="en-US"/>
        </w:rPr>
        <w:t xml:space="preserve"> review. </w:t>
      </w:r>
    </w:p>
    <w:p w14:paraId="47D44C4D" w14:textId="0E129F4B" w:rsidR="0032755F" w:rsidRDefault="00615862" w:rsidP="00C64344">
      <w:pPr>
        <w:pStyle w:val="Tabletext"/>
        <w:spacing w:after="0"/>
      </w:pPr>
      <w:r>
        <w:rPr>
          <w:lang w:val="en-US"/>
        </w:rPr>
        <w:t xml:space="preserve">Mr </w:t>
      </w:r>
      <w:r w:rsidR="0032755F">
        <w:rPr>
          <w:lang w:val="en-US"/>
        </w:rPr>
        <w:t xml:space="preserve">Glanville (Queensland) </w:t>
      </w:r>
      <w:r w:rsidR="006076E5">
        <w:rPr>
          <w:lang w:val="en-US"/>
        </w:rPr>
        <w:t>spoke about the difficulty in</w:t>
      </w:r>
      <w:r w:rsidR="003D6F68">
        <w:rPr>
          <w:lang w:val="en-US"/>
        </w:rPr>
        <w:t xml:space="preserve"> understanding</w:t>
      </w:r>
      <w:r w:rsidR="006076E5">
        <w:t xml:space="preserve"> </w:t>
      </w:r>
      <w:r>
        <w:t>‘</w:t>
      </w:r>
      <w:r w:rsidR="006076E5">
        <w:t>shared responsibility</w:t>
      </w:r>
      <w:r>
        <w:t>'</w:t>
      </w:r>
      <w:r w:rsidR="006076E5">
        <w:t>. Some of the reasons were explored, including</w:t>
      </w:r>
      <w:r w:rsidR="0032755F">
        <w:t xml:space="preserve"> </w:t>
      </w:r>
      <w:r>
        <w:t>the complexity of the system –</w:t>
      </w:r>
      <w:r w:rsidR="006076E5">
        <w:t xml:space="preserve"> </w:t>
      </w:r>
      <w:r w:rsidR="0014126B">
        <w:t xml:space="preserve">issues were </w:t>
      </w:r>
      <w:r w:rsidR="0032755F">
        <w:t xml:space="preserve">seldom black and white. </w:t>
      </w:r>
      <w:r w:rsidR="006076E5">
        <w:t>Mr Glanville noted</w:t>
      </w:r>
      <w:r>
        <w:t xml:space="preserve"> the </w:t>
      </w:r>
      <w:r w:rsidR="00C64344">
        <w:t xml:space="preserve">need for an overall culture change </w:t>
      </w:r>
      <w:r w:rsidR="003D6F68">
        <w:t>regarding</w:t>
      </w:r>
      <w:r w:rsidR="00C64344">
        <w:t xml:space="preserve"> biosecurity. </w:t>
      </w:r>
    </w:p>
    <w:p w14:paraId="4540C36B" w14:textId="77777777" w:rsidR="00C64344" w:rsidRDefault="00C64344" w:rsidP="00C64344">
      <w:pPr>
        <w:pStyle w:val="Tabletext"/>
        <w:spacing w:after="0"/>
        <w:rPr>
          <w:lang w:val="en-US"/>
        </w:rPr>
      </w:pPr>
    </w:p>
    <w:p w14:paraId="1C997718" w14:textId="12D963C6" w:rsidR="0032755F" w:rsidRDefault="00615862" w:rsidP="00C64344">
      <w:pPr>
        <w:pStyle w:val="Tabletext"/>
        <w:spacing w:after="0"/>
        <w:rPr>
          <w:lang w:val="en-US"/>
        </w:rPr>
      </w:pPr>
      <w:r>
        <w:rPr>
          <w:lang w:val="en-US"/>
        </w:rPr>
        <w:t xml:space="preserve">Mr </w:t>
      </w:r>
      <w:r w:rsidR="0032755F">
        <w:rPr>
          <w:lang w:val="en-US"/>
        </w:rPr>
        <w:t>Hallam (LGAQ)</w:t>
      </w:r>
      <w:r w:rsidR="00C64344">
        <w:rPr>
          <w:lang w:val="en-US"/>
        </w:rPr>
        <w:t xml:space="preserve"> spoke about the increasing use of new </w:t>
      </w:r>
      <w:r w:rsidR="003D6F68">
        <w:rPr>
          <w:lang w:val="en-US"/>
        </w:rPr>
        <w:t>technologies</w:t>
      </w:r>
      <w:r w:rsidR="00C64344">
        <w:rPr>
          <w:lang w:val="en-US"/>
        </w:rPr>
        <w:t xml:space="preserve"> in local governments such as the use of drones. </w:t>
      </w:r>
      <w:r>
        <w:rPr>
          <w:lang w:val="en-US"/>
        </w:rPr>
        <w:t>He</w:t>
      </w:r>
      <w:r w:rsidR="00C64344">
        <w:rPr>
          <w:lang w:val="en-US"/>
        </w:rPr>
        <w:t xml:space="preserve"> reported the need for an information awareness campaign for more local government support through advice and resourcing. </w:t>
      </w:r>
    </w:p>
    <w:p w14:paraId="0EC9F20E" w14:textId="77777777" w:rsidR="00C64344" w:rsidRDefault="00C64344" w:rsidP="00C64344">
      <w:pPr>
        <w:pStyle w:val="Tabletext"/>
        <w:spacing w:after="0"/>
        <w:rPr>
          <w:lang w:val="en-US"/>
        </w:rPr>
      </w:pPr>
    </w:p>
    <w:p w14:paraId="08321629" w14:textId="7D41DBD8" w:rsidR="0032755F" w:rsidRPr="00833D51" w:rsidRDefault="00615862" w:rsidP="00C64344">
      <w:pPr>
        <w:pStyle w:val="Tabletext"/>
        <w:spacing w:after="0"/>
        <w:rPr>
          <w:rFonts w:asciiTheme="minorHAnsi" w:hAnsiTheme="minorHAnsi"/>
        </w:rPr>
      </w:pPr>
      <w:r>
        <w:rPr>
          <w:lang w:val="en-US"/>
        </w:rPr>
        <w:t xml:space="preserve">Mr </w:t>
      </w:r>
      <w:r w:rsidR="00C64344">
        <w:rPr>
          <w:lang w:val="en-US"/>
        </w:rPr>
        <w:t xml:space="preserve">Drysdale </w:t>
      </w:r>
      <w:r w:rsidR="0032755F">
        <w:rPr>
          <w:lang w:val="en-US"/>
        </w:rPr>
        <w:t xml:space="preserve">(NRM Regions) </w:t>
      </w:r>
      <w:r w:rsidR="00C64344">
        <w:rPr>
          <w:lang w:val="en-US"/>
        </w:rPr>
        <w:t>highlighted that if we want people to change their biosecurity views or habits</w:t>
      </w:r>
      <w:r>
        <w:rPr>
          <w:lang w:val="en-US"/>
        </w:rPr>
        <w:t>,</w:t>
      </w:r>
      <w:r w:rsidR="00C64344">
        <w:rPr>
          <w:lang w:val="en-US"/>
        </w:rPr>
        <w:t xml:space="preserve"> they need to be engaged and taken along the journey. </w:t>
      </w:r>
      <w:r w:rsidR="003D6F68">
        <w:rPr>
          <w:lang w:val="en-US"/>
        </w:rPr>
        <w:t>Mr</w:t>
      </w:r>
      <w:r w:rsidR="00C64344">
        <w:rPr>
          <w:lang w:val="en-US"/>
        </w:rPr>
        <w:t xml:space="preserve"> Drysdale also spoke about the ro</w:t>
      </w:r>
      <w:r w:rsidR="0032755F">
        <w:rPr>
          <w:rFonts w:asciiTheme="minorHAnsi" w:hAnsiTheme="minorHAnsi"/>
        </w:rPr>
        <w:t>les and responsibilities</w:t>
      </w:r>
      <w:r w:rsidR="00C64344">
        <w:rPr>
          <w:rFonts w:asciiTheme="minorHAnsi" w:hAnsiTheme="minorHAnsi"/>
        </w:rPr>
        <w:t xml:space="preserve"> table in the IGAB review and noted that it appears to put people into ‘silos’</w:t>
      </w:r>
      <w:r w:rsidR="0014126B">
        <w:rPr>
          <w:rFonts w:asciiTheme="minorHAnsi" w:hAnsiTheme="minorHAnsi"/>
        </w:rPr>
        <w:t>,</w:t>
      </w:r>
      <w:r w:rsidR="00C64344">
        <w:rPr>
          <w:rFonts w:asciiTheme="minorHAnsi" w:hAnsiTheme="minorHAnsi"/>
        </w:rPr>
        <w:t xml:space="preserve"> </w:t>
      </w:r>
      <w:r w:rsidR="00C64344" w:rsidRPr="00833D51">
        <w:rPr>
          <w:rFonts w:asciiTheme="minorHAnsi" w:hAnsiTheme="minorHAnsi"/>
        </w:rPr>
        <w:t xml:space="preserve">which may not be the best approach. </w:t>
      </w:r>
    </w:p>
    <w:p w14:paraId="764FB0CA" w14:textId="77777777" w:rsidR="00C64344" w:rsidRPr="00833D51" w:rsidRDefault="00C64344" w:rsidP="00C64344">
      <w:pPr>
        <w:pStyle w:val="Tabletext"/>
        <w:spacing w:after="0"/>
        <w:rPr>
          <w:lang w:val="en-US"/>
        </w:rPr>
      </w:pPr>
    </w:p>
    <w:p w14:paraId="554028BE" w14:textId="2F9268C6" w:rsidR="0032755F" w:rsidRPr="00833D51" w:rsidRDefault="00615862" w:rsidP="00833D51">
      <w:pPr>
        <w:pStyle w:val="ListNumber"/>
        <w:rPr>
          <w:b w:val="0"/>
          <w:lang w:val="en-US"/>
        </w:rPr>
      </w:pPr>
      <w:r w:rsidRPr="00833D51">
        <w:rPr>
          <w:b w:val="0"/>
          <w:lang w:val="en-US"/>
        </w:rPr>
        <w:t xml:space="preserve">Mr </w:t>
      </w:r>
      <w:r w:rsidR="0032755F" w:rsidRPr="00833D51">
        <w:rPr>
          <w:b w:val="0"/>
          <w:lang w:val="en-US"/>
        </w:rPr>
        <w:t>Cox (Invasive Species Council)</w:t>
      </w:r>
      <w:r w:rsidR="00C64344" w:rsidRPr="00833D51">
        <w:rPr>
          <w:b w:val="0"/>
          <w:lang w:val="en-US"/>
        </w:rPr>
        <w:t xml:space="preserve"> spoke about the impact </w:t>
      </w:r>
      <w:r w:rsidRPr="00833D51">
        <w:rPr>
          <w:b w:val="0"/>
          <w:lang w:val="en-US"/>
        </w:rPr>
        <w:t xml:space="preserve">that </w:t>
      </w:r>
      <w:r w:rsidR="003D6F68" w:rsidRPr="00833D51">
        <w:rPr>
          <w:b w:val="0"/>
          <w:lang w:val="en-US"/>
        </w:rPr>
        <w:t>invasive</w:t>
      </w:r>
      <w:r w:rsidR="0032755F" w:rsidRPr="00833D51">
        <w:rPr>
          <w:b w:val="0"/>
        </w:rPr>
        <w:t xml:space="preserve"> species </w:t>
      </w:r>
      <w:r w:rsidR="00C64344" w:rsidRPr="00833D51">
        <w:rPr>
          <w:b w:val="0"/>
        </w:rPr>
        <w:t>have on the environment through damage to native species and creating permanent loss</w:t>
      </w:r>
      <w:r w:rsidR="0032755F" w:rsidRPr="00833D51">
        <w:rPr>
          <w:b w:val="0"/>
        </w:rPr>
        <w:t xml:space="preserve">.  </w:t>
      </w:r>
      <w:r w:rsidR="00C64344" w:rsidRPr="00833D51">
        <w:rPr>
          <w:b w:val="0"/>
        </w:rPr>
        <w:t xml:space="preserve">Mr Cox noted </w:t>
      </w:r>
      <w:r w:rsidR="003D6F68" w:rsidRPr="00833D51">
        <w:rPr>
          <w:b w:val="0"/>
        </w:rPr>
        <w:t xml:space="preserve">the </w:t>
      </w:r>
      <w:r w:rsidR="0014126B" w:rsidRPr="00833D51">
        <w:rPr>
          <w:b w:val="0"/>
        </w:rPr>
        <w:t>importance of the IGAB review</w:t>
      </w:r>
      <w:r w:rsidRPr="00833D51">
        <w:rPr>
          <w:b w:val="0"/>
        </w:rPr>
        <w:t xml:space="preserve"> and that</w:t>
      </w:r>
      <w:r w:rsidR="00C64344" w:rsidRPr="00833D51">
        <w:rPr>
          <w:b w:val="0"/>
        </w:rPr>
        <w:t xml:space="preserve"> t</w:t>
      </w:r>
      <w:r w:rsidR="0032755F" w:rsidRPr="00833D51">
        <w:rPr>
          <w:b w:val="0"/>
        </w:rPr>
        <w:t>he environment</w:t>
      </w:r>
      <w:r w:rsidR="00C64344" w:rsidRPr="00833D51">
        <w:rPr>
          <w:b w:val="0"/>
        </w:rPr>
        <w:t xml:space="preserve"> sector</w:t>
      </w:r>
      <w:r w:rsidR="0032755F" w:rsidRPr="00833D51">
        <w:rPr>
          <w:b w:val="0"/>
        </w:rPr>
        <w:t xml:space="preserve"> needs a voice in the </w:t>
      </w:r>
      <w:r w:rsidR="00C64344" w:rsidRPr="00833D51">
        <w:rPr>
          <w:b w:val="0"/>
        </w:rPr>
        <w:t>decision making moving forward.</w:t>
      </w:r>
    </w:p>
    <w:p w14:paraId="351034A9" w14:textId="52BA41AA" w:rsidR="007F58CC" w:rsidRPr="00833D51" w:rsidRDefault="007F58CC" w:rsidP="00833D51">
      <w:pPr>
        <w:pStyle w:val="ListNumber"/>
        <w:rPr>
          <w:b w:val="0"/>
          <w:lang w:val="en-US"/>
        </w:rPr>
      </w:pPr>
      <w:r w:rsidRPr="00833D51">
        <w:rPr>
          <w:b w:val="0"/>
          <w:lang w:val="en-US"/>
        </w:rPr>
        <w:t xml:space="preserve">This session was then expanded into a workshop where </w:t>
      </w:r>
      <w:r w:rsidR="007C0002">
        <w:rPr>
          <w:b w:val="0"/>
          <w:lang w:val="en-US"/>
        </w:rPr>
        <w:t>participants</w:t>
      </w:r>
      <w:r w:rsidR="007C0002" w:rsidRPr="00833D51">
        <w:rPr>
          <w:b w:val="0"/>
          <w:lang w:val="en-US"/>
        </w:rPr>
        <w:t xml:space="preserve"> </w:t>
      </w:r>
      <w:r w:rsidRPr="00833D51">
        <w:rPr>
          <w:b w:val="0"/>
          <w:lang w:val="en-US"/>
        </w:rPr>
        <w:t xml:space="preserve">were asked to consider Chapter 2 from the IGAB review – roles and responsibilities. Responses </w:t>
      </w:r>
      <w:r w:rsidR="0014126B" w:rsidRPr="00833D51">
        <w:rPr>
          <w:b w:val="0"/>
          <w:lang w:val="en-US"/>
        </w:rPr>
        <w:t xml:space="preserve">included that </w:t>
      </w:r>
      <w:r w:rsidRPr="00833D51">
        <w:rPr>
          <w:b w:val="0"/>
          <w:lang w:val="en-US"/>
        </w:rPr>
        <w:t>roles and responsibilit</w:t>
      </w:r>
      <w:r w:rsidR="00646942" w:rsidRPr="00833D51">
        <w:rPr>
          <w:b w:val="0"/>
          <w:lang w:val="en-US"/>
        </w:rPr>
        <w:t>ies</w:t>
      </w:r>
      <w:r w:rsidRPr="00833D51">
        <w:rPr>
          <w:b w:val="0"/>
          <w:lang w:val="en-US"/>
        </w:rPr>
        <w:t xml:space="preserve"> table need</w:t>
      </w:r>
      <w:r w:rsidR="0014126B" w:rsidRPr="00833D51">
        <w:rPr>
          <w:b w:val="0"/>
          <w:lang w:val="en-US"/>
        </w:rPr>
        <w:t>ed</w:t>
      </w:r>
      <w:r w:rsidRPr="00833D51">
        <w:rPr>
          <w:b w:val="0"/>
          <w:lang w:val="en-US"/>
        </w:rPr>
        <w:t xml:space="preserve"> a more</w:t>
      </w:r>
      <w:r w:rsidR="00AB4CEA" w:rsidRPr="00833D51">
        <w:rPr>
          <w:b w:val="0"/>
          <w:lang w:val="en-US"/>
        </w:rPr>
        <w:t xml:space="preserve"> strategic</w:t>
      </w:r>
      <w:r w:rsidR="0014126B" w:rsidRPr="00833D51">
        <w:rPr>
          <w:b w:val="0"/>
          <w:lang w:val="en-US"/>
        </w:rPr>
        <w:t>, less</w:t>
      </w:r>
      <w:r w:rsidRPr="00833D51">
        <w:rPr>
          <w:b w:val="0"/>
          <w:lang w:val="en-US"/>
        </w:rPr>
        <w:t xml:space="preserve"> ‘silo</w:t>
      </w:r>
      <w:r w:rsidR="00646942" w:rsidRPr="00833D51">
        <w:rPr>
          <w:b w:val="0"/>
          <w:lang w:val="en-US"/>
        </w:rPr>
        <w:t>ed</w:t>
      </w:r>
      <w:r w:rsidRPr="00833D51">
        <w:rPr>
          <w:b w:val="0"/>
          <w:lang w:val="en-US"/>
        </w:rPr>
        <w:t>’ approach</w:t>
      </w:r>
      <w:r w:rsidR="0014126B" w:rsidRPr="00833D51">
        <w:rPr>
          <w:b w:val="0"/>
          <w:lang w:val="en-US"/>
        </w:rPr>
        <w:t xml:space="preserve"> and that t</w:t>
      </w:r>
      <w:r w:rsidRPr="00833D51">
        <w:rPr>
          <w:b w:val="0"/>
          <w:lang w:val="en-US"/>
        </w:rPr>
        <w:t>he concept of biosecurity needs to be si</w:t>
      </w:r>
      <w:r w:rsidR="0014126B" w:rsidRPr="00833D51">
        <w:rPr>
          <w:b w:val="0"/>
          <w:lang w:val="en-US"/>
        </w:rPr>
        <w:t>mplified for the general public.</w:t>
      </w:r>
    </w:p>
    <w:p w14:paraId="11CCD400" w14:textId="27524013" w:rsidR="0014126B" w:rsidRPr="002666B6" w:rsidRDefault="005F36C2" w:rsidP="0014126B">
      <w:pPr>
        <w:rPr>
          <w:rFonts w:eastAsia="Calibri"/>
        </w:rPr>
      </w:pPr>
      <w:r w:rsidRPr="004A4F46">
        <w:rPr>
          <w:noProof/>
          <w:lang w:eastAsia="en-AU"/>
        </w:rPr>
        <w:lastRenderedPageBreak/>
        <mc:AlternateContent>
          <mc:Choice Requires="wps">
            <w:drawing>
              <wp:anchor distT="45720" distB="45720" distL="114300" distR="114300" simplePos="0" relativeHeight="251661312" behindDoc="1" locked="0" layoutInCell="1" allowOverlap="1" wp14:anchorId="7151041C" wp14:editId="50124629">
                <wp:simplePos x="0" y="0"/>
                <wp:positionH relativeFrom="margin">
                  <wp:posOffset>-115570</wp:posOffset>
                </wp:positionH>
                <wp:positionV relativeFrom="paragraph">
                  <wp:posOffset>1177290</wp:posOffset>
                </wp:positionV>
                <wp:extent cx="5849620" cy="1457960"/>
                <wp:effectExtent l="0" t="0" r="17780" b="27940"/>
                <wp:wrapTight wrapText="bothSides">
                  <wp:wrapPolygon edited="0">
                    <wp:start x="0" y="0"/>
                    <wp:lineTo x="0" y="21732"/>
                    <wp:lineTo x="21595" y="21732"/>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1457960"/>
                        </a:xfrm>
                        <a:prstGeom prst="rect">
                          <a:avLst/>
                        </a:prstGeom>
                        <a:solidFill>
                          <a:srgbClr val="FFFFFF"/>
                        </a:solidFill>
                        <a:ln w="9525">
                          <a:solidFill>
                            <a:srgbClr val="000000"/>
                          </a:solidFill>
                          <a:miter lim="800000"/>
                          <a:headEnd/>
                          <a:tailEnd/>
                        </a:ln>
                      </wps:spPr>
                      <wps:txbx>
                        <w:txbxContent>
                          <w:p w14:paraId="345859EE" w14:textId="77777777" w:rsidR="00C64344" w:rsidRPr="0014126B" w:rsidRDefault="00C64344" w:rsidP="00736958">
                            <w:r w:rsidRPr="0014126B">
                              <w:t xml:space="preserve">Next steps… </w:t>
                            </w:r>
                          </w:p>
                          <w:p w14:paraId="3C7ED421" w14:textId="1970D7D8" w:rsidR="00C64344" w:rsidRPr="00833D51" w:rsidRDefault="00C64344" w:rsidP="00833D51">
                            <w:pPr>
                              <w:pStyle w:val="ListNumber"/>
                            </w:pPr>
                            <w:r w:rsidRPr="00833D51">
                              <w:t>The Australian Government Department of Agriculture and Water Resources and the Queensland Department of Agriculture and Fisheries would like to thank everyone who participated in the Queensland Biosecurity Roundtable for their time and contributions. The discussions and ideas from the Roundtable will feed into the agenda for the National Biosecurity Forum</w:t>
                            </w:r>
                            <w:r w:rsidR="0014126B" w:rsidRPr="00833D51">
                              <w:t xml:space="preserve"> on </w:t>
                            </w:r>
                            <w:r w:rsidR="00A10457" w:rsidRPr="00833D51">
                              <w:t>2</w:t>
                            </w:r>
                            <w:r w:rsidR="00A10457">
                              <w:t> </w:t>
                            </w:r>
                            <w:r w:rsidR="0014126B" w:rsidRPr="00833D51">
                              <w:t>November 2017</w:t>
                            </w:r>
                            <w:r w:rsidRPr="00833D51">
                              <w:t xml:space="preserve"> as well as biosecurity governance and communication processes through the NBC and other avenues.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1041C" id="_x0000_t202" coordsize="21600,21600" o:spt="202" path="m,l,21600r21600,l21600,xe">
                <v:stroke joinstyle="miter"/>
                <v:path gradientshapeok="t" o:connecttype="rect"/>
              </v:shapetype>
              <v:shape id="_x0000_s1027" type="#_x0000_t202" style="position:absolute;margin-left:-9.1pt;margin-top:92.7pt;width:460.6pt;height:114.8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">
                <v:textbox>
                  <w:txbxContent>
                    <w:p w14:paraId="345859EE" w14:textId="77777777" w:rsidR="00C64344" w:rsidRPr="0014126B" w:rsidRDefault="00C64344" w:rsidP="00736958">
                      <w:r w:rsidRPr="0014126B">
                        <w:t xml:space="preserve">Next steps… </w:t>
                      </w:r>
                    </w:p>
                    <w:p w14:paraId="3C7ED421" w14:textId="1970D7D8" w:rsidR="00C64344" w:rsidRPr="00833D51" w:rsidRDefault="00C64344" w:rsidP="00833D51">
                      <w:pPr>
                        <w:pStyle w:val="ListNumber"/>
                      </w:pPr>
                      <w:r w:rsidRPr="00833D51">
                        <w:t>The Australian Government Department of Agriculture and Water Resources and the Queensland Department of Agriculture and Fisheries would like to thank everyone who participated in the Queensland Biosecurity Roundtable for their time and contributions. The discussions and ideas from the Roundtable will feed into the agenda for the National Biosecurity Forum</w:t>
                      </w:r>
                      <w:r w:rsidR="0014126B" w:rsidRPr="00833D51">
                        <w:t xml:space="preserve"> on </w:t>
                      </w:r>
                      <w:r w:rsidR="00A10457" w:rsidRPr="00833D51">
                        <w:t>2</w:t>
                      </w:r>
                      <w:r w:rsidR="00A10457">
                        <w:t> </w:t>
                      </w:r>
                      <w:r w:rsidR="0014126B" w:rsidRPr="00833D51">
                        <w:t>November 2017</w:t>
                      </w:r>
                      <w:r w:rsidRPr="00833D51">
                        <w:t xml:space="preserve"> as well as biosecurity governance and communication processes through the NBC and other avenues.</w:t>
                      </w:r>
                    </w:p>
                  </w:txbxContent>
                </v:textbox>
                <w10:wrap type="tight" anchorx="margin"/>
              </v:shape>
            </w:pict>
          </mc:Fallback>
        </mc:AlternateContent>
      </w:r>
      <w:r w:rsidR="007F58CC" w:rsidRPr="004A4F46">
        <w:rPr>
          <w:lang w:val="en-US"/>
        </w:rPr>
        <w:t>During the final</w:t>
      </w:r>
      <w:r w:rsidR="00646942">
        <w:rPr>
          <w:lang w:val="en-US"/>
        </w:rPr>
        <w:t xml:space="preserve"> session,</w:t>
      </w:r>
      <w:r w:rsidR="007F58CC" w:rsidRPr="004A4F46">
        <w:rPr>
          <w:lang w:val="en-US"/>
        </w:rPr>
        <w:t xml:space="preserve"> </w:t>
      </w:r>
      <w:r w:rsidR="00F4706E" w:rsidRPr="004A4F46">
        <w:rPr>
          <w:lang w:val="en-US"/>
        </w:rPr>
        <w:t>‘</w:t>
      </w:r>
      <w:r w:rsidR="00646942">
        <w:rPr>
          <w:lang w:val="en-US"/>
        </w:rPr>
        <w:t>I</w:t>
      </w:r>
      <w:r w:rsidR="00155150" w:rsidRPr="004A4F46">
        <w:rPr>
          <w:lang w:val="en-US"/>
        </w:rPr>
        <w:t>ndustry’s role in biosecurity’</w:t>
      </w:r>
      <w:r w:rsidR="00646942">
        <w:rPr>
          <w:lang w:val="en-US"/>
        </w:rPr>
        <w:t>,</w:t>
      </w:r>
      <w:r w:rsidR="00155150" w:rsidRPr="004A4F46">
        <w:rPr>
          <w:lang w:val="en-US"/>
        </w:rPr>
        <w:t xml:space="preserve"> </w:t>
      </w:r>
      <w:r w:rsidR="007C0002">
        <w:t>participants</w:t>
      </w:r>
      <w:r w:rsidR="007C0002" w:rsidRPr="004A4F46">
        <w:t xml:space="preserve"> </w:t>
      </w:r>
      <w:r w:rsidR="007F58CC" w:rsidRPr="004A4F46">
        <w:t>were asked to discuss</w:t>
      </w:r>
      <w:r w:rsidR="00646942">
        <w:t xml:space="preserve"> the</w:t>
      </w:r>
      <w:r w:rsidR="007F58CC" w:rsidRPr="004A4F46">
        <w:t xml:space="preserve"> things </w:t>
      </w:r>
      <w:r w:rsidR="00646942">
        <w:t>they felt had</w:t>
      </w:r>
      <w:r w:rsidR="007F58CC" w:rsidRPr="004A4F46">
        <w:t xml:space="preserve"> worked well in biosecurity</w:t>
      </w:r>
      <w:r w:rsidR="00646942">
        <w:t xml:space="preserve"> –</w:t>
      </w:r>
      <w:r w:rsidR="007F58CC" w:rsidRPr="004A4F46">
        <w:t xml:space="preserve"> or ‘biosecurity wins’ for their industry</w:t>
      </w:r>
      <w:r w:rsidR="00646942">
        <w:t xml:space="preserve"> –</w:t>
      </w:r>
      <w:r w:rsidR="007F58CC" w:rsidRPr="004A4F46">
        <w:t xml:space="preserve"> and report back to the room. Some of the </w:t>
      </w:r>
      <w:r w:rsidR="0014126B">
        <w:t>positives were</w:t>
      </w:r>
      <w:r w:rsidR="007F58CC" w:rsidRPr="004A4F46">
        <w:t xml:space="preserve"> completion of a social research study</w:t>
      </w:r>
      <w:r w:rsidR="0014126B">
        <w:t xml:space="preserve"> by industry</w:t>
      </w:r>
      <w:r w:rsidR="007F58CC" w:rsidRPr="004A4F46">
        <w:t>, listening and acknowledging base workers, active community support</w:t>
      </w:r>
      <w:r w:rsidR="007F58CC">
        <w:t xml:space="preserve"> through incursion</w:t>
      </w:r>
      <w:r w:rsidR="0014126B">
        <w:t>s</w:t>
      </w:r>
      <w:r w:rsidR="007F58CC">
        <w:t xml:space="preserve"> and development of </w:t>
      </w:r>
      <w:r w:rsidR="0014126B">
        <w:t xml:space="preserve">the Queensland </w:t>
      </w:r>
      <w:r w:rsidR="007F58CC">
        <w:t>biosecurity stra</w:t>
      </w:r>
      <w:r w:rsidR="0014126B">
        <w:rPr>
          <w:rFonts w:eastAsia="Calibri"/>
        </w:rPr>
        <w:t>tegy through co-design partnership.</w:t>
      </w:r>
    </w:p>
    <w:p w14:paraId="4B3E9165" w14:textId="1F260CFC" w:rsidR="0014126B" w:rsidRDefault="0014126B" w:rsidP="00833D51">
      <w:pPr>
        <w:pStyle w:val="ListNumber"/>
      </w:pPr>
    </w:p>
    <w:p w14:paraId="0EC72273" w14:textId="5B64B022" w:rsidR="0014126B" w:rsidRPr="0014126B" w:rsidRDefault="0014126B" w:rsidP="00833D51">
      <w:pPr>
        <w:pStyle w:val="ListNumber"/>
        <w:jc w:val="center"/>
      </w:pPr>
      <w:r w:rsidRPr="0014126B">
        <w:t>We value your feedback – if you have suggestions about this Roundtable or the Roundtable program please contact us at biosecurityroundtable@agriculture.gov.au</w:t>
      </w:r>
    </w:p>
    <w:sectPr w:rsidR="0014126B" w:rsidRPr="001412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0AEB0" w14:textId="77777777" w:rsidR="00C64344" w:rsidRDefault="00C64344" w:rsidP="00280A18">
      <w:pPr>
        <w:spacing w:after="0" w:line="240" w:lineRule="auto"/>
      </w:pPr>
      <w:r>
        <w:separator/>
      </w:r>
    </w:p>
  </w:endnote>
  <w:endnote w:type="continuationSeparator" w:id="0">
    <w:p w14:paraId="6AB37DA2" w14:textId="77777777" w:rsidR="00C64344" w:rsidRDefault="00C64344" w:rsidP="0028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901491"/>
      <w:docPartObj>
        <w:docPartGallery w:val="Page Numbers (Bottom of Page)"/>
        <w:docPartUnique/>
      </w:docPartObj>
    </w:sdtPr>
    <w:sdtEndPr>
      <w:rPr>
        <w:noProof/>
      </w:rPr>
    </w:sdtEndPr>
    <w:sdtContent>
      <w:p w14:paraId="0C258047" w14:textId="491F50B3" w:rsidR="00C64344" w:rsidRDefault="00C64344" w:rsidP="005F36C2">
        <w:pPr>
          <w:pStyle w:val="Footer"/>
          <w:jc w:val="right"/>
        </w:pPr>
        <w:r>
          <w:fldChar w:fldCharType="begin"/>
        </w:r>
        <w:r>
          <w:instrText xml:space="preserve"> PAGE   \* MERGEFORMAT </w:instrText>
        </w:r>
        <w:r>
          <w:fldChar w:fldCharType="separate"/>
        </w:r>
        <w:r w:rsidR="00B4335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AF59" w14:textId="77777777" w:rsidR="00C64344" w:rsidRDefault="00C64344" w:rsidP="00280A18">
      <w:pPr>
        <w:spacing w:after="0" w:line="240" w:lineRule="auto"/>
      </w:pPr>
      <w:r>
        <w:separator/>
      </w:r>
    </w:p>
  </w:footnote>
  <w:footnote w:type="continuationSeparator" w:id="0">
    <w:p w14:paraId="0E5828CF" w14:textId="77777777" w:rsidR="00C64344" w:rsidRDefault="00C64344" w:rsidP="00280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DCE9" w14:textId="34260B92" w:rsidR="00C64344" w:rsidRPr="000201C8" w:rsidRDefault="00C64344" w:rsidP="000201C8">
    <w:pPr>
      <w:rPr>
        <w:rFonts w:cs="Times New Roman"/>
        <w:noProof/>
        <w:sz w:val="24"/>
        <w:lang w:val="en-US" w:eastAsia="en-AU"/>
      </w:rPr>
    </w:pPr>
    <w:r>
      <w:rPr>
        <w:rFonts w:cs="Times New Roman"/>
        <w:noProof/>
        <w:sz w:val="24"/>
        <w:lang w:val="en-US" w:eastAsia="en-AU"/>
      </w:rPr>
      <w:t xml:space="preserve">         </w:t>
    </w:r>
    <w:r w:rsidRPr="000201C8">
      <w:rPr>
        <w:rFonts w:cs="Times New Roman"/>
        <w:noProof/>
        <w:sz w:val="24"/>
        <w:lang w:eastAsia="en-AU"/>
      </w:rPr>
      <w:drawing>
        <wp:inline distT="0" distB="0" distL="0" distR="0" wp14:anchorId="7195E13D" wp14:editId="1DEED903">
          <wp:extent cx="1619579" cy="531495"/>
          <wp:effectExtent l="0" t="0" r="0" b="1905"/>
          <wp:docPr id="8" name="Picture 8" descr="http://mylink.agdaff.gov.au/Comms/PrintPub/Logos/Departmental%20Logos/Department%20of%20Agriculture%20and%20Water%20Resources/Left%20Aligned/Master%20Brandmark%20Left%20Aligne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301" cy="536655"/>
                  </a:xfrm>
                  <a:prstGeom prst="rect">
                    <a:avLst/>
                  </a:prstGeom>
                  <a:noFill/>
                  <a:ln>
                    <a:noFill/>
                  </a:ln>
                </pic:spPr>
              </pic:pic>
            </a:graphicData>
          </a:graphic>
        </wp:inline>
      </w:drawing>
    </w:r>
    <w:r w:rsidRPr="000201C8">
      <w:rPr>
        <w:rFonts w:cs="Times New Roman"/>
        <w:noProof/>
        <w:sz w:val="24"/>
        <w:lang w:val="en-US" w:eastAsia="en-AU"/>
      </w:rPr>
      <w:t xml:space="preserve">                  </w:t>
    </w:r>
    <w:r>
      <w:rPr>
        <w:rFonts w:cs="Times New Roman"/>
        <w:noProof/>
        <w:sz w:val="24"/>
        <w:lang w:val="en-US" w:eastAsia="en-AU"/>
      </w:rPr>
      <w:t xml:space="preserve">                                          </w:t>
    </w:r>
    <w:r w:rsidRPr="000201C8">
      <w:rPr>
        <w:rFonts w:cs="Times New Roman"/>
        <w:noProof/>
        <w:sz w:val="24"/>
        <w:lang w:val="en-US" w:eastAsia="en-AU"/>
      </w:rPr>
      <w:t xml:space="preserve">  </w:t>
    </w:r>
    <w:r>
      <w:rPr>
        <w:noProof/>
        <w:color w:val="0000FF"/>
        <w:lang w:eastAsia="en-AU"/>
      </w:rPr>
      <w:drawing>
        <wp:inline distT="0" distB="0" distL="0" distR="0" wp14:anchorId="3C603790" wp14:editId="52405119">
          <wp:extent cx="1645018" cy="714375"/>
          <wp:effectExtent l="0" t="0" r="0" b="0"/>
          <wp:docPr id="4" name="irc_mi" descr="Image result for queensland governmen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queensland governmen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6970" cy="719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3DA0988"/>
    <w:lvl w:ilvl="0">
      <w:start w:val="1"/>
      <w:numFmt w:val="decimal"/>
      <w:lvlText w:val="%1."/>
      <w:lvlJc w:val="left"/>
      <w:pPr>
        <w:tabs>
          <w:tab w:val="num" w:pos="360"/>
        </w:tabs>
        <w:ind w:left="360" w:hanging="360"/>
      </w:pPr>
    </w:lvl>
  </w:abstractNum>
  <w:abstractNum w:abstractNumId="1" w15:restartNumberingAfterBreak="0">
    <w:nsid w:val="0B56082C"/>
    <w:multiLevelType w:val="hybridMultilevel"/>
    <w:tmpl w:val="BAB0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BF39CA"/>
    <w:multiLevelType w:val="hybridMultilevel"/>
    <w:tmpl w:val="F84AE5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51F771B"/>
    <w:multiLevelType w:val="hybridMultilevel"/>
    <w:tmpl w:val="52B43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F740BE"/>
    <w:multiLevelType w:val="hybridMultilevel"/>
    <w:tmpl w:val="10862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F1412"/>
    <w:multiLevelType w:val="hybridMultilevel"/>
    <w:tmpl w:val="9E1064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85EAB"/>
    <w:multiLevelType w:val="hybridMultilevel"/>
    <w:tmpl w:val="5BE28608"/>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6C5D7D"/>
    <w:multiLevelType w:val="hybridMultilevel"/>
    <w:tmpl w:val="C300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1065"/>
    <w:multiLevelType w:val="hybridMultilevel"/>
    <w:tmpl w:val="4D9E0776"/>
    <w:lvl w:ilvl="0" w:tplc="0C090001">
      <w:start w:val="1"/>
      <w:numFmt w:val="bullet"/>
      <w:lvlText w:val=""/>
      <w:lvlJc w:val="left"/>
      <w:pPr>
        <w:ind w:left="720" w:hanging="360"/>
      </w:pPr>
      <w:rPr>
        <w:rFonts w:ascii="Symbol" w:hAnsi="Symbol" w:hint="default"/>
      </w:rPr>
    </w:lvl>
    <w:lvl w:ilvl="1" w:tplc="AE80D592">
      <w:numFmt w:val="bullet"/>
      <w:lvlText w:val="-"/>
      <w:lvlJc w:val="left"/>
      <w:pPr>
        <w:ind w:left="1440" w:hanging="360"/>
      </w:pPr>
      <w:rPr>
        <w:rFonts w:ascii="Calibri" w:eastAsiaTheme="minorHAns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4143A"/>
    <w:multiLevelType w:val="hybridMultilevel"/>
    <w:tmpl w:val="65A84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0A50A5"/>
    <w:multiLevelType w:val="hybridMultilevel"/>
    <w:tmpl w:val="CA967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234E49"/>
    <w:multiLevelType w:val="hybridMultilevel"/>
    <w:tmpl w:val="B14C3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495B4C"/>
    <w:multiLevelType w:val="hybridMultilevel"/>
    <w:tmpl w:val="58A4E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5846D4"/>
    <w:multiLevelType w:val="hybridMultilevel"/>
    <w:tmpl w:val="1EDEA7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7B653D"/>
    <w:multiLevelType w:val="hybridMultilevel"/>
    <w:tmpl w:val="8FCE66AC"/>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6613649"/>
    <w:multiLevelType w:val="hybridMultilevel"/>
    <w:tmpl w:val="75526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507F3A"/>
    <w:multiLevelType w:val="hybridMultilevel"/>
    <w:tmpl w:val="0EFAE1F4"/>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8EF1C88"/>
    <w:multiLevelType w:val="hybridMultilevel"/>
    <w:tmpl w:val="458EBD1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5456429"/>
    <w:multiLevelType w:val="multilevel"/>
    <w:tmpl w:val="5F245C28"/>
    <w:lvl w:ilvl="0">
      <w:start w:val="1"/>
      <w:numFmt w:val="decimal"/>
      <w:lvlText w:val="%1."/>
      <w:lvlJc w:val="left"/>
      <w:pPr>
        <w:ind w:left="369" w:hanging="369"/>
      </w:pPr>
      <w:rPr>
        <w:rFonts w:ascii="Calibri" w:hAnsi="Calibri" w:cs="Calibri" w:hint="default"/>
        <w:sz w:val="24"/>
        <w:szCs w:val="24"/>
      </w:rPr>
    </w:lvl>
    <w:lvl w:ilvl="1">
      <w:start w:val="1"/>
      <w:numFmt w:val="bullet"/>
      <w:lvlText w:val=""/>
      <w:lvlJc w:val="left"/>
      <w:pPr>
        <w:ind w:left="738" w:hanging="369"/>
      </w:pPr>
      <w:rPr>
        <w:rFonts w:ascii="Symbol" w:hAnsi="Symbol" w:hint="default"/>
        <w:color w:val="auto"/>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71D13F9D"/>
    <w:multiLevelType w:val="hybridMultilevel"/>
    <w:tmpl w:val="43C09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F72F35"/>
    <w:multiLevelType w:val="hybridMultilevel"/>
    <w:tmpl w:val="5F0019D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77771DA"/>
    <w:multiLevelType w:val="hybridMultilevel"/>
    <w:tmpl w:val="1640063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3"/>
  </w:num>
  <w:num w:numId="4">
    <w:abstractNumId w:val="20"/>
  </w:num>
  <w:num w:numId="5">
    <w:abstractNumId w:val="21"/>
  </w:num>
  <w:num w:numId="6">
    <w:abstractNumId w:val="11"/>
  </w:num>
  <w:num w:numId="7">
    <w:abstractNumId w:val="8"/>
  </w:num>
  <w:num w:numId="8">
    <w:abstractNumId w:val="14"/>
  </w:num>
  <w:num w:numId="9">
    <w:abstractNumId w:val="13"/>
  </w:num>
  <w:num w:numId="10">
    <w:abstractNumId w:val="16"/>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15"/>
  </w:num>
  <w:num w:numId="16">
    <w:abstractNumId w:val="19"/>
  </w:num>
  <w:num w:numId="17">
    <w:abstractNumId w:val="12"/>
  </w:num>
  <w:num w:numId="18">
    <w:abstractNumId w:val="4"/>
  </w:num>
  <w:num w:numId="19">
    <w:abstractNumId w:val="9"/>
  </w:num>
  <w:num w:numId="20">
    <w:abstractNumId w:val="0"/>
  </w:num>
  <w:num w:numId="21">
    <w:abstractNumId w:val="7"/>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18"/>
    <w:rsid w:val="00002874"/>
    <w:rsid w:val="00004C8E"/>
    <w:rsid w:val="000117E6"/>
    <w:rsid w:val="0001390E"/>
    <w:rsid w:val="000201C8"/>
    <w:rsid w:val="000344FB"/>
    <w:rsid w:val="00041E65"/>
    <w:rsid w:val="000508EE"/>
    <w:rsid w:val="000520FD"/>
    <w:rsid w:val="000605FE"/>
    <w:rsid w:val="000670F9"/>
    <w:rsid w:val="00071DFB"/>
    <w:rsid w:val="000736D2"/>
    <w:rsid w:val="000773B6"/>
    <w:rsid w:val="000839B6"/>
    <w:rsid w:val="00084422"/>
    <w:rsid w:val="000A2C64"/>
    <w:rsid w:val="000A73AC"/>
    <w:rsid w:val="000B68E7"/>
    <w:rsid w:val="000C0023"/>
    <w:rsid w:val="000E17F8"/>
    <w:rsid w:val="000E2D10"/>
    <w:rsid w:val="000F278A"/>
    <w:rsid w:val="00113202"/>
    <w:rsid w:val="0012069D"/>
    <w:rsid w:val="001215F3"/>
    <w:rsid w:val="00121F80"/>
    <w:rsid w:val="00131851"/>
    <w:rsid w:val="0014126B"/>
    <w:rsid w:val="00155150"/>
    <w:rsid w:val="00176814"/>
    <w:rsid w:val="00182899"/>
    <w:rsid w:val="001877F3"/>
    <w:rsid w:val="001A6E9D"/>
    <w:rsid w:val="001B5A1C"/>
    <w:rsid w:val="001B5F6A"/>
    <w:rsid w:val="001F1689"/>
    <w:rsid w:val="001F292F"/>
    <w:rsid w:val="002247AF"/>
    <w:rsid w:val="00271519"/>
    <w:rsid w:val="00274338"/>
    <w:rsid w:val="00280A18"/>
    <w:rsid w:val="00282723"/>
    <w:rsid w:val="00291860"/>
    <w:rsid w:val="00294C9D"/>
    <w:rsid w:val="002A46A2"/>
    <w:rsid w:val="002A7F7D"/>
    <w:rsid w:val="002B4220"/>
    <w:rsid w:val="002C4D78"/>
    <w:rsid w:val="002C54D2"/>
    <w:rsid w:val="002D3FC9"/>
    <w:rsid w:val="002E05BF"/>
    <w:rsid w:val="00320130"/>
    <w:rsid w:val="003273D1"/>
    <w:rsid w:val="0032755F"/>
    <w:rsid w:val="00343425"/>
    <w:rsid w:val="003452C2"/>
    <w:rsid w:val="003628FB"/>
    <w:rsid w:val="00370463"/>
    <w:rsid w:val="00375390"/>
    <w:rsid w:val="0038053B"/>
    <w:rsid w:val="00381066"/>
    <w:rsid w:val="0039744C"/>
    <w:rsid w:val="003A020A"/>
    <w:rsid w:val="003B041B"/>
    <w:rsid w:val="003B7B0C"/>
    <w:rsid w:val="003C5C0F"/>
    <w:rsid w:val="003D6F68"/>
    <w:rsid w:val="003D72E6"/>
    <w:rsid w:val="003E7260"/>
    <w:rsid w:val="003F10A1"/>
    <w:rsid w:val="003F10F3"/>
    <w:rsid w:val="0043121C"/>
    <w:rsid w:val="00432BC6"/>
    <w:rsid w:val="00435CE3"/>
    <w:rsid w:val="00436D59"/>
    <w:rsid w:val="0044169B"/>
    <w:rsid w:val="00444812"/>
    <w:rsid w:val="00451A1B"/>
    <w:rsid w:val="00452156"/>
    <w:rsid w:val="00453B32"/>
    <w:rsid w:val="00465985"/>
    <w:rsid w:val="0047658E"/>
    <w:rsid w:val="00491E97"/>
    <w:rsid w:val="004A4775"/>
    <w:rsid w:val="004A4A78"/>
    <w:rsid w:val="004A4F46"/>
    <w:rsid w:val="004B41F4"/>
    <w:rsid w:val="004B6B45"/>
    <w:rsid w:val="004C0D1E"/>
    <w:rsid w:val="004C20B3"/>
    <w:rsid w:val="004D74AF"/>
    <w:rsid w:val="004F2636"/>
    <w:rsid w:val="005031AF"/>
    <w:rsid w:val="00526894"/>
    <w:rsid w:val="00552565"/>
    <w:rsid w:val="0057228A"/>
    <w:rsid w:val="00586D1A"/>
    <w:rsid w:val="0058791A"/>
    <w:rsid w:val="0059395A"/>
    <w:rsid w:val="005A28DF"/>
    <w:rsid w:val="005A6100"/>
    <w:rsid w:val="005A6394"/>
    <w:rsid w:val="005B031C"/>
    <w:rsid w:val="005B46BD"/>
    <w:rsid w:val="005C0539"/>
    <w:rsid w:val="005C0AC9"/>
    <w:rsid w:val="005C3749"/>
    <w:rsid w:val="005D02CA"/>
    <w:rsid w:val="005E7DE2"/>
    <w:rsid w:val="005F36C2"/>
    <w:rsid w:val="005F560C"/>
    <w:rsid w:val="006076E5"/>
    <w:rsid w:val="00614AE2"/>
    <w:rsid w:val="00615862"/>
    <w:rsid w:val="006264EA"/>
    <w:rsid w:val="00632584"/>
    <w:rsid w:val="00646942"/>
    <w:rsid w:val="00667B1B"/>
    <w:rsid w:val="00670203"/>
    <w:rsid w:val="0067260E"/>
    <w:rsid w:val="00681671"/>
    <w:rsid w:val="0068321D"/>
    <w:rsid w:val="006A6543"/>
    <w:rsid w:val="006B3AC2"/>
    <w:rsid w:val="006B56EE"/>
    <w:rsid w:val="006C14A4"/>
    <w:rsid w:val="006E37A1"/>
    <w:rsid w:val="006E6B64"/>
    <w:rsid w:val="006F13CE"/>
    <w:rsid w:val="00703EDF"/>
    <w:rsid w:val="0070722E"/>
    <w:rsid w:val="0073379A"/>
    <w:rsid w:val="00734946"/>
    <w:rsid w:val="00736958"/>
    <w:rsid w:val="00742EC0"/>
    <w:rsid w:val="00742F29"/>
    <w:rsid w:val="007533F0"/>
    <w:rsid w:val="007718F9"/>
    <w:rsid w:val="00771B80"/>
    <w:rsid w:val="00780C49"/>
    <w:rsid w:val="00783CB4"/>
    <w:rsid w:val="0078406C"/>
    <w:rsid w:val="007932F8"/>
    <w:rsid w:val="007C0002"/>
    <w:rsid w:val="007C42E8"/>
    <w:rsid w:val="007E01E4"/>
    <w:rsid w:val="007F58CC"/>
    <w:rsid w:val="00804515"/>
    <w:rsid w:val="0081684C"/>
    <w:rsid w:val="00821761"/>
    <w:rsid w:val="00823A3D"/>
    <w:rsid w:val="00833D51"/>
    <w:rsid w:val="00841ED0"/>
    <w:rsid w:val="0085379B"/>
    <w:rsid w:val="00864886"/>
    <w:rsid w:val="0087481C"/>
    <w:rsid w:val="00887241"/>
    <w:rsid w:val="00893BD4"/>
    <w:rsid w:val="008A0972"/>
    <w:rsid w:val="008B1905"/>
    <w:rsid w:val="008B581E"/>
    <w:rsid w:val="008C4CC0"/>
    <w:rsid w:val="008E1DA9"/>
    <w:rsid w:val="009019CC"/>
    <w:rsid w:val="00912CB7"/>
    <w:rsid w:val="009207FD"/>
    <w:rsid w:val="00925BC4"/>
    <w:rsid w:val="00943BA6"/>
    <w:rsid w:val="009449FD"/>
    <w:rsid w:val="00946C40"/>
    <w:rsid w:val="00946CBA"/>
    <w:rsid w:val="00956CFE"/>
    <w:rsid w:val="009669FD"/>
    <w:rsid w:val="0097176C"/>
    <w:rsid w:val="00986B02"/>
    <w:rsid w:val="009B36DE"/>
    <w:rsid w:val="009B4523"/>
    <w:rsid w:val="009B7C98"/>
    <w:rsid w:val="009D4C65"/>
    <w:rsid w:val="009D67EC"/>
    <w:rsid w:val="009E4120"/>
    <w:rsid w:val="00A066F8"/>
    <w:rsid w:val="00A10457"/>
    <w:rsid w:val="00A13829"/>
    <w:rsid w:val="00A1778B"/>
    <w:rsid w:val="00A55C87"/>
    <w:rsid w:val="00A7031B"/>
    <w:rsid w:val="00A838BF"/>
    <w:rsid w:val="00A84150"/>
    <w:rsid w:val="00A8473C"/>
    <w:rsid w:val="00A9135F"/>
    <w:rsid w:val="00A95D8B"/>
    <w:rsid w:val="00AB2CF9"/>
    <w:rsid w:val="00AB3A9D"/>
    <w:rsid w:val="00AB4CEA"/>
    <w:rsid w:val="00AD5E33"/>
    <w:rsid w:val="00AF097E"/>
    <w:rsid w:val="00AF1F5C"/>
    <w:rsid w:val="00AF1F8F"/>
    <w:rsid w:val="00B0603C"/>
    <w:rsid w:val="00B06988"/>
    <w:rsid w:val="00B12BEE"/>
    <w:rsid w:val="00B12BFF"/>
    <w:rsid w:val="00B13956"/>
    <w:rsid w:val="00B14ED0"/>
    <w:rsid w:val="00B25D65"/>
    <w:rsid w:val="00B43353"/>
    <w:rsid w:val="00B43E4F"/>
    <w:rsid w:val="00B473D1"/>
    <w:rsid w:val="00B47E8E"/>
    <w:rsid w:val="00B51CE8"/>
    <w:rsid w:val="00B52813"/>
    <w:rsid w:val="00B57D80"/>
    <w:rsid w:val="00B70F37"/>
    <w:rsid w:val="00B74C6F"/>
    <w:rsid w:val="00B902CB"/>
    <w:rsid w:val="00BB5777"/>
    <w:rsid w:val="00BC191F"/>
    <w:rsid w:val="00BD3824"/>
    <w:rsid w:val="00BE535C"/>
    <w:rsid w:val="00BF3B30"/>
    <w:rsid w:val="00C0184E"/>
    <w:rsid w:val="00C27CFB"/>
    <w:rsid w:val="00C357E5"/>
    <w:rsid w:val="00C363F0"/>
    <w:rsid w:val="00C40666"/>
    <w:rsid w:val="00C41E00"/>
    <w:rsid w:val="00C4726D"/>
    <w:rsid w:val="00C51CDD"/>
    <w:rsid w:val="00C61DD0"/>
    <w:rsid w:val="00C64344"/>
    <w:rsid w:val="00C7367A"/>
    <w:rsid w:val="00C73B70"/>
    <w:rsid w:val="00C74D3B"/>
    <w:rsid w:val="00C90016"/>
    <w:rsid w:val="00C910C1"/>
    <w:rsid w:val="00C93665"/>
    <w:rsid w:val="00C9368E"/>
    <w:rsid w:val="00C93A18"/>
    <w:rsid w:val="00CB4406"/>
    <w:rsid w:val="00CC6D48"/>
    <w:rsid w:val="00CD12F0"/>
    <w:rsid w:val="00CD1C32"/>
    <w:rsid w:val="00CD5C20"/>
    <w:rsid w:val="00CF3E85"/>
    <w:rsid w:val="00D056E4"/>
    <w:rsid w:val="00D10D45"/>
    <w:rsid w:val="00D13663"/>
    <w:rsid w:val="00D20B3D"/>
    <w:rsid w:val="00D223B4"/>
    <w:rsid w:val="00D24E9B"/>
    <w:rsid w:val="00D43338"/>
    <w:rsid w:val="00D52C8E"/>
    <w:rsid w:val="00D56410"/>
    <w:rsid w:val="00D6390D"/>
    <w:rsid w:val="00D6657B"/>
    <w:rsid w:val="00D750DE"/>
    <w:rsid w:val="00D85CE7"/>
    <w:rsid w:val="00D967C3"/>
    <w:rsid w:val="00DC73B5"/>
    <w:rsid w:val="00DD0191"/>
    <w:rsid w:val="00DD3982"/>
    <w:rsid w:val="00DE078E"/>
    <w:rsid w:val="00E02D10"/>
    <w:rsid w:val="00E11525"/>
    <w:rsid w:val="00E37A31"/>
    <w:rsid w:val="00E43820"/>
    <w:rsid w:val="00E47426"/>
    <w:rsid w:val="00E56988"/>
    <w:rsid w:val="00E71025"/>
    <w:rsid w:val="00E72FDF"/>
    <w:rsid w:val="00E83F13"/>
    <w:rsid w:val="00E96902"/>
    <w:rsid w:val="00EA2AD1"/>
    <w:rsid w:val="00EB0FB0"/>
    <w:rsid w:val="00EC25A2"/>
    <w:rsid w:val="00EC705B"/>
    <w:rsid w:val="00EE23D7"/>
    <w:rsid w:val="00EF2751"/>
    <w:rsid w:val="00EF4FF0"/>
    <w:rsid w:val="00F01770"/>
    <w:rsid w:val="00F028C2"/>
    <w:rsid w:val="00F1534B"/>
    <w:rsid w:val="00F27B22"/>
    <w:rsid w:val="00F307CA"/>
    <w:rsid w:val="00F45830"/>
    <w:rsid w:val="00F4706E"/>
    <w:rsid w:val="00F47E6D"/>
    <w:rsid w:val="00F56DFA"/>
    <w:rsid w:val="00F73AEA"/>
    <w:rsid w:val="00F74F70"/>
    <w:rsid w:val="00F9176F"/>
    <w:rsid w:val="00F9436E"/>
    <w:rsid w:val="00FA192C"/>
    <w:rsid w:val="00FB2367"/>
    <w:rsid w:val="00FC3AC8"/>
    <w:rsid w:val="00FC7834"/>
    <w:rsid w:val="00FE172D"/>
    <w:rsid w:val="00FE30B9"/>
    <w:rsid w:val="00FE5E96"/>
    <w:rsid w:val="00FE60C0"/>
    <w:rsid w:val="00FE7844"/>
    <w:rsid w:val="00FF1D15"/>
    <w:rsid w:val="00FF69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14:docId w14:val="00A1973E"/>
  <w15:chartTrackingRefBased/>
  <w15:docId w15:val="{71385914-EA32-4722-8232-A9C9BAD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016"/>
  </w:style>
  <w:style w:type="paragraph" w:styleId="Heading1">
    <w:name w:val="heading 1"/>
    <w:basedOn w:val="Normal"/>
    <w:next w:val="Normal"/>
    <w:link w:val="Heading1Char"/>
    <w:qFormat/>
    <w:rsid w:val="000201C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A18"/>
  </w:style>
  <w:style w:type="paragraph" w:styleId="Footer">
    <w:name w:val="footer"/>
    <w:basedOn w:val="Normal"/>
    <w:link w:val="FooterChar"/>
    <w:uiPriority w:val="99"/>
    <w:unhideWhenUsed/>
    <w:rsid w:val="00280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A18"/>
  </w:style>
  <w:style w:type="paragraph" w:styleId="ListParagraph">
    <w:name w:val="List Paragraph"/>
    <w:basedOn w:val="Normal"/>
    <w:uiPriority w:val="34"/>
    <w:qFormat/>
    <w:rsid w:val="00131851"/>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131851"/>
    <w:rPr>
      <w:sz w:val="16"/>
      <w:szCs w:val="16"/>
    </w:rPr>
  </w:style>
  <w:style w:type="paragraph" w:styleId="CommentText">
    <w:name w:val="annotation text"/>
    <w:basedOn w:val="Normal"/>
    <w:link w:val="CommentTextChar"/>
    <w:uiPriority w:val="99"/>
    <w:semiHidden/>
    <w:unhideWhenUsed/>
    <w:rsid w:val="0013185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131851"/>
    <w:rPr>
      <w:rFonts w:ascii="Calibri" w:hAnsi="Calibri" w:cs="Times New Roman"/>
      <w:sz w:val="20"/>
      <w:szCs w:val="20"/>
    </w:rPr>
  </w:style>
  <w:style w:type="paragraph" w:styleId="BalloonText">
    <w:name w:val="Balloon Text"/>
    <w:basedOn w:val="Normal"/>
    <w:link w:val="BalloonTextChar"/>
    <w:uiPriority w:val="99"/>
    <w:semiHidden/>
    <w:unhideWhenUsed/>
    <w:rsid w:val="00131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851"/>
    <w:rPr>
      <w:rFonts w:ascii="Segoe UI" w:hAnsi="Segoe UI" w:cs="Segoe UI"/>
      <w:sz w:val="18"/>
      <w:szCs w:val="18"/>
    </w:rPr>
  </w:style>
  <w:style w:type="paragraph" w:styleId="ListNumber">
    <w:name w:val="List Number"/>
    <w:basedOn w:val="Normal"/>
    <w:autoRedefine/>
    <w:uiPriority w:val="99"/>
    <w:qFormat/>
    <w:rsid w:val="00833D51"/>
    <w:pPr>
      <w:spacing w:after="200" w:line="240" w:lineRule="auto"/>
    </w:pPr>
    <w:rPr>
      <w:rFonts w:ascii="Calibri" w:eastAsia="Calibri" w:hAnsi="Calibri" w:cs="Times New Roman"/>
      <w:b/>
    </w:rPr>
  </w:style>
  <w:style w:type="paragraph" w:styleId="ListNumber2">
    <w:name w:val="List Number 2"/>
    <w:basedOn w:val="Normal"/>
    <w:autoRedefine/>
    <w:uiPriority w:val="99"/>
    <w:rsid w:val="0078406C"/>
    <w:pPr>
      <w:spacing w:after="0" w:line="240" w:lineRule="auto"/>
      <w:jc w:val="center"/>
    </w:pPr>
    <w:rPr>
      <w:rFonts w:ascii="Calibri" w:eastAsia="Calibri" w:hAnsi="Calibri" w:cs="Times New Roman"/>
      <w:b/>
      <w:sz w:val="24"/>
      <w:szCs w:val="24"/>
    </w:rPr>
  </w:style>
  <w:style w:type="paragraph" w:styleId="ListNumber3">
    <w:name w:val="List Number 3"/>
    <w:basedOn w:val="Normal"/>
    <w:uiPriority w:val="99"/>
    <w:rsid w:val="00131851"/>
    <w:pPr>
      <w:numPr>
        <w:ilvl w:val="2"/>
        <w:numId w:val="2"/>
      </w:numPr>
      <w:spacing w:after="200" w:line="240" w:lineRule="auto"/>
    </w:pPr>
    <w:rPr>
      <w:rFonts w:ascii="Calibri" w:eastAsia="Calibri" w:hAnsi="Calibri" w:cs="Times New Roman"/>
      <w:sz w:val="24"/>
    </w:rPr>
  </w:style>
  <w:style w:type="paragraph" w:styleId="ListNumber4">
    <w:name w:val="List Number 4"/>
    <w:basedOn w:val="Normal"/>
    <w:uiPriority w:val="99"/>
    <w:rsid w:val="00131851"/>
    <w:pPr>
      <w:numPr>
        <w:ilvl w:val="3"/>
        <w:numId w:val="2"/>
      </w:numPr>
      <w:spacing w:after="200" w:line="240" w:lineRule="auto"/>
    </w:pPr>
    <w:rPr>
      <w:rFonts w:ascii="Calibri" w:eastAsia="Calibri" w:hAnsi="Calibri" w:cs="Times New Roman"/>
      <w:sz w:val="24"/>
    </w:rPr>
  </w:style>
  <w:style w:type="paragraph" w:styleId="ListNumber5">
    <w:name w:val="List Number 5"/>
    <w:basedOn w:val="Normal"/>
    <w:uiPriority w:val="99"/>
    <w:rsid w:val="00131851"/>
    <w:pPr>
      <w:numPr>
        <w:ilvl w:val="4"/>
        <w:numId w:val="2"/>
      </w:numPr>
      <w:spacing w:after="200" w:line="240" w:lineRule="auto"/>
    </w:pPr>
    <w:rPr>
      <w:rFonts w:ascii="Calibri" w:eastAsia="Calibri" w:hAnsi="Calibri" w:cs="Times New Roman"/>
      <w:sz w:val="24"/>
    </w:rPr>
  </w:style>
  <w:style w:type="paragraph" w:styleId="CommentSubject">
    <w:name w:val="annotation subject"/>
    <w:basedOn w:val="CommentText"/>
    <w:next w:val="CommentText"/>
    <w:link w:val="CommentSubjectChar"/>
    <w:uiPriority w:val="99"/>
    <w:semiHidden/>
    <w:unhideWhenUsed/>
    <w:rsid w:val="00F01770"/>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01770"/>
    <w:rPr>
      <w:rFonts w:ascii="Calibri" w:hAnsi="Calibri" w:cs="Times New Roman"/>
      <w:b/>
      <w:bCs/>
      <w:sz w:val="20"/>
      <w:szCs w:val="20"/>
    </w:rPr>
  </w:style>
  <w:style w:type="paragraph" w:styleId="Revision">
    <w:name w:val="Revision"/>
    <w:hidden/>
    <w:uiPriority w:val="99"/>
    <w:semiHidden/>
    <w:rsid w:val="00F01770"/>
    <w:pPr>
      <w:spacing w:after="0" w:line="240" w:lineRule="auto"/>
    </w:pPr>
  </w:style>
  <w:style w:type="paragraph" w:customStyle="1" w:styleId="Tabletext">
    <w:name w:val="Table text"/>
    <w:basedOn w:val="Normal"/>
    <w:uiPriority w:val="9"/>
    <w:qFormat/>
    <w:rsid w:val="00B13956"/>
    <w:pPr>
      <w:spacing w:after="200" w:line="240" w:lineRule="auto"/>
    </w:pPr>
    <w:rPr>
      <w:rFonts w:ascii="Calibri" w:eastAsia="Calibri" w:hAnsi="Calibri" w:cs="Times New Roman"/>
    </w:rPr>
  </w:style>
  <w:style w:type="character" w:customStyle="1" w:styleId="Heading1Char">
    <w:name w:val="Heading 1 Char"/>
    <w:basedOn w:val="DefaultParagraphFont"/>
    <w:link w:val="Heading1"/>
    <w:rsid w:val="000201C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0342">
      <w:bodyDiv w:val="1"/>
      <w:marLeft w:val="0"/>
      <w:marRight w:val="0"/>
      <w:marTop w:val="0"/>
      <w:marBottom w:val="0"/>
      <w:divBdr>
        <w:top w:val="none" w:sz="0" w:space="0" w:color="auto"/>
        <w:left w:val="none" w:sz="0" w:space="0" w:color="auto"/>
        <w:bottom w:val="none" w:sz="0" w:space="0" w:color="auto"/>
        <w:right w:val="none" w:sz="0" w:space="0" w:color="auto"/>
      </w:divBdr>
    </w:div>
    <w:div w:id="792943858">
      <w:bodyDiv w:val="1"/>
      <w:marLeft w:val="0"/>
      <w:marRight w:val="0"/>
      <w:marTop w:val="0"/>
      <w:marBottom w:val="0"/>
      <w:divBdr>
        <w:top w:val="none" w:sz="0" w:space="0" w:color="auto"/>
        <w:left w:val="none" w:sz="0" w:space="0" w:color="auto"/>
        <w:bottom w:val="none" w:sz="0" w:space="0" w:color="auto"/>
        <w:right w:val="none" w:sz="0" w:space="0" w:color="auto"/>
      </w:divBdr>
    </w:div>
    <w:div w:id="1264845125">
      <w:bodyDiv w:val="1"/>
      <w:marLeft w:val="0"/>
      <w:marRight w:val="0"/>
      <w:marTop w:val="0"/>
      <w:marBottom w:val="0"/>
      <w:divBdr>
        <w:top w:val="none" w:sz="0" w:space="0" w:color="auto"/>
        <w:left w:val="none" w:sz="0" w:space="0" w:color="auto"/>
        <w:bottom w:val="none" w:sz="0" w:space="0" w:color="auto"/>
        <w:right w:val="none" w:sz="0" w:space="0" w:color="auto"/>
      </w:divBdr>
    </w:div>
    <w:div w:id="1840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au/url?sa=i&amp;rct=j&amp;q=&amp;esrc=s&amp;source=images&amp;cd=&amp;cad=rja&amp;uact=8&amp;ved=0ahUKEwj4uJvx14DWAhVCHpQKHQsGCDYQjRwIBw&amp;url=http://savethecassowary.org.au/portfolio/queensland-government/&amp;psig=AFQjCNFcYRUw5tb_FkekbznJgEct6YFfGA&amp;ust=150424177016323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76A7566-CD83-40B7-9DD1-9F49334C0B83}"/>
</file>

<file path=customXml/itemProps2.xml><?xml version="1.0" encoding="utf-8"?>
<ds:datastoreItem xmlns:ds="http://schemas.openxmlformats.org/officeDocument/2006/customXml" ds:itemID="{22305A8A-752F-446C-BB2F-045DF2F12E0E}"/>
</file>

<file path=customXml/itemProps3.xml><?xml version="1.0" encoding="utf-8"?>
<ds:datastoreItem xmlns:ds="http://schemas.openxmlformats.org/officeDocument/2006/customXml" ds:itemID="{2795B1D5-C8FF-4B37-8C56-18105E659901}"/>
</file>

<file path=customXml/itemProps4.xml><?xml version="1.0" encoding="utf-8"?>
<ds:datastoreItem xmlns:ds="http://schemas.openxmlformats.org/officeDocument/2006/customXml" ds:itemID="{B46E368A-7297-4AE9-884D-AB3A5CCE6062}"/>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 Grant</dc:creator>
  <cp:keywords/>
  <dc:description/>
  <cp:lastModifiedBy>Scherer, Angela</cp:lastModifiedBy>
  <cp:revision>2</cp:revision>
  <cp:lastPrinted>2017-05-04T05:46:00Z</cp:lastPrinted>
  <dcterms:created xsi:type="dcterms:W3CDTF">2017-10-22T21:34:00Z</dcterms:created>
  <dcterms:modified xsi:type="dcterms:W3CDTF">2017-10-22T21:34:00Z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