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7.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5.xml" ContentType="application/vnd.openxmlformats-officedocument.wordprocessingml.header+xml"/>
  <Override PartName="/word/header2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2.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Title"/>
        <w:spacing w:before="0" w:after="0"/>
        <w:rPr>
          <w:sz w:val="24"/>
        </w:rPr>
      </w:pPr>
      <w:r>
        <w:rPr>
          <w:noProof/>
          <w:sz w:val="24"/>
          <w:lang w:eastAsia="en-AU"/>
        </w:rPr>
        <w:drawing>
          <wp:inline distT="0" distB="0" distL="0" distR="0">
            <wp:extent cx="2416545" cy="1837426"/>
            <wp:effectExtent l="19050" t="0" r="2805" b="0"/>
            <wp:docPr id="7" name="Picture 7" descr="DAFF centre3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FF centre3 600"/>
                    <pic:cNvPicPr>
                      <a:picLocks noChangeAspect="1" noChangeArrowheads="1"/>
                    </pic:cNvPicPr>
                  </pic:nvPicPr>
                  <pic:blipFill>
                    <a:blip r:embed="rId8" cstate="screen"/>
                    <a:srcRect/>
                    <a:stretch>
                      <a:fillRect/>
                    </a:stretch>
                  </pic:blipFill>
                  <pic:spPr bwMode="auto">
                    <a:xfrm>
                      <a:off x="0" y="0"/>
                      <a:ext cx="2420749" cy="1840622"/>
                    </a:xfrm>
                    <a:prstGeom prst="rect">
                      <a:avLst/>
                    </a:prstGeom>
                    <a:noFill/>
                    <a:ln w="9525">
                      <a:noFill/>
                      <a:miter lim="800000"/>
                      <a:headEnd/>
                      <a:tailEnd/>
                    </a:ln>
                  </pic:spPr>
                </pic:pic>
              </a:graphicData>
            </a:graphic>
          </wp:inline>
        </w:drawing>
      </w:r>
    </w:p>
    <w:p>
      <w:pPr>
        <w:pStyle w:val="BodyText3"/>
        <w:spacing w:before="480" w:after="0" w:line="280" w:lineRule="atLeast"/>
        <w:jc w:val="center"/>
        <w:rPr>
          <w:rFonts w:ascii="Verdana" w:hAnsi="Verdana"/>
          <w:sz w:val="72"/>
          <w:szCs w:val="72"/>
        </w:rPr>
      </w:pPr>
      <w:r>
        <w:rPr>
          <w:rFonts w:ascii="Verdana" w:hAnsi="Verdana"/>
          <w:sz w:val="72"/>
          <w:szCs w:val="72"/>
        </w:rPr>
        <w:t>DRAFT</w:t>
      </w:r>
    </w:p>
    <w:p>
      <w:pPr>
        <w:pStyle w:val="BodyText3"/>
        <w:spacing w:before="360" w:after="120" w:line="280" w:lineRule="atLeast"/>
        <w:jc w:val="center"/>
        <w:rPr>
          <w:rFonts w:ascii="Verdana" w:hAnsi="Verdana"/>
          <w:b w:val="0"/>
          <w:sz w:val="40"/>
          <w:szCs w:val="40"/>
        </w:rPr>
      </w:pPr>
      <w:r>
        <w:rPr>
          <w:rFonts w:ascii="Verdana" w:hAnsi="Verdana"/>
          <w:b w:val="0"/>
          <w:sz w:val="40"/>
          <w:szCs w:val="40"/>
        </w:rPr>
        <w:t>Review of policy: importation of grapevine (</w:t>
      </w:r>
      <w:r>
        <w:rPr>
          <w:rFonts w:ascii="Verdana" w:hAnsi="Verdana"/>
          <w:b w:val="0"/>
          <w:i/>
          <w:sz w:val="40"/>
          <w:szCs w:val="40"/>
        </w:rPr>
        <w:t xml:space="preserve">Vitis </w:t>
      </w:r>
      <w:r>
        <w:rPr>
          <w:rFonts w:ascii="Verdana" w:hAnsi="Verdana"/>
          <w:b w:val="0"/>
          <w:sz w:val="40"/>
          <w:szCs w:val="40"/>
        </w:rPr>
        <w:t>species)</w:t>
      </w:r>
      <w:r>
        <w:rPr>
          <w:rFonts w:ascii="Verdana" w:hAnsi="Verdana"/>
          <w:b w:val="0"/>
          <w:i/>
          <w:sz w:val="40"/>
          <w:szCs w:val="40"/>
        </w:rPr>
        <w:t xml:space="preserve"> </w:t>
      </w:r>
      <w:r>
        <w:rPr>
          <w:rFonts w:ascii="Verdana" w:hAnsi="Verdana"/>
          <w:b w:val="0"/>
          <w:sz w:val="40"/>
          <w:szCs w:val="40"/>
        </w:rPr>
        <w:t xml:space="preserve">propagative material into </w:t>
      </w:r>
      <w:smartTag w:uri="urn:schemas-microsoft-com:office:smarttags" w:element="country-region">
        <w:smartTag w:uri="urn:schemas-microsoft-com:office:smarttags" w:element="place">
          <w:r>
            <w:rPr>
              <w:rFonts w:ascii="Verdana" w:hAnsi="Verdana"/>
              <w:b w:val="0"/>
              <w:sz w:val="40"/>
              <w:szCs w:val="40"/>
            </w:rPr>
            <w:t>Australia</w:t>
          </w:r>
        </w:smartTag>
      </w:smartTag>
    </w:p>
    <w:p>
      <w:pPr>
        <w:pStyle w:val="BodyText3"/>
        <w:spacing w:before="360" w:after="0" w:line="280" w:lineRule="atLeast"/>
        <w:jc w:val="center"/>
        <w:rPr>
          <w:rFonts w:ascii="Helvetica" w:hAnsi="Helvetica"/>
          <w:szCs w:val="22"/>
        </w:rPr>
      </w:pPr>
      <w:r>
        <w:rPr>
          <w:rFonts w:ascii="Helvetica" w:hAnsi="Helvetica"/>
          <w:noProof/>
          <w:szCs w:val="22"/>
          <w:lang w:eastAsia="en-AU"/>
        </w:rPr>
        <w:drawing>
          <wp:inline distT="0" distB="0" distL="0" distR="0">
            <wp:extent cx="2205355" cy="2935605"/>
            <wp:effectExtent l="19050" t="0" r="4445"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screen"/>
                    <a:srcRect/>
                    <a:stretch>
                      <a:fillRect/>
                    </a:stretch>
                  </pic:blipFill>
                  <pic:spPr bwMode="auto">
                    <a:xfrm>
                      <a:off x="0" y="0"/>
                      <a:ext cx="2205355" cy="2935605"/>
                    </a:xfrm>
                    <a:prstGeom prst="rect">
                      <a:avLst/>
                    </a:prstGeom>
                    <a:noFill/>
                    <a:ln w="9525">
                      <a:noFill/>
                      <a:miter lim="800000"/>
                      <a:headEnd/>
                      <a:tailEnd/>
                    </a:ln>
                  </pic:spPr>
                </pic:pic>
              </a:graphicData>
            </a:graphic>
          </wp:inline>
        </w:drawing>
      </w:r>
    </w:p>
    <w:p>
      <w:pPr>
        <w:pStyle w:val="BodyText3"/>
        <w:spacing w:before="1080" w:after="0" w:line="280" w:lineRule="atLeast"/>
        <w:jc w:val="center"/>
        <w:rPr>
          <w:rFonts w:ascii="Verdana" w:hAnsi="Verdana"/>
          <w:sz w:val="36"/>
        </w:rPr>
      </w:pPr>
      <w:r>
        <w:rPr>
          <w:rFonts w:ascii="Verdana" w:hAnsi="Verdana"/>
          <w:b w:val="0"/>
          <w:sz w:val="48"/>
          <w:szCs w:val="48"/>
        </w:rPr>
        <w:t>January 2013</w:t>
      </w:r>
    </w:p>
    <w:p>
      <w:pPr>
        <w:pStyle w:val="BodyText3"/>
        <w:spacing w:before="1200" w:after="120" w:line="280" w:lineRule="atLeast"/>
        <w:jc w:val="center"/>
        <w:rPr>
          <w:rFonts w:ascii="Verdana" w:hAnsi="Verdana"/>
          <w:sz w:val="36"/>
        </w:rPr>
        <w:sectPr>
          <w:headerReference w:type="even" r:id="rId10"/>
          <w:footerReference w:type="even" r:id="rId11"/>
          <w:footerReference w:type="first" r:id="rId12"/>
          <w:pgSz w:w="11906" w:h="16838" w:code="9"/>
          <w:pgMar w:top="1412" w:right="1412" w:bottom="1412" w:left="1412" w:header="0" w:footer="0" w:gutter="0"/>
          <w:cols w:space="720"/>
          <w:docGrid w:linePitch="326"/>
        </w:sectPr>
      </w:pPr>
    </w:p>
    <w:p>
      <w:pPr>
        <w:spacing w:before="240" w:after="120"/>
        <w:rPr>
          <w:rFonts w:ascii="Cambria" w:hAnsi="Cambria"/>
          <w:sz w:val="20"/>
          <w:szCs w:val="20"/>
        </w:rPr>
      </w:pPr>
      <w:r>
        <w:rPr>
          <w:rFonts w:ascii="Cambria" w:hAnsi="Cambria"/>
          <w:sz w:val="20"/>
          <w:szCs w:val="20"/>
        </w:rPr>
        <w:lastRenderedPageBreak/>
        <w:t xml:space="preserve">© Commonwealth of </w:t>
      </w:r>
      <w:smartTag w:uri="urn:schemas-microsoft-com:office:smarttags" w:element="country-region">
        <w:smartTag w:uri="urn:schemas-microsoft-com:office:smarttags" w:element="place">
          <w:r>
            <w:rPr>
              <w:rFonts w:ascii="Cambria" w:hAnsi="Cambria"/>
              <w:sz w:val="20"/>
              <w:szCs w:val="20"/>
            </w:rPr>
            <w:t>Australia</w:t>
          </w:r>
        </w:smartTag>
      </w:smartTag>
    </w:p>
    <w:p>
      <w:pPr>
        <w:rPr>
          <w:rFonts w:ascii="Cambria" w:hAnsi="Cambria"/>
          <w:b/>
          <w:sz w:val="20"/>
          <w:szCs w:val="20"/>
        </w:rPr>
      </w:pPr>
      <w:r>
        <w:rPr>
          <w:rFonts w:ascii="Cambria" w:hAnsi="Cambria"/>
          <w:b/>
          <w:sz w:val="20"/>
          <w:szCs w:val="20"/>
        </w:rPr>
        <w:t>Ownership of intellectual property rights</w:t>
      </w:r>
    </w:p>
    <w:p>
      <w:pPr>
        <w:widowControl/>
        <w:adjustRightInd/>
        <w:spacing w:after="120" w:line="240" w:lineRule="auto"/>
        <w:jc w:val="left"/>
        <w:textAlignment w:val="auto"/>
        <w:rPr>
          <w:rFonts w:ascii="Cambria" w:hAnsi="Cambria"/>
          <w:sz w:val="20"/>
          <w:szCs w:val="20"/>
        </w:rPr>
      </w:pPr>
      <w:r>
        <w:rPr>
          <w:rFonts w:ascii="Cambria" w:hAnsi="Cambria"/>
          <w:sz w:val="20"/>
          <w:szCs w:val="20"/>
        </w:rPr>
        <w:t>Unless otherwise noted, copyright (and any other intellectual property rights, if any) in this publication is owned by the Commonwealth of Australia (referred to as the Commonwealth).</w:t>
      </w:r>
    </w:p>
    <w:p>
      <w:pPr>
        <w:rPr>
          <w:rFonts w:ascii="Cambria" w:hAnsi="Cambria"/>
          <w:b/>
          <w:sz w:val="20"/>
          <w:szCs w:val="20"/>
        </w:rPr>
      </w:pPr>
      <w:r>
        <w:rPr>
          <w:rFonts w:ascii="Cambria" w:hAnsi="Cambria"/>
          <w:b/>
          <w:sz w:val="20"/>
          <w:szCs w:val="20"/>
        </w:rPr>
        <w:t>Creative Commons licence</w:t>
      </w:r>
    </w:p>
    <w:p>
      <w:pPr>
        <w:widowControl/>
        <w:adjustRightInd/>
        <w:spacing w:after="120" w:line="240" w:lineRule="auto"/>
        <w:jc w:val="left"/>
        <w:textAlignment w:val="auto"/>
        <w:rPr>
          <w:rFonts w:ascii="Cambria" w:hAnsi="Cambria"/>
          <w:sz w:val="20"/>
          <w:szCs w:val="20"/>
        </w:rPr>
      </w:pPr>
      <w:r>
        <w:rPr>
          <w:rFonts w:ascii="Cambria" w:hAnsi="Cambria"/>
          <w:sz w:val="20"/>
          <w:szCs w:val="20"/>
        </w:rPr>
        <w:t xml:space="preserve">All material in this publication is licensed under a Creative Commons Attribution 3.0 Australia Licence, save for content supplied by third parties, photographic images, logos, and the Commonwealth Coat of Arms. </w:t>
      </w:r>
    </w:p>
    <w:p>
      <w:pPr>
        <w:spacing w:after="120"/>
        <w:rPr>
          <w:rFonts w:ascii="Cambria" w:hAnsi="Cambria"/>
        </w:rPr>
      </w:pPr>
      <w:r>
        <w:rPr>
          <w:rFonts w:ascii="Cambria" w:hAnsi="Cambria"/>
          <w:noProof/>
          <w:lang w:eastAsia="en-AU"/>
        </w:rPr>
        <w:drawing>
          <wp:inline distT="0" distB="0" distL="0" distR="0">
            <wp:extent cx="837565" cy="299720"/>
            <wp:effectExtent l="19050" t="0" r="635" b="0"/>
            <wp:docPr id="3" name="Picture 1" descr="bp3_prelim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3_prelims-2.gif"/>
                    <pic:cNvPicPr>
                      <a:picLocks noChangeAspect="1" noChangeArrowheads="1"/>
                    </pic:cNvPicPr>
                  </pic:nvPicPr>
                  <pic:blipFill>
                    <a:blip r:embed="rId13" cstate="screen"/>
                    <a:srcRect/>
                    <a:stretch>
                      <a:fillRect/>
                    </a:stretch>
                  </pic:blipFill>
                  <pic:spPr bwMode="auto">
                    <a:xfrm>
                      <a:off x="0" y="0"/>
                      <a:ext cx="837565" cy="299720"/>
                    </a:xfrm>
                    <a:prstGeom prst="rect">
                      <a:avLst/>
                    </a:prstGeom>
                    <a:noFill/>
                    <a:ln w="9525">
                      <a:noFill/>
                      <a:miter lim="800000"/>
                      <a:headEnd/>
                      <a:tailEnd/>
                    </a:ln>
                  </pic:spPr>
                </pic:pic>
              </a:graphicData>
            </a:graphic>
          </wp:inline>
        </w:drawing>
      </w:r>
    </w:p>
    <w:p>
      <w:pPr>
        <w:widowControl/>
        <w:adjustRightInd/>
        <w:spacing w:after="120" w:line="240" w:lineRule="auto"/>
        <w:jc w:val="left"/>
        <w:textAlignment w:val="auto"/>
        <w:rPr>
          <w:rFonts w:ascii="Cambria" w:hAnsi="Cambria"/>
          <w:sz w:val="20"/>
          <w:szCs w:val="20"/>
        </w:rPr>
      </w:pPr>
      <w:r>
        <w:rPr>
          <w:rFonts w:ascii="Cambria" w:hAnsi="Cambria"/>
          <w:sz w:val="20"/>
          <w:szCs w:val="20"/>
        </w:rPr>
        <w:t xml:space="preserve">Creative Commons Attribution 3.0 </w:t>
      </w:r>
      <w:smartTag w:uri="urn:schemas-microsoft-com:office:smarttags" w:element="place">
        <w:smartTag w:uri="urn:schemas-microsoft-com:office:smarttags" w:element="country-region">
          <w:r>
            <w:rPr>
              <w:rFonts w:ascii="Cambria" w:hAnsi="Cambria"/>
              <w:sz w:val="20"/>
              <w:szCs w:val="20"/>
            </w:rPr>
            <w:t>Australia</w:t>
          </w:r>
        </w:smartTag>
      </w:smartTag>
      <w:r>
        <w:rPr>
          <w:rFonts w:ascii="Cambria" w:hAnsi="Cambria"/>
          <w:sz w:val="20"/>
          <w:szCs w:val="20"/>
        </w:rPr>
        <w:t xml:space="preserve"> Licence is a standard form licence agreement that allows you to copy, distribute, transmit and adapt this publication provided that you attribute the work. A summary of the licence terms is available from creativecommons.org/licenses/by/3.0/au/deed.en. The full licence terms are available from creativecommons.org/licenses/by/3.0/au/legalcode.</w:t>
      </w:r>
    </w:p>
    <w:p>
      <w:pPr>
        <w:widowControl/>
        <w:adjustRightInd/>
        <w:spacing w:after="120" w:line="240" w:lineRule="auto"/>
        <w:jc w:val="left"/>
        <w:textAlignment w:val="auto"/>
        <w:rPr>
          <w:rFonts w:ascii="Cambria" w:hAnsi="Cambria"/>
          <w:sz w:val="20"/>
          <w:szCs w:val="20"/>
        </w:rPr>
      </w:pPr>
      <w:r>
        <w:rPr>
          <w:rFonts w:ascii="Cambria" w:hAnsi="Cambria"/>
          <w:sz w:val="20"/>
          <w:szCs w:val="20"/>
        </w:rPr>
        <w:t>This publication (and any material sourced from it) should be attributed as:</w:t>
      </w:r>
    </w:p>
    <w:p>
      <w:pPr>
        <w:widowControl/>
        <w:adjustRightInd/>
        <w:spacing w:after="120" w:line="240" w:lineRule="auto"/>
        <w:ind w:left="720"/>
        <w:jc w:val="left"/>
        <w:textAlignment w:val="auto"/>
        <w:rPr>
          <w:rFonts w:ascii="Cambria" w:hAnsi="Cambria"/>
          <w:sz w:val="20"/>
          <w:szCs w:val="20"/>
        </w:rPr>
      </w:pPr>
      <w:r>
        <w:rPr>
          <w:rFonts w:ascii="Cambria" w:hAnsi="Cambria"/>
          <w:sz w:val="20"/>
          <w:szCs w:val="20"/>
        </w:rPr>
        <w:t xml:space="preserve">Department of Agriculture, Fisheries and Forestry (2013) </w:t>
      </w:r>
      <w:r>
        <w:rPr>
          <w:rFonts w:ascii="Cambria" w:hAnsi="Cambria"/>
          <w:i/>
          <w:sz w:val="20"/>
          <w:szCs w:val="20"/>
        </w:rPr>
        <w:t>Draft review of policy: importation of grapevine (</w:t>
      </w:r>
      <w:r>
        <w:rPr>
          <w:rFonts w:ascii="Cambria" w:hAnsi="Cambria"/>
          <w:sz w:val="20"/>
          <w:szCs w:val="20"/>
        </w:rPr>
        <w:t xml:space="preserve">Vitis </w:t>
      </w:r>
      <w:r>
        <w:rPr>
          <w:rFonts w:ascii="Cambria" w:hAnsi="Cambria"/>
          <w:i/>
          <w:sz w:val="20"/>
          <w:szCs w:val="20"/>
        </w:rPr>
        <w:t>species) propagative material into Australia.</w:t>
      </w:r>
      <w:r>
        <w:rPr>
          <w:rFonts w:ascii="Cambria" w:hAnsi="Cambria"/>
          <w:sz w:val="20"/>
          <w:szCs w:val="20"/>
        </w:rPr>
        <w:t xml:space="preserve"> CC BY 3.0.</w:t>
      </w:r>
    </w:p>
    <w:p>
      <w:pPr>
        <w:rPr>
          <w:rFonts w:ascii="Cambria" w:hAnsi="Cambria"/>
          <w:b/>
          <w:sz w:val="20"/>
          <w:szCs w:val="20"/>
        </w:rPr>
      </w:pPr>
      <w:r>
        <w:rPr>
          <w:rFonts w:ascii="Cambria" w:hAnsi="Cambria"/>
          <w:b/>
          <w:sz w:val="20"/>
          <w:szCs w:val="20"/>
        </w:rPr>
        <w:t>Cataloguing data</w:t>
      </w:r>
    </w:p>
    <w:p>
      <w:pPr>
        <w:widowControl/>
        <w:adjustRightInd/>
        <w:spacing w:after="120" w:line="240" w:lineRule="auto"/>
        <w:jc w:val="left"/>
        <w:textAlignment w:val="auto"/>
        <w:rPr>
          <w:rFonts w:ascii="Cambria" w:hAnsi="Cambria"/>
          <w:sz w:val="20"/>
          <w:szCs w:val="20"/>
        </w:rPr>
      </w:pPr>
      <w:r>
        <w:rPr>
          <w:rFonts w:ascii="Cambria" w:hAnsi="Cambria"/>
          <w:sz w:val="20"/>
          <w:szCs w:val="20"/>
        </w:rPr>
        <w:t xml:space="preserve">Department of Agriculture, Fisheries and Forestry (2013) </w:t>
      </w:r>
      <w:r>
        <w:rPr>
          <w:rFonts w:ascii="Cambria" w:hAnsi="Cambria"/>
          <w:i/>
          <w:sz w:val="20"/>
          <w:szCs w:val="20"/>
        </w:rPr>
        <w:t>Draft review of policy: importation of grapevine (</w:t>
      </w:r>
      <w:r>
        <w:rPr>
          <w:rFonts w:ascii="Cambria" w:hAnsi="Cambria"/>
          <w:sz w:val="20"/>
          <w:szCs w:val="20"/>
        </w:rPr>
        <w:t xml:space="preserve">Vitis </w:t>
      </w:r>
      <w:r>
        <w:rPr>
          <w:rFonts w:ascii="Cambria" w:hAnsi="Cambria"/>
          <w:i/>
          <w:sz w:val="20"/>
          <w:szCs w:val="20"/>
        </w:rPr>
        <w:t xml:space="preserve">species) propagative material into Australia. </w:t>
      </w:r>
      <w:r>
        <w:rPr>
          <w:rFonts w:ascii="Cambria" w:hAnsi="Cambria"/>
          <w:sz w:val="20"/>
          <w:szCs w:val="20"/>
        </w:rPr>
        <w:t>Department of Agriculture, Fisheries and Forestry, Canberra.</w:t>
      </w:r>
    </w:p>
    <w:p>
      <w:pPr>
        <w:rPr>
          <w:rFonts w:ascii="Cambria" w:hAnsi="Cambria"/>
          <w:b/>
          <w:sz w:val="20"/>
          <w:szCs w:val="20"/>
        </w:rPr>
      </w:pPr>
      <w:r>
        <w:rPr>
          <w:rFonts w:ascii="Cambria" w:hAnsi="Cambria"/>
          <w:b/>
          <w:sz w:val="20"/>
          <w:szCs w:val="20"/>
        </w:rPr>
        <w:t>Internet</w:t>
      </w:r>
    </w:p>
    <w:p>
      <w:pPr>
        <w:widowControl/>
        <w:adjustRightInd/>
        <w:spacing w:after="120" w:line="240" w:lineRule="auto"/>
        <w:jc w:val="left"/>
        <w:textAlignment w:val="auto"/>
        <w:rPr>
          <w:rFonts w:ascii="Cambria" w:hAnsi="Cambria"/>
          <w:sz w:val="20"/>
          <w:szCs w:val="20"/>
        </w:rPr>
      </w:pPr>
      <w:r>
        <w:rPr>
          <w:rFonts w:ascii="Cambria" w:hAnsi="Cambria"/>
          <w:i/>
          <w:sz w:val="20"/>
          <w:szCs w:val="20"/>
        </w:rPr>
        <w:t xml:space="preserve">Draft review of policy: importation of grapevine (Vitis </w:t>
      </w:r>
      <w:r>
        <w:rPr>
          <w:rFonts w:ascii="Cambria" w:hAnsi="Cambria"/>
          <w:sz w:val="20"/>
          <w:szCs w:val="20"/>
        </w:rPr>
        <w:t>species</w:t>
      </w:r>
      <w:r>
        <w:rPr>
          <w:rFonts w:ascii="Cambria" w:hAnsi="Cambria"/>
          <w:i/>
          <w:sz w:val="20"/>
          <w:szCs w:val="20"/>
        </w:rPr>
        <w:t xml:space="preserve">) propagative material into </w:t>
      </w:r>
      <w:smartTag w:uri="urn:schemas-microsoft-com:office:smarttags" w:element="country-region">
        <w:smartTag w:uri="urn:schemas-microsoft-com:office:smarttags" w:element="place">
          <w:r>
            <w:rPr>
              <w:rFonts w:ascii="Cambria" w:hAnsi="Cambria"/>
              <w:i/>
              <w:sz w:val="20"/>
              <w:szCs w:val="20"/>
            </w:rPr>
            <w:t>Australia</w:t>
          </w:r>
        </w:smartTag>
      </w:smartTag>
      <w:r>
        <w:rPr>
          <w:rFonts w:ascii="Cambria" w:hAnsi="Cambria"/>
          <w:i/>
          <w:sz w:val="20"/>
          <w:szCs w:val="20"/>
        </w:rPr>
        <w:t xml:space="preserve"> </w:t>
      </w:r>
      <w:r>
        <w:rPr>
          <w:rFonts w:ascii="Cambria" w:hAnsi="Cambria"/>
          <w:sz w:val="20"/>
          <w:szCs w:val="20"/>
        </w:rPr>
        <w:t>is</w:t>
      </w:r>
      <w:r>
        <w:rPr>
          <w:rFonts w:ascii="Cambria" w:hAnsi="Cambria"/>
          <w:i/>
          <w:sz w:val="20"/>
          <w:szCs w:val="20"/>
        </w:rPr>
        <w:t xml:space="preserve"> </w:t>
      </w:r>
      <w:r>
        <w:rPr>
          <w:rFonts w:ascii="Cambria" w:hAnsi="Cambria"/>
          <w:sz w:val="20"/>
          <w:szCs w:val="20"/>
        </w:rPr>
        <w:t>available at daff.gov.au.</w:t>
      </w:r>
    </w:p>
    <w:p>
      <w:pPr>
        <w:widowControl/>
        <w:adjustRightInd/>
        <w:spacing w:after="120" w:line="240" w:lineRule="auto"/>
        <w:jc w:val="left"/>
        <w:textAlignment w:val="auto"/>
        <w:rPr>
          <w:rFonts w:ascii="Cambria" w:hAnsi="Cambria"/>
          <w:sz w:val="20"/>
          <w:szCs w:val="20"/>
        </w:rPr>
      </w:pPr>
      <w:r>
        <w:rPr>
          <w:rFonts w:ascii="Cambria" w:hAnsi="Cambria"/>
          <w:sz w:val="20"/>
          <w:szCs w:val="20"/>
        </w:rPr>
        <w:t>Inquiries regarding the licence and any use of this document should be sent to: copyright@daff.gov.au.</w:t>
      </w:r>
    </w:p>
    <w:p>
      <w:pPr>
        <w:rPr>
          <w:rFonts w:ascii="Cambria" w:hAnsi="Cambria"/>
          <w:b/>
          <w:sz w:val="20"/>
          <w:szCs w:val="20"/>
        </w:rPr>
      </w:pPr>
      <w:r>
        <w:rPr>
          <w:rFonts w:ascii="Cambria" w:hAnsi="Cambria"/>
          <w:b/>
          <w:sz w:val="20"/>
          <w:szCs w:val="20"/>
        </w:rPr>
        <w:t>Disclaimer</w:t>
      </w:r>
    </w:p>
    <w:p>
      <w:pPr>
        <w:widowControl/>
        <w:adjustRightInd/>
        <w:spacing w:after="120" w:line="240" w:lineRule="auto"/>
        <w:jc w:val="left"/>
        <w:textAlignment w:val="auto"/>
        <w:rPr>
          <w:rFonts w:ascii="Cambria" w:hAnsi="Cambria"/>
          <w:sz w:val="20"/>
          <w:szCs w:val="20"/>
          <w:highlight w:val="yellow"/>
        </w:rPr>
      </w:pPr>
      <w:r>
        <w:rPr>
          <w:rFonts w:ascii="Cambria" w:hAnsi="Cambria"/>
          <w:sz w:val="20"/>
          <w:szCs w:val="20"/>
        </w:rPr>
        <w:t>The Australian Government acting through the Department of Agriculture, Fisheries and Forestry has exercised due care and skill in the preparation and compilation of the information in this publication. Notwithstanding, the Department of Agriculture, Fisheries and Forestry, its employees and advisers disclaim all liability, including liability for negligence, for any loss, damage, injury, expense or cost incurred by any person as a result of accessing, using or relying upon any of the information in this publication to the maximum extent permitted by law.</w:t>
      </w:r>
    </w:p>
    <w:p>
      <w:pPr>
        <w:rPr>
          <w:rFonts w:ascii="Cambria" w:hAnsi="Cambria"/>
          <w:b/>
          <w:sz w:val="20"/>
          <w:szCs w:val="20"/>
        </w:rPr>
      </w:pPr>
      <w:r>
        <w:rPr>
          <w:rFonts w:ascii="Cambria" w:hAnsi="Cambria"/>
          <w:b/>
          <w:sz w:val="20"/>
          <w:szCs w:val="20"/>
        </w:rPr>
        <w:t>Submissions</w:t>
      </w:r>
    </w:p>
    <w:p>
      <w:pPr>
        <w:widowControl/>
        <w:adjustRightInd/>
        <w:spacing w:after="120" w:line="240" w:lineRule="auto"/>
        <w:jc w:val="left"/>
        <w:textAlignment w:val="auto"/>
        <w:rPr>
          <w:rFonts w:ascii="Cambria" w:hAnsi="Cambria"/>
          <w:sz w:val="20"/>
          <w:szCs w:val="20"/>
        </w:rPr>
      </w:pPr>
      <w:r>
        <w:rPr>
          <w:rFonts w:ascii="Cambria" w:hAnsi="Cambria"/>
          <w:sz w:val="20"/>
          <w:szCs w:val="20"/>
        </w:rPr>
        <w:t>This draft report has been issued to give all interested parties an opportunity to comment and draw attention to any scientific, technical, or other gaps in the data, misinterpretations and errors. Any comments should be submitted to the Department of Agriculture, Fisheries and Forestry within the comment period stated in the related Biosecurity Advice on the website. The draft report will then be revised as necessary to take account of the comments received and a final report prepared.</w:t>
      </w:r>
    </w:p>
    <w:p>
      <w:pPr>
        <w:widowControl/>
        <w:adjustRightInd/>
        <w:spacing w:after="120" w:line="240" w:lineRule="auto"/>
        <w:jc w:val="left"/>
        <w:textAlignment w:val="auto"/>
        <w:rPr>
          <w:rFonts w:ascii="Cambria" w:hAnsi="Cambria"/>
          <w:sz w:val="20"/>
          <w:szCs w:val="20"/>
        </w:rPr>
      </w:pPr>
      <w:r>
        <w:rPr>
          <w:rFonts w:ascii="Cambria" w:hAnsi="Cambria"/>
          <w:sz w:val="20"/>
          <w:szCs w:val="20"/>
        </w:rPr>
        <w:t>Comments on the draft report should be submitted to:</w:t>
      </w:r>
    </w:p>
    <w:p>
      <w:pPr>
        <w:widowControl/>
        <w:adjustRightInd/>
        <w:spacing w:line="240" w:lineRule="auto"/>
        <w:jc w:val="left"/>
        <w:textAlignment w:val="auto"/>
        <w:rPr>
          <w:rFonts w:ascii="Cambria" w:hAnsi="Cambria"/>
          <w:sz w:val="20"/>
          <w:szCs w:val="20"/>
        </w:rPr>
      </w:pPr>
      <w:r>
        <w:rPr>
          <w:rFonts w:ascii="Cambria" w:hAnsi="Cambria"/>
          <w:sz w:val="20"/>
          <w:szCs w:val="20"/>
        </w:rPr>
        <w:t>Biosecurity–Plant</w:t>
      </w:r>
    </w:p>
    <w:p>
      <w:pPr>
        <w:widowControl/>
        <w:adjustRightInd/>
        <w:spacing w:line="240" w:lineRule="auto"/>
        <w:jc w:val="left"/>
        <w:textAlignment w:val="auto"/>
        <w:rPr>
          <w:rFonts w:ascii="Cambria" w:hAnsi="Cambria"/>
          <w:sz w:val="20"/>
          <w:szCs w:val="20"/>
        </w:rPr>
      </w:pPr>
      <w:r>
        <w:rPr>
          <w:rFonts w:ascii="Cambria" w:hAnsi="Cambria"/>
          <w:sz w:val="20"/>
          <w:szCs w:val="20"/>
        </w:rPr>
        <w:t>Department of Agriculture, Fisheries and Forestry</w:t>
      </w:r>
    </w:p>
    <w:p>
      <w:pPr>
        <w:widowControl/>
        <w:adjustRightInd/>
        <w:spacing w:line="240" w:lineRule="auto"/>
        <w:jc w:val="left"/>
        <w:textAlignment w:val="auto"/>
        <w:rPr>
          <w:rFonts w:ascii="Cambria" w:hAnsi="Cambria"/>
          <w:sz w:val="20"/>
          <w:szCs w:val="20"/>
        </w:rPr>
      </w:pPr>
      <w:r>
        <w:rPr>
          <w:rFonts w:ascii="Cambria" w:hAnsi="Cambria"/>
          <w:sz w:val="20"/>
          <w:szCs w:val="20"/>
        </w:rPr>
        <w:t xml:space="preserve">GPO </w:t>
      </w:r>
      <w:smartTag w:uri="urn:schemas-microsoft-com:office:smarttags" w:element="address">
        <w:smartTag w:uri="urn:schemas-microsoft-com:office:smarttags" w:element="Street">
          <w:r>
            <w:rPr>
              <w:rFonts w:ascii="Cambria" w:hAnsi="Cambria"/>
              <w:sz w:val="20"/>
              <w:szCs w:val="20"/>
            </w:rPr>
            <w:t>Box</w:t>
          </w:r>
        </w:smartTag>
        <w:r>
          <w:rPr>
            <w:rFonts w:ascii="Cambria" w:hAnsi="Cambria"/>
            <w:sz w:val="20"/>
            <w:szCs w:val="20"/>
          </w:rPr>
          <w:t xml:space="preserve"> 858</w:t>
        </w:r>
      </w:smartTag>
    </w:p>
    <w:p>
      <w:pPr>
        <w:widowControl/>
        <w:adjustRightInd/>
        <w:spacing w:line="240" w:lineRule="auto"/>
        <w:jc w:val="left"/>
        <w:textAlignment w:val="auto"/>
        <w:rPr>
          <w:rFonts w:ascii="Cambria" w:hAnsi="Cambria"/>
          <w:sz w:val="20"/>
          <w:szCs w:val="20"/>
        </w:rPr>
      </w:pPr>
      <w:smartTag w:uri="urn:schemas-microsoft-com:office:smarttags" w:element="City">
        <w:smartTag w:uri="urn:schemas-microsoft-com:office:smarttags" w:element="place">
          <w:r>
            <w:rPr>
              <w:rFonts w:ascii="Cambria" w:hAnsi="Cambria"/>
              <w:sz w:val="20"/>
              <w:szCs w:val="20"/>
            </w:rPr>
            <w:t>CANBERRA</w:t>
          </w:r>
        </w:smartTag>
      </w:smartTag>
      <w:r>
        <w:rPr>
          <w:rFonts w:ascii="Cambria" w:hAnsi="Cambria"/>
          <w:sz w:val="20"/>
          <w:szCs w:val="20"/>
        </w:rPr>
        <w:t xml:space="preserve"> ACT 2601</w:t>
      </w:r>
    </w:p>
    <w:p>
      <w:pPr>
        <w:widowControl/>
        <w:adjustRightInd/>
        <w:spacing w:line="240" w:lineRule="auto"/>
        <w:jc w:val="left"/>
        <w:textAlignment w:val="auto"/>
        <w:rPr>
          <w:rFonts w:ascii="Cambria" w:hAnsi="Cambria"/>
          <w:sz w:val="20"/>
          <w:szCs w:val="20"/>
        </w:rPr>
      </w:pPr>
      <w:smartTag w:uri="urn:schemas-microsoft-com:office:smarttags" w:element="country-region">
        <w:smartTag w:uri="urn:schemas-microsoft-com:office:smarttags" w:element="place">
          <w:r>
            <w:rPr>
              <w:rFonts w:ascii="Cambria" w:hAnsi="Cambria"/>
              <w:sz w:val="20"/>
              <w:szCs w:val="20"/>
            </w:rPr>
            <w:t>AUSTRALIA</w:t>
          </w:r>
        </w:smartTag>
      </w:smartTag>
    </w:p>
    <w:p>
      <w:pPr>
        <w:widowControl/>
        <w:adjustRightInd/>
        <w:spacing w:line="240" w:lineRule="auto"/>
        <w:jc w:val="left"/>
        <w:textAlignment w:val="auto"/>
        <w:rPr>
          <w:rFonts w:ascii="Cambria" w:hAnsi="Cambria"/>
          <w:sz w:val="20"/>
          <w:szCs w:val="20"/>
        </w:rPr>
      </w:pPr>
      <w:r>
        <w:rPr>
          <w:rFonts w:ascii="Cambria" w:hAnsi="Cambria"/>
          <w:sz w:val="20"/>
          <w:szCs w:val="20"/>
        </w:rPr>
        <w:t xml:space="preserve">Telephone </w:t>
      </w:r>
      <w:r>
        <w:rPr>
          <w:rFonts w:ascii="Cambria" w:hAnsi="Cambria"/>
          <w:sz w:val="20"/>
          <w:szCs w:val="20"/>
        </w:rPr>
        <w:tab/>
      </w:r>
      <w:r>
        <w:rPr>
          <w:rFonts w:ascii="Cambria" w:hAnsi="Cambria"/>
          <w:sz w:val="20"/>
          <w:szCs w:val="20"/>
        </w:rPr>
        <w:tab/>
        <w:t>+61 2 6272 3933</w:t>
      </w:r>
    </w:p>
    <w:p>
      <w:pPr>
        <w:widowControl/>
        <w:adjustRightInd/>
        <w:spacing w:line="240" w:lineRule="auto"/>
        <w:jc w:val="left"/>
        <w:textAlignment w:val="auto"/>
        <w:rPr>
          <w:rFonts w:ascii="Cambria" w:hAnsi="Cambria"/>
          <w:sz w:val="20"/>
          <w:szCs w:val="20"/>
        </w:rPr>
      </w:pPr>
      <w:r>
        <w:rPr>
          <w:rFonts w:ascii="Cambria" w:hAnsi="Cambria"/>
          <w:sz w:val="20"/>
          <w:szCs w:val="20"/>
        </w:rPr>
        <w:t xml:space="preserve">Facsimile </w:t>
      </w:r>
      <w:r>
        <w:rPr>
          <w:rFonts w:ascii="Cambria" w:hAnsi="Cambria"/>
          <w:sz w:val="20"/>
          <w:szCs w:val="20"/>
        </w:rPr>
        <w:tab/>
      </w:r>
      <w:r>
        <w:rPr>
          <w:rFonts w:ascii="Cambria" w:hAnsi="Cambria"/>
          <w:sz w:val="20"/>
          <w:szCs w:val="20"/>
        </w:rPr>
        <w:tab/>
        <w:t>+61 2 6272 3307</w:t>
      </w:r>
    </w:p>
    <w:p>
      <w:pPr>
        <w:widowControl/>
        <w:adjustRightInd/>
        <w:spacing w:line="240" w:lineRule="auto"/>
        <w:jc w:val="left"/>
        <w:textAlignment w:val="auto"/>
        <w:rPr>
          <w:rFonts w:ascii="Cambria" w:hAnsi="Cambria"/>
          <w:sz w:val="20"/>
          <w:szCs w:val="20"/>
        </w:rPr>
      </w:pPr>
      <w:r>
        <w:rPr>
          <w:rFonts w:ascii="Cambria" w:hAnsi="Cambria"/>
          <w:sz w:val="20"/>
          <w:szCs w:val="20"/>
        </w:rPr>
        <w:t xml:space="preserve">Email </w:t>
      </w:r>
      <w:r>
        <w:rPr>
          <w:rFonts w:ascii="Cambria" w:hAnsi="Cambria"/>
          <w:sz w:val="20"/>
          <w:szCs w:val="20"/>
        </w:rPr>
        <w:tab/>
      </w:r>
      <w:r>
        <w:rPr>
          <w:rFonts w:ascii="Cambria" w:hAnsi="Cambria"/>
          <w:sz w:val="20"/>
          <w:szCs w:val="20"/>
        </w:rPr>
        <w:tab/>
      </w:r>
      <w:r>
        <w:rPr>
          <w:rFonts w:ascii="Cambria" w:hAnsi="Cambria"/>
          <w:sz w:val="20"/>
          <w:szCs w:val="20"/>
        </w:rPr>
        <w:tab/>
        <w:t>plant@daff.gov.au</w:t>
      </w:r>
    </w:p>
    <w:p>
      <w:pPr>
        <w:widowControl/>
        <w:adjustRightInd/>
        <w:spacing w:line="240" w:lineRule="auto"/>
        <w:jc w:val="left"/>
        <w:textAlignment w:val="auto"/>
        <w:rPr>
          <w:rFonts w:ascii="Cambria" w:hAnsi="Cambria"/>
          <w:sz w:val="20"/>
          <w:szCs w:val="20"/>
        </w:rPr>
      </w:pPr>
      <w:r>
        <w:rPr>
          <w:rFonts w:ascii="Cambria" w:hAnsi="Cambria"/>
          <w:sz w:val="20"/>
          <w:szCs w:val="20"/>
        </w:rPr>
        <w:t>Website</w:t>
      </w:r>
      <w:r>
        <w:rPr>
          <w:rFonts w:ascii="Cambria" w:hAnsi="Cambria"/>
          <w:sz w:val="20"/>
          <w:szCs w:val="20"/>
        </w:rPr>
        <w:tab/>
      </w:r>
      <w:r>
        <w:rPr>
          <w:rFonts w:ascii="Cambria" w:hAnsi="Cambria"/>
          <w:sz w:val="20"/>
          <w:szCs w:val="20"/>
        </w:rPr>
        <w:tab/>
      </w:r>
      <w:r>
        <w:rPr>
          <w:rFonts w:ascii="Cambria" w:hAnsi="Cambria"/>
          <w:sz w:val="20"/>
          <w:szCs w:val="20"/>
        </w:rPr>
        <w:tab/>
        <w:t>daff.gov.au/ba</w:t>
      </w:r>
    </w:p>
    <w:p>
      <w:pPr>
        <w:widowControl/>
        <w:adjustRightInd/>
        <w:spacing w:line="240" w:lineRule="auto"/>
        <w:jc w:val="left"/>
        <w:textAlignment w:val="auto"/>
        <w:rPr>
          <w:rFonts w:ascii="Cambria" w:hAnsi="Cambria"/>
          <w:sz w:val="20"/>
          <w:szCs w:val="20"/>
        </w:rPr>
        <w:sectPr>
          <w:headerReference w:type="default" r:id="rId14"/>
          <w:footerReference w:type="default" r:id="rId15"/>
          <w:headerReference w:type="first" r:id="rId16"/>
          <w:type w:val="nextColumn"/>
          <w:pgSz w:w="11906" w:h="16838" w:code="9"/>
          <w:pgMar w:top="1412" w:right="1412" w:bottom="1412" w:left="1412" w:header="720" w:footer="720" w:gutter="0"/>
          <w:cols w:space="720"/>
          <w:docGrid w:linePitch="326"/>
        </w:sectPr>
      </w:pPr>
    </w:p>
    <w:p>
      <w:pPr>
        <w:pBdr>
          <w:bottom w:val="single" w:sz="4" w:space="1" w:color="auto"/>
        </w:pBdr>
        <w:rPr>
          <w:rFonts w:ascii="Verdana" w:hAnsi="Verdana"/>
          <w:b/>
          <w:sz w:val="32"/>
          <w:szCs w:val="32"/>
        </w:rPr>
      </w:pPr>
      <w:bookmarkStart w:id="0" w:name="_Toc206489518"/>
      <w:r>
        <w:rPr>
          <w:rFonts w:ascii="Verdana" w:hAnsi="Verdana"/>
          <w:b/>
          <w:sz w:val="32"/>
          <w:szCs w:val="32"/>
        </w:rPr>
        <w:lastRenderedPageBreak/>
        <w:t>Contents</w:t>
      </w:r>
      <w:bookmarkEnd w:id="0"/>
    </w:p>
    <w:bookmarkStart w:id="1" w:name="_Toc198715052"/>
    <w:p>
      <w:pPr>
        <w:pStyle w:val="TOC1"/>
        <w:rPr>
          <w:rFonts w:asciiTheme="minorHAnsi" w:eastAsiaTheme="minorEastAsia" w:hAnsiTheme="minorHAnsi" w:cstheme="minorBidi"/>
          <w:b w:val="0"/>
          <w:sz w:val="22"/>
          <w:szCs w:val="22"/>
          <w:lang w:eastAsia="en-AU"/>
        </w:rPr>
      </w:pPr>
      <w:r>
        <w:rPr>
          <w:szCs w:val="20"/>
        </w:rPr>
        <w:fldChar w:fldCharType="begin"/>
      </w:r>
      <w:r>
        <w:rPr>
          <w:szCs w:val="20"/>
        </w:rPr>
        <w:instrText xml:space="preserve"> TOC \o "1-3" \h \z \u </w:instrText>
      </w:r>
      <w:r>
        <w:rPr>
          <w:szCs w:val="20"/>
        </w:rPr>
        <w:fldChar w:fldCharType="separate"/>
      </w:r>
      <w:hyperlink w:anchor="_Toc345423497" w:history="1">
        <w:r>
          <w:rPr>
            <w:rStyle w:val="Hyperlink"/>
          </w:rPr>
          <w:t>Tables and figures</w:t>
        </w:r>
        <w:r>
          <w:rPr>
            <w:webHidden/>
          </w:rPr>
          <w:tab/>
        </w:r>
        <w:r>
          <w:rPr>
            <w:webHidden/>
          </w:rPr>
          <w:fldChar w:fldCharType="begin"/>
        </w:r>
        <w:r>
          <w:rPr>
            <w:webHidden/>
          </w:rPr>
          <w:instrText xml:space="preserve"> PAGEREF _Toc345423497 \h </w:instrText>
        </w:r>
        <w:r>
          <w:rPr>
            <w:webHidden/>
          </w:rPr>
        </w:r>
        <w:r>
          <w:rPr>
            <w:webHidden/>
          </w:rPr>
          <w:fldChar w:fldCharType="separate"/>
        </w:r>
        <w:r>
          <w:rPr>
            <w:webHidden/>
          </w:rPr>
          <w:t>5</w:t>
        </w:r>
        <w:r>
          <w:rPr>
            <w:webHidden/>
          </w:rPr>
          <w:fldChar w:fldCharType="end"/>
        </w:r>
      </w:hyperlink>
    </w:p>
    <w:p>
      <w:pPr>
        <w:pStyle w:val="TOC1"/>
        <w:rPr>
          <w:rFonts w:asciiTheme="minorHAnsi" w:eastAsiaTheme="minorEastAsia" w:hAnsiTheme="minorHAnsi" w:cstheme="minorBidi"/>
          <w:b w:val="0"/>
          <w:sz w:val="22"/>
          <w:szCs w:val="22"/>
          <w:lang w:eastAsia="en-AU"/>
        </w:rPr>
      </w:pPr>
      <w:hyperlink w:anchor="_Toc345423498" w:history="1">
        <w:r>
          <w:rPr>
            <w:rStyle w:val="Hyperlink"/>
          </w:rPr>
          <w:t>Acronyms and abbreviations</w:t>
        </w:r>
        <w:r>
          <w:rPr>
            <w:webHidden/>
          </w:rPr>
          <w:tab/>
        </w:r>
        <w:r>
          <w:rPr>
            <w:webHidden/>
          </w:rPr>
          <w:fldChar w:fldCharType="begin"/>
        </w:r>
        <w:r>
          <w:rPr>
            <w:webHidden/>
          </w:rPr>
          <w:instrText xml:space="preserve"> PAGEREF _Toc345423498 \h </w:instrText>
        </w:r>
        <w:r>
          <w:rPr>
            <w:webHidden/>
          </w:rPr>
        </w:r>
        <w:r>
          <w:rPr>
            <w:webHidden/>
          </w:rPr>
          <w:fldChar w:fldCharType="separate"/>
        </w:r>
        <w:r>
          <w:rPr>
            <w:webHidden/>
          </w:rPr>
          <w:t>6</w:t>
        </w:r>
        <w:r>
          <w:rPr>
            <w:webHidden/>
          </w:rPr>
          <w:fldChar w:fldCharType="end"/>
        </w:r>
      </w:hyperlink>
    </w:p>
    <w:p>
      <w:pPr>
        <w:pStyle w:val="TOC1"/>
        <w:rPr>
          <w:rFonts w:asciiTheme="minorHAnsi" w:eastAsiaTheme="minorEastAsia" w:hAnsiTheme="minorHAnsi" w:cstheme="minorBidi"/>
          <w:b w:val="0"/>
          <w:sz w:val="22"/>
          <w:szCs w:val="22"/>
          <w:lang w:eastAsia="en-AU"/>
        </w:rPr>
      </w:pPr>
      <w:hyperlink w:anchor="_Toc345423499" w:history="1">
        <w:r>
          <w:rPr>
            <w:rStyle w:val="Hyperlink"/>
          </w:rPr>
          <w:t>Summary</w:t>
        </w:r>
        <w:r>
          <w:rPr>
            <w:webHidden/>
          </w:rPr>
          <w:tab/>
        </w:r>
        <w:r>
          <w:rPr>
            <w:webHidden/>
          </w:rPr>
          <w:fldChar w:fldCharType="begin"/>
        </w:r>
        <w:r>
          <w:rPr>
            <w:webHidden/>
          </w:rPr>
          <w:instrText xml:space="preserve"> PAGEREF _Toc345423499 \h </w:instrText>
        </w:r>
        <w:r>
          <w:rPr>
            <w:webHidden/>
          </w:rPr>
        </w:r>
        <w:r>
          <w:rPr>
            <w:webHidden/>
          </w:rPr>
          <w:fldChar w:fldCharType="separate"/>
        </w:r>
        <w:r>
          <w:rPr>
            <w:webHidden/>
          </w:rPr>
          <w:t>7</w:t>
        </w:r>
        <w:r>
          <w:rPr>
            <w:webHidden/>
          </w:rPr>
          <w:fldChar w:fldCharType="end"/>
        </w:r>
      </w:hyperlink>
    </w:p>
    <w:p>
      <w:pPr>
        <w:pStyle w:val="TOC1"/>
        <w:rPr>
          <w:rFonts w:asciiTheme="minorHAnsi" w:eastAsiaTheme="minorEastAsia" w:hAnsiTheme="minorHAnsi" w:cstheme="minorBidi"/>
          <w:b w:val="0"/>
          <w:sz w:val="22"/>
          <w:szCs w:val="22"/>
          <w:lang w:eastAsia="en-AU"/>
        </w:rPr>
      </w:pPr>
      <w:hyperlink w:anchor="_Toc345423500" w:history="1">
        <w:r>
          <w:rPr>
            <w:rStyle w:val="Hyperlink"/>
          </w:rPr>
          <w:t>1</w:t>
        </w:r>
        <w:r>
          <w:rPr>
            <w:rFonts w:asciiTheme="minorHAnsi" w:eastAsiaTheme="minorEastAsia" w:hAnsiTheme="minorHAnsi" w:cstheme="minorBidi"/>
            <w:b w:val="0"/>
            <w:sz w:val="22"/>
            <w:szCs w:val="22"/>
            <w:lang w:eastAsia="en-AU"/>
          </w:rPr>
          <w:tab/>
        </w:r>
        <w:r>
          <w:rPr>
            <w:rStyle w:val="Hyperlink"/>
          </w:rPr>
          <w:t>Introduction</w:t>
        </w:r>
        <w:r>
          <w:rPr>
            <w:webHidden/>
          </w:rPr>
          <w:tab/>
        </w:r>
        <w:r>
          <w:rPr>
            <w:webHidden/>
          </w:rPr>
          <w:fldChar w:fldCharType="begin"/>
        </w:r>
        <w:r>
          <w:rPr>
            <w:webHidden/>
          </w:rPr>
          <w:instrText xml:space="preserve"> PAGEREF _Toc345423500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01" w:history="1">
        <w:r>
          <w:rPr>
            <w:rStyle w:val="Hyperlink"/>
            <w:rFonts w:ascii="Verdana" w:hAnsi="Verdana"/>
          </w:rPr>
          <w:t>1.1</w:t>
        </w:r>
        <w:r>
          <w:rPr>
            <w:rFonts w:asciiTheme="minorHAnsi" w:eastAsiaTheme="minorEastAsia" w:hAnsiTheme="minorHAnsi" w:cstheme="minorBidi"/>
            <w:smallCaps w:val="0"/>
            <w:sz w:val="22"/>
            <w:szCs w:val="22"/>
            <w:lang w:eastAsia="en-AU"/>
          </w:rPr>
          <w:tab/>
        </w:r>
        <w:r>
          <w:rPr>
            <w:rStyle w:val="Hyperlink"/>
            <w:rFonts w:ascii="Verdana" w:hAnsi="Verdana"/>
          </w:rPr>
          <w:t>Australia’s biosecurity policy framework</w:t>
        </w:r>
        <w:r>
          <w:rPr>
            <w:webHidden/>
          </w:rPr>
          <w:tab/>
        </w:r>
        <w:r>
          <w:rPr>
            <w:webHidden/>
          </w:rPr>
          <w:fldChar w:fldCharType="begin"/>
        </w:r>
        <w:r>
          <w:rPr>
            <w:webHidden/>
          </w:rPr>
          <w:instrText xml:space="preserve"> PAGEREF _Toc345423501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02" w:history="1">
        <w:r>
          <w:rPr>
            <w:rStyle w:val="Hyperlink"/>
            <w:rFonts w:ascii="Verdana" w:hAnsi="Verdana"/>
          </w:rPr>
          <w:t>1.2</w:t>
        </w:r>
        <w:r>
          <w:rPr>
            <w:rFonts w:asciiTheme="minorHAnsi" w:eastAsiaTheme="minorEastAsia" w:hAnsiTheme="minorHAnsi" w:cstheme="minorBidi"/>
            <w:smallCaps w:val="0"/>
            <w:sz w:val="22"/>
            <w:szCs w:val="22"/>
            <w:lang w:eastAsia="en-AU"/>
          </w:rPr>
          <w:tab/>
        </w:r>
        <w:r>
          <w:rPr>
            <w:rStyle w:val="Hyperlink"/>
            <w:rFonts w:ascii="Verdana" w:hAnsi="Verdana"/>
          </w:rPr>
          <w:t>This review of existing policy</w:t>
        </w:r>
        <w:r>
          <w:rPr>
            <w:webHidden/>
          </w:rPr>
          <w:tab/>
        </w:r>
        <w:r>
          <w:rPr>
            <w:webHidden/>
          </w:rPr>
          <w:fldChar w:fldCharType="begin"/>
        </w:r>
        <w:r>
          <w:rPr>
            <w:webHidden/>
          </w:rPr>
          <w:instrText xml:space="preserve"> PAGEREF _Toc345423502 \h </w:instrText>
        </w:r>
        <w:r>
          <w:rPr>
            <w:webHidden/>
          </w:rPr>
        </w:r>
        <w:r>
          <w:rPr>
            <w:webHidden/>
          </w:rPr>
          <w:fldChar w:fldCharType="separate"/>
        </w:r>
        <w:r>
          <w:rPr>
            <w:webHidden/>
          </w:rPr>
          <w:t>9</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03" w:history="1">
        <w:r>
          <w:rPr>
            <w:rStyle w:val="Hyperlink"/>
            <w:rFonts w:ascii="Verdana" w:hAnsi="Verdana" w:cs="Arial"/>
            <w:bCs/>
          </w:rPr>
          <w:t>1.2.1</w:t>
        </w:r>
        <w:r>
          <w:rPr>
            <w:rFonts w:asciiTheme="minorHAnsi" w:eastAsiaTheme="minorEastAsia" w:hAnsiTheme="minorHAnsi" w:cstheme="minorBidi"/>
            <w:sz w:val="22"/>
            <w:szCs w:val="22"/>
            <w:lang w:eastAsia="en-AU"/>
          </w:rPr>
          <w:tab/>
        </w:r>
        <w:r>
          <w:rPr>
            <w:rStyle w:val="Hyperlink"/>
            <w:rFonts w:ascii="Verdana" w:hAnsi="Verdana" w:cs="Arial"/>
            <w:bCs/>
          </w:rPr>
          <w:t>Background</w:t>
        </w:r>
        <w:r>
          <w:rPr>
            <w:webHidden/>
          </w:rPr>
          <w:tab/>
        </w:r>
        <w:r>
          <w:rPr>
            <w:webHidden/>
          </w:rPr>
          <w:fldChar w:fldCharType="begin"/>
        </w:r>
        <w:r>
          <w:rPr>
            <w:webHidden/>
          </w:rPr>
          <w:instrText xml:space="preserve"> PAGEREF _Toc345423503 \h </w:instrText>
        </w:r>
        <w:r>
          <w:rPr>
            <w:webHidden/>
          </w:rPr>
        </w:r>
        <w:r>
          <w:rPr>
            <w:webHidden/>
          </w:rPr>
          <w:fldChar w:fldCharType="separate"/>
        </w:r>
        <w:r>
          <w:rPr>
            <w:webHidden/>
          </w:rPr>
          <w:t>9</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04" w:history="1">
        <w:r>
          <w:rPr>
            <w:rStyle w:val="Hyperlink"/>
            <w:rFonts w:ascii="Verdana" w:hAnsi="Verdana" w:cs="Arial"/>
            <w:bCs/>
          </w:rPr>
          <w:t>1.2.2</w:t>
        </w:r>
        <w:r>
          <w:rPr>
            <w:rFonts w:asciiTheme="minorHAnsi" w:eastAsiaTheme="minorEastAsia" w:hAnsiTheme="minorHAnsi" w:cstheme="minorBidi"/>
            <w:sz w:val="22"/>
            <w:szCs w:val="22"/>
            <w:lang w:eastAsia="en-AU"/>
          </w:rPr>
          <w:tab/>
        </w:r>
        <w:r>
          <w:rPr>
            <w:rStyle w:val="Hyperlink"/>
            <w:rFonts w:ascii="Verdana" w:hAnsi="Verdana" w:cs="Arial"/>
            <w:bCs/>
          </w:rPr>
          <w:t>Scope</w:t>
        </w:r>
        <w:r>
          <w:rPr>
            <w:webHidden/>
          </w:rPr>
          <w:tab/>
        </w:r>
        <w:r>
          <w:rPr>
            <w:webHidden/>
          </w:rPr>
          <w:fldChar w:fldCharType="begin"/>
        </w:r>
        <w:r>
          <w:rPr>
            <w:webHidden/>
          </w:rPr>
          <w:instrText xml:space="preserve"> PAGEREF _Toc345423504 \h </w:instrText>
        </w:r>
        <w:r>
          <w:rPr>
            <w:webHidden/>
          </w:rPr>
        </w:r>
        <w:r>
          <w:rPr>
            <w:webHidden/>
          </w:rPr>
          <w:fldChar w:fldCharType="separate"/>
        </w:r>
        <w:r>
          <w:rPr>
            <w:webHidden/>
          </w:rPr>
          <w:t>11</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05" w:history="1">
        <w:r>
          <w:rPr>
            <w:rStyle w:val="Hyperlink"/>
            <w:rFonts w:ascii="Verdana" w:hAnsi="Verdana" w:cs="Arial"/>
            <w:bCs/>
          </w:rPr>
          <w:t>1.2.3</w:t>
        </w:r>
        <w:r>
          <w:rPr>
            <w:rFonts w:asciiTheme="minorHAnsi" w:eastAsiaTheme="minorEastAsia" w:hAnsiTheme="minorHAnsi" w:cstheme="minorBidi"/>
            <w:sz w:val="22"/>
            <w:szCs w:val="22"/>
            <w:lang w:eastAsia="en-AU"/>
          </w:rPr>
          <w:tab/>
        </w:r>
        <w:r>
          <w:rPr>
            <w:rStyle w:val="Hyperlink"/>
            <w:rFonts w:ascii="Verdana" w:hAnsi="Verdana" w:cs="Arial"/>
            <w:bCs/>
          </w:rPr>
          <w:t>Existing import policy for grapevine propagative material</w:t>
        </w:r>
        <w:r>
          <w:rPr>
            <w:webHidden/>
          </w:rPr>
          <w:tab/>
        </w:r>
        <w:r>
          <w:rPr>
            <w:webHidden/>
          </w:rPr>
          <w:fldChar w:fldCharType="begin"/>
        </w:r>
        <w:r>
          <w:rPr>
            <w:webHidden/>
          </w:rPr>
          <w:instrText xml:space="preserve"> PAGEREF _Toc345423505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cstheme="minorBidi"/>
          <w:b w:val="0"/>
          <w:sz w:val="22"/>
          <w:szCs w:val="22"/>
          <w:lang w:eastAsia="en-AU"/>
        </w:rPr>
      </w:pPr>
      <w:hyperlink w:anchor="_Toc345423506" w:history="1">
        <w:r>
          <w:rPr>
            <w:rStyle w:val="Hyperlink"/>
            <w:rFonts w:cs="Arial"/>
          </w:rPr>
          <w:t>2</w:t>
        </w:r>
        <w:r>
          <w:rPr>
            <w:rFonts w:asciiTheme="minorHAnsi" w:eastAsiaTheme="minorEastAsia" w:hAnsiTheme="minorHAnsi" w:cstheme="minorBidi"/>
            <w:b w:val="0"/>
            <w:sz w:val="22"/>
            <w:szCs w:val="22"/>
            <w:lang w:eastAsia="en-AU"/>
          </w:rPr>
          <w:tab/>
        </w:r>
        <w:r>
          <w:rPr>
            <w:rStyle w:val="Hyperlink"/>
            <w:rFonts w:cs="Arial"/>
          </w:rPr>
          <w:t>Pest risk analysis</w:t>
        </w:r>
        <w:r>
          <w:rPr>
            <w:webHidden/>
          </w:rPr>
          <w:tab/>
        </w:r>
        <w:r>
          <w:rPr>
            <w:webHidden/>
          </w:rPr>
          <w:fldChar w:fldCharType="begin"/>
        </w:r>
        <w:r>
          <w:rPr>
            <w:webHidden/>
          </w:rPr>
          <w:instrText xml:space="preserve"> PAGEREF _Toc345423506 \h </w:instrText>
        </w:r>
        <w:r>
          <w:rPr>
            <w:webHidden/>
          </w:rPr>
        </w:r>
        <w:r>
          <w:rPr>
            <w:webHidden/>
          </w:rPr>
          <w:fldChar w:fldCharType="separate"/>
        </w:r>
        <w:r>
          <w:rPr>
            <w:webHidden/>
          </w:rPr>
          <w:t>14</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07" w:history="1">
        <w:r>
          <w:rPr>
            <w:rStyle w:val="Hyperlink"/>
            <w:rFonts w:ascii="Verdana" w:hAnsi="Verdana"/>
          </w:rPr>
          <w:t>2.1</w:t>
        </w:r>
        <w:r>
          <w:rPr>
            <w:rFonts w:asciiTheme="minorHAnsi" w:eastAsiaTheme="minorEastAsia" w:hAnsiTheme="minorHAnsi" w:cstheme="minorBidi"/>
            <w:smallCaps w:val="0"/>
            <w:sz w:val="22"/>
            <w:szCs w:val="22"/>
            <w:lang w:eastAsia="en-AU"/>
          </w:rPr>
          <w:tab/>
        </w:r>
        <w:r>
          <w:rPr>
            <w:rStyle w:val="Hyperlink"/>
            <w:rFonts w:ascii="Verdana" w:hAnsi="Verdana"/>
          </w:rPr>
          <w:t>Stage 1: Initiation</w:t>
        </w:r>
        <w:r>
          <w:rPr>
            <w:webHidden/>
          </w:rPr>
          <w:tab/>
        </w:r>
        <w:r>
          <w:rPr>
            <w:webHidden/>
          </w:rPr>
          <w:fldChar w:fldCharType="begin"/>
        </w:r>
        <w:r>
          <w:rPr>
            <w:webHidden/>
          </w:rPr>
          <w:instrText xml:space="preserve"> PAGEREF _Toc345423507 \h </w:instrText>
        </w:r>
        <w:r>
          <w:rPr>
            <w:webHidden/>
          </w:rPr>
        </w:r>
        <w:r>
          <w:rPr>
            <w:webHidden/>
          </w:rPr>
          <w:fldChar w:fldCharType="separate"/>
        </w:r>
        <w:r>
          <w:rPr>
            <w:webHidden/>
          </w:rPr>
          <w:t>14</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08" w:history="1">
        <w:r>
          <w:rPr>
            <w:rStyle w:val="Hyperlink"/>
            <w:rFonts w:ascii="Verdana" w:hAnsi="Verdana"/>
          </w:rPr>
          <w:t>2.2</w:t>
        </w:r>
        <w:r>
          <w:rPr>
            <w:rFonts w:asciiTheme="minorHAnsi" w:eastAsiaTheme="minorEastAsia" w:hAnsiTheme="minorHAnsi" w:cstheme="minorBidi"/>
            <w:smallCaps w:val="0"/>
            <w:sz w:val="22"/>
            <w:szCs w:val="22"/>
            <w:lang w:eastAsia="en-AU"/>
          </w:rPr>
          <w:tab/>
        </w:r>
        <w:r>
          <w:rPr>
            <w:rStyle w:val="Hyperlink"/>
            <w:rFonts w:ascii="Verdana" w:hAnsi="Verdana"/>
          </w:rPr>
          <w:t>Stage 2: Pest Risk Assessment</w:t>
        </w:r>
        <w:r>
          <w:rPr>
            <w:webHidden/>
          </w:rPr>
          <w:tab/>
        </w:r>
        <w:r>
          <w:rPr>
            <w:webHidden/>
          </w:rPr>
          <w:fldChar w:fldCharType="begin"/>
        </w:r>
        <w:r>
          <w:rPr>
            <w:webHidden/>
          </w:rPr>
          <w:instrText xml:space="preserve"> PAGEREF _Toc345423508 \h </w:instrText>
        </w:r>
        <w:r>
          <w:rPr>
            <w:webHidden/>
          </w:rPr>
        </w:r>
        <w:r>
          <w:rPr>
            <w:webHidden/>
          </w:rPr>
          <w:fldChar w:fldCharType="separate"/>
        </w:r>
        <w:r>
          <w:rPr>
            <w:webHidden/>
          </w:rPr>
          <w:t>14</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09" w:history="1">
        <w:r>
          <w:rPr>
            <w:rStyle w:val="Hyperlink"/>
            <w:rFonts w:ascii="Verdana" w:hAnsi="Verdana" w:cs="Arial"/>
            <w:bCs/>
          </w:rPr>
          <w:t>2.2.1</w:t>
        </w:r>
        <w:r>
          <w:rPr>
            <w:rFonts w:asciiTheme="minorHAnsi" w:eastAsiaTheme="minorEastAsia" w:hAnsiTheme="minorHAnsi" w:cstheme="minorBidi"/>
            <w:sz w:val="22"/>
            <w:szCs w:val="22"/>
            <w:lang w:eastAsia="en-AU"/>
          </w:rPr>
          <w:tab/>
        </w:r>
        <w:r>
          <w:rPr>
            <w:rStyle w:val="Hyperlink"/>
            <w:rFonts w:ascii="Verdana" w:hAnsi="Verdana" w:cs="Arial"/>
            <w:bCs/>
          </w:rPr>
          <w:t>Pest categorisation</w:t>
        </w:r>
        <w:r>
          <w:rPr>
            <w:webHidden/>
          </w:rPr>
          <w:tab/>
        </w:r>
        <w:r>
          <w:rPr>
            <w:webHidden/>
          </w:rPr>
          <w:fldChar w:fldCharType="begin"/>
        </w:r>
        <w:r>
          <w:rPr>
            <w:webHidden/>
          </w:rPr>
          <w:instrText xml:space="preserve"> PAGEREF _Toc345423509 \h </w:instrText>
        </w:r>
        <w:r>
          <w:rPr>
            <w:webHidden/>
          </w:rPr>
        </w:r>
        <w:r>
          <w:rPr>
            <w:webHidden/>
          </w:rPr>
          <w:fldChar w:fldCharType="separate"/>
        </w:r>
        <w:r>
          <w:rPr>
            <w:webHidden/>
          </w:rPr>
          <w:t>15</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10" w:history="1">
        <w:r>
          <w:rPr>
            <w:rStyle w:val="Hyperlink"/>
            <w:rFonts w:ascii="Verdana" w:hAnsi="Verdana" w:cs="Arial"/>
            <w:bCs/>
          </w:rPr>
          <w:t>2.2.2</w:t>
        </w:r>
        <w:r>
          <w:rPr>
            <w:rFonts w:asciiTheme="minorHAnsi" w:eastAsiaTheme="minorEastAsia" w:hAnsiTheme="minorHAnsi" w:cstheme="minorBidi"/>
            <w:sz w:val="22"/>
            <w:szCs w:val="22"/>
            <w:lang w:eastAsia="en-AU"/>
          </w:rPr>
          <w:tab/>
        </w:r>
        <w:r>
          <w:rPr>
            <w:rStyle w:val="Hyperlink"/>
            <w:rFonts w:ascii="Verdana" w:hAnsi="Verdana" w:cs="Arial"/>
            <w:bCs/>
          </w:rPr>
          <w:t>Assessment of the probability of entry, establishment and spread</w:t>
        </w:r>
        <w:r>
          <w:rPr>
            <w:webHidden/>
          </w:rPr>
          <w:tab/>
        </w:r>
        <w:r>
          <w:rPr>
            <w:webHidden/>
          </w:rPr>
          <w:fldChar w:fldCharType="begin"/>
        </w:r>
        <w:r>
          <w:rPr>
            <w:webHidden/>
          </w:rPr>
          <w:instrText xml:space="preserve"> PAGEREF _Toc345423510 \h </w:instrText>
        </w:r>
        <w:r>
          <w:rPr>
            <w:webHidden/>
          </w:rPr>
        </w:r>
        <w:r>
          <w:rPr>
            <w:webHidden/>
          </w:rPr>
          <w:fldChar w:fldCharType="separate"/>
        </w:r>
        <w:r>
          <w:rPr>
            <w:webHidden/>
          </w:rPr>
          <w:t>17</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11" w:history="1">
        <w:r>
          <w:rPr>
            <w:rStyle w:val="Hyperlink"/>
            <w:rFonts w:ascii="Verdana" w:hAnsi="Verdana" w:cs="Arial"/>
            <w:bCs/>
          </w:rPr>
          <w:t>2.2.3</w:t>
        </w:r>
        <w:r>
          <w:rPr>
            <w:rFonts w:asciiTheme="minorHAnsi" w:eastAsiaTheme="minorEastAsia" w:hAnsiTheme="minorHAnsi" w:cstheme="minorBidi"/>
            <w:sz w:val="22"/>
            <w:szCs w:val="22"/>
            <w:lang w:eastAsia="en-AU"/>
          </w:rPr>
          <w:tab/>
        </w:r>
        <w:r>
          <w:rPr>
            <w:rStyle w:val="Hyperlink"/>
            <w:rFonts w:ascii="Verdana" w:hAnsi="Verdana" w:cs="Arial"/>
            <w:bCs/>
          </w:rPr>
          <w:t>Assessment of potential consequences</w:t>
        </w:r>
        <w:r>
          <w:rPr>
            <w:webHidden/>
          </w:rPr>
          <w:tab/>
        </w:r>
        <w:r>
          <w:rPr>
            <w:webHidden/>
          </w:rPr>
          <w:fldChar w:fldCharType="begin"/>
        </w:r>
        <w:r>
          <w:rPr>
            <w:webHidden/>
          </w:rPr>
          <w:instrText xml:space="preserve"> PAGEREF _Toc345423511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12" w:history="1">
        <w:r>
          <w:rPr>
            <w:rStyle w:val="Hyperlink"/>
            <w:rFonts w:ascii="Verdana" w:hAnsi="Verdana"/>
          </w:rPr>
          <w:t>2.3</w:t>
        </w:r>
        <w:r>
          <w:rPr>
            <w:rFonts w:asciiTheme="minorHAnsi" w:eastAsiaTheme="minorEastAsia" w:hAnsiTheme="minorHAnsi" w:cstheme="minorBidi"/>
            <w:smallCaps w:val="0"/>
            <w:sz w:val="22"/>
            <w:szCs w:val="22"/>
            <w:lang w:eastAsia="en-AU"/>
          </w:rPr>
          <w:tab/>
        </w:r>
        <w:r>
          <w:rPr>
            <w:rStyle w:val="Hyperlink"/>
            <w:rFonts w:ascii="Verdana" w:hAnsi="Verdana"/>
          </w:rPr>
          <w:t>Stage 3: Pest Risk Management</w:t>
        </w:r>
        <w:r>
          <w:rPr>
            <w:webHidden/>
          </w:rPr>
          <w:tab/>
        </w:r>
        <w:r>
          <w:rPr>
            <w:webHidden/>
          </w:rPr>
          <w:fldChar w:fldCharType="begin"/>
        </w:r>
        <w:r>
          <w:rPr>
            <w:webHidden/>
          </w:rPr>
          <w:instrText xml:space="preserve"> PAGEREF _Toc345423512 \h </w:instrText>
        </w:r>
        <w:r>
          <w:rPr>
            <w:webHidden/>
          </w:rPr>
        </w:r>
        <w:r>
          <w:rPr>
            <w:webHidden/>
          </w:rPr>
          <w:fldChar w:fldCharType="separate"/>
        </w:r>
        <w:r>
          <w:rPr>
            <w:webHidden/>
          </w:rPr>
          <w:t>20</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13" w:history="1">
        <w:r>
          <w:rPr>
            <w:rStyle w:val="Hyperlink"/>
            <w:rFonts w:ascii="Verdana" w:hAnsi="Verdana" w:cs="Arial"/>
            <w:bCs/>
          </w:rPr>
          <w:t>2.3.1</w:t>
        </w:r>
        <w:r>
          <w:rPr>
            <w:rFonts w:asciiTheme="minorHAnsi" w:eastAsiaTheme="minorEastAsia" w:hAnsiTheme="minorHAnsi" w:cstheme="minorBidi"/>
            <w:sz w:val="22"/>
            <w:szCs w:val="22"/>
            <w:lang w:eastAsia="en-AU"/>
          </w:rPr>
          <w:tab/>
        </w:r>
        <w:r>
          <w:rPr>
            <w:rStyle w:val="Hyperlink"/>
            <w:rFonts w:ascii="Verdana" w:hAnsi="Verdana" w:cs="Arial"/>
            <w:bCs/>
          </w:rPr>
          <w:t>Identification and selection of appropriate risk management options</w:t>
        </w:r>
        <w:r>
          <w:rPr>
            <w:webHidden/>
          </w:rPr>
          <w:tab/>
        </w:r>
        <w:r>
          <w:rPr>
            <w:webHidden/>
          </w:rPr>
          <w:fldChar w:fldCharType="begin"/>
        </w:r>
        <w:r>
          <w:rPr>
            <w:webHidden/>
          </w:rPr>
          <w:instrText xml:space="preserve"> PAGEREF _Toc345423513 \h </w:instrText>
        </w:r>
        <w:r>
          <w:rPr>
            <w:webHidden/>
          </w:rPr>
        </w:r>
        <w:r>
          <w:rPr>
            <w:webHidden/>
          </w:rPr>
          <w:fldChar w:fldCharType="separate"/>
        </w:r>
        <w:r>
          <w:rPr>
            <w:webHidden/>
          </w:rPr>
          <w:t>21</w:t>
        </w:r>
        <w:r>
          <w:rPr>
            <w:webHidden/>
          </w:rPr>
          <w:fldChar w:fldCharType="end"/>
        </w:r>
      </w:hyperlink>
    </w:p>
    <w:p>
      <w:pPr>
        <w:pStyle w:val="TOC1"/>
        <w:ind w:left="1080" w:hanging="1080"/>
        <w:rPr>
          <w:rFonts w:asciiTheme="minorHAnsi" w:eastAsiaTheme="minorEastAsia" w:hAnsiTheme="minorHAnsi" w:cstheme="minorBidi"/>
          <w:b w:val="0"/>
          <w:sz w:val="22"/>
          <w:szCs w:val="22"/>
          <w:lang w:eastAsia="en-AU"/>
        </w:rPr>
      </w:pPr>
      <w:hyperlink w:anchor="_Toc345423514" w:history="1">
        <w:r>
          <w:rPr>
            <w:rStyle w:val="Hyperlink"/>
            <w:rFonts w:cs="Arial"/>
          </w:rPr>
          <w:t>3</w:t>
        </w:r>
        <w:r>
          <w:rPr>
            <w:rFonts w:asciiTheme="minorHAnsi" w:eastAsiaTheme="minorEastAsia" w:hAnsiTheme="minorHAnsi" w:cstheme="minorBidi"/>
            <w:b w:val="0"/>
            <w:sz w:val="22"/>
            <w:szCs w:val="22"/>
            <w:lang w:eastAsia="en-AU"/>
          </w:rPr>
          <w:tab/>
        </w:r>
        <w:r>
          <w:rPr>
            <w:rStyle w:val="Hyperlink"/>
            <w:rFonts w:cs="Arial"/>
          </w:rPr>
          <w:t>Risk management measures for grapevine propagative material from all sources</w:t>
        </w:r>
        <w:r>
          <w:rPr>
            <w:webHidden/>
          </w:rPr>
          <w:tab/>
        </w:r>
        <w:r>
          <w:rPr>
            <w:webHidden/>
          </w:rPr>
          <w:fldChar w:fldCharType="begin"/>
        </w:r>
        <w:r>
          <w:rPr>
            <w:webHidden/>
          </w:rPr>
          <w:instrText xml:space="preserve"> PAGEREF _Toc345423514 \h </w:instrText>
        </w:r>
        <w:r>
          <w:rPr>
            <w:webHidden/>
          </w:rPr>
        </w:r>
        <w:r>
          <w:rPr>
            <w:webHidden/>
          </w:rPr>
          <w:fldChar w:fldCharType="separate"/>
        </w:r>
        <w:r>
          <w:rPr>
            <w:webHidden/>
          </w:rPr>
          <w:t>22</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15" w:history="1">
        <w:r>
          <w:rPr>
            <w:rStyle w:val="Hyperlink"/>
            <w:rFonts w:ascii="Verdana" w:hAnsi="Verdana"/>
          </w:rPr>
          <w:t>3.1</w:t>
        </w:r>
        <w:r>
          <w:rPr>
            <w:rFonts w:asciiTheme="minorHAnsi" w:eastAsiaTheme="minorEastAsia" w:hAnsiTheme="minorHAnsi" w:cstheme="minorBidi"/>
            <w:smallCaps w:val="0"/>
            <w:sz w:val="22"/>
            <w:szCs w:val="22"/>
            <w:lang w:eastAsia="en-AU"/>
          </w:rPr>
          <w:tab/>
        </w:r>
        <w:r>
          <w:rPr>
            <w:rStyle w:val="Hyperlink"/>
            <w:rFonts w:ascii="Verdana" w:hAnsi="Verdana"/>
          </w:rPr>
          <w:t>Existing risk management measures</w:t>
        </w:r>
        <w:r>
          <w:rPr>
            <w:webHidden/>
          </w:rPr>
          <w:tab/>
        </w:r>
        <w:r>
          <w:rPr>
            <w:webHidden/>
          </w:rPr>
          <w:fldChar w:fldCharType="begin"/>
        </w:r>
        <w:r>
          <w:rPr>
            <w:webHidden/>
          </w:rPr>
          <w:instrText xml:space="preserve"> PAGEREF _Toc345423515 \h </w:instrText>
        </w:r>
        <w:r>
          <w:rPr>
            <w:webHidden/>
          </w:rPr>
        </w:r>
        <w:r>
          <w:rPr>
            <w:webHidden/>
          </w:rPr>
          <w:fldChar w:fldCharType="separate"/>
        </w:r>
        <w:r>
          <w:rPr>
            <w:webHidden/>
          </w:rPr>
          <w:t>22</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16" w:history="1">
        <w:r>
          <w:rPr>
            <w:rStyle w:val="Hyperlink"/>
            <w:rFonts w:ascii="Verdana" w:hAnsi="Verdana" w:cs="Arial"/>
            <w:bCs/>
          </w:rPr>
          <w:t>3.1.1</w:t>
        </w:r>
        <w:r>
          <w:rPr>
            <w:rFonts w:asciiTheme="minorHAnsi" w:eastAsiaTheme="minorEastAsia" w:hAnsiTheme="minorHAnsi" w:cstheme="minorBidi"/>
            <w:sz w:val="22"/>
            <w:szCs w:val="22"/>
            <w:lang w:eastAsia="en-AU"/>
          </w:rPr>
          <w:tab/>
        </w:r>
        <w:r>
          <w:rPr>
            <w:rStyle w:val="Hyperlink"/>
            <w:rFonts w:ascii="Verdana" w:hAnsi="Verdana" w:cs="Arial"/>
            <w:bCs/>
          </w:rPr>
          <w:t>All sources (non-approved sources)</w:t>
        </w:r>
        <w:r>
          <w:rPr>
            <w:webHidden/>
          </w:rPr>
          <w:tab/>
        </w:r>
        <w:r>
          <w:rPr>
            <w:webHidden/>
          </w:rPr>
          <w:fldChar w:fldCharType="begin"/>
        </w:r>
        <w:r>
          <w:rPr>
            <w:webHidden/>
          </w:rPr>
          <w:instrText xml:space="preserve"> PAGEREF _Toc345423516 \h </w:instrText>
        </w:r>
        <w:r>
          <w:rPr>
            <w:webHidden/>
          </w:rPr>
        </w:r>
        <w:r>
          <w:rPr>
            <w:webHidden/>
          </w:rPr>
          <w:fldChar w:fldCharType="separate"/>
        </w:r>
        <w:r>
          <w:rPr>
            <w:webHidden/>
          </w:rPr>
          <w:t>22</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17" w:history="1">
        <w:r>
          <w:rPr>
            <w:rStyle w:val="Hyperlink"/>
            <w:rFonts w:ascii="Verdana" w:hAnsi="Verdana" w:cs="Arial"/>
            <w:bCs/>
          </w:rPr>
          <w:t>3.1.2</w:t>
        </w:r>
        <w:r>
          <w:rPr>
            <w:rFonts w:asciiTheme="minorHAnsi" w:eastAsiaTheme="minorEastAsia" w:hAnsiTheme="minorHAnsi" w:cstheme="minorBidi"/>
            <w:sz w:val="22"/>
            <w:szCs w:val="22"/>
            <w:lang w:eastAsia="en-AU"/>
          </w:rPr>
          <w:tab/>
        </w:r>
        <w:r>
          <w:rPr>
            <w:rStyle w:val="Hyperlink"/>
            <w:rFonts w:ascii="Verdana" w:hAnsi="Verdana" w:cs="Arial"/>
            <w:bCs/>
          </w:rPr>
          <w:t>Approved sources</w:t>
        </w:r>
        <w:r>
          <w:rPr>
            <w:webHidden/>
          </w:rPr>
          <w:tab/>
        </w:r>
        <w:r>
          <w:rPr>
            <w:webHidden/>
          </w:rPr>
          <w:fldChar w:fldCharType="begin"/>
        </w:r>
        <w:r>
          <w:rPr>
            <w:webHidden/>
          </w:rPr>
          <w:instrText xml:space="preserve"> PAGEREF _Toc345423517 \h </w:instrText>
        </w:r>
        <w:r>
          <w:rPr>
            <w:webHidden/>
          </w:rPr>
        </w:r>
        <w:r>
          <w:rPr>
            <w:webHidden/>
          </w:rPr>
          <w:fldChar w:fldCharType="separate"/>
        </w:r>
        <w:r>
          <w:rPr>
            <w:webHidden/>
          </w:rPr>
          <w:t>23</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18" w:history="1">
        <w:r>
          <w:rPr>
            <w:rStyle w:val="Hyperlink"/>
            <w:rFonts w:ascii="Verdana" w:hAnsi="Verdana"/>
          </w:rPr>
          <w:t>3.2</w:t>
        </w:r>
        <w:r>
          <w:rPr>
            <w:rFonts w:asciiTheme="minorHAnsi" w:eastAsiaTheme="minorEastAsia" w:hAnsiTheme="minorHAnsi" w:cstheme="minorBidi"/>
            <w:smallCaps w:val="0"/>
            <w:sz w:val="22"/>
            <w:szCs w:val="22"/>
            <w:lang w:eastAsia="en-AU"/>
          </w:rPr>
          <w:tab/>
        </w:r>
        <w:r>
          <w:rPr>
            <w:rStyle w:val="Hyperlink"/>
            <w:rFonts w:ascii="Verdana" w:hAnsi="Verdana"/>
          </w:rPr>
          <w:t>Evaluation of existing measures for grapevine propagative material from all sources</w:t>
        </w:r>
        <w:r>
          <w:rPr>
            <w:webHidden/>
          </w:rPr>
          <w:tab/>
        </w:r>
        <w:r>
          <w:rPr>
            <w:webHidden/>
          </w:rPr>
          <w:fldChar w:fldCharType="begin"/>
        </w:r>
        <w:r>
          <w:rPr>
            <w:webHidden/>
          </w:rPr>
          <w:instrText xml:space="preserve"> PAGEREF _Toc345423518 \h </w:instrText>
        </w:r>
        <w:r>
          <w:rPr>
            <w:webHidden/>
          </w:rPr>
        </w:r>
        <w:r>
          <w:rPr>
            <w:webHidden/>
          </w:rPr>
          <w:fldChar w:fldCharType="separate"/>
        </w:r>
        <w:r>
          <w:rPr>
            <w:webHidden/>
          </w:rPr>
          <w:t>23</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19" w:history="1">
        <w:r>
          <w:rPr>
            <w:rStyle w:val="Hyperlink"/>
            <w:rFonts w:ascii="Verdana" w:hAnsi="Verdana" w:cs="Arial"/>
            <w:bCs/>
          </w:rPr>
          <w:t>3.2.1</w:t>
        </w:r>
        <w:r>
          <w:rPr>
            <w:rFonts w:asciiTheme="minorHAnsi" w:eastAsiaTheme="minorEastAsia" w:hAnsiTheme="minorHAnsi" w:cstheme="minorBidi"/>
            <w:sz w:val="22"/>
            <w:szCs w:val="22"/>
            <w:lang w:eastAsia="en-AU"/>
          </w:rPr>
          <w:tab/>
        </w:r>
        <w:r>
          <w:rPr>
            <w:rStyle w:val="Hyperlink"/>
            <w:rFonts w:ascii="Verdana" w:hAnsi="Verdana" w:cs="Arial"/>
            <w:bCs/>
          </w:rPr>
          <w:t>Dormant cuttings</w:t>
        </w:r>
        <w:r>
          <w:rPr>
            <w:webHidden/>
          </w:rPr>
          <w:tab/>
        </w:r>
        <w:r>
          <w:rPr>
            <w:webHidden/>
          </w:rPr>
          <w:fldChar w:fldCharType="begin"/>
        </w:r>
        <w:r>
          <w:rPr>
            <w:webHidden/>
          </w:rPr>
          <w:instrText xml:space="preserve"> PAGEREF _Toc345423519 \h </w:instrText>
        </w:r>
        <w:r>
          <w:rPr>
            <w:webHidden/>
          </w:rPr>
        </w:r>
        <w:r>
          <w:rPr>
            <w:webHidden/>
          </w:rPr>
          <w:fldChar w:fldCharType="separate"/>
        </w:r>
        <w:r>
          <w:rPr>
            <w:webHidden/>
          </w:rPr>
          <w:t>23</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20" w:history="1">
        <w:r>
          <w:rPr>
            <w:rStyle w:val="Hyperlink"/>
            <w:rFonts w:ascii="Verdana" w:hAnsi="Verdana" w:cs="Arial"/>
            <w:bCs/>
          </w:rPr>
          <w:t>3.2.2</w:t>
        </w:r>
        <w:r>
          <w:rPr>
            <w:rFonts w:asciiTheme="minorHAnsi" w:eastAsiaTheme="minorEastAsia" w:hAnsiTheme="minorHAnsi" w:cstheme="minorBidi"/>
            <w:sz w:val="22"/>
            <w:szCs w:val="22"/>
            <w:lang w:eastAsia="en-AU"/>
          </w:rPr>
          <w:tab/>
        </w:r>
        <w:r>
          <w:rPr>
            <w:rStyle w:val="Hyperlink"/>
            <w:rFonts w:ascii="Verdana" w:hAnsi="Verdana" w:cs="Arial"/>
            <w:bCs/>
          </w:rPr>
          <w:t>Tissue cultures (microplantlets)</w:t>
        </w:r>
        <w:r>
          <w:rPr>
            <w:webHidden/>
          </w:rPr>
          <w:tab/>
        </w:r>
        <w:r>
          <w:rPr>
            <w:webHidden/>
          </w:rPr>
          <w:fldChar w:fldCharType="begin"/>
        </w:r>
        <w:r>
          <w:rPr>
            <w:webHidden/>
          </w:rPr>
          <w:instrText xml:space="preserve"> PAGEREF _Toc345423520 \h </w:instrText>
        </w:r>
        <w:r>
          <w:rPr>
            <w:webHidden/>
          </w:rPr>
        </w:r>
        <w:r>
          <w:rPr>
            <w:webHidden/>
          </w:rPr>
          <w:fldChar w:fldCharType="separate"/>
        </w:r>
        <w:r>
          <w:rPr>
            <w:webHidden/>
          </w:rPr>
          <w:t>24</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21" w:history="1">
        <w:r>
          <w:rPr>
            <w:rStyle w:val="Hyperlink"/>
            <w:rFonts w:ascii="Verdana" w:hAnsi="Verdana"/>
          </w:rPr>
          <w:t>3.3</w:t>
        </w:r>
        <w:r>
          <w:rPr>
            <w:rFonts w:asciiTheme="minorHAnsi" w:eastAsiaTheme="minorEastAsia" w:hAnsiTheme="minorHAnsi" w:cstheme="minorBidi"/>
            <w:smallCaps w:val="0"/>
            <w:sz w:val="22"/>
            <w:szCs w:val="22"/>
            <w:lang w:eastAsia="en-AU"/>
          </w:rPr>
          <w:tab/>
        </w:r>
        <w:r>
          <w:rPr>
            <w:rStyle w:val="Hyperlink"/>
            <w:rFonts w:ascii="Verdana" w:hAnsi="Verdana"/>
          </w:rPr>
          <w:t>Proposed risk management measures for grapevine propagative material from all sources</w:t>
        </w:r>
        <w:r>
          <w:rPr>
            <w:webHidden/>
          </w:rPr>
          <w:tab/>
        </w:r>
        <w:r>
          <w:rPr>
            <w:webHidden/>
          </w:rPr>
          <w:fldChar w:fldCharType="begin"/>
        </w:r>
        <w:r>
          <w:rPr>
            <w:webHidden/>
          </w:rPr>
          <w:instrText xml:space="preserve"> PAGEREF _Toc345423521 \h </w:instrText>
        </w:r>
        <w:r>
          <w:rPr>
            <w:webHidden/>
          </w:rPr>
        </w:r>
        <w:r>
          <w:rPr>
            <w:webHidden/>
          </w:rPr>
          <w:fldChar w:fldCharType="separate"/>
        </w:r>
        <w:r>
          <w:rPr>
            <w:webHidden/>
          </w:rPr>
          <w:t>25</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22" w:history="1">
        <w:r>
          <w:rPr>
            <w:rStyle w:val="Hyperlink"/>
            <w:rFonts w:ascii="Verdana" w:hAnsi="Verdana" w:cs="Arial"/>
            <w:bCs/>
          </w:rPr>
          <w:t>3.3.1</w:t>
        </w:r>
        <w:r>
          <w:rPr>
            <w:rFonts w:asciiTheme="minorHAnsi" w:eastAsiaTheme="minorEastAsia" w:hAnsiTheme="minorHAnsi" w:cstheme="minorBidi"/>
            <w:sz w:val="22"/>
            <w:szCs w:val="22"/>
            <w:lang w:eastAsia="en-AU"/>
          </w:rPr>
          <w:tab/>
        </w:r>
        <w:r>
          <w:rPr>
            <w:rStyle w:val="Hyperlink"/>
            <w:rFonts w:ascii="Verdana" w:hAnsi="Verdana" w:cs="Arial"/>
            <w:bCs/>
          </w:rPr>
          <w:t>Dormant cuttings</w:t>
        </w:r>
        <w:r>
          <w:rPr>
            <w:webHidden/>
          </w:rPr>
          <w:tab/>
        </w:r>
        <w:r>
          <w:rPr>
            <w:webHidden/>
          </w:rPr>
          <w:fldChar w:fldCharType="begin"/>
        </w:r>
        <w:r>
          <w:rPr>
            <w:webHidden/>
          </w:rPr>
          <w:instrText xml:space="preserve"> PAGEREF _Toc345423522 \h </w:instrText>
        </w:r>
        <w:r>
          <w:rPr>
            <w:webHidden/>
          </w:rPr>
        </w:r>
        <w:r>
          <w:rPr>
            <w:webHidden/>
          </w:rPr>
          <w:fldChar w:fldCharType="separate"/>
        </w:r>
        <w:r>
          <w:rPr>
            <w:webHidden/>
          </w:rPr>
          <w:t>25</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23" w:history="1">
        <w:r>
          <w:rPr>
            <w:rStyle w:val="Hyperlink"/>
            <w:rFonts w:ascii="Verdana" w:hAnsi="Verdana" w:cs="Arial"/>
            <w:bCs/>
          </w:rPr>
          <w:t>3.3.2</w:t>
        </w:r>
        <w:r>
          <w:rPr>
            <w:rFonts w:asciiTheme="minorHAnsi" w:eastAsiaTheme="minorEastAsia" w:hAnsiTheme="minorHAnsi" w:cstheme="minorBidi"/>
            <w:sz w:val="22"/>
            <w:szCs w:val="22"/>
            <w:lang w:eastAsia="en-AU"/>
          </w:rPr>
          <w:tab/>
        </w:r>
        <w:r>
          <w:rPr>
            <w:rStyle w:val="Hyperlink"/>
            <w:rFonts w:ascii="Verdana" w:hAnsi="Verdana" w:cs="Arial"/>
            <w:bCs/>
          </w:rPr>
          <w:t>Tissue cultures (microplantlets)</w:t>
        </w:r>
        <w:r>
          <w:rPr>
            <w:webHidden/>
          </w:rPr>
          <w:tab/>
        </w:r>
        <w:r>
          <w:rPr>
            <w:webHidden/>
          </w:rPr>
          <w:fldChar w:fldCharType="begin"/>
        </w:r>
        <w:r>
          <w:rPr>
            <w:webHidden/>
          </w:rPr>
          <w:instrText xml:space="preserve"> PAGEREF _Toc345423523 \h </w:instrText>
        </w:r>
        <w:r>
          <w:rPr>
            <w:webHidden/>
          </w:rPr>
        </w:r>
        <w:r>
          <w:rPr>
            <w:webHidden/>
          </w:rPr>
          <w:fldChar w:fldCharType="separate"/>
        </w:r>
        <w:r>
          <w:rPr>
            <w:webHidden/>
          </w:rPr>
          <w:t>30</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24" w:history="1">
        <w:r>
          <w:rPr>
            <w:rStyle w:val="Hyperlink"/>
            <w:rFonts w:ascii="Verdana" w:hAnsi="Verdana" w:cs="Arial"/>
            <w:bCs/>
          </w:rPr>
          <w:t>3.3.3</w:t>
        </w:r>
        <w:r>
          <w:rPr>
            <w:rFonts w:asciiTheme="minorHAnsi" w:eastAsiaTheme="minorEastAsia" w:hAnsiTheme="minorHAnsi" w:cstheme="minorBidi"/>
            <w:sz w:val="22"/>
            <w:szCs w:val="22"/>
            <w:lang w:eastAsia="en-AU"/>
          </w:rPr>
          <w:tab/>
        </w:r>
        <w:r>
          <w:rPr>
            <w:rStyle w:val="Hyperlink"/>
            <w:rFonts w:ascii="Verdana" w:hAnsi="Verdana" w:cs="Arial"/>
            <w:bCs/>
          </w:rPr>
          <w:t>Seed for sowing (non-approved sources)</w:t>
        </w:r>
        <w:r>
          <w:rPr>
            <w:webHidden/>
          </w:rPr>
          <w:tab/>
        </w:r>
        <w:r>
          <w:rPr>
            <w:webHidden/>
          </w:rPr>
          <w:fldChar w:fldCharType="begin"/>
        </w:r>
        <w:r>
          <w:rPr>
            <w:webHidden/>
          </w:rPr>
          <w:instrText xml:space="preserve"> PAGEREF _Toc345423524 \h </w:instrText>
        </w:r>
        <w:r>
          <w:rPr>
            <w:webHidden/>
          </w:rPr>
        </w:r>
        <w:r>
          <w:rPr>
            <w:webHidden/>
          </w:rPr>
          <w:fldChar w:fldCharType="separate"/>
        </w:r>
        <w:r>
          <w:rPr>
            <w:webHidden/>
          </w:rPr>
          <w:t>32</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25" w:history="1">
        <w:r>
          <w:rPr>
            <w:rStyle w:val="Hyperlink"/>
            <w:rFonts w:ascii="Verdana" w:hAnsi="Verdana" w:cs="Verdana"/>
          </w:rPr>
          <w:t>3.4</w:t>
        </w:r>
        <w:r>
          <w:rPr>
            <w:rFonts w:asciiTheme="minorHAnsi" w:eastAsiaTheme="minorEastAsia" w:hAnsiTheme="minorHAnsi" w:cstheme="minorBidi"/>
            <w:smallCaps w:val="0"/>
            <w:sz w:val="22"/>
            <w:szCs w:val="22"/>
            <w:lang w:eastAsia="en-AU"/>
          </w:rPr>
          <w:tab/>
        </w:r>
        <w:r>
          <w:rPr>
            <w:rStyle w:val="Hyperlink"/>
            <w:rFonts w:ascii="Verdana" w:hAnsi="Verdana" w:cs="Verdana"/>
          </w:rPr>
          <w:t>Proposed measures for grapevine propagative material from approved sources</w:t>
        </w:r>
        <w:r>
          <w:rPr>
            <w:webHidden/>
          </w:rPr>
          <w:tab/>
        </w:r>
        <w:r>
          <w:rPr>
            <w:webHidden/>
          </w:rPr>
          <w:fldChar w:fldCharType="begin"/>
        </w:r>
        <w:r>
          <w:rPr>
            <w:webHidden/>
          </w:rPr>
          <w:instrText xml:space="preserve"> PAGEREF _Toc345423525 \h </w:instrText>
        </w:r>
        <w:r>
          <w:rPr>
            <w:webHidden/>
          </w:rPr>
        </w:r>
        <w:r>
          <w:rPr>
            <w:webHidden/>
          </w:rPr>
          <w:fldChar w:fldCharType="separate"/>
        </w:r>
        <w:r>
          <w:rPr>
            <w:webHidden/>
          </w:rPr>
          <w:t>33</w:t>
        </w:r>
        <w:r>
          <w:rPr>
            <w:webHidden/>
          </w:rPr>
          <w:fldChar w:fldCharType="end"/>
        </w:r>
      </w:hyperlink>
    </w:p>
    <w:p>
      <w:pPr>
        <w:pStyle w:val="TOC3"/>
        <w:rPr>
          <w:rFonts w:asciiTheme="minorHAnsi" w:eastAsiaTheme="minorEastAsia" w:hAnsiTheme="minorHAnsi" w:cstheme="minorBidi"/>
          <w:sz w:val="22"/>
          <w:szCs w:val="22"/>
          <w:lang w:eastAsia="en-AU"/>
        </w:rPr>
      </w:pPr>
      <w:hyperlink w:anchor="_Toc345423526" w:history="1">
        <w:r>
          <w:rPr>
            <w:rStyle w:val="Hyperlink"/>
            <w:rFonts w:ascii="Verdana" w:hAnsi="Verdana" w:cs="Arial"/>
            <w:bCs/>
          </w:rPr>
          <w:t>3.4.1</w:t>
        </w:r>
        <w:r>
          <w:rPr>
            <w:rFonts w:asciiTheme="minorHAnsi" w:eastAsiaTheme="minorEastAsia" w:hAnsiTheme="minorHAnsi" w:cstheme="minorBidi"/>
            <w:sz w:val="22"/>
            <w:szCs w:val="22"/>
            <w:lang w:eastAsia="en-AU"/>
          </w:rPr>
          <w:tab/>
        </w:r>
        <w:r>
          <w:rPr>
            <w:rStyle w:val="Hyperlink"/>
            <w:rFonts w:ascii="Verdana" w:hAnsi="Verdana" w:cs="Arial"/>
            <w:bCs/>
          </w:rPr>
          <w:t>Seed for sowing (approved sources)</w:t>
        </w:r>
        <w:r>
          <w:rPr>
            <w:webHidden/>
          </w:rPr>
          <w:tab/>
        </w:r>
        <w:r>
          <w:rPr>
            <w:webHidden/>
          </w:rPr>
          <w:fldChar w:fldCharType="begin"/>
        </w:r>
        <w:r>
          <w:rPr>
            <w:webHidden/>
          </w:rPr>
          <w:instrText xml:space="preserve"> PAGEREF _Toc345423526 \h </w:instrText>
        </w:r>
        <w:r>
          <w:rPr>
            <w:webHidden/>
          </w:rPr>
        </w:r>
        <w:r>
          <w:rPr>
            <w:webHidden/>
          </w:rPr>
          <w:fldChar w:fldCharType="separate"/>
        </w:r>
        <w:r>
          <w:rPr>
            <w:webHidden/>
          </w:rPr>
          <w:t>33</w:t>
        </w:r>
        <w:r>
          <w:rPr>
            <w:webHidden/>
          </w:rPr>
          <w:fldChar w:fldCharType="end"/>
        </w:r>
      </w:hyperlink>
    </w:p>
    <w:p>
      <w:pPr>
        <w:pStyle w:val="TOC1"/>
        <w:ind w:left="1080" w:hanging="1080"/>
        <w:rPr>
          <w:rFonts w:asciiTheme="minorHAnsi" w:eastAsiaTheme="minorEastAsia" w:hAnsiTheme="minorHAnsi" w:cstheme="minorBidi"/>
          <w:b w:val="0"/>
          <w:sz w:val="22"/>
          <w:szCs w:val="22"/>
          <w:lang w:eastAsia="en-AU"/>
        </w:rPr>
      </w:pPr>
      <w:hyperlink w:anchor="_Toc345423527" w:history="1">
        <w:r>
          <w:rPr>
            <w:rStyle w:val="Hyperlink"/>
            <w:rFonts w:cs="Arial"/>
          </w:rPr>
          <w:t>4</w:t>
        </w:r>
        <w:r>
          <w:rPr>
            <w:rFonts w:asciiTheme="minorHAnsi" w:eastAsiaTheme="minorEastAsia" w:hAnsiTheme="minorHAnsi" w:cstheme="minorBidi"/>
            <w:b w:val="0"/>
            <w:sz w:val="22"/>
            <w:szCs w:val="22"/>
            <w:lang w:eastAsia="en-AU"/>
          </w:rPr>
          <w:tab/>
        </w:r>
        <w:r>
          <w:rPr>
            <w:rStyle w:val="Hyperlink"/>
            <w:rFonts w:cs="Arial"/>
          </w:rPr>
          <w:t>Framework for approval of high health sources and production requirements</w:t>
        </w:r>
        <w:r>
          <w:rPr>
            <w:webHidden/>
          </w:rPr>
          <w:tab/>
        </w:r>
        <w:r>
          <w:rPr>
            <w:webHidden/>
          </w:rPr>
          <w:fldChar w:fldCharType="begin"/>
        </w:r>
        <w:r>
          <w:rPr>
            <w:webHidden/>
          </w:rPr>
          <w:instrText xml:space="preserve"> PAGEREF _Toc345423527 \h </w:instrText>
        </w:r>
        <w:r>
          <w:rPr>
            <w:webHidden/>
          </w:rPr>
        </w:r>
        <w:r>
          <w:rPr>
            <w:webHidden/>
          </w:rPr>
          <w:fldChar w:fldCharType="separate"/>
        </w:r>
        <w:r>
          <w:rPr>
            <w:webHidden/>
          </w:rPr>
          <w:t>34</w:t>
        </w:r>
        <w:r>
          <w:rPr>
            <w:webHidden/>
          </w:rPr>
          <w:fldChar w:fldCharType="end"/>
        </w:r>
      </w:hyperlink>
    </w:p>
    <w:p>
      <w:pPr>
        <w:pStyle w:val="TOC2"/>
        <w:rPr>
          <w:rFonts w:asciiTheme="minorHAnsi" w:eastAsiaTheme="minorEastAsia" w:hAnsiTheme="minorHAnsi" w:cstheme="minorBidi"/>
          <w:smallCaps w:val="0"/>
          <w:sz w:val="22"/>
          <w:szCs w:val="22"/>
          <w:lang w:eastAsia="en-AU"/>
        </w:rPr>
      </w:pPr>
      <w:hyperlink w:anchor="_Toc345423528" w:history="1">
        <w:r>
          <w:rPr>
            <w:rStyle w:val="Hyperlink"/>
            <w:rFonts w:ascii="Verdana" w:hAnsi="Verdana"/>
          </w:rPr>
          <w:t>4.1</w:t>
        </w:r>
        <w:r>
          <w:rPr>
            <w:rFonts w:asciiTheme="minorHAnsi" w:eastAsiaTheme="minorEastAsia" w:hAnsiTheme="minorHAnsi" w:cstheme="minorBidi"/>
            <w:smallCaps w:val="0"/>
            <w:sz w:val="22"/>
            <w:szCs w:val="22"/>
            <w:lang w:eastAsia="en-AU"/>
          </w:rPr>
          <w:tab/>
        </w:r>
        <w:r>
          <w:rPr>
            <w:rStyle w:val="Hyperlink"/>
            <w:rFonts w:ascii="Verdana" w:hAnsi="Verdana"/>
          </w:rPr>
          <w:t>Framework for approval of high health sources</w:t>
        </w:r>
        <w:r>
          <w:rPr>
            <w:webHidden/>
          </w:rPr>
          <w:tab/>
        </w:r>
        <w:r>
          <w:rPr>
            <w:webHidden/>
          </w:rPr>
          <w:fldChar w:fldCharType="begin"/>
        </w:r>
        <w:r>
          <w:rPr>
            <w:webHidden/>
          </w:rPr>
          <w:instrText xml:space="preserve"> PAGEREF _Toc345423528 \h </w:instrText>
        </w:r>
        <w:r>
          <w:rPr>
            <w:webHidden/>
          </w:rPr>
        </w:r>
        <w:r>
          <w:rPr>
            <w:webHidden/>
          </w:rPr>
          <w:fldChar w:fldCharType="separate"/>
        </w:r>
        <w:r>
          <w:rPr>
            <w:webHidden/>
          </w:rPr>
          <w:t>34</w:t>
        </w:r>
        <w:r>
          <w:rPr>
            <w:webHidden/>
          </w:rPr>
          <w:fldChar w:fldCharType="end"/>
        </w:r>
      </w:hyperlink>
    </w:p>
    <w:p>
      <w:pPr>
        <w:pStyle w:val="TOC1"/>
        <w:rPr>
          <w:rFonts w:asciiTheme="minorHAnsi" w:eastAsiaTheme="minorEastAsia" w:hAnsiTheme="minorHAnsi" w:cstheme="minorBidi"/>
          <w:b w:val="0"/>
          <w:sz w:val="22"/>
          <w:szCs w:val="22"/>
          <w:lang w:eastAsia="en-AU"/>
        </w:rPr>
      </w:pPr>
      <w:hyperlink w:anchor="_Toc345423529" w:history="1">
        <w:r>
          <w:rPr>
            <w:rStyle w:val="Hyperlink"/>
            <w:rFonts w:cs="Arial"/>
          </w:rPr>
          <w:t>5</w:t>
        </w:r>
        <w:r>
          <w:rPr>
            <w:rFonts w:asciiTheme="minorHAnsi" w:eastAsiaTheme="minorEastAsia" w:hAnsiTheme="minorHAnsi" w:cstheme="minorBidi"/>
            <w:b w:val="0"/>
            <w:sz w:val="22"/>
            <w:szCs w:val="22"/>
            <w:lang w:eastAsia="en-AU"/>
          </w:rPr>
          <w:tab/>
        </w:r>
        <w:r>
          <w:rPr>
            <w:rStyle w:val="Hyperlink"/>
            <w:rFonts w:cs="Arial"/>
          </w:rPr>
          <w:t>Conclusion</w:t>
        </w:r>
        <w:r>
          <w:rPr>
            <w:webHidden/>
          </w:rPr>
          <w:tab/>
        </w:r>
        <w:r>
          <w:rPr>
            <w:webHidden/>
          </w:rPr>
          <w:fldChar w:fldCharType="begin"/>
        </w:r>
        <w:r>
          <w:rPr>
            <w:webHidden/>
          </w:rPr>
          <w:instrText xml:space="preserve"> PAGEREF _Toc345423529 \h </w:instrText>
        </w:r>
        <w:r>
          <w:rPr>
            <w:webHidden/>
          </w:rPr>
        </w:r>
        <w:r>
          <w:rPr>
            <w:webHidden/>
          </w:rPr>
          <w:fldChar w:fldCharType="separate"/>
        </w:r>
        <w:r>
          <w:rPr>
            <w:webHidden/>
          </w:rPr>
          <w:t>35</w:t>
        </w:r>
        <w:r>
          <w:rPr>
            <w:webHidden/>
          </w:rPr>
          <w:fldChar w:fldCharType="end"/>
        </w:r>
      </w:hyperlink>
    </w:p>
    <w:p>
      <w:pPr>
        <w:pStyle w:val="TOC1"/>
        <w:ind w:left="1800" w:hanging="1800"/>
        <w:rPr>
          <w:rFonts w:asciiTheme="minorHAnsi" w:eastAsiaTheme="minorEastAsia" w:hAnsiTheme="minorHAnsi" w:cstheme="minorBidi"/>
          <w:b w:val="0"/>
          <w:sz w:val="22"/>
          <w:szCs w:val="22"/>
          <w:lang w:eastAsia="en-AU"/>
        </w:rPr>
      </w:pPr>
      <w:hyperlink w:anchor="_Toc345423530" w:history="1">
        <w:r>
          <w:rPr>
            <w:rStyle w:val="Hyperlink"/>
          </w:rPr>
          <w:t>Appendix A:</w:t>
        </w:r>
        <w:r>
          <w:rPr>
            <w:rFonts w:asciiTheme="minorHAnsi" w:eastAsiaTheme="minorEastAsia" w:hAnsiTheme="minorHAnsi" w:cstheme="minorBidi"/>
            <w:b w:val="0"/>
            <w:sz w:val="22"/>
            <w:szCs w:val="22"/>
            <w:lang w:eastAsia="en-AU"/>
          </w:rPr>
          <w:tab/>
        </w:r>
        <w:r>
          <w:rPr>
            <w:rStyle w:val="Hyperlink"/>
          </w:rPr>
          <w:t xml:space="preserve">Initiation and pest categorisation of pests associated with </w:t>
        </w:r>
        <w:r>
          <w:rPr>
            <w:rStyle w:val="Hyperlink"/>
            <w:i/>
            <w:iCs/>
          </w:rPr>
          <w:t xml:space="preserve">Vitis </w:t>
        </w:r>
        <w:r>
          <w:rPr>
            <w:rStyle w:val="Hyperlink"/>
          </w:rPr>
          <w:t>species worldwide</w:t>
        </w:r>
        <w:r>
          <w:rPr>
            <w:webHidden/>
          </w:rPr>
          <w:tab/>
        </w:r>
        <w:r>
          <w:rPr>
            <w:webHidden/>
          </w:rPr>
          <w:fldChar w:fldCharType="begin"/>
        </w:r>
        <w:r>
          <w:rPr>
            <w:webHidden/>
          </w:rPr>
          <w:instrText xml:space="preserve"> PAGEREF _Toc345423530 \h </w:instrText>
        </w:r>
        <w:r>
          <w:rPr>
            <w:webHidden/>
          </w:rPr>
        </w:r>
        <w:r>
          <w:rPr>
            <w:webHidden/>
          </w:rPr>
          <w:fldChar w:fldCharType="separate"/>
        </w:r>
        <w:r>
          <w:rPr>
            <w:webHidden/>
          </w:rPr>
          <w:t>38</w:t>
        </w:r>
        <w:r>
          <w:rPr>
            <w:webHidden/>
          </w:rPr>
          <w:fldChar w:fldCharType="end"/>
        </w:r>
      </w:hyperlink>
    </w:p>
    <w:p>
      <w:pPr>
        <w:pStyle w:val="TOC1"/>
        <w:rPr>
          <w:rFonts w:asciiTheme="minorHAnsi" w:eastAsiaTheme="minorEastAsia" w:hAnsiTheme="minorHAnsi" w:cstheme="minorBidi"/>
          <w:b w:val="0"/>
          <w:sz w:val="22"/>
          <w:szCs w:val="22"/>
          <w:lang w:eastAsia="en-AU"/>
        </w:rPr>
      </w:pPr>
      <w:hyperlink w:anchor="_Toc345423531" w:history="1">
        <w:r>
          <w:rPr>
            <w:rStyle w:val="Hyperlink"/>
          </w:rPr>
          <w:t>Appendix B:</w:t>
        </w:r>
        <w:r>
          <w:rPr>
            <w:rFonts w:asciiTheme="minorHAnsi" w:eastAsiaTheme="minorEastAsia" w:hAnsiTheme="minorHAnsi" w:cstheme="minorBidi"/>
            <w:b w:val="0"/>
            <w:sz w:val="22"/>
            <w:szCs w:val="22"/>
            <w:lang w:eastAsia="en-AU"/>
          </w:rPr>
          <w:tab/>
        </w:r>
        <w:r>
          <w:rPr>
            <w:rStyle w:val="Hyperlink"/>
          </w:rPr>
          <w:t>Additional quarantine pest data</w:t>
        </w:r>
        <w:r>
          <w:rPr>
            <w:webHidden/>
          </w:rPr>
          <w:tab/>
        </w:r>
        <w:r>
          <w:rPr>
            <w:webHidden/>
          </w:rPr>
          <w:fldChar w:fldCharType="begin"/>
        </w:r>
        <w:r>
          <w:rPr>
            <w:webHidden/>
          </w:rPr>
          <w:instrText xml:space="preserve"> PAGEREF _Toc345423531 \h </w:instrText>
        </w:r>
        <w:r>
          <w:rPr>
            <w:webHidden/>
          </w:rPr>
        </w:r>
        <w:r>
          <w:rPr>
            <w:webHidden/>
          </w:rPr>
          <w:fldChar w:fldCharType="separate"/>
        </w:r>
        <w:r>
          <w:rPr>
            <w:webHidden/>
          </w:rPr>
          <w:t>227</w:t>
        </w:r>
        <w:r>
          <w:rPr>
            <w:webHidden/>
          </w:rPr>
          <w:fldChar w:fldCharType="end"/>
        </w:r>
      </w:hyperlink>
    </w:p>
    <w:p>
      <w:pPr>
        <w:pStyle w:val="TOC1"/>
        <w:rPr>
          <w:rFonts w:asciiTheme="minorHAnsi" w:eastAsiaTheme="minorEastAsia" w:hAnsiTheme="minorHAnsi" w:cstheme="minorBidi"/>
          <w:b w:val="0"/>
          <w:sz w:val="22"/>
          <w:szCs w:val="22"/>
          <w:lang w:eastAsia="en-AU"/>
        </w:rPr>
      </w:pPr>
      <w:hyperlink w:anchor="_Toc345423532" w:history="1">
        <w:r>
          <w:rPr>
            <w:rStyle w:val="Hyperlink"/>
          </w:rPr>
          <w:t>Glossary</w:t>
        </w:r>
        <w:r>
          <w:rPr>
            <w:webHidden/>
          </w:rPr>
          <w:tab/>
        </w:r>
        <w:r>
          <w:rPr>
            <w:webHidden/>
          </w:rPr>
          <w:tab/>
        </w:r>
        <w:r>
          <w:rPr>
            <w:webHidden/>
          </w:rPr>
          <w:tab/>
        </w:r>
        <w:r>
          <w:rPr>
            <w:webHidden/>
          </w:rPr>
          <w:fldChar w:fldCharType="begin"/>
        </w:r>
        <w:r>
          <w:rPr>
            <w:webHidden/>
          </w:rPr>
          <w:instrText xml:space="preserve"> PAGEREF _Toc345423532 \h </w:instrText>
        </w:r>
        <w:r>
          <w:rPr>
            <w:webHidden/>
          </w:rPr>
        </w:r>
        <w:r>
          <w:rPr>
            <w:webHidden/>
          </w:rPr>
          <w:fldChar w:fldCharType="separate"/>
        </w:r>
        <w:r>
          <w:rPr>
            <w:webHidden/>
          </w:rPr>
          <w:t>239</w:t>
        </w:r>
        <w:r>
          <w:rPr>
            <w:webHidden/>
          </w:rPr>
          <w:fldChar w:fldCharType="end"/>
        </w:r>
      </w:hyperlink>
    </w:p>
    <w:p>
      <w:pPr>
        <w:pStyle w:val="TOC1"/>
        <w:rPr>
          <w:rFonts w:asciiTheme="minorHAnsi" w:eastAsiaTheme="minorEastAsia" w:hAnsiTheme="minorHAnsi" w:cstheme="minorBidi"/>
          <w:b w:val="0"/>
          <w:sz w:val="22"/>
          <w:szCs w:val="22"/>
          <w:lang w:eastAsia="en-AU"/>
        </w:rPr>
      </w:pPr>
      <w:hyperlink w:anchor="_Toc345423533" w:history="1">
        <w:r>
          <w:rPr>
            <w:rStyle w:val="Hyperlink"/>
          </w:rPr>
          <w:t>References</w:t>
        </w:r>
        <w:r>
          <w:rPr>
            <w:webHidden/>
          </w:rPr>
          <w:tab/>
        </w:r>
        <w:r>
          <w:rPr>
            <w:webHidden/>
          </w:rPr>
          <w:tab/>
        </w:r>
        <w:r>
          <w:rPr>
            <w:webHidden/>
          </w:rPr>
          <w:fldChar w:fldCharType="begin"/>
        </w:r>
        <w:r>
          <w:rPr>
            <w:webHidden/>
          </w:rPr>
          <w:instrText xml:space="preserve"> PAGEREF _Toc345423533 \h </w:instrText>
        </w:r>
        <w:r>
          <w:rPr>
            <w:webHidden/>
          </w:rPr>
        </w:r>
        <w:r>
          <w:rPr>
            <w:webHidden/>
          </w:rPr>
          <w:fldChar w:fldCharType="separate"/>
        </w:r>
        <w:r>
          <w:rPr>
            <w:webHidden/>
          </w:rPr>
          <w:t>241</w:t>
        </w:r>
        <w:r>
          <w:rPr>
            <w:webHidden/>
          </w:rPr>
          <w:fldChar w:fldCharType="end"/>
        </w:r>
      </w:hyperlink>
    </w:p>
    <w:p>
      <w:pPr>
        <w:spacing w:before="40" w:after="40" w:line="280" w:lineRule="atLeast"/>
        <w:jc w:val="left"/>
        <w:sectPr>
          <w:headerReference w:type="first" r:id="rId17"/>
          <w:footerReference w:type="first" r:id="rId18"/>
          <w:pgSz w:w="11906" w:h="16838" w:code="9"/>
          <w:pgMar w:top="1412" w:right="1412" w:bottom="1412" w:left="1412" w:header="720" w:footer="720" w:gutter="0"/>
          <w:cols w:space="720"/>
          <w:titlePg/>
        </w:sectPr>
      </w:pPr>
      <w:r>
        <w:rPr>
          <w:rFonts w:ascii="Verdana" w:hAnsi="Verdana"/>
          <w:b/>
          <w:noProof/>
          <w:sz w:val="20"/>
          <w:szCs w:val="20"/>
        </w:rPr>
        <w:fldChar w:fldCharType="end"/>
      </w:r>
    </w:p>
    <w:p>
      <w:pPr>
        <w:pStyle w:val="BAHeader1"/>
        <w:pageBreakBefore w:val="0"/>
        <w:numPr>
          <w:ilvl w:val="0"/>
          <w:numId w:val="0"/>
        </w:numPr>
        <w:rPr>
          <w:sz w:val="32"/>
          <w:szCs w:val="32"/>
        </w:rPr>
      </w:pPr>
      <w:bookmarkStart w:id="2" w:name="_Toc257181039"/>
      <w:bookmarkStart w:id="3" w:name="_Toc274822467"/>
      <w:bookmarkStart w:id="4" w:name="_Toc275422299"/>
      <w:bookmarkStart w:id="5" w:name="_Toc275502440"/>
      <w:bookmarkStart w:id="6" w:name="_Toc345423497"/>
      <w:bookmarkEnd w:id="1"/>
      <w:r>
        <w:rPr>
          <w:sz w:val="32"/>
          <w:szCs w:val="32"/>
        </w:rPr>
        <w:lastRenderedPageBreak/>
        <w:t>Tables</w:t>
      </w:r>
      <w:bookmarkEnd w:id="2"/>
      <w:bookmarkEnd w:id="3"/>
      <w:bookmarkEnd w:id="4"/>
      <w:bookmarkEnd w:id="5"/>
      <w:r>
        <w:rPr>
          <w:sz w:val="32"/>
          <w:szCs w:val="32"/>
        </w:rPr>
        <w:t xml:space="preserve"> and figures</w:t>
      </w:r>
      <w:bookmarkEnd w:id="6"/>
    </w:p>
    <w:p>
      <w:pPr>
        <w:pStyle w:val="TableofFigures"/>
        <w:tabs>
          <w:tab w:val="right" w:leader="dot" w:pos="9072"/>
        </w:tabs>
        <w:rPr>
          <w:rFonts w:asciiTheme="minorHAnsi" w:eastAsiaTheme="minorEastAsia" w:hAnsiTheme="minorHAnsi" w:cstheme="minorBidi"/>
          <w:noProof/>
          <w:sz w:val="22"/>
          <w:szCs w:val="22"/>
          <w:lang w:eastAsia="en-AU"/>
        </w:rPr>
      </w:pPr>
      <w:r>
        <w:rPr>
          <w:noProof/>
        </w:rPr>
        <w:fldChar w:fldCharType="begin"/>
      </w:r>
      <w:r>
        <w:rPr>
          <w:noProof/>
        </w:rPr>
        <w:instrText xml:space="preserve"> TOC \t "AQIS Table" \c </w:instrText>
      </w:r>
      <w:r>
        <w:rPr>
          <w:noProof/>
        </w:rPr>
        <w:fldChar w:fldCharType="separate"/>
      </w:r>
      <w:r>
        <w:rPr>
          <w:noProof/>
        </w:rPr>
        <w:t>Table 1.1</w:t>
      </w:r>
      <w:r>
        <w:rPr>
          <w:rFonts w:asciiTheme="minorHAnsi" w:eastAsiaTheme="minorEastAsia" w:hAnsiTheme="minorHAnsi" w:cstheme="minorBidi"/>
          <w:noProof/>
          <w:sz w:val="22"/>
          <w:szCs w:val="22"/>
          <w:lang w:eastAsia="en-AU"/>
        </w:rPr>
        <w:tab/>
      </w:r>
      <w:r>
        <w:rPr>
          <w:noProof/>
        </w:rPr>
        <w:t>Current regulated pests of grapevine propagative material</w:t>
      </w:r>
      <w:r>
        <w:rPr>
          <w:noProof/>
        </w:rPr>
        <w:tab/>
      </w:r>
      <w:r>
        <w:rPr>
          <w:noProof/>
        </w:rPr>
        <w:fldChar w:fldCharType="begin"/>
      </w:r>
      <w:r>
        <w:rPr>
          <w:noProof/>
        </w:rPr>
        <w:instrText xml:space="preserve"> PAGEREF _Toc338424033 \h </w:instrText>
      </w:r>
      <w:r>
        <w:rPr>
          <w:noProof/>
        </w:rPr>
      </w:r>
      <w:r>
        <w:rPr>
          <w:noProof/>
        </w:rPr>
        <w:fldChar w:fldCharType="separate"/>
      </w:r>
      <w:r>
        <w:rPr>
          <w:noProof/>
        </w:rPr>
        <w:t>10</w:t>
      </w:r>
      <w:r>
        <w:rPr>
          <w:noProof/>
        </w:rPr>
        <w:fldChar w:fldCharType="end"/>
      </w:r>
    </w:p>
    <w:p>
      <w:pPr>
        <w:pStyle w:val="TableofFigures"/>
        <w:tabs>
          <w:tab w:val="right" w:leader="dot" w:pos="9072"/>
        </w:tabs>
        <w:rPr>
          <w:rFonts w:asciiTheme="minorHAnsi" w:eastAsiaTheme="minorEastAsia" w:hAnsiTheme="minorHAnsi" w:cstheme="minorBidi"/>
          <w:noProof/>
          <w:sz w:val="22"/>
          <w:szCs w:val="22"/>
          <w:lang w:eastAsia="en-AU"/>
        </w:rPr>
      </w:pPr>
      <w:r>
        <w:rPr>
          <w:noProof/>
        </w:rPr>
        <w:t>Table 1.2</w:t>
      </w:r>
      <w:r>
        <w:rPr>
          <w:rFonts w:asciiTheme="minorHAnsi" w:eastAsiaTheme="minorEastAsia" w:hAnsiTheme="minorHAnsi" w:cstheme="minorBidi"/>
          <w:noProof/>
          <w:sz w:val="22"/>
          <w:szCs w:val="22"/>
          <w:lang w:eastAsia="en-AU"/>
        </w:rPr>
        <w:tab/>
      </w:r>
      <w:r>
        <w:rPr>
          <w:noProof/>
        </w:rPr>
        <w:t xml:space="preserve">List of </w:t>
      </w:r>
      <w:r>
        <w:rPr>
          <w:i/>
          <w:noProof/>
        </w:rPr>
        <w:t xml:space="preserve">Vitis </w:t>
      </w:r>
      <w:r>
        <w:rPr>
          <w:noProof/>
        </w:rPr>
        <w:t>species permitted entry into Australia from all sources</w:t>
      </w:r>
      <w:r>
        <w:rPr>
          <w:noProof/>
        </w:rPr>
        <w:tab/>
      </w:r>
      <w:r>
        <w:rPr>
          <w:noProof/>
        </w:rPr>
        <w:fldChar w:fldCharType="begin"/>
      </w:r>
      <w:r>
        <w:rPr>
          <w:noProof/>
        </w:rPr>
        <w:instrText xml:space="preserve"> PAGEREF _Toc338424034 \h </w:instrText>
      </w:r>
      <w:r>
        <w:rPr>
          <w:noProof/>
        </w:rPr>
      </w:r>
      <w:r>
        <w:rPr>
          <w:noProof/>
        </w:rPr>
        <w:fldChar w:fldCharType="separate"/>
      </w:r>
      <w:r>
        <w:rPr>
          <w:noProof/>
        </w:rPr>
        <w:t>11</w:t>
      </w:r>
      <w:r>
        <w:rPr>
          <w:noProof/>
        </w:rPr>
        <w:fldChar w:fldCharType="end"/>
      </w:r>
    </w:p>
    <w:p>
      <w:pPr>
        <w:pStyle w:val="TableofFigures"/>
        <w:tabs>
          <w:tab w:val="left" w:pos="1800"/>
          <w:tab w:val="right" w:leader="dot" w:pos="9072"/>
        </w:tabs>
        <w:rPr>
          <w:rFonts w:asciiTheme="minorHAnsi" w:eastAsiaTheme="minorEastAsia" w:hAnsiTheme="minorHAnsi" w:cstheme="minorBidi"/>
          <w:noProof/>
          <w:sz w:val="22"/>
          <w:szCs w:val="22"/>
          <w:lang w:eastAsia="en-AU"/>
        </w:rPr>
      </w:pPr>
      <w:r>
        <w:rPr>
          <w:noProof/>
        </w:rPr>
        <w:t>Table 2.1</w:t>
      </w:r>
      <w:r>
        <w:rPr>
          <w:rFonts w:asciiTheme="minorHAnsi" w:eastAsiaTheme="minorEastAsia" w:hAnsiTheme="minorHAnsi" w:cstheme="minorBidi"/>
          <w:noProof/>
          <w:sz w:val="22"/>
          <w:szCs w:val="22"/>
          <w:lang w:eastAsia="en-AU"/>
        </w:rPr>
        <w:tab/>
      </w:r>
      <w:r>
        <w:rPr>
          <w:noProof/>
        </w:rPr>
        <w:t>Quarantine pests for grapevine propagative material (dormant cuttings, tissue culture and seed)</w:t>
      </w:r>
      <w:r>
        <w:rPr>
          <w:noProof/>
        </w:rPr>
        <w:tab/>
      </w:r>
      <w:r>
        <w:rPr>
          <w:noProof/>
        </w:rPr>
        <w:tab/>
      </w:r>
      <w:r>
        <w:rPr>
          <w:noProof/>
        </w:rPr>
        <w:fldChar w:fldCharType="begin"/>
      </w:r>
      <w:r>
        <w:rPr>
          <w:noProof/>
        </w:rPr>
        <w:instrText xml:space="preserve"> PAGEREF _Toc338424035 \h </w:instrText>
      </w:r>
      <w:r>
        <w:rPr>
          <w:noProof/>
        </w:rPr>
      </w:r>
      <w:r>
        <w:rPr>
          <w:noProof/>
        </w:rPr>
        <w:fldChar w:fldCharType="separate"/>
      </w:r>
      <w:r>
        <w:rPr>
          <w:noProof/>
        </w:rPr>
        <w:t>15</w:t>
      </w:r>
      <w:r>
        <w:rPr>
          <w:noProof/>
        </w:rPr>
        <w:fldChar w:fldCharType="end"/>
      </w:r>
    </w:p>
    <w:p>
      <w:pPr>
        <w:pStyle w:val="TableofFigures"/>
        <w:tabs>
          <w:tab w:val="right" w:leader="dot" w:pos="9072"/>
        </w:tabs>
        <w:rPr>
          <w:rFonts w:asciiTheme="minorHAnsi" w:eastAsiaTheme="minorEastAsia" w:hAnsiTheme="minorHAnsi" w:cstheme="minorBidi"/>
          <w:noProof/>
          <w:sz w:val="22"/>
          <w:szCs w:val="22"/>
          <w:lang w:eastAsia="en-AU"/>
        </w:rPr>
      </w:pPr>
      <w:r>
        <w:rPr>
          <w:noProof/>
        </w:rPr>
        <w:t>Table 3.1</w:t>
      </w:r>
      <w:r>
        <w:rPr>
          <w:rFonts w:asciiTheme="minorHAnsi" w:eastAsiaTheme="minorEastAsia" w:hAnsiTheme="minorHAnsi" w:cstheme="minorBidi"/>
          <w:noProof/>
          <w:sz w:val="22"/>
          <w:szCs w:val="22"/>
          <w:lang w:eastAsia="en-AU"/>
        </w:rPr>
        <w:tab/>
      </w:r>
      <w:r>
        <w:rPr>
          <w:noProof/>
        </w:rPr>
        <w:t>Summary of existing import conditions for grapevine propagative material</w:t>
      </w:r>
      <w:r>
        <w:rPr>
          <w:noProof/>
        </w:rPr>
        <w:tab/>
      </w:r>
      <w:r>
        <w:rPr>
          <w:noProof/>
        </w:rPr>
        <w:fldChar w:fldCharType="begin"/>
      </w:r>
      <w:r>
        <w:rPr>
          <w:noProof/>
        </w:rPr>
        <w:instrText xml:space="preserve"> PAGEREF _Toc338424036 \h </w:instrText>
      </w:r>
      <w:r>
        <w:rPr>
          <w:noProof/>
        </w:rPr>
      </w:r>
      <w:r>
        <w:rPr>
          <w:noProof/>
        </w:rPr>
        <w:fldChar w:fldCharType="separate"/>
      </w:r>
      <w:r>
        <w:rPr>
          <w:noProof/>
        </w:rPr>
        <w:t>22</w:t>
      </w:r>
      <w:r>
        <w:rPr>
          <w:noProof/>
        </w:rPr>
        <w:fldChar w:fldCharType="end"/>
      </w:r>
    </w:p>
    <w:p>
      <w:pPr>
        <w:pStyle w:val="TableofFigures"/>
        <w:tabs>
          <w:tab w:val="right" w:leader="dot" w:pos="9072"/>
        </w:tabs>
        <w:rPr>
          <w:rFonts w:asciiTheme="minorHAnsi" w:eastAsiaTheme="minorEastAsia" w:hAnsiTheme="minorHAnsi" w:cstheme="minorBidi"/>
          <w:noProof/>
          <w:sz w:val="22"/>
          <w:szCs w:val="22"/>
          <w:lang w:eastAsia="en-AU"/>
        </w:rPr>
      </w:pPr>
      <w:r>
        <w:rPr>
          <w:noProof/>
        </w:rPr>
        <w:t>Table 3.2</w:t>
      </w:r>
      <w:r>
        <w:rPr>
          <w:rFonts w:asciiTheme="minorHAnsi" w:eastAsiaTheme="minorEastAsia" w:hAnsiTheme="minorHAnsi" w:cstheme="minorBidi"/>
          <w:noProof/>
          <w:sz w:val="22"/>
          <w:szCs w:val="22"/>
          <w:lang w:eastAsia="en-AU"/>
        </w:rPr>
        <w:tab/>
      </w:r>
      <w:r>
        <w:rPr>
          <w:noProof/>
        </w:rPr>
        <w:t>Propo</w:t>
      </w:r>
      <w:r>
        <w:rPr>
          <w:rFonts w:ascii="Verdana" w:hAnsi="Verdana" w:cs="Verdana"/>
          <w:bCs/>
          <w:iCs/>
          <w:noProof/>
        </w:rPr>
        <w:t>s</w:t>
      </w:r>
      <w:r>
        <w:rPr>
          <w:noProof/>
        </w:rPr>
        <w:t>ed screening procedures for bacteria, fungi and phytoplasma</w:t>
      </w:r>
      <w:r>
        <w:rPr>
          <w:noProof/>
        </w:rPr>
        <w:tab/>
      </w:r>
      <w:r>
        <w:rPr>
          <w:noProof/>
        </w:rPr>
        <w:fldChar w:fldCharType="begin"/>
      </w:r>
      <w:r>
        <w:rPr>
          <w:noProof/>
        </w:rPr>
        <w:instrText xml:space="preserve"> PAGEREF _Toc338424037 \h </w:instrText>
      </w:r>
      <w:r>
        <w:rPr>
          <w:noProof/>
        </w:rPr>
      </w:r>
      <w:r>
        <w:rPr>
          <w:noProof/>
        </w:rPr>
        <w:fldChar w:fldCharType="separate"/>
      </w:r>
      <w:r>
        <w:rPr>
          <w:noProof/>
        </w:rPr>
        <w:t>27</w:t>
      </w:r>
      <w:r>
        <w:rPr>
          <w:noProof/>
        </w:rPr>
        <w:fldChar w:fldCharType="end"/>
      </w:r>
    </w:p>
    <w:p>
      <w:pPr>
        <w:pStyle w:val="TableofFigures"/>
        <w:tabs>
          <w:tab w:val="right" w:leader="dot" w:pos="9072"/>
        </w:tabs>
        <w:rPr>
          <w:rFonts w:asciiTheme="minorHAnsi" w:eastAsiaTheme="minorEastAsia" w:hAnsiTheme="minorHAnsi" w:cstheme="minorBidi"/>
          <w:noProof/>
          <w:sz w:val="22"/>
          <w:szCs w:val="22"/>
          <w:lang w:eastAsia="en-AU"/>
        </w:rPr>
      </w:pPr>
      <w:r>
        <w:rPr>
          <w:noProof/>
        </w:rPr>
        <w:t>Table 3.3</w:t>
      </w:r>
      <w:r>
        <w:rPr>
          <w:rFonts w:asciiTheme="minorHAnsi" w:eastAsiaTheme="minorEastAsia" w:hAnsiTheme="minorHAnsi" w:cstheme="minorBidi"/>
          <w:noProof/>
          <w:sz w:val="22"/>
          <w:szCs w:val="22"/>
          <w:lang w:eastAsia="en-AU"/>
        </w:rPr>
        <w:tab/>
      </w:r>
      <w:r>
        <w:rPr>
          <w:noProof/>
        </w:rPr>
        <w:t>Proposed grapevine virus indexing procedures</w:t>
      </w:r>
      <w:r>
        <w:rPr>
          <w:noProof/>
        </w:rPr>
        <w:tab/>
      </w:r>
      <w:r>
        <w:rPr>
          <w:noProof/>
        </w:rPr>
        <w:fldChar w:fldCharType="begin"/>
      </w:r>
      <w:r>
        <w:rPr>
          <w:noProof/>
        </w:rPr>
        <w:instrText xml:space="preserve"> PAGEREF _Toc338424038 \h </w:instrText>
      </w:r>
      <w:r>
        <w:rPr>
          <w:noProof/>
        </w:rPr>
      </w:r>
      <w:r>
        <w:rPr>
          <w:noProof/>
        </w:rPr>
        <w:fldChar w:fldCharType="separate"/>
      </w:r>
      <w:r>
        <w:rPr>
          <w:noProof/>
        </w:rPr>
        <w:t>31</w:t>
      </w:r>
      <w:r>
        <w:rPr>
          <w:noProof/>
        </w:rPr>
        <w:fldChar w:fldCharType="end"/>
      </w:r>
    </w:p>
    <w:p>
      <w:pPr>
        <w:pStyle w:val="TableofFigures"/>
        <w:tabs>
          <w:tab w:val="left" w:pos="1800"/>
          <w:tab w:val="right" w:leader="dot" w:pos="9072"/>
        </w:tabs>
        <w:jc w:val="left"/>
        <w:sectPr>
          <w:headerReference w:type="first" r:id="rId19"/>
          <w:type w:val="nextColumn"/>
          <w:pgSz w:w="11906" w:h="16838" w:code="9"/>
          <w:pgMar w:top="1412" w:right="1412" w:bottom="1412" w:left="1412" w:header="720" w:footer="720" w:gutter="0"/>
          <w:cols w:space="720"/>
          <w:titlePg/>
        </w:sectPr>
      </w:pPr>
      <w:r>
        <w:rPr>
          <w:noProof/>
        </w:rPr>
        <w:fldChar w:fldCharType="end"/>
      </w:r>
    </w:p>
    <w:p>
      <w:pPr>
        <w:pStyle w:val="BAHeader1"/>
        <w:pageBreakBefore w:val="0"/>
        <w:numPr>
          <w:ilvl w:val="0"/>
          <w:numId w:val="0"/>
        </w:numPr>
        <w:rPr>
          <w:sz w:val="32"/>
          <w:szCs w:val="32"/>
        </w:rPr>
      </w:pPr>
      <w:bookmarkStart w:id="7" w:name="_Toc214375695"/>
      <w:bookmarkStart w:id="8" w:name="_Toc228243802"/>
      <w:bookmarkStart w:id="9" w:name="_Toc259193931"/>
      <w:bookmarkStart w:id="10" w:name="_Toc275422300"/>
      <w:bookmarkStart w:id="11" w:name="_Toc275502441"/>
      <w:bookmarkStart w:id="12" w:name="_Toc345423498"/>
      <w:bookmarkStart w:id="13" w:name="_Toc69118703"/>
      <w:bookmarkStart w:id="14" w:name="_Toc85958763"/>
      <w:bookmarkStart w:id="15" w:name="_Toc198715053"/>
      <w:bookmarkStart w:id="16" w:name="_Toc206489395"/>
      <w:r>
        <w:rPr>
          <w:sz w:val="32"/>
          <w:szCs w:val="32"/>
        </w:rPr>
        <w:lastRenderedPageBreak/>
        <w:t>Acronyms and abbreviations</w:t>
      </w:r>
      <w:bookmarkEnd w:id="7"/>
      <w:bookmarkEnd w:id="8"/>
      <w:bookmarkEnd w:id="9"/>
      <w:bookmarkEnd w:id="10"/>
      <w:bookmarkEnd w:id="11"/>
      <w:bookmarkEnd w:id="12"/>
    </w:p>
    <w:tbl>
      <w:tblPr>
        <w:tblW w:w="5000" w:type="pct"/>
        <w:tblBorders>
          <w:top w:val="single" w:sz="4" w:space="0" w:color="000000"/>
          <w:left w:val="single" w:sz="4" w:space="0" w:color="auto"/>
          <w:bottom w:val="single" w:sz="4" w:space="0" w:color="auto"/>
          <w:right w:val="single" w:sz="4" w:space="0" w:color="auto"/>
          <w:insideH w:val="single" w:sz="8" w:space="0" w:color="C0C0C0"/>
          <w:insideV w:val="single" w:sz="8" w:space="0" w:color="C0C0C0"/>
        </w:tblBorders>
        <w:tblLayout w:type="fixed"/>
        <w:tblCellMar>
          <w:left w:w="115" w:type="dxa"/>
          <w:right w:w="115" w:type="dxa"/>
        </w:tblCellMar>
        <w:tblLook w:val="00BF"/>
      </w:tblPr>
      <w:tblGrid>
        <w:gridCol w:w="2274"/>
        <w:gridCol w:w="6743"/>
      </w:tblGrid>
      <w:tr>
        <w:trPr>
          <w:cantSplit/>
          <w:tblHeader/>
        </w:trPr>
        <w:tc>
          <w:tcPr>
            <w:tcW w:w="2274" w:type="dxa"/>
            <w:shd w:val="clear" w:color="auto" w:fill="E6E6E6"/>
          </w:tcPr>
          <w:p>
            <w:pPr>
              <w:spacing w:line="280" w:lineRule="atLeast"/>
              <w:rPr>
                <w:rFonts w:ascii="Arial" w:hAnsi="Arial" w:cs="Arial"/>
                <w:b/>
                <w:sz w:val="18"/>
                <w:szCs w:val="18"/>
              </w:rPr>
            </w:pPr>
            <w:r>
              <w:rPr>
                <w:rFonts w:ascii="Arial" w:hAnsi="Arial" w:cs="Arial"/>
                <w:b/>
                <w:sz w:val="18"/>
                <w:szCs w:val="18"/>
              </w:rPr>
              <w:t>Term or abbreviation</w:t>
            </w:r>
          </w:p>
        </w:tc>
        <w:tc>
          <w:tcPr>
            <w:tcW w:w="6743" w:type="dxa"/>
            <w:shd w:val="clear" w:color="auto" w:fill="E6E6E6"/>
          </w:tcPr>
          <w:p>
            <w:pPr>
              <w:pStyle w:val="TableText0"/>
              <w:spacing w:before="0" w:after="0" w:line="280" w:lineRule="atLeast"/>
              <w:rPr>
                <w:rFonts w:cs="Arial"/>
                <w:b/>
                <w:bCs/>
                <w:szCs w:val="18"/>
              </w:rPr>
            </w:pPr>
            <w:r>
              <w:rPr>
                <w:rFonts w:cs="Arial"/>
                <w:b/>
                <w:bCs/>
                <w:szCs w:val="18"/>
              </w:rPr>
              <w:t>Definition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ALOP</w:t>
            </w:r>
          </w:p>
        </w:tc>
        <w:tc>
          <w:tcPr>
            <w:tcW w:w="6743" w:type="dxa"/>
          </w:tcPr>
          <w:p>
            <w:pPr>
              <w:pStyle w:val="TableText0"/>
              <w:spacing w:before="0" w:after="0" w:line="280" w:lineRule="atLeast"/>
              <w:rPr>
                <w:rFonts w:cs="Arial"/>
                <w:sz w:val="20"/>
              </w:rPr>
            </w:pPr>
            <w:r>
              <w:rPr>
                <w:rFonts w:cs="Arial"/>
                <w:sz w:val="20"/>
              </w:rPr>
              <w:t>Appropriate level of protection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APPPC</w:t>
            </w:r>
          </w:p>
        </w:tc>
        <w:tc>
          <w:tcPr>
            <w:tcW w:w="6743" w:type="dxa"/>
          </w:tcPr>
          <w:p>
            <w:pPr>
              <w:pStyle w:val="TableText0"/>
              <w:spacing w:before="0" w:after="0" w:line="280" w:lineRule="atLeast"/>
              <w:rPr>
                <w:rFonts w:cs="Arial"/>
                <w:sz w:val="20"/>
              </w:rPr>
            </w:pPr>
            <w:smartTag w:uri="urn:schemas-microsoft-com:office:smarttags" w:element="place">
              <w:r>
                <w:rPr>
                  <w:sz w:val="20"/>
                </w:rPr>
                <w:t>Asia</w:t>
              </w:r>
            </w:smartTag>
            <w:r>
              <w:rPr>
                <w:sz w:val="20"/>
              </w:rPr>
              <w:t xml:space="preserve"> and Pacific Plant Protection Commission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APPD</w:t>
            </w:r>
          </w:p>
        </w:tc>
        <w:tc>
          <w:tcPr>
            <w:tcW w:w="6743" w:type="dxa"/>
          </w:tcPr>
          <w:p>
            <w:pPr>
              <w:pStyle w:val="TableText0"/>
              <w:spacing w:before="0" w:after="0" w:line="280" w:lineRule="atLeast"/>
              <w:rPr>
                <w:rFonts w:cs="Arial"/>
                <w:sz w:val="20"/>
              </w:rPr>
            </w:pPr>
            <w:r>
              <w:rPr>
                <w:rFonts w:cs="Arial"/>
                <w:sz w:val="20"/>
              </w:rPr>
              <w:t>Australian Plant Pest Database</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CABI</w:t>
            </w:r>
          </w:p>
        </w:tc>
        <w:tc>
          <w:tcPr>
            <w:tcW w:w="6743" w:type="dxa"/>
          </w:tcPr>
          <w:p>
            <w:pPr>
              <w:pStyle w:val="TableText0"/>
              <w:spacing w:before="0" w:after="0" w:line="280" w:lineRule="atLeast"/>
              <w:rPr>
                <w:rFonts w:cs="Arial"/>
                <w:sz w:val="20"/>
              </w:rPr>
            </w:pPr>
            <w:r>
              <w:rPr>
                <w:rFonts w:cs="Arial"/>
                <w:sz w:val="20"/>
              </w:rPr>
              <w:t>CAB International</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CMI</w:t>
            </w:r>
          </w:p>
        </w:tc>
        <w:tc>
          <w:tcPr>
            <w:tcW w:w="6743" w:type="dxa"/>
          </w:tcPr>
          <w:p>
            <w:pPr>
              <w:pStyle w:val="TableText0"/>
              <w:spacing w:before="0" w:after="0" w:line="280" w:lineRule="atLeast"/>
              <w:rPr>
                <w:rFonts w:cs="Arial"/>
                <w:sz w:val="20"/>
              </w:rPr>
            </w:pPr>
            <w:r>
              <w:rPr>
                <w:rFonts w:cs="Arial"/>
                <w:sz w:val="20"/>
              </w:rPr>
              <w:t>Commonwealth Mycological Institute</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COSAVE</w:t>
            </w:r>
          </w:p>
        </w:tc>
        <w:tc>
          <w:tcPr>
            <w:tcW w:w="6743" w:type="dxa"/>
          </w:tcPr>
          <w:p>
            <w:pPr>
              <w:pStyle w:val="TableText0"/>
              <w:spacing w:before="0" w:after="0" w:line="280" w:lineRule="atLeast"/>
              <w:rPr>
                <w:rFonts w:cs="Arial"/>
                <w:sz w:val="20"/>
              </w:rPr>
            </w:pPr>
            <w:r>
              <w:rPr>
                <w:rFonts w:cs="Arial"/>
                <w:sz w:val="20"/>
              </w:rPr>
              <w:t xml:space="preserve">Comité de Sanidad Vegetal </w:t>
            </w:r>
            <w:smartTag w:uri="urn:schemas-microsoft-com:office:smarttags" w:element="place">
              <w:smartTag w:uri="urn:schemas-microsoft-com:office:smarttags" w:element="State">
                <w:r>
                  <w:rPr>
                    <w:rFonts w:cs="Arial"/>
                    <w:sz w:val="20"/>
                  </w:rPr>
                  <w:t>del</w:t>
                </w:r>
              </w:smartTag>
            </w:smartTag>
            <w:r>
              <w:rPr>
                <w:rFonts w:cs="Arial"/>
                <w:sz w:val="20"/>
              </w:rPr>
              <w:t xml:space="preserve"> Cono Sur</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CPPC</w:t>
            </w:r>
          </w:p>
        </w:tc>
        <w:tc>
          <w:tcPr>
            <w:tcW w:w="6743" w:type="dxa"/>
          </w:tcPr>
          <w:p>
            <w:pPr>
              <w:pStyle w:val="TableText0"/>
              <w:spacing w:before="0" w:after="0" w:line="280" w:lineRule="atLeast"/>
              <w:rPr>
                <w:rFonts w:cs="Arial"/>
                <w:sz w:val="20"/>
              </w:rPr>
            </w:pPr>
            <w:smartTag w:uri="urn:schemas-microsoft-com:office:smarttags" w:element="place">
              <w:r>
                <w:rPr>
                  <w:sz w:val="20"/>
                </w:rPr>
                <w:t>Caribbean</w:t>
              </w:r>
            </w:smartTag>
            <w:r>
              <w:rPr>
                <w:sz w:val="20"/>
              </w:rPr>
              <w:t> Plant Protection Commission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DAFF</w:t>
            </w:r>
          </w:p>
        </w:tc>
        <w:tc>
          <w:tcPr>
            <w:tcW w:w="6743" w:type="dxa"/>
          </w:tcPr>
          <w:p>
            <w:pPr>
              <w:pStyle w:val="TableText0"/>
              <w:spacing w:before="0" w:after="0" w:line="280" w:lineRule="atLeast"/>
              <w:rPr>
                <w:rFonts w:cs="Arial"/>
                <w:sz w:val="20"/>
              </w:rPr>
            </w:pPr>
            <w:r>
              <w:rPr>
                <w:rFonts w:cs="Arial"/>
                <w:sz w:val="20"/>
              </w:rPr>
              <w:t>Australian Government Department of Agriculture, Fisheries and Forestry</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EPPO</w:t>
            </w:r>
          </w:p>
        </w:tc>
        <w:tc>
          <w:tcPr>
            <w:tcW w:w="6743" w:type="dxa"/>
          </w:tcPr>
          <w:p>
            <w:pPr>
              <w:pStyle w:val="TableText0"/>
              <w:spacing w:before="0" w:after="0" w:line="280" w:lineRule="atLeast"/>
              <w:rPr>
                <w:rFonts w:cs="Arial"/>
                <w:bCs/>
                <w:sz w:val="20"/>
              </w:rPr>
            </w:pPr>
            <w:r>
              <w:rPr>
                <w:rFonts w:cs="Arial"/>
                <w:bCs/>
                <w:sz w:val="20"/>
              </w:rPr>
              <w:t>European and Mediterranean Plant Protection Organisation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FAO</w:t>
            </w:r>
          </w:p>
        </w:tc>
        <w:tc>
          <w:tcPr>
            <w:tcW w:w="6743" w:type="dxa"/>
          </w:tcPr>
          <w:p>
            <w:pPr>
              <w:pStyle w:val="TableText0"/>
              <w:spacing w:before="0" w:after="0" w:line="280" w:lineRule="atLeast"/>
              <w:rPr>
                <w:rFonts w:cs="Arial"/>
                <w:sz w:val="20"/>
              </w:rPr>
            </w:pPr>
            <w:r>
              <w:rPr>
                <w:rFonts w:cs="Arial"/>
                <w:sz w:val="20"/>
              </w:rPr>
              <w:t>Food and Agriculture Organization of the United Nations</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IAPSC</w:t>
            </w:r>
          </w:p>
        </w:tc>
        <w:tc>
          <w:tcPr>
            <w:tcW w:w="6743" w:type="dxa"/>
          </w:tcPr>
          <w:p>
            <w:pPr>
              <w:pStyle w:val="TableText0"/>
              <w:spacing w:before="0" w:after="0" w:line="280" w:lineRule="atLeast"/>
              <w:rPr>
                <w:rFonts w:cs="Arial"/>
                <w:sz w:val="20"/>
              </w:rPr>
            </w:pPr>
            <w:r>
              <w:rPr>
                <w:rFonts w:cs="Arial"/>
                <w:sz w:val="20"/>
              </w:rPr>
              <w:t>Inter African Phytosanitary Council</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IMF</w:t>
            </w:r>
          </w:p>
        </w:tc>
        <w:tc>
          <w:tcPr>
            <w:tcW w:w="6743" w:type="dxa"/>
          </w:tcPr>
          <w:p>
            <w:pPr>
              <w:pStyle w:val="TableText0"/>
              <w:spacing w:before="0" w:after="0" w:line="280" w:lineRule="atLeast"/>
              <w:rPr>
                <w:rFonts w:cs="Arial"/>
                <w:sz w:val="20"/>
              </w:rPr>
            </w:pPr>
            <w:r>
              <w:rPr>
                <w:rFonts w:cs="Arial"/>
                <w:sz w:val="20"/>
              </w:rPr>
              <w:t>Immunofluorescence</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IPC</w:t>
            </w:r>
          </w:p>
        </w:tc>
        <w:tc>
          <w:tcPr>
            <w:tcW w:w="6743" w:type="dxa"/>
          </w:tcPr>
          <w:p>
            <w:pPr>
              <w:pStyle w:val="TableText0"/>
              <w:spacing w:before="0" w:after="0" w:line="280" w:lineRule="atLeast"/>
              <w:rPr>
                <w:rFonts w:cs="Arial"/>
                <w:bCs/>
                <w:sz w:val="20"/>
              </w:rPr>
            </w:pPr>
            <w:r>
              <w:rPr>
                <w:rFonts w:cs="Arial"/>
                <w:bCs/>
                <w:sz w:val="20"/>
              </w:rPr>
              <w:t>International Phytosanitary Certificate</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IPM</w:t>
            </w:r>
          </w:p>
        </w:tc>
        <w:tc>
          <w:tcPr>
            <w:tcW w:w="6743" w:type="dxa"/>
          </w:tcPr>
          <w:p>
            <w:pPr>
              <w:pStyle w:val="TableText0"/>
              <w:spacing w:before="0" w:after="0" w:line="280" w:lineRule="atLeast"/>
              <w:rPr>
                <w:rFonts w:cs="Arial"/>
                <w:bCs/>
                <w:sz w:val="20"/>
              </w:rPr>
            </w:pPr>
            <w:r>
              <w:rPr>
                <w:rFonts w:cs="Arial"/>
                <w:bCs/>
                <w:sz w:val="20"/>
              </w:rPr>
              <w:t xml:space="preserve">Integrated </w:t>
            </w:r>
            <w:smartTag w:uri="urn:schemas-microsoft-com:office:smarttags" w:element="place">
              <w:r>
                <w:rPr>
                  <w:rFonts w:cs="Arial"/>
                  <w:bCs/>
                  <w:sz w:val="20"/>
                </w:rPr>
                <w:t>Pest</w:t>
              </w:r>
            </w:smartTag>
            <w:r>
              <w:rPr>
                <w:rFonts w:cs="Arial"/>
                <w:bCs/>
                <w:sz w:val="20"/>
              </w:rPr>
              <w:t xml:space="preserve"> Management</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IPPC</w:t>
            </w:r>
          </w:p>
        </w:tc>
        <w:tc>
          <w:tcPr>
            <w:tcW w:w="6743" w:type="dxa"/>
          </w:tcPr>
          <w:p>
            <w:pPr>
              <w:pStyle w:val="TableText0"/>
              <w:spacing w:before="0" w:after="0" w:line="280" w:lineRule="atLeast"/>
              <w:rPr>
                <w:rFonts w:cs="Arial"/>
                <w:sz w:val="20"/>
              </w:rPr>
            </w:pPr>
            <w:r>
              <w:rPr>
                <w:rFonts w:cs="Arial"/>
                <w:bCs/>
                <w:sz w:val="20"/>
              </w:rPr>
              <w:t>International Plant Protection Convention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IRA</w:t>
            </w:r>
          </w:p>
        </w:tc>
        <w:tc>
          <w:tcPr>
            <w:tcW w:w="6743" w:type="dxa"/>
          </w:tcPr>
          <w:p>
            <w:pPr>
              <w:pStyle w:val="TableText0"/>
              <w:spacing w:before="0" w:after="0" w:line="280" w:lineRule="atLeast"/>
              <w:rPr>
                <w:rFonts w:cs="Arial"/>
                <w:sz w:val="20"/>
              </w:rPr>
            </w:pPr>
            <w:r>
              <w:rPr>
                <w:rFonts w:cs="Arial"/>
                <w:sz w:val="20"/>
              </w:rPr>
              <w:t>Import Risk Analysis</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ISPM</w:t>
            </w:r>
          </w:p>
        </w:tc>
        <w:tc>
          <w:tcPr>
            <w:tcW w:w="6743" w:type="dxa"/>
          </w:tcPr>
          <w:p>
            <w:pPr>
              <w:pStyle w:val="TableText0"/>
              <w:spacing w:before="0" w:after="0" w:line="280" w:lineRule="atLeast"/>
              <w:rPr>
                <w:rFonts w:cs="Arial"/>
                <w:sz w:val="20"/>
              </w:rPr>
            </w:pPr>
            <w:r>
              <w:rPr>
                <w:rFonts w:cs="Arial"/>
                <w:bCs/>
                <w:sz w:val="20"/>
              </w:rPr>
              <w:t>International Standard for Phytosanitary Measures</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JUNAC</w:t>
            </w:r>
          </w:p>
        </w:tc>
        <w:tc>
          <w:tcPr>
            <w:tcW w:w="6743" w:type="dxa"/>
          </w:tcPr>
          <w:p>
            <w:pPr>
              <w:pStyle w:val="TableText0"/>
              <w:spacing w:before="0" w:after="0" w:line="280" w:lineRule="atLeast"/>
              <w:rPr>
                <w:rFonts w:cs="Arial"/>
                <w:bCs/>
                <w:sz w:val="20"/>
              </w:rPr>
            </w:pPr>
            <w:r>
              <w:rPr>
                <w:bCs/>
                <w:sz w:val="20"/>
              </w:rPr>
              <w:t xml:space="preserve">Comisión </w:t>
            </w:r>
            <w:smartTag w:uri="urn:schemas-microsoft-com:office:smarttags" w:element="place">
              <w:smartTag w:uri="urn:schemas-microsoft-com:office:smarttags" w:element="State">
                <w:r>
                  <w:rPr>
                    <w:bCs/>
                    <w:sz w:val="20"/>
                  </w:rPr>
                  <w:t>del</w:t>
                </w:r>
              </w:smartTag>
            </w:smartTag>
            <w:r>
              <w:rPr>
                <w:bCs/>
                <w:sz w:val="20"/>
              </w:rPr>
              <w:t xml:space="preserve"> Acuerdo de Cartagena</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NAPPO</w:t>
            </w:r>
          </w:p>
        </w:tc>
        <w:tc>
          <w:tcPr>
            <w:tcW w:w="6743" w:type="dxa"/>
          </w:tcPr>
          <w:p>
            <w:pPr>
              <w:pStyle w:val="TableText0"/>
              <w:spacing w:before="0" w:after="0" w:line="280" w:lineRule="atLeast"/>
              <w:rPr>
                <w:rFonts w:cs="Arial"/>
                <w:bCs/>
                <w:sz w:val="20"/>
              </w:rPr>
            </w:pPr>
            <w:r>
              <w:rPr>
                <w:rFonts w:cs="Arial"/>
                <w:bCs/>
                <w:sz w:val="20"/>
              </w:rPr>
              <w:t>North American Plant Protection Organization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NPPO</w:t>
            </w:r>
          </w:p>
        </w:tc>
        <w:tc>
          <w:tcPr>
            <w:tcW w:w="6743" w:type="dxa"/>
          </w:tcPr>
          <w:p>
            <w:pPr>
              <w:pStyle w:val="TableText0"/>
              <w:spacing w:before="0" w:after="0" w:line="280" w:lineRule="atLeast"/>
              <w:rPr>
                <w:rFonts w:cs="Arial"/>
                <w:sz w:val="20"/>
              </w:rPr>
            </w:pPr>
            <w:r>
              <w:rPr>
                <w:rFonts w:cs="Arial"/>
                <w:bCs/>
                <w:sz w:val="20"/>
              </w:rPr>
              <w:t>National Plant Protection Organization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OEPP</w:t>
            </w:r>
          </w:p>
        </w:tc>
        <w:tc>
          <w:tcPr>
            <w:tcW w:w="6743" w:type="dxa"/>
          </w:tcPr>
          <w:p>
            <w:pPr>
              <w:pStyle w:val="TableText0"/>
              <w:spacing w:before="0" w:after="0" w:line="280" w:lineRule="atLeast"/>
              <w:rPr>
                <w:rFonts w:cs="Arial"/>
                <w:bCs/>
                <w:sz w:val="20"/>
                <w:lang w:val="de-DE"/>
              </w:rPr>
            </w:pPr>
            <w:r>
              <w:rPr>
                <w:rFonts w:cs="Arial"/>
                <w:sz w:val="20"/>
                <w:lang w:val="de-DE"/>
              </w:rPr>
              <w:t>Organisation Européenne et Méditerranéenne pour la Protection des Plantes</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PCR</w:t>
            </w:r>
          </w:p>
        </w:tc>
        <w:tc>
          <w:tcPr>
            <w:tcW w:w="6743" w:type="dxa"/>
          </w:tcPr>
          <w:p>
            <w:pPr>
              <w:pStyle w:val="TableText0"/>
              <w:spacing w:before="0" w:after="0" w:line="280" w:lineRule="atLeast"/>
              <w:rPr>
                <w:rFonts w:cs="Arial"/>
                <w:bCs/>
                <w:sz w:val="20"/>
              </w:rPr>
            </w:pPr>
            <w:r>
              <w:rPr>
                <w:rFonts w:cs="Arial"/>
                <w:sz w:val="20"/>
              </w:rPr>
              <w:t>Polymerase chain reaction</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PEQ</w:t>
            </w:r>
          </w:p>
        </w:tc>
        <w:tc>
          <w:tcPr>
            <w:tcW w:w="6743" w:type="dxa"/>
          </w:tcPr>
          <w:p>
            <w:pPr>
              <w:pStyle w:val="TableText0"/>
              <w:spacing w:before="0" w:after="0" w:line="280" w:lineRule="atLeast"/>
              <w:rPr>
                <w:rFonts w:cs="Arial"/>
                <w:sz w:val="20"/>
              </w:rPr>
            </w:pPr>
            <w:r>
              <w:rPr>
                <w:rFonts w:cs="Arial"/>
                <w:sz w:val="20"/>
              </w:rPr>
              <w:t>Post-entry quarantine</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PRA</w:t>
            </w:r>
          </w:p>
        </w:tc>
        <w:tc>
          <w:tcPr>
            <w:tcW w:w="6743" w:type="dxa"/>
          </w:tcPr>
          <w:p>
            <w:pPr>
              <w:pStyle w:val="TableText0"/>
              <w:spacing w:before="0" w:after="0" w:line="280" w:lineRule="atLeast"/>
              <w:rPr>
                <w:rFonts w:cs="Arial"/>
                <w:sz w:val="20"/>
              </w:rPr>
            </w:pPr>
            <w:smartTag w:uri="urn:schemas-microsoft-com:office:smarttags" w:element="place">
              <w:r>
                <w:rPr>
                  <w:rFonts w:cs="Arial"/>
                  <w:sz w:val="20"/>
                </w:rPr>
                <w:t>Pest</w:t>
              </w:r>
            </w:smartTag>
            <w:r>
              <w:rPr>
                <w:rFonts w:cs="Arial"/>
                <w:sz w:val="20"/>
              </w:rPr>
              <w:t xml:space="preserve"> risk analysis</w:t>
            </w:r>
          </w:p>
        </w:tc>
      </w:tr>
      <w:tr>
        <w:trPr>
          <w:cantSplit/>
          <w:tblHeader/>
        </w:trPr>
        <w:tc>
          <w:tcPr>
            <w:tcW w:w="2274" w:type="dxa"/>
          </w:tcPr>
          <w:p>
            <w:pPr>
              <w:spacing w:line="280" w:lineRule="atLeast"/>
              <w:rPr>
                <w:rFonts w:ascii="Arial" w:hAnsi="Arial" w:cs="Arial"/>
                <w:sz w:val="20"/>
                <w:szCs w:val="20"/>
              </w:rPr>
            </w:pPr>
            <w:r>
              <w:rPr>
                <w:rFonts w:ascii="Arial" w:hAnsi="Arial" w:cs="Arial"/>
                <w:b/>
                <w:sz w:val="20"/>
                <w:szCs w:val="20"/>
              </w:rPr>
              <w:t>RT-PCR</w:t>
            </w:r>
          </w:p>
        </w:tc>
        <w:tc>
          <w:tcPr>
            <w:tcW w:w="6743" w:type="dxa"/>
          </w:tcPr>
          <w:p>
            <w:pPr>
              <w:spacing w:line="280" w:lineRule="atLeast"/>
              <w:rPr>
                <w:rFonts w:ascii="Arial" w:hAnsi="Arial" w:cs="Arial"/>
                <w:sz w:val="20"/>
                <w:szCs w:val="20"/>
              </w:rPr>
            </w:pPr>
            <w:r>
              <w:rPr>
                <w:rFonts w:ascii="Arial" w:hAnsi="Arial" w:cs="Arial"/>
                <w:sz w:val="20"/>
                <w:szCs w:val="20"/>
              </w:rPr>
              <w:t xml:space="preserve">Reverse-transcription polymerase chain reaction </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SPS</w:t>
            </w:r>
          </w:p>
        </w:tc>
        <w:tc>
          <w:tcPr>
            <w:tcW w:w="6743" w:type="dxa"/>
          </w:tcPr>
          <w:p>
            <w:pPr>
              <w:pStyle w:val="TableText0"/>
              <w:spacing w:before="0" w:after="0" w:line="280" w:lineRule="atLeast"/>
              <w:rPr>
                <w:rFonts w:cs="Arial"/>
                <w:bCs/>
                <w:sz w:val="20"/>
              </w:rPr>
            </w:pPr>
            <w:r>
              <w:rPr>
                <w:rFonts w:cs="Arial"/>
                <w:sz w:val="20"/>
              </w:rPr>
              <w:t>Sanitary and phytosanitary</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TEM</w:t>
            </w:r>
          </w:p>
        </w:tc>
        <w:tc>
          <w:tcPr>
            <w:tcW w:w="6743" w:type="dxa"/>
          </w:tcPr>
          <w:p>
            <w:pPr>
              <w:pStyle w:val="TableText0"/>
              <w:spacing w:before="0" w:after="0" w:line="280" w:lineRule="atLeast"/>
              <w:rPr>
                <w:rFonts w:cs="Arial"/>
                <w:sz w:val="20"/>
              </w:rPr>
            </w:pPr>
            <w:r>
              <w:rPr>
                <w:rFonts w:cs="Arial"/>
                <w:sz w:val="20"/>
              </w:rPr>
              <w:t>Transmission electron microscopy</w:t>
            </w:r>
          </w:p>
        </w:tc>
      </w:tr>
      <w:tr>
        <w:trPr>
          <w:cantSplit/>
          <w:tblHeader/>
        </w:trPr>
        <w:tc>
          <w:tcPr>
            <w:tcW w:w="2274" w:type="dxa"/>
          </w:tcPr>
          <w:p>
            <w:pPr>
              <w:spacing w:line="280" w:lineRule="atLeast"/>
              <w:rPr>
                <w:rFonts w:ascii="Arial" w:hAnsi="Arial" w:cs="Arial"/>
                <w:b/>
                <w:sz w:val="20"/>
                <w:szCs w:val="20"/>
              </w:rPr>
            </w:pPr>
            <w:r>
              <w:rPr>
                <w:rFonts w:ascii="Arial" w:hAnsi="Arial" w:cs="Arial"/>
                <w:b/>
                <w:sz w:val="20"/>
                <w:szCs w:val="20"/>
              </w:rPr>
              <w:t>WTO</w:t>
            </w:r>
          </w:p>
        </w:tc>
        <w:tc>
          <w:tcPr>
            <w:tcW w:w="6743" w:type="dxa"/>
          </w:tcPr>
          <w:p>
            <w:pPr>
              <w:pStyle w:val="TableText0"/>
              <w:spacing w:before="0" w:after="0" w:line="280" w:lineRule="atLeast"/>
              <w:rPr>
                <w:rFonts w:cs="Arial"/>
                <w:bCs/>
                <w:sz w:val="20"/>
              </w:rPr>
            </w:pPr>
            <w:r>
              <w:rPr>
                <w:rFonts w:cs="Arial"/>
                <w:bCs/>
                <w:sz w:val="20"/>
              </w:rPr>
              <w:t>World Trade Organisation</w:t>
            </w:r>
          </w:p>
        </w:tc>
      </w:tr>
    </w:tbl>
    <w:p>
      <w:pPr>
        <w:rPr>
          <w:lang w:eastAsia="en-AU"/>
        </w:rPr>
      </w:pPr>
    </w:p>
    <w:p>
      <w:pPr>
        <w:rPr>
          <w:lang w:eastAsia="en-AU"/>
        </w:rPr>
      </w:pPr>
    </w:p>
    <w:p>
      <w:pPr>
        <w:rPr>
          <w:rFonts w:ascii="Verdana" w:hAnsi="Verdana" w:cs="Arial"/>
          <w:sz w:val="20"/>
          <w:szCs w:val="20"/>
        </w:rPr>
        <w:sectPr>
          <w:headerReference w:type="first" r:id="rId20"/>
          <w:type w:val="nextColumn"/>
          <w:pgSz w:w="11906" w:h="16838" w:code="9"/>
          <w:pgMar w:top="1418" w:right="1418" w:bottom="1418" w:left="1701" w:header="720" w:footer="720" w:gutter="0"/>
          <w:cols w:space="720"/>
          <w:titlePg/>
        </w:sectPr>
      </w:pPr>
    </w:p>
    <w:p>
      <w:pPr>
        <w:pStyle w:val="BAHeader1"/>
        <w:pageBreakBefore w:val="0"/>
        <w:numPr>
          <w:ilvl w:val="0"/>
          <w:numId w:val="0"/>
        </w:numPr>
        <w:rPr>
          <w:sz w:val="32"/>
          <w:szCs w:val="32"/>
        </w:rPr>
      </w:pPr>
      <w:bookmarkStart w:id="17" w:name="_Toc69118704"/>
      <w:bookmarkStart w:id="18" w:name="_Toc84732174"/>
      <w:bookmarkStart w:id="19" w:name="_Toc275422302"/>
      <w:bookmarkStart w:id="20" w:name="_Toc275502443"/>
      <w:bookmarkStart w:id="21" w:name="_Toc345423499"/>
      <w:bookmarkEnd w:id="13"/>
      <w:bookmarkEnd w:id="14"/>
      <w:bookmarkEnd w:id="15"/>
      <w:bookmarkEnd w:id="16"/>
      <w:r>
        <w:rPr>
          <w:sz w:val="32"/>
          <w:szCs w:val="32"/>
        </w:rPr>
        <w:lastRenderedPageBreak/>
        <w:t>Summary</w:t>
      </w:r>
      <w:bookmarkEnd w:id="17"/>
      <w:bookmarkEnd w:id="18"/>
      <w:bookmarkEnd w:id="19"/>
      <w:bookmarkEnd w:id="20"/>
      <w:bookmarkEnd w:id="21"/>
    </w:p>
    <w:p>
      <w:pPr>
        <w:pStyle w:val="AQISText"/>
        <w:jc w:val="left"/>
        <w:rPr>
          <w:sz w:val="24"/>
          <w:szCs w:val="24"/>
        </w:rPr>
      </w:pPr>
      <w:r>
        <w:rPr>
          <w:sz w:val="24"/>
          <w:szCs w:val="24"/>
        </w:rPr>
        <w:t>Australia initiated this review as new pathogens have been identified on grapevines (</w:t>
      </w:r>
      <w:r>
        <w:rPr>
          <w:i/>
          <w:sz w:val="24"/>
          <w:szCs w:val="24"/>
        </w:rPr>
        <w:t xml:space="preserve">Vitis </w:t>
      </w:r>
      <w:r>
        <w:rPr>
          <w:sz w:val="24"/>
          <w:szCs w:val="24"/>
        </w:rPr>
        <w:t xml:space="preserve">species) and several pathogens have extended their global range. Uncontrolled movement of infected propagative material has helped to spread these pathogens into new areas. Additionally, the Grape and Wine Research and Development Corporation requested Plant Biosecurity to review and develop PEQ protocols for </w:t>
      </w:r>
      <w:r>
        <w:rPr>
          <w:i/>
          <w:sz w:val="24"/>
          <w:szCs w:val="24"/>
        </w:rPr>
        <w:t xml:space="preserve">Vitis </w:t>
      </w:r>
      <w:r>
        <w:rPr>
          <w:sz w:val="24"/>
          <w:szCs w:val="24"/>
        </w:rPr>
        <w:t xml:space="preserve">nursery stock that will minimise the time imported cultivars spend in quarantine, while maintaining quarantine integrity. </w:t>
      </w:r>
      <w:r>
        <w:rPr>
          <w:bCs/>
          <w:sz w:val="24"/>
          <w:szCs w:val="24"/>
        </w:rPr>
        <w:t xml:space="preserve">Currently, grapevine propagative material is allowed entry into Australia from any source as dormant cuttings, tissue cultures (microplantlets) and seed; requiring </w:t>
      </w:r>
      <w:r>
        <w:rPr>
          <w:sz w:val="24"/>
          <w:szCs w:val="24"/>
        </w:rPr>
        <w:t xml:space="preserve">mandatory on arrival inspection, mandatory treatment and growth in a </w:t>
      </w:r>
      <w:r>
        <w:rPr>
          <w:bCs/>
          <w:sz w:val="24"/>
          <w:szCs w:val="24"/>
        </w:rPr>
        <w:t>closed</w:t>
      </w:r>
      <w:r>
        <w:rPr>
          <w:sz w:val="24"/>
          <w:szCs w:val="24"/>
        </w:rPr>
        <w:t xml:space="preserve"> government post-entry quarantine (PEQ) facility, with pathogen screening.</w:t>
      </w:r>
    </w:p>
    <w:p>
      <w:pPr>
        <w:pStyle w:val="AQISText"/>
        <w:spacing w:after="160"/>
        <w:jc w:val="left"/>
        <w:rPr>
          <w:sz w:val="24"/>
          <w:szCs w:val="24"/>
        </w:rPr>
      </w:pPr>
      <w:r>
        <w:rPr>
          <w:sz w:val="24"/>
          <w:szCs w:val="24"/>
        </w:rPr>
        <w:t>As part of this revision, the quarantine status of grapevine pathogens was reviewed and several new pests of quarantine concern were identified. Consequently, Plant Biosecurity evaluated the appropriateness of existing risk management measures for the identified risks and proposed additional measures where required. The existing post-entry quarantine arrangements for grapevine propagative material use a range of techniques to ensure freedom from pests of concern. These techniques include: fumigation with methyl bromide; hot water treatment; visual screening for disease symptoms in post-entry quarantine (PEQ); and active testing (biological indexing using woody/herbaceous indicators).</w:t>
      </w:r>
    </w:p>
    <w:p>
      <w:pPr>
        <w:spacing w:before="120" w:line="280" w:lineRule="atLeast"/>
        <w:jc w:val="left"/>
        <w:rPr>
          <w:rFonts w:ascii="Verdana" w:hAnsi="Verdana"/>
          <w:b/>
          <w:sz w:val="20"/>
          <w:szCs w:val="20"/>
        </w:rPr>
      </w:pPr>
      <w:r>
        <w:rPr>
          <w:rFonts w:ascii="Verdana" w:hAnsi="Verdana"/>
          <w:b/>
          <w:sz w:val="20"/>
          <w:szCs w:val="20"/>
        </w:rPr>
        <w:t xml:space="preserve">Proposed significant changes </w:t>
      </w:r>
    </w:p>
    <w:p>
      <w:pPr>
        <w:pStyle w:val="AQISText"/>
        <w:tabs>
          <w:tab w:val="left" w:pos="3420"/>
        </w:tabs>
        <w:spacing w:before="120" w:line="275" w:lineRule="atLeast"/>
        <w:jc w:val="left"/>
        <w:rPr>
          <w:sz w:val="24"/>
          <w:szCs w:val="24"/>
        </w:rPr>
      </w:pPr>
      <w:r>
        <w:rPr>
          <w:sz w:val="24"/>
          <w:szCs w:val="24"/>
        </w:rPr>
        <w:t>The current review proposes several changes to the existing policy that will protect plant health while reducing the PEQ growth period for grapevine dormant cuttings and tissue culture (microplantlets).</w:t>
      </w:r>
      <w:r>
        <w:rPr>
          <w:snapToGrid w:val="0"/>
          <w:sz w:val="24"/>
          <w:szCs w:val="24"/>
        </w:rPr>
        <w:t xml:space="preserve"> </w:t>
      </w:r>
      <w:r>
        <w:rPr>
          <w:sz w:val="24"/>
          <w:szCs w:val="24"/>
        </w:rPr>
        <w:t xml:space="preserve">Major proposed changes for non-approved sources are: </w:t>
      </w:r>
    </w:p>
    <w:p>
      <w:pPr>
        <w:numPr>
          <w:ilvl w:val="0"/>
          <w:numId w:val="12"/>
        </w:numPr>
        <w:spacing w:before="60" w:line="280" w:lineRule="atLeast"/>
        <w:jc w:val="left"/>
        <w:rPr>
          <w:b/>
        </w:rPr>
      </w:pPr>
      <w:r>
        <w:rPr>
          <w:b/>
        </w:rPr>
        <w:t>All grapevine propagative material:</w:t>
      </w:r>
    </w:p>
    <w:p>
      <w:pPr>
        <w:numPr>
          <w:ilvl w:val="1"/>
          <w:numId w:val="12"/>
        </w:numPr>
        <w:spacing w:before="60" w:line="280" w:lineRule="atLeast"/>
        <w:jc w:val="left"/>
      </w:pPr>
      <w:r>
        <w:t>Replacing woody indexing for grapevine virus B (corky bark strains) with mandatory molecular testing; and</w:t>
      </w:r>
    </w:p>
    <w:p>
      <w:pPr>
        <w:numPr>
          <w:ilvl w:val="1"/>
          <w:numId w:val="12"/>
        </w:numPr>
        <w:spacing w:before="60" w:line="280" w:lineRule="atLeast"/>
        <w:jc w:val="left"/>
      </w:pPr>
      <w:r>
        <w:t>Introducing mandatory electron microscopy for detection of viruses.</w:t>
      </w:r>
    </w:p>
    <w:p>
      <w:pPr>
        <w:numPr>
          <w:ilvl w:val="0"/>
          <w:numId w:val="12"/>
        </w:numPr>
        <w:spacing w:before="60" w:line="280" w:lineRule="atLeast"/>
        <w:jc w:val="left"/>
        <w:rPr>
          <w:b/>
        </w:rPr>
      </w:pPr>
      <w:r>
        <w:rPr>
          <w:b/>
        </w:rPr>
        <w:t>Dormant cuttings:</w:t>
      </w:r>
    </w:p>
    <w:p>
      <w:pPr>
        <w:numPr>
          <w:ilvl w:val="1"/>
          <w:numId w:val="12"/>
        </w:numPr>
        <w:spacing w:before="60" w:line="280" w:lineRule="atLeast"/>
        <w:jc w:val="left"/>
      </w:pPr>
      <w:r>
        <w:t>Introducing mandatory surface sterilisation (1% sodium hypochlorite solution for 5 minutes);</w:t>
      </w:r>
    </w:p>
    <w:p>
      <w:pPr>
        <w:numPr>
          <w:ilvl w:val="1"/>
          <w:numId w:val="12"/>
        </w:numPr>
        <w:spacing w:before="60" w:line="280" w:lineRule="atLeast"/>
        <w:jc w:val="left"/>
      </w:pPr>
      <w:r>
        <w:t>Increasing hot water treatment time from 20 to 30 minutes at 50 °C; and</w:t>
      </w:r>
    </w:p>
    <w:p>
      <w:pPr>
        <w:numPr>
          <w:ilvl w:val="1"/>
          <w:numId w:val="12"/>
        </w:numPr>
        <w:spacing w:before="60" w:line="280" w:lineRule="atLeast"/>
        <w:jc w:val="left"/>
      </w:pPr>
      <w:r>
        <w:t>Introducing additional molecular testing, thereby reducing the PEQ period from 24 months to a minimum of 16 months.</w:t>
      </w:r>
    </w:p>
    <w:p>
      <w:pPr>
        <w:numPr>
          <w:ilvl w:val="0"/>
          <w:numId w:val="12"/>
        </w:numPr>
        <w:spacing w:before="60" w:line="280" w:lineRule="atLeast"/>
        <w:jc w:val="left"/>
        <w:rPr>
          <w:b/>
        </w:rPr>
      </w:pPr>
      <w:r>
        <w:rPr>
          <w:b/>
        </w:rPr>
        <w:t>Tissue cultures (microplantlets):</w:t>
      </w:r>
    </w:p>
    <w:p>
      <w:pPr>
        <w:numPr>
          <w:ilvl w:val="1"/>
          <w:numId w:val="12"/>
        </w:numPr>
        <w:spacing w:before="60" w:line="280" w:lineRule="atLeast"/>
        <w:jc w:val="left"/>
      </w:pPr>
      <w:r>
        <w:t>Reducing the PEQ period from 24 months to a minimum of 12 months; and</w:t>
      </w:r>
    </w:p>
    <w:p>
      <w:pPr>
        <w:numPr>
          <w:ilvl w:val="1"/>
          <w:numId w:val="12"/>
        </w:numPr>
        <w:spacing w:before="60" w:line="280" w:lineRule="atLeast"/>
        <w:jc w:val="left"/>
      </w:pPr>
      <w:r>
        <w:t xml:space="preserve">Replacing hot water treatment with mandatory PCR for detecting </w:t>
      </w:r>
      <w:r>
        <w:rPr>
          <w:i/>
        </w:rPr>
        <w:t>Xylella fastidiosa.</w:t>
      </w:r>
    </w:p>
    <w:p>
      <w:pPr>
        <w:numPr>
          <w:ilvl w:val="0"/>
          <w:numId w:val="12"/>
        </w:numPr>
        <w:spacing w:before="60" w:line="280" w:lineRule="atLeast"/>
        <w:jc w:val="left"/>
        <w:rPr>
          <w:b/>
        </w:rPr>
      </w:pPr>
      <w:r>
        <w:rPr>
          <w:b/>
        </w:rPr>
        <w:t>Seed for sowing:</w:t>
      </w:r>
    </w:p>
    <w:p>
      <w:pPr>
        <w:numPr>
          <w:ilvl w:val="1"/>
          <w:numId w:val="12"/>
        </w:numPr>
        <w:spacing w:before="60" w:line="280" w:lineRule="atLeast"/>
        <w:jc w:val="left"/>
      </w:pPr>
      <w:r>
        <w:t>Increasing the PEQ period from 3 months to 9 months.</w:t>
      </w:r>
    </w:p>
    <w:p>
      <w:pPr>
        <w:spacing w:before="120" w:line="280" w:lineRule="atLeast"/>
        <w:jc w:val="left"/>
        <w:rPr>
          <w:rFonts w:ascii="Verdana" w:hAnsi="Verdana"/>
          <w:b/>
          <w:sz w:val="20"/>
          <w:szCs w:val="20"/>
        </w:rPr>
      </w:pPr>
      <w:r>
        <w:rPr>
          <w:rFonts w:ascii="Verdana" w:hAnsi="Verdana"/>
          <w:b/>
          <w:sz w:val="20"/>
          <w:szCs w:val="20"/>
        </w:rPr>
        <w:t>Proposed risk management measures</w:t>
      </w:r>
    </w:p>
    <w:p>
      <w:pPr>
        <w:pStyle w:val="AQISText"/>
        <w:tabs>
          <w:tab w:val="left" w:pos="3420"/>
        </w:tabs>
        <w:spacing w:before="120" w:line="275" w:lineRule="atLeast"/>
        <w:jc w:val="left"/>
        <w:rPr>
          <w:sz w:val="24"/>
          <w:szCs w:val="24"/>
        </w:rPr>
      </w:pPr>
      <w:r>
        <w:rPr>
          <w:sz w:val="24"/>
          <w:szCs w:val="24"/>
        </w:rPr>
        <w:t xml:space="preserve">The ultimate goal of phytosanitary measures is to protect plant health and prevent the introduction of identified quarantine pests associated with grapevine propagative material. </w:t>
      </w:r>
      <w:r>
        <w:rPr>
          <w:sz w:val="24"/>
          <w:szCs w:val="24"/>
        </w:rPr>
        <w:lastRenderedPageBreak/>
        <w:t xml:space="preserve">Plant Biosecurity considers that the risk management measures proposed in this draft review of policy will be adequate to mitigate the risks posed by the identified quarantine pests and pathogens. </w:t>
      </w:r>
    </w:p>
    <w:p>
      <w:pPr>
        <w:pStyle w:val="AQISText"/>
        <w:tabs>
          <w:tab w:val="left" w:pos="3420"/>
        </w:tabs>
        <w:spacing w:before="120" w:line="275" w:lineRule="atLeast"/>
        <w:jc w:val="left"/>
        <w:rPr>
          <w:sz w:val="24"/>
          <w:szCs w:val="24"/>
        </w:rPr>
      </w:pPr>
      <w:r>
        <w:rPr>
          <w:sz w:val="24"/>
          <w:szCs w:val="24"/>
        </w:rPr>
        <w:t>The proposed risk management measures for propagative material are detailed below.</w:t>
      </w:r>
    </w:p>
    <w:p>
      <w:pPr>
        <w:keepNext/>
        <w:spacing w:before="120" w:line="280" w:lineRule="atLeast"/>
        <w:jc w:val="left"/>
        <w:rPr>
          <w:rFonts w:ascii="Verdana" w:hAnsi="Verdana"/>
          <w:b/>
          <w:sz w:val="20"/>
          <w:szCs w:val="20"/>
        </w:rPr>
      </w:pPr>
      <w:r>
        <w:rPr>
          <w:rFonts w:ascii="Verdana" w:hAnsi="Verdana"/>
          <w:b/>
          <w:sz w:val="20"/>
          <w:szCs w:val="20"/>
        </w:rPr>
        <w:t>All sources (unknown health status)</w:t>
      </w:r>
    </w:p>
    <w:p>
      <w:pPr>
        <w:keepNext/>
        <w:spacing w:before="120" w:line="280" w:lineRule="atLeast"/>
        <w:jc w:val="left"/>
        <w:rPr>
          <w:rFonts w:ascii="Verdana" w:hAnsi="Verdana"/>
          <w:b/>
          <w:sz w:val="20"/>
          <w:szCs w:val="20"/>
        </w:rPr>
      </w:pPr>
      <w:r>
        <w:rPr>
          <w:rFonts w:ascii="Verdana" w:hAnsi="Verdana"/>
          <w:b/>
          <w:sz w:val="20"/>
          <w:szCs w:val="20"/>
        </w:rPr>
        <w:t>Dormant cuttings</w:t>
      </w:r>
    </w:p>
    <w:p>
      <w:pPr>
        <w:numPr>
          <w:ilvl w:val="0"/>
          <w:numId w:val="12"/>
        </w:numPr>
        <w:spacing w:before="60" w:line="280" w:lineRule="atLeast"/>
        <w:jc w:val="left"/>
      </w:pPr>
      <w:r>
        <w:t xml:space="preserve">Mandatory on-arrival inspection; fumigation; hot water treatment; and surface sterilisation; </w:t>
      </w:r>
    </w:p>
    <w:p>
      <w:pPr>
        <w:numPr>
          <w:ilvl w:val="0"/>
          <w:numId w:val="12"/>
        </w:numPr>
        <w:spacing w:before="60" w:line="280" w:lineRule="atLeast"/>
        <w:jc w:val="left"/>
      </w:pPr>
      <w:r>
        <w:t xml:space="preserve">Mandatory growth in a closed government PEQ facility </w:t>
      </w:r>
      <w:r>
        <w:rPr>
          <w:lang w:eastAsia="en-AU"/>
        </w:rPr>
        <w:t xml:space="preserve">for </w:t>
      </w:r>
      <w:r>
        <w:t>a minimum period of 16 months for pathogen screening (visual observation; culturing; and electron microscopy); and</w:t>
      </w:r>
      <w:r>
        <w:rPr>
          <w:lang w:eastAsia="en-AU"/>
        </w:rPr>
        <w:t xml:space="preserve"> </w:t>
      </w:r>
    </w:p>
    <w:p>
      <w:pPr>
        <w:numPr>
          <w:ilvl w:val="0"/>
          <w:numId w:val="12"/>
        </w:numPr>
        <w:spacing w:before="60" w:line="280" w:lineRule="atLeast"/>
        <w:jc w:val="left"/>
      </w:pPr>
      <w:r>
        <w:t>Active pathogen testing through herbaceous host indexing and molecular tests including, but not limited to, PCR or ELISA.</w:t>
      </w:r>
    </w:p>
    <w:p>
      <w:pPr>
        <w:spacing w:before="120" w:line="280" w:lineRule="atLeast"/>
        <w:jc w:val="left"/>
      </w:pPr>
      <w:r>
        <w:rPr>
          <w:rFonts w:ascii="Verdana" w:hAnsi="Verdana"/>
          <w:b/>
          <w:sz w:val="20"/>
          <w:szCs w:val="20"/>
        </w:rPr>
        <w:t>Tissue cultures (microplantlets)</w:t>
      </w:r>
    </w:p>
    <w:p>
      <w:pPr>
        <w:numPr>
          <w:ilvl w:val="0"/>
          <w:numId w:val="12"/>
        </w:numPr>
        <w:spacing w:before="60" w:line="280" w:lineRule="atLeast"/>
        <w:jc w:val="left"/>
      </w:pPr>
      <w:r>
        <w:t xml:space="preserve">Mandatory on-arrival inspection; </w:t>
      </w:r>
    </w:p>
    <w:p>
      <w:pPr>
        <w:numPr>
          <w:ilvl w:val="0"/>
          <w:numId w:val="12"/>
        </w:numPr>
        <w:spacing w:before="60" w:line="280" w:lineRule="atLeast"/>
        <w:jc w:val="left"/>
      </w:pPr>
      <w:r>
        <w:t xml:space="preserve">Mandatory growth in a closed government PEQ facility </w:t>
      </w:r>
      <w:r>
        <w:rPr>
          <w:lang w:eastAsia="en-AU"/>
        </w:rPr>
        <w:t xml:space="preserve">for </w:t>
      </w:r>
      <w:r>
        <w:t>a minimum period of 12 months for pathogen screening (visual observation; culturing; and electron microscopy); and</w:t>
      </w:r>
      <w:r>
        <w:rPr>
          <w:lang w:eastAsia="en-AU"/>
        </w:rPr>
        <w:t xml:space="preserve"> </w:t>
      </w:r>
    </w:p>
    <w:p>
      <w:pPr>
        <w:numPr>
          <w:ilvl w:val="0"/>
          <w:numId w:val="12"/>
        </w:numPr>
        <w:spacing w:before="60" w:line="280" w:lineRule="atLeast"/>
        <w:jc w:val="left"/>
      </w:pPr>
      <w:r>
        <w:t>Active pathogen testing through herbaceous host indexing and molecular tests including, but not limited to, PCR or ELISA.</w:t>
      </w:r>
    </w:p>
    <w:p>
      <w:pPr>
        <w:spacing w:before="120" w:line="280" w:lineRule="atLeast"/>
        <w:jc w:val="left"/>
      </w:pPr>
      <w:r>
        <w:rPr>
          <w:rFonts w:ascii="Verdana" w:hAnsi="Verdana"/>
          <w:b/>
          <w:sz w:val="20"/>
          <w:szCs w:val="20"/>
        </w:rPr>
        <w:t>Seed</w:t>
      </w:r>
    </w:p>
    <w:p>
      <w:pPr>
        <w:numPr>
          <w:ilvl w:val="0"/>
          <w:numId w:val="12"/>
        </w:numPr>
        <w:spacing w:before="60" w:line="280" w:lineRule="atLeast"/>
        <w:jc w:val="left"/>
      </w:pPr>
      <w:r>
        <w:t xml:space="preserve">Mandatory on-arrival inspection, surface sterilisation, fungicidal treatment, and growth in a closed government PEQ facility </w:t>
      </w:r>
      <w:r>
        <w:rPr>
          <w:lang w:eastAsia="en-AU"/>
        </w:rPr>
        <w:t xml:space="preserve">for </w:t>
      </w:r>
      <w:r>
        <w:t>a minimum period of nine months for pathogen screening (visual observation and electron microscopy); and</w:t>
      </w:r>
      <w:r>
        <w:rPr>
          <w:lang w:eastAsia="en-AU"/>
        </w:rPr>
        <w:t xml:space="preserve"> </w:t>
      </w:r>
    </w:p>
    <w:p>
      <w:pPr>
        <w:numPr>
          <w:ilvl w:val="0"/>
          <w:numId w:val="12"/>
        </w:numPr>
        <w:spacing w:before="60" w:line="280" w:lineRule="atLeast"/>
        <w:jc w:val="left"/>
      </w:pPr>
      <w:r>
        <w:t>Active pathogen testing through herbaceous host indexing and molecular tests including, but not limited to, PCR.</w:t>
      </w:r>
    </w:p>
    <w:p>
      <w:pPr>
        <w:spacing w:before="120" w:line="280" w:lineRule="atLeast"/>
        <w:jc w:val="left"/>
        <w:rPr>
          <w:rFonts w:ascii="Verdana" w:hAnsi="Verdana"/>
          <w:b/>
          <w:sz w:val="20"/>
          <w:szCs w:val="20"/>
        </w:rPr>
      </w:pPr>
      <w:r>
        <w:rPr>
          <w:rFonts w:ascii="Verdana" w:hAnsi="Verdana"/>
          <w:b/>
          <w:sz w:val="20"/>
          <w:szCs w:val="20"/>
        </w:rPr>
        <w:t>Approved sources (High health sources)</w:t>
      </w:r>
    </w:p>
    <w:p>
      <w:pPr>
        <w:pStyle w:val="AQISText"/>
        <w:tabs>
          <w:tab w:val="left" w:pos="3420"/>
        </w:tabs>
        <w:jc w:val="left"/>
        <w:rPr>
          <w:sz w:val="24"/>
          <w:szCs w:val="24"/>
        </w:rPr>
      </w:pPr>
      <w:r>
        <w:rPr>
          <w:sz w:val="24"/>
          <w:szCs w:val="24"/>
        </w:rPr>
        <w:t xml:space="preserve">Foundation Plant Services, California, USA is currently an approved source to supply pathogen tested grapevine propagative material to Australia. However, Plant Biosecurity will consider requests for approval of other overseas sources (e.g. institutions, NPPOs), based on the framework proposed in this review. </w:t>
      </w:r>
    </w:p>
    <w:p>
      <w:pPr>
        <w:spacing w:before="180" w:line="275" w:lineRule="atLeast"/>
        <w:jc w:val="left"/>
      </w:pPr>
      <w:r>
        <w:t>The proposed changes to import requirements for dormant cuttings and tissue cultures from non-approved sources will also apply to material from approved sources (e.g. the PEQ period will be reduced to 16 months for dormant cuttings and 12 months for tissue cultures). Seed for sowing from approved sources is currently not subject to PEQ and this is recommended to continue.</w:t>
      </w:r>
    </w:p>
    <w:p>
      <w:pPr>
        <w:pStyle w:val="AQISText"/>
        <w:spacing w:before="120"/>
        <w:jc w:val="left"/>
        <w:rPr>
          <w:sz w:val="24"/>
          <w:szCs w:val="24"/>
        </w:rPr>
      </w:pPr>
      <w:r>
        <w:rPr>
          <w:sz w:val="24"/>
          <w:szCs w:val="24"/>
        </w:rPr>
        <w:t>Plant Biosecurity invites comments on the technical aspects of the proposed risk management measures for grapevine propagative material. In particular, comments are sought on their appropriateness and any other measures stakeholders consider would provide equivalent risk management outcomes.</w:t>
      </w:r>
    </w:p>
    <w:p>
      <w:pPr>
        <w:pStyle w:val="AQISText"/>
        <w:spacing w:before="120"/>
        <w:jc w:val="left"/>
        <w:rPr>
          <w:sz w:val="24"/>
          <w:szCs w:val="24"/>
        </w:rPr>
      </w:pPr>
    </w:p>
    <w:p>
      <w:pPr>
        <w:pStyle w:val="Heading1"/>
        <w:rPr>
          <w:rFonts w:ascii="Times New Roman" w:hAnsi="Times New Roman"/>
          <w:sz w:val="24"/>
          <w:szCs w:val="24"/>
        </w:rPr>
        <w:sectPr>
          <w:headerReference w:type="even" r:id="rId21"/>
          <w:headerReference w:type="default" r:id="rId22"/>
          <w:headerReference w:type="first" r:id="rId23"/>
          <w:type w:val="nextColumn"/>
          <w:pgSz w:w="11906" w:h="16838" w:code="9"/>
          <w:pgMar w:top="1412" w:right="1412" w:bottom="1412" w:left="1412" w:header="720" w:footer="720" w:gutter="0"/>
          <w:cols w:space="720"/>
          <w:titlePg/>
        </w:sectPr>
      </w:pPr>
      <w:bookmarkStart w:id="22" w:name="_Toc528035971"/>
      <w:bookmarkStart w:id="23" w:name="_Toc16589784"/>
      <w:bookmarkStart w:id="24" w:name="_Toc69118706"/>
      <w:bookmarkStart w:id="25" w:name="_Toc84732177"/>
    </w:p>
    <w:p>
      <w:pPr>
        <w:pStyle w:val="BAHeader1"/>
        <w:pageBreakBefore w:val="0"/>
        <w:numPr>
          <w:ilvl w:val="0"/>
          <w:numId w:val="0"/>
        </w:numPr>
        <w:tabs>
          <w:tab w:val="left" w:pos="1260"/>
        </w:tabs>
        <w:rPr>
          <w:rFonts w:ascii="Verdana" w:hAnsi="Verdana"/>
          <w:sz w:val="32"/>
          <w:szCs w:val="32"/>
        </w:rPr>
      </w:pPr>
      <w:bookmarkStart w:id="26" w:name="_Toc275422303"/>
      <w:bookmarkStart w:id="27" w:name="_Toc275502444"/>
      <w:bookmarkStart w:id="28" w:name="_Toc345423500"/>
      <w:r>
        <w:rPr>
          <w:rFonts w:ascii="Verdana" w:hAnsi="Verdana"/>
          <w:sz w:val="32"/>
          <w:szCs w:val="32"/>
        </w:rPr>
        <w:lastRenderedPageBreak/>
        <w:t>1</w:t>
      </w:r>
      <w:r>
        <w:rPr>
          <w:rFonts w:ascii="Verdana" w:hAnsi="Verdana"/>
          <w:sz w:val="32"/>
          <w:szCs w:val="32"/>
        </w:rPr>
        <w:tab/>
      </w:r>
      <w:bookmarkStart w:id="29" w:name="_Toc522353007"/>
      <w:bookmarkEnd w:id="22"/>
      <w:bookmarkEnd w:id="23"/>
      <w:r>
        <w:rPr>
          <w:rFonts w:ascii="Verdana" w:hAnsi="Verdana"/>
          <w:sz w:val="32"/>
          <w:szCs w:val="32"/>
        </w:rPr>
        <w:t>Introduction</w:t>
      </w:r>
      <w:bookmarkEnd w:id="26"/>
      <w:bookmarkEnd w:id="27"/>
      <w:bookmarkEnd w:id="28"/>
    </w:p>
    <w:p>
      <w:pPr>
        <w:pStyle w:val="BAHeader2"/>
        <w:numPr>
          <w:ilvl w:val="0"/>
          <w:numId w:val="0"/>
        </w:numPr>
        <w:tabs>
          <w:tab w:val="left" w:pos="1260"/>
        </w:tabs>
        <w:spacing w:line="300" w:lineRule="atLeast"/>
        <w:jc w:val="left"/>
        <w:rPr>
          <w:rFonts w:ascii="Verdana" w:hAnsi="Verdana"/>
        </w:rPr>
      </w:pPr>
      <w:bookmarkStart w:id="30" w:name="_Toc193278432"/>
      <w:bookmarkStart w:id="31" w:name="_Toc275422304"/>
      <w:bookmarkStart w:id="32" w:name="_Toc275502445"/>
      <w:bookmarkStart w:id="33" w:name="_Toc345423501"/>
      <w:bookmarkStart w:id="34" w:name="_Toc84732180"/>
      <w:bookmarkStart w:id="35" w:name="_Toc69118707"/>
      <w:bookmarkStart w:id="36" w:name="_Toc84732178"/>
      <w:bookmarkEnd w:id="24"/>
      <w:bookmarkEnd w:id="25"/>
      <w:bookmarkEnd w:id="29"/>
      <w:r>
        <w:rPr>
          <w:rFonts w:ascii="Verdana" w:hAnsi="Verdana"/>
        </w:rPr>
        <w:t>1.1</w:t>
      </w:r>
      <w:r>
        <w:rPr>
          <w:rFonts w:ascii="Verdana" w:hAnsi="Verdana"/>
        </w:rPr>
        <w:tab/>
      </w:r>
      <w:smartTag w:uri="urn:schemas-microsoft-com:office:smarttags" w:element="country-region">
        <w:smartTag w:uri="urn:schemas-microsoft-com:office:smarttags" w:element="place">
          <w:r>
            <w:rPr>
              <w:rFonts w:ascii="Verdana" w:hAnsi="Verdana"/>
            </w:rPr>
            <w:t>Australia</w:t>
          </w:r>
        </w:smartTag>
      </w:smartTag>
      <w:r>
        <w:rPr>
          <w:rFonts w:ascii="Verdana" w:hAnsi="Verdana"/>
        </w:rPr>
        <w:t>’s biosecurity policy framework</w:t>
      </w:r>
      <w:bookmarkEnd w:id="30"/>
      <w:bookmarkEnd w:id="31"/>
      <w:bookmarkEnd w:id="32"/>
      <w:bookmarkEnd w:id="33"/>
    </w:p>
    <w:p>
      <w:pPr>
        <w:spacing w:line="275" w:lineRule="atLeast"/>
        <w:jc w:val="left"/>
        <w:rPr>
          <w:bCs/>
        </w:rPr>
      </w:pPr>
      <w:smartTag w:uri="urn:schemas-microsoft-com:office:smarttags" w:element="country-region">
        <w:r>
          <w:t>Australia</w:t>
        </w:r>
      </w:smartTag>
      <w:r>
        <w:t>’s</w:t>
      </w:r>
      <w:r>
        <w:rPr>
          <w:bCs/>
        </w:rPr>
        <w:t xml:space="preserve"> biosecurity policies aim to protect </w:t>
      </w:r>
      <w:smartTag w:uri="urn:schemas-microsoft-com:office:smarttags" w:element="country-region">
        <w:r>
          <w:rPr>
            <w:bCs/>
          </w:rPr>
          <w:t>Australia</w:t>
        </w:r>
      </w:smartTag>
      <w:r>
        <w:rPr>
          <w:bCs/>
        </w:rPr>
        <w:t xml:space="preserve"> against the risks that may arise from exotic pests</w:t>
      </w:r>
      <w:r>
        <w:rPr>
          <w:rStyle w:val="FootnoteReference"/>
          <w:rFonts w:ascii="Times New Roman" w:hAnsi="Times New Roman"/>
          <w:bCs/>
          <w:sz w:val="24"/>
        </w:rPr>
        <w:footnoteReference w:id="1"/>
      </w:r>
      <w:r>
        <w:rPr>
          <w:bCs/>
        </w:rPr>
        <w:t xml:space="preserve"> entering, establishing and spreading in </w:t>
      </w:r>
      <w:smartTag w:uri="urn:schemas-microsoft-com:office:smarttags" w:element="country-region">
        <w:r>
          <w:rPr>
            <w:bCs/>
          </w:rPr>
          <w:t>Australia</w:t>
        </w:r>
      </w:smartTag>
      <w:r>
        <w:rPr>
          <w:bCs/>
        </w:rPr>
        <w:t xml:space="preserve">, thereby threatening </w:t>
      </w:r>
      <w:smartTag w:uri="urn:schemas-microsoft-com:office:smarttags" w:element="country-region">
        <w:smartTag w:uri="urn:schemas-microsoft-com:office:smarttags" w:element="place">
          <w:r>
            <w:rPr>
              <w:bCs/>
            </w:rPr>
            <w:t>Australia</w:t>
          </w:r>
        </w:smartTag>
      </w:smartTag>
      <w:r>
        <w:rPr>
          <w:bCs/>
        </w:rPr>
        <w:t>’s unique flora and fauna, as well as those agricultural industries that are relatively free from serious pests.</w:t>
      </w:r>
    </w:p>
    <w:p>
      <w:pPr>
        <w:spacing w:before="120" w:line="275" w:lineRule="atLeast"/>
        <w:jc w:val="left"/>
        <w:rPr>
          <w:bCs/>
        </w:rPr>
      </w:pPr>
      <w:r>
        <w:rPr>
          <w:bCs/>
        </w:rPr>
        <w:t xml:space="preserve">The pest risk analysis (PRA) process is an important part of </w:t>
      </w:r>
      <w:smartTag w:uri="urn:schemas-microsoft-com:office:smarttags" w:element="country-region">
        <w:smartTag w:uri="urn:schemas-microsoft-com:office:smarttags" w:element="place">
          <w:r>
            <w:rPr>
              <w:bCs/>
            </w:rPr>
            <w:t>Australia</w:t>
          </w:r>
        </w:smartTag>
      </w:smartTag>
      <w:r>
        <w:rPr>
          <w:bCs/>
        </w:rPr>
        <w:t xml:space="preserve">’s biosecurity policies. It enables the Australian Government to formally consider the risks that could be associated with proposals to import products into </w:t>
      </w:r>
      <w:smartTag w:uri="urn:schemas-microsoft-com:office:smarttags" w:element="country-region">
        <w:smartTag w:uri="urn:schemas-microsoft-com:office:smarttags" w:element="place">
          <w:r>
            <w:rPr>
              <w:bCs/>
            </w:rPr>
            <w:t>Australia</w:t>
          </w:r>
        </w:smartTag>
      </w:smartTag>
      <w:r>
        <w:rPr>
          <w:bCs/>
        </w:rPr>
        <w:t xml:space="preserve">. If the risks are found to exceed </w:t>
      </w:r>
      <w:smartTag w:uri="urn:schemas-microsoft-com:office:smarttags" w:element="country-region">
        <w:smartTag w:uri="urn:schemas-microsoft-com:office:smarttags" w:element="place">
          <w:r>
            <w:rPr>
              <w:bCs/>
            </w:rPr>
            <w:t>Australia</w:t>
          </w:r>
        </w:smartTag>
      </w:smartTag>
      <w:r>
        <w:rPr>
          <w:bCs/>
        </w:rPr>
        <w:t>’s appropriate level of protection (ALOP), risk management measures are proposed to reduce the risk to an acceptable level. If it is not possible to reduce the risks to an acceptable level, then no trade will be allowed.</w:t>
      </w:r>
    </w:p>
    <w:p>
      <w:pPr>
        <w:spacing w:before="120" w:line="275" w:lineRule="atLeast"/>
        <w:jc w:val="left"/>
        <w:rPr>
          <w:bCs/>
        </w:rPr>
      </w:pPr>
      <w:r>
        <w:t>Successive</w:t>
      </w:r>
      <w:r>
        <w:rPr>
          <w:bCs/>
        </w:rPr>
        <w:t xml:space="preserve"> Australian governments have maintained a conservative, but not a zero risk, approach to the management of biosecurity risks. This approach is expressed in terms of </w:t>
      </w:r>
      <w:smartTag w:uri="urn:schemas-microsoft-com:office:smarttags" w:element="country-region">
        <w:smartTag w:uri="urn:schemas-microsoft-com:office:smarttags" w:element="place">
          <w:r>
            <w:rPr>
              <w:bCs/>
            </w:rPr>
            <w:t>Australia</w:t>
          </w:r>
        </w:smartTag>
      </w:smartTag>
      <w:r>
        <w:rPr>
          <w:bCs/>
        </w:rPr>
        <w:t>’s ALOP, which reflects community expectations through government policy and is currently described as providing a high level of protection aimed at reducing risk to a very low level, but not to zero.</w:t>
      </w:r>
    </w:p>
    <w:p>
      <w:pPr>
        <w:spacing w:before="120" w:line="275" w:lineRule="atLeast"/>
        <w:jc w:val="left"/>
        <w:rPr>
          <w:bCs/>
        </w:rPr>
      </w:pPr>
      <w:smartTag w:uri="urn:schemas-microsoft-com:office:smarttags" w:element="country-region">
        <w:r>
          <w:t>Australia</w:t>
        </w:r>
      </w:smartTag>
      <w:r>
        <w:t>’s</w:t>
      </w:r>
      <w:r>
        <w:rPr>
          <w:bCs/>
        </w:rPr>
        <w:t xml:space="preserve"> PRAs are undertaken by Plant Biosecurity and Animal Biosecurity (formerly conjointly known as Biosecurity </w:t>
      </w:r>
      <w:smartTag w:uri="urn:schemas-microsoft-com:office:smarttags" w:element="country-region">
        <w:smartTag w:uri="urn:schemas-microsoft-com:office:smarttags" w:element="place">
          <w:r>
            <w:rPr>
              <w:bCs/>
            </w:rPr>
            <w:t>Australia</w:t>
          </w:r>
        </w:smartTag>
      </w:smartTag>
      <w:r>
        <w:rPr>
          <w:bCs/>
        </w:rPr>
        <w:t xml:space="preserve">), within the Department of Agriculture, Fisheries and Forestry (DAFF), using teams of technical and scientific experts in relevant fields. PRAs involve consultation with stakeholders at various stages during the process. Plant Biosecurity and Animal Biosecurity provide recommendations for animal and plant quarantine policy to </w:t>
      </w:r>
      <w:smartTag w:uri="urn:schemas-microsoft-com:office:smarttags" w:element="country-region">
        <w:smartTag w:uri="urn:schemas-microsoft-com:office:smarttags" w:element="place">
          <w:r>
            <w:rPr>
              <w:bCs/>
            </w:rPr>
            <w:t>Australia</w:t>
          </w:r>
        </w:smartTag>
      </w:smartTag>
      <w:r>
        <w:rPr>
          <w:bCs/>
        </w:rPr>
        <w:t xml:space="preserve">’s Director of Animal and Plant Quarantine (the Secretary of the Australian Department of Agriculture, Fisheries and Forestry). The Director or delegate is responsible for determining whether or not an importation can be permitted under the </w:t>
      </w:r>
      <w:r>
        <w:rPr>
          <w:bCs/>
          <w:i/>
        </w:rPr>
        <w:t>Quarantine Act 1908</w:t>
      </w:r>
      <w:r>
        <w:rPr>
          <w:bCs/>
        </w:rPr>
        <w:t>, and if so, under what conditions. Plant Import Operations, within DAFF (formerly the Australian Quarantine and Inspection Service), is responsible for implementing appropriate risk management measures.</w:t>
      </w:r>
    </w:p>
    <w:p>
      <w:pPr>
        <w:spacing w:before="120" w:line="275" w:lineRule="atLeast"/>
        <w:jc w:val="left"/>
        <w:rPr>
          <w:bCs/>
        </w:rPr>
      </w:pPr>
      <w:r>
        <w:t>More</w:t>
      </w:r>
      <w:r>
        <w:rPr>
          <w:bCs/>
        </w:rPr>
        <w:t xml:space="preserve"> information about Australia’s biosecurity framework is provided in the </w:t>
      </w:r>
      <w:r>
        <w:rPr>
          <w:bCs/>
          <w:i/>
        </w:rPr>
        <w:t>Import Risk Analysis Handbook 2007</w:t>
      </w:r>
      <w:r>
        <w:rPr>
          <w:bCs/>
        </w:rPr>
        <w:t xml:space="preserve"> (update 2009) located on the DAFF website www.daff.gov.au/ba.</w:t>
      </w:r>
    </w:p>
    <w:p>
      <w:pPr>
        <w:pStyle w:val="BAHeader2"/>
        <w:numPr>
          <w:ilvl w:val="0"/>
          <w:numId w:val="0"/>
        </w:numPr>
        <w:tabs>
          <w:tab w:val="left" w:pos="1260"/>
        </w:tabs>
        <w:spacing w:line="300" w:lineRule="atLeast"/>
        <w:jc w:val="left"/>
        <w:rPr>
          <w:rFonts w:ascii="Verdana" w:hAnsi="Verdana"/>
        </w:rPr>
      </w:pPr>
      <w:bookmarkStart w:id="37" w:name="_Toc275422305"/>
      <w:bookmarkStart w:id="38" w:name="_Toc275502446"/>
      <w:bookmarkStart w:id="39" w:name="_Toc345423502"/>
      <w:r>
        <w:rPr>
          <w:rFonts w:ascii="Verdana" w:hAnsi="Verdana"/>
        </w:rPr>
        <w:t>1.2</w:t>
      </w:r>
      <w:r>
        <w:rPr>
          <w:rFonts w:ascii="Verdana" w:hAnsi="Verdana"/>
        </w:rPr>
        <w:tab/>
        <w:t>This review of existing policy</w:t>
      </w:r>
      <w:bookmarkEnd w:id="37"/>
      <w:bookmarkEnd w:id="38"/>
      <w:bookmarkEnd w:id="39"/>
    </w:p>
    <w:p>
      <w:pPr>
        <w:spacing w:line="275" w:lineRule="atLeast"/>
        <w:jc w:val="left"/>
      </w:pPr>
      <w:smartTag w:uri="urn:schemas-microsoft-com:office:smarttags" w:element="country-region">
        <w:smartTag w:uri="urn:schemas-microsoft-com:office:smarttags" w:element="place">
          <w:r>
            <w:t>Australia</w:t>
          </w:r>
        </w:smartTag>
      </w:smartTag>
      <w:r>
        <w:t xml:space="preserve"> has an existing policy to import grapevine propagative material from all countries. However, this policy has not been reviewed for </w:t>
      </w:r>
      <w:r>
        <w:rPr>
          <w:bCs/>
        </w:rPr>
        <w:t>some</w:t>
      </w:r>
      <w:r>
        <w:t xml:space="preserve"> time. Propagative material represents one of the highest plant quarantine risks, as it can harbour various forms of pathogens and arthropod pests. The introduction of plant pathogens, especially with latent infection, is of particular concern in propagative material. A range of exotic arthropod pests and pathogens can be introduced and established via propagative material when imported in a viable state for ongoing propagation.</w:t>
      </w:r>
    </w:p>
    <w:p>
      <w:pPr>
        <w:pStyle w:val="Heading3"/>
        <w:widowControl/>
        <w:tabs>
          <w:tab w:val="left" w:pos="1260"/>
        </w:tabs>
        <w:overflowPunct w:val="0"/>
        <w:autoSpaceDE w:val="0"/>
        <w:autoSpaceDN w:val="0"/>
        <w:spacing w:after="60" w:line="240" w:lineRule="auto"/>
        <w:ind w:left="1260" w:hanging="1260"/>
        <w:jc w:val="left"/>
        <w:rPr>
          <w:rFonts w:ascii="Verdana" w:hAnsi="Verdana" w:cs="Arial"/>
          <w:bCs/>
          <w:sz w:val="26"/>
          <w:szCs w:val="26"/>
        </w:rPr>
      </w:pPr>
      <w:bookmarkStart w:id="40" w:name="_Toc275422306"/>
      <w:bookmarkStart w:id="41" w:name="_Toc275502447"/>
      <w:bookmarkStart w:id="42" w:name="_Toc345423503"/>
      <w:r>
        <w:rPr>
          <w:rFonts w:ascii="Verdana" w:hAnsi="Verdana" w:cs="Arial"/>
          <w:bCs/>
          <w:sz w:val="26"/>
          <w:szCs w:val="26"/>
        </w:rPr>
        <w:t>1.2.1</w:t>
      </w:r>
      <w:r>
        <w:rPr>
          <w:rFonts w:ascii="Verdana" w:hAnsi="Verdana" w:cs="Arial"/>
          <w:bCs/>
          <w:sz w:val="26"/>
          <w:szCs w:val="26"/>
        </w:rPr>
        <w:tab/>
        <w:t>Background</w:t>
      </w:r>
      <w:bookmarkEnd w:id="40"/>
      <w:bookmarkEnd w:id="41"/>
      <w:bookmarkEnd w:id="42"/>
    </w:p>
    <w:p>
      <w:pPr>
        <w:spacing w:line="275" w:lineRule="atLeast"/>
        <w:jc w:val="left"/>
      </w:pPr>
      <w:r>
        <w:t xml:space="preserve">Many pathogens are associated with the production of grapevines worldwide. Like other </w:t>
      </w:r>
      <w:r>
        <w:lastRenderedPageBreak/>
        <w:t xml:space="preserve">vegetatively propagated crops, grapevines are infected by numerous pathogens, among which viroids, viruses and phytoplasmas play a major role, causing degenerative diseases, heavy losses and sometimes plant death. As grapevines are propagated mainly by vegetative means, there is a considerable risk of introducing and spreading these pathogens through international trade of grapevine propagative material. The introduction of economically important grapevine pests into </w:t>
      </w:r>
      <w:smartTag w:uri="urn:schemas-microsoft-com:office:smarttags" w:element="country-region">
        <w:smartTag w:uri="urn:schemas-microsoft-com:office:smarttags" w:element="place">
          <w:r>
            <w:t>Australia</w:t>
          </w:r>
        </w:smartTag>
      </w:smartTag>
      <w:r>
        <w:t xml:space="preserve"> could result in substantial costs in eradication, containment or control. </w:t>
      </w:r>
      <w:smartTag w:uri="urn:schemas-microsoft-com:office:smarttags" w:element="place">
        <w:r>
          <w:t>Pest</w:t>
        </w:r>
      </w:smartTag>
      <w:r>
        <w:t xml:space="preserve"> establishment and spread could also lead to an increase in the use of chemical controls and could jeopardize export markets.</w:t>
      </w:r>
    </w:p>
    <w:p>
      <w:pPr>
        <w:spacing w:before="120" w:line="275" w:lineRule="atLeast"/>
        <w:jc w:val="left"/>
      </w:pPr>
      <w:r>
        <w:t xml:space="preserve">Australia’s existing policy allows importation of grapevine propagative material (dormant cuttings, tissue culture and seed) from any source. </w:t>
      </w:r>
      <w:r>
        <w:rPr>
          <w:lang w:eastAsia="en-AU"/>
        </w:rPr>
        <w:t xml:space="preserve">The policy </w:t>
      </w:r>
      <w:r>
        <w:t>includes on-arrival inspection and mandatory treatment and growth in a government post-entry plant quarantine (PEQ) facility, with appropriate disease screening. Separate conditions also exist for approved sources for dormant cuttings, tissue culture and seeds. Plant Biosecurity initiated this review as new pathogens have been identified on grapevines (</w:t>
      </w:r>
      <w:r>
        <w:rPr>
          <w:i/>
        </w:rPr>
        <w:t xml:space="preserve">Vitis </w:t>
      </w:r>
      <w:r>
        <w:t xml:space="preserve">species) and several pathogens have extended their global range. Uncontrolled movement of infected propagative material has helped to spread these pathogens into new areas. Additionally, the Grape and Wine Research and Development Corporation requested Plant Biosecurity to review and develop PEQ protocols for </w:t>
      </w:r>
      <w:r>
        <w:rPr>
          <w:i/>
        </w:rPr>
        <w:t xml:space="preserve">Vitis </w:t>
      </w:r>
      <w:r>
        <w:t>nursery stock that will minimise the time imported cultivars spend in quarantine, while maintaining quarantine integrity.</w:t>
      </w:r>
    </w:p>
    <w:p>
      <w:pPr>
        <w:spacing w:before="160" w:after="80" w:line="280" w:lineRule="atLeast"/>
        <w:jc w:val="left"/>
        <w:rPr>
          <w:rFonts w:ascii="Verdana" w:hAnsi="Verdana"/>
          <w:b/>
          <w:sz w:val="22"/>
          <w:szCs w:val="22"/>
        </w:rPr>
      </w:pPr>
      <w:r>
        <w:rPr>
          <w:rFonts w:ascii="Verdana" w:hAnsi="Verdana"/>
          <w:b/>
          <w:sz w:val="22"/>
          <w:szCs w:val="22"/>
        </w:rPr>
        <w:t>Quarantinable pests</w:t>
      </w:r>
    </w:p>
    <w:p>
      <w:pPr>
        <w:spacing w:line="275" w:lineRule="atLeast"/>
        <w:jc w:val="left"/>
      </w:pPr>
      <w:r>
        <w:t>Current pests of quarantine concern to Australia for grapevine propagative material are provided in Table 1.1.</w:t>
      </w:r>
    </w:p>
    <w:p>
      <w:pPr>
        <w:pStyle w:val="AQISTable"/>
        <w:tabs>
          <w:tab w:val="clear" w:pos="360"/>
          <w:tab w:val="num" w:pos="1440"/>
        </w:tabs>
        <w:spacing w:before="120" w:after="80"/>
        <w:ind w:left="0" w:firstLine="0"/>
        <w:jc w:val="left"/>
        <w:rPr>
          <w:sz w:val="20"/>
        </w:rPr>
      </w:pPr>
      <w:bookmarkStart w:id="43" w:name="_Toc338424033"/>
      <w:r>
        <w:rPr>
          <w:sz w:val="20"/>
        </w:rPr>
        <w:t>Table 1.1</w:t>
      </w:r>
      <w:r>
        <w:rPr>
          <w:sz w:val="20"/>
        </w:rPr>
        <w:tab/>
        <w:t>Current regulated pests of grapevine propagative material</w:t>
      </w:r>
      <w:bookmarkEnd w:id="43"/>
    </w:p>
    <w:tbl>
      <w:tblPr>
        <w:tblW w:w="8789" w:type="dxa"/>
        <w:tblInd w:w="108" w:type="dxa"/>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ayout w:type="fixed"/>
        <w:tblLook w:val="01E0"/>
      </w:tblPr>
      <w:tblGrid>
        <w:gridCol w:w="5387"/>
        <w:gridCol w:w="3402"/>
      </w:tblGrid>
      <w:tr>
        <w:trPr>
          <w:tblHeader/>
        </w:trPr>
        <w:tc>
          <w:tcPr>
            <w:tcW w:w="5387" w:type="dxa"/>
            <w:tcBorders>
              <w:top w:val="single" w:sz="12" w:space="0" w:color="008000"/>
              <w:bottom w:val="single" w:sz="12" w:space="0" w:color="008000"/>
            </w:tcBorders>
            <w:shd w:val="clear" w:color="auto" w:fill="E0E0E0"/>
          </w:tcPr>
          <w:p>
            <w:pPr>
              <w:spacing w:before="40" w:after="40" w:line="280" w:lineRule="atLeast"/>
              <w:jc w:val="left"/>
              <w:rPr>
                <w:rFonts w:ascii="Verdana" w:hAnsi="Verdana" w:cs="Arial"/>
                <w:b/>
                <w:sz w:val="18"/>
                <w:szCs w:val="18"/>
              </w:rPr>
            </w:pPr>
            <w:r>
              <w:rPr>
                <w:rFonts w:ascii="Verdana" w:hAnsi="Verdana" w:cs="Arial"/>
                <w:b/>
                <w:sz w:val="18"/>
                <w:szCs w:val="18"/>
              </w:rPr>
              <w:t>Pathogen type</w:t>
            </w:r>
          </w:p>
        </w:tc>
        <w:tc>
          <w:tcPr>
            <w:tcW w:w="3402" w:type="dxa"/>
            <w:tcBorders>
              <w:top w:val="single" w:sz="12" w:space="0" w:color="008000"/>
              <w:bottom w:val="single" w:sz="12" w:space="0" w:color="008000"/>
            </w:tcBorders>
            <w:shd w:val="clear" w:color="auto" w:fill="E0E0E0"/>
          </w:tcPr>
          <w:p>
            <w:pPr>
              <w:spacing w:before="40" w:after="40" w:line="280" w:lineRule="atLeast"/>
              <w:jc w:val="left"/>
              <w:rPr>
                <w:rFonts w:ascii="Verdana" w:hAnsi="Verdana" w:cs="Arial"/>
                <w:b/>
                <w:sz w:val="18"/>
                <w:szCs w:val="18"/>
              </w:rPr>
            </w:pPr>
            <w:r>
              <w:rPr>
                <w:rFonts w:ascii="Verdana" w:hAnsi="Verdana" w:cs="Arial"/>
                <w:b/>
                <w:sz w:val="18"/>
                <w:szCs w:val="18"/>
              </w:rPr>
              <w:t>Common name</w:t>
            </w:r>
          </w:p>
        </w:tc>
      </w:tr>
      <w:tr>
        <w:tc>
          <w:tcPr>
            <w:tcW w:w="8789" w:type="dxa"/>
            <w:gridSpan w:val="2"/>
            <w:tcBorders>
              <w:top w:val="single" w:sz="12" w:space="0" w:color="008000"/>
            </w:tcBorders>
            <w:shd w:val="clear" w:color="auto" w:fill="E6E6E6"/>
          </w:tcPr>
          <w:p>
            <w:pPr>
              <w:spacing w:before="20" w:after="20" w:line="240" w:lineRule="atLeast"/>
              <w:jc w:val="left"/>
              <w:rPr>
                <w:rFonts w:ascii="Arial" w:hAnsi="Arial" w:cs="Arial"/>
                <w:sz w:val="18"/>
                <w:szCs w:val="18"/>
              </w:rPr>
            </w:pPr>
            <w:r>
              <w:rPr>
                <w:rFonts w:ascii="Verdana" w:hAnsi="Verdana" w:cs="Arial"/>
                <w:b/>
                <w:sz w:val="18"/>
                <w:szCs w:val="18"/>
              </w:rPr>
              <w:t>BACTERIA</w:t>
            </w:r>
          </w:p>
        </w:tc>
      </w:tr>
      <w:tr>
        <w:trPr>
          <w:trHeight w:val="266"/>
        </w:trPr>
        <w:tc>
          <w:tcPr>
            <w:tcW w:w="5387"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Xylella fastidiosa</w:t>
            </w:r>
            <w:r>
              <w:rPr>
                <w:rFonts w:ascii="Helvetica" w:hAnsi="Helvetica" w:cs="Helvetica"/>
                <w:sz w:val="18"/>
                <w:szCs w:val="18"/>
              </w:rPr>
              <w:t xml:space="preserve"> (Wells </w:t>
            </w:r>
            <w:r>
              <w:rPr>
                <w:rFonts w:ascii="Helvetica" w:hAnsi="Helvetica" w:cs="Helvetica"/>
                <w:i/>
                <w:iCs/>
                <w:sz w:val="18"/>
                <w:szCs w:val="18"/>
              </w:rPr>
              <w:t>et al</w:t>
            </w:r>
            <w:r>
              <w:rPr>
                <w:rFonts w:ascii="Helvetica" w:hAnsi="Helvetica" w:cs="Helvetica"/>
                <w:sz w:val="18"/>
                <w:szCs w:val="18"/>
              </w:rPr>
              <w:t>.)</w:t>
            </w:r>
          </w:p>
        </w:tc>
        <w:tc>
          <w:tcPr>
            <w:tcW w:w="3402" w:type="dxa"/>
          </w:tcPr>
          <w:p>
            <w:pPr>
              <w:spacing w:before="20" w:after="20" w:line="240" w:lineRule="atLeast"/>
              <w:jc w:val="left"/>
              <w:rPr>
                <w:rFonts w:ascii="Helvetica" w:hAnsi="Helvetica" w:cs="Helvetica"/>
                <w:sz w:val="18"/>
                <w:szCs w:val="18"/>
              </w:rPr>
            </w:pPr>
            <w:r>
              <w:rPr>
                <w:rFonts w:ascii="Helvetica" w:hAnsi="Helvetica" w:cs="Helvetica"/>
                <w:sz w:val="18"/>
                <w:szCs w:val="18"/>
              </w:rPr>
              <w:t>Pierce's disease</w:t>
            </w:r>
          </w:p>
        </w:tc>
      </w:tr>
      <w:tr>
        <w:trPr>
          <w:trHeight w:val="266"/>
        </w:trPr>
        <w:tc>
          <w:tcPr>
            <w:tcW w:w="5387" w:type="dxa"/>
          </w:tcPr>
          <w:p>
            <w:pPr>
              <w:spacing w:before="20" w:after="20" w:line="240" w:lineRule="atLeast"/>
              <w:jc w:val="left"/>
              <w:rPr>
                <w:rFonts w:ascii="Arial" w:hAnsi="Arial" w:cs="Arial"/>
                <w:bCs/>
                <w:i/>
                <w:sz w:val="18"/>
                <w:szCs w:val="18"/>
              </w:rPr>
            </w:pPr>
            <w:r>
              <w:rPr>
                <w:rFonts w:ascii="Helvetica" w:hAnsi="Helvetica" w:cs="Helvetica"/>
                <w:i/>
                <w:sz w:val="18"/>
                <w:szCs w:val="18"/>
              </w:rPr>
              <w:t>Xylophilus ampelinus</w:t>
            </w:r>
            <w:r>
              <w:rPr>
                <w:rFonts w:ascii="Helvetica" w:hAnsi="Helvetica" w:cs="Helvetica"/>
                <w:sz w:val="18"/>
                <w:szCs w:val="18"/>
              </w:rPr>
              <w:t xml:space="preserve"> (Panagopoulos) Willems </w:t>
            </w:r>
            <w:r>
              <w:rPr>
                <w:rFonts w:ascii="Helvetica" w:hAnsi="Helvetica" w:cs="Helvetica"/>
                <w:i/>
                <w:iCs/>
                <w:sz w:val="18"/>
                <w:szCs w:val="18"/>
              </w:rPr>
              <w:t>et al</w:t>
            </w:r>
            <w:r>
              <w:rPr>
                <w:rFonts w:ascii="Helvetica" w:hAnsi="Helvetica" w:cs="Helvetica"/>
                <w:sz w:val="18"/>
                <w:szCs w:val="18"/>
              </w:rPr>
              <w:t>.</w:t>
            </w:r>
          </w:p>
        </w:tc>
        <w:tc>
          <w:tcPr>
            <w:tcW w:w="3402" w:type="dxa"/>
          </w:tcPr>
          <w:p>
            <w:pPr>
              <w:spacing w:before="20" w:after="20" w:line="240" w:lineRule="atLeast"/>
              <w:jc w:val="left"/>
              <w:rPr>
                <w:rFonts w:ascii="Arial" w:hAnsi="Arial" w:cs="Arial"/>
                <w:sz w:val="18"/>
                <w:szCs w:val="18"/>
              </w:rPr>
            </w:pPr>
            <w:r>
              <w:rPr>
                <w:rFonts w:ascii="Helvetica" w:hAnsi="Helvetica" w:cs="Helvetica"/>
                <w:sz w:val="18"/>
                <w:szCs w:val="18"/>
              </w:rPr>
              <w:t xml:space="preserve">Grapevine bacterial necrosis </w:t>
            </w:r>
          </w:p>
        </w:tc>
      </w:tr>
      <w:tr>
        <w:tc>
          <w:tcPr>
            <w:tcW w:w="8789" w:type="dxa"/>
            <w:gridSpan w:val="2"/>
            <w:tcBorders>
              <w:top w:val="single" w:sz="12" w:space="0" w:color="008000"/>
            </w:tcBorders>
            <w:shd w:val="clear" w:color="auto" w:fill="EEECE1"/>
          </w:tcPr>
          <w:p>
            <w:pPr>
              <w:spacing w:before="20" w:after="20" w:line="240" w:lineRule="atLeast"/>
              <w:jc w:val="left"/>
              <w:rPr>
                <w:rFonts w:ascii="Verdana" w:hAnsi="Verdana" w:cs="Arial"/>
                <w:b/>
                <w:sz w:val="18"/>
                <w:szCs w:val="18"/>
              </w:rPr>
            </w:pPr>
            <w:r>
              <w:rPr>
                <w:rFonts w:ascii="Verdana" w:hAnsi="Verdana" w:cs="Arial"/>
                <w:b/>
                <w:sz w:val="18"/>
                <w:szCs w:val="18"/>
              </w:rPr>
              <w:t>FUNGI</w:t>
            </w:r>
          </w:p>
        </w:tc>
      </w:tr>
      <w:tr>
        <w:trPr>
          <w:trHeight w:val="131"/>
        </w:trPr>
        <w:tc>
          <w:tcPr>
            <w:tcW w:w="5387"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Guignardia bidwellii</w:t>
            </w:r>
            <w:r>
              <w:rPr>
                <w:rFonts w:ascii="Helvetica" w:hAnsi="Helvetica" w:cs="Helvetica"/>
                <w:sz w:val="18"/>
                <w:szCs w:val="18"/>
              </w:rPr>
              <w:t xml:space="preserve"> (Ellis) Viala &amp; Ravaz</w:t>
            </w:r>
          </w:p>
        </w:tc>
        <w:tc>
          <w:tcPr>
            <w:tcW w:w="3402" w:type="dxa"/>
          </w:tcPr>
          <w:p>
            <w:pPr>
              <w:spacing w:before="20" w:after="20" w:line="240" w:lineRule="atLeast"/>
              <w:jc w:val="left"/>
              <w:rPr>
                <w:rFonts w:ascii="Helvetica" w:hAnsi="Helvetica" w:cs="Helvetica"/>
                <w:sz w:val="18"/>
                <w:szCs w:val="18"/>
              </w:rPr>
            </w:pPr>
            <w:r>
              <w:rPr>
                <w:rFonts w:ascii="Helvetica" w:hAnsi="Helvetica" w:cs="Helvetica"/>
                <w:sz w:val="18"/>
                <w:szCs w:val="18"/>
              </w:rPr>
              <w:t xml:space="preserve">Grapevine black rot </w:t>
            </w:r>
          </w:p>
        </w:tc>
      </w:tr>
      <w:tr>
        <w:tc>
          <w:tcPr>
            <w:tcW w:w="5387" w:type="dxa"/>
          </w:tcPr>
          <w:p>
            <w:pPr>
              <w:spacing w:line="240" w:lineRule="atLeast"/>
              <w:jc w:val="left"/>
              <w:rPr>
                <w:rFonts w:ascii="Arial" w:hAnsi="Arial" w:cs="Arial"/>
                <w:i/>
                <w:iCs/>
                <w:sz w:val="18"/>
                <w:szCs w:val="18"/>
              </w:rPr>
            </w:pPr>
            <w:r>
              <w:rPr>
                <w:rFonts w:ascii="Helvetica" w:hAnsi="Helvetica" w:cs="Helvetica"/>
                <w:i/>
                <w:sz w:val="18"/>
                <w:szCs w:val="18"/>
              </w:rPr>
              <w:t>Mycosphaerella</w:t>
            </w:r>
            <w:r>
              <w:rPr>
                <w:rFonts w:ascii="Helvetica" w:hAnsi="Helvetica" w:cs="Helvetica"/>
                <w:sz w:val="18"/>
                <w:szCs w:val="18"/>
              </w:rPr>
              <w:t xml:space="preserve"> </w:t>
            </w:r>
            <w:r>
              <w:rPr>
                <w:rFonts w:ascii="Helvetica" w:hAnsi="Helvetica" w:cs="Helvetica"/>
                <w:i/>
                <w:sz w:val="18"/>
                <w:szCs w:val="18"/>
              </w:rPr>
              <w:t>angulata</w:t>
            </w:r>
            <w:r>
              <w:rPr>
                <w:rFonts w:ascii="Helvetica" w:hAnsi="Helvetica" w:cs="Helvetica"/>
                <w:sz w:val="18"/>
                <w:szCs w:val="18"/>
              </w:rPr>
              <w:t xml:space="preserve"> WA Jenkins</w:t>
            </w:r>
          </w:p>
        </w:tc>
        <w:tc>
          <w:tcPr>
            <w:tcW w:w="3402" w:type="dxa"/>
          </w:tcPr>
          <w:p>
            <w:pPr>
              <w:spacing w:line="240" w:lineRule="atLeast"/>
              <w:jc w:val="left"/>
              <w:rPr>
                <w:rFonts w:ascii="Arial" w:hAnsi="Arial" w:cs="Arial"/>
                <w:sz w:val="18"/>
                <w:szCs w:val="18"/>
              </w:rPr>
            </w:pPr>
            <w:r>
              <w:rPr>
                <w:rFonts w:ascii="Helvetica" w:hAnsi="Helvetica" w:cs="Helvetica"/>
                <w:sz w:val="18"/>
                <w:szCs w:val="18"/>
              </w:rPr>
              <w:t xml:space="preserve">Grapevine angular leaf spot </w:t>
            </w:r>
          </w:p>
        </w:tc>
      </w:tr>
      <w:tr>
        <w:tc>
          <w:tcPr>
            <w:tcW w:w="5387" w:type="dxa"/>
          </w:tcPr>
          <w:p>
            <w:pPr>
              <w:spacing w:line="240" w:lineRule="atLeast"/>
              <w:jc w:val="left"/>
              <w:rPr>
                <w:rFonts w:ascii="Arial" w:hAnsi="Arial" w:cs="Arial"/>
                <w:i/>
                <w:iCs/>
                <w:sz w:val="18"/>
                <w:szCs w:val="18"/>
              </w:rPr>
            </w:pPr>
            <w:r>
              <w:rPr>
                <w:rFonts w:ascii="Helvetica" w:hAnsi="Helvetica" w:cs="Helvetica"/>
                <w:i/>
                <w:sz w:val="18"/>
                <w:szCs w:val="18"/>
              </w:rPr>
              <w:t>Physopella ampelopsidis</w:t>
            </w:r>
            <w:r>
              <w:rPr>
                <w:rFonts w:ascii="Arial" w:hAnsi="Arial" w:cs="Arial"/>
                <w:bCs/>
                <w:i/>
                <w:sz w:val="18"/>
                <w:szCs w:val="18"/>
              </w:rPr>
              <w:t xml:space="preserve"> </w:t>
            </w:r>
            <w:r>
              <w:rPr>
                <w:rFonts w:ascii="Helvetica" w:hAnsi="Helvetica" w:cs="Helvetica"/>
                <w:sz w:val="18"/>
                <w:szCs w:val="18"/>
              </w:rPr>
              <w:t>(Diet. &amp; P. Syd.) Cumm. &amp; Ramachar</w:t>
            </w:r>
            <w:r>
              <w:rPr>
                <w:rStyle w:val="FootnoteReference"/>
                <w:rFonts w:cs="Helvetica"/>
                <w:szCs w:val="18"/>
              </w:rPr>
              <w:footnoteReference w:id="2"/>
            </w:r>
          </w:p>
        </w:tc>
        <w:tc>
          <w:tcPr>
            <w:tcW w:w="3402" w:type="dxa"/>
          </w:tcPr>
          <w:p>
            <w:pPr>
              <w:spacing w:line="240" w:lineRule="atLeast"/>
              <w:jc w:val="left"/>
              <w:rPr>
                <w:rFonts w:ascii="Arial" w:hAnsi="Arial" w:cs="Arial"/>
                <w:sz w:val="18"/>
                <w:szCs w:val="18"/>
              </w:rPr>
            </w:pPr>
            <w:r>
              <w:rPr>
                <w:rFonts w:ascii="Helvetica" w:hAnsi="Helvetica" w:cs="Helvetica"/>
                <w:sz w:val="18"/>
                <w:szCs w:val="18"/>
              </w:rPr>
              <w:t xml:space="preserve">Grapevine rust </w:t>
            </w:r>
          </w:p>
        </w:tc>
      </w:tr>
      <w:tr>
        <w:tc>
          <w:tcPr>
            <w:tcW w:w="5387" w:type="dxa"/>
          </w:tcPr>
          <w:p>
            <w:pPr>
              <w:spacing w:line="240" w:lineRule="atLeast"/>
              <w:jc w:val="left"/>
              <w:rPr>
                <w:rFonts w:ascii="Arial" w:hAnsi="Arial" w:cs="Arial"/>
                <w:i/>
                <w:iCs/>
                <w:sz w:val="18"/>
                <w:szCs w:val="18"/>
              </w:rPr>
            </w:pPr>
            <w:hyperlink r:id="rId24" w:history="1">
              <w:r>
                <w:rPr>
                  <w:rFonts w:ascii="Helvetica" w:hAnsi="Helvetica" w:cs="Helvetica"/>
                  <w:i/>
                  <w:sz w:val="18"/>
                  <w:szCs w:val="18"/>
                </w:rPr>
                <w:t>Pseudopezicula tetraspora</w:t>
              </w:r>
            </w:hyperlink>
            <w:r>
              <w:rPr>
                <w:rFonts w:ascii="Helvetica" w:hAnsi="Helvetica" w:cs="Helvetica"/>
                <w:sz w:val="18"/>
                <w:szCs w:val="18"/>
              </w:rPr>
              <w:t xml:space="preserve"> Korf </w:t>
            </w:r>
            <w:r>
              <w:rPr>
                <w:rFonts w:ascii="Helvetica" w:hAnsi="Helvetica" w:cs="Helvetica"/>
                <w:i/>
                <w:sz w:val="18"/>
                <w:szCs w:val="18"/>
              </w:rPr>
              <w:t>et al</w:t>
            </w:r>
            <w:r>
              <w:rPr>
                <w:rFonts w:ascii="Helvetica" w:hAnsi="Helvetica" w:cs="Helvetica"/>
                <w:sz w:val="18"/>
                <w:szCs w:val="18"/>
              </w:rPr>
              <w:t>.</w:t>
            </w:r>
          </w:p>
        </w:tc>
        <w:tc>
          <w:tcPr>
            <w:tcW w:w="3402" w:type="dxa"/>
          </w:tcPr>
          <w:p>
            <w:pPr>
              <w:spacing w:line="240" w:lineRule="atLeast"/>
              <w:jc w:val="left"/>
              <w:rPr>
                <w:rFonts w:ascii="Arial" w:hAnsi="Arial" w:cs="Arial"/>
                <w:sz w:val="18"/>
                <w:szCs w:val="18"/>
              </w:rPr>
            </w:pPr>
            <w:r>
              <w:rPr>
                <w:rFonts w:ascii="Helvetica" w:hAnsi="Helvetica" w:cs="Helvetica"/>
                <w:sz w:val="18"/>
                <w:szCs w:val="18"/>
              </w:rPr>
              <w:t>Angular leaf scorch</w:t>
            </w:r>
          </w:p>
        </w:tc>
      </w:tr>
      <w:tr>
        <w:tc>
          <w:tcPr>
            <w:tcW w:w="5387" w:type="dxa"/>
          </w:tcPr>
          <w:p>
            <w:pPr>
              <w:spacing w:line="240" w:lineRule="atLeast"/>
              <w:jc w:val="left"/>
              <w:rPr>
                <w:rFonts w:ascii="Helvetica" w:hAnsi="Helvetica" w:cs="Helvetica"/>
                <w:i/>
                <w:sz w:val="18"/>
                <w:szCs w:val="18"/>
                <w:lang w:val="de-DE"/>
              </w:rPr>
            </w:pPr>
            <w:r>
              <w:rPr>
                <w:rFonts w:ascii="Helvetica" w:hAnsi="Helvetica" w:cs="Helvetica"/>
                <w:i/>
                <w:sz w:val="18"/>
                <w:szCs w:val="18"/>
                <w:lang w:val="de-DE"/>
              </w:rPr>
              <w:t>Ps</w:t>
            </w:r>
            <w:smartTag w:uri="urn:schemas-microsoft-com:office:smarttags" w:element="PersonName">
              <w:r>
                <w:rPr>
                  <w:rFonts w:ascii="Helvetica" w:hAnsi="Helvetica" w:cs="Helvetica"/>
                  <w:i/>
                  <w:sz w:val="18"/>
                  <w:szCs w:val="18"/>
                  <w:lang w:val="de-DE"/>
                </w:rPr>
                <w:t>eu</w:t>
              </w:r>
            </w:smartTag>
            <w:r>
              <w:rPr>
                <w:rFonts w:ascii="Helvetica" w:hAnsi="Helvetica" w:cs="Helvetica"/>
                <w:i/>
                <w:sz w:val="18"/>
                <w:szCs w:val="18"/>
                <w:lang w:val="de-DE"/>
              </w:rPr>
              <w:t xml:space="preserve">dopezicula tracheiphila </w:t>
            </w:r>
            <w:r>
              <w:rPr>
                <w:rFonts w:ascii="Helvetica" w:hAnsi="Helvetica" w:cs="Helvetica"/>
                <w:sz w:val="18"/>
                <w:szCs w:val="18"/>
                <w:lang w:val="de-DE"/>
              </w:rPr>
              <w:t xml:space="preserve">Korf </w:t>
            </w:r>
            <w:r>
              <w:rPr>
                <w:rFonts w:ascii="Helvetica" w:hAnsi="Helvetica" w:cs="Helvetica"/>
                <w:i/>
                <w:sz w:val="18"/>
                <w:szCs w:val="18"/>
                <w:lang w:val="de-DE"/>
              </w:rPr>
              <w:t>et al</w:t>
            </w:r>
            <w:r>
              <w:rPr>
                <w:rFonts w:ascii="Helvetica" w:hAnsi="Helvetica" w:cs="Helvetica"/>
                <w:sz w:val="18"/>
                <w:szCs w:val="18"/>
                <w:lang w:val="de-DE"/>
              </w:rPr>
              <w:t>.</w:t>
            </w:r>
          </w:p>
        </w:tc>
        <w:tc>
          <w:tcPr>
            <w:tcW w:w="3402" w:type="dxa"/>
          </w:tcPr>
          <w:p>
            <w:pPr>
              <w:spacing w:line="240" w:lineRule="atLeast"/>
              <w:jc w:val="left"/>
              <w:rPr>
                <w:rFonts w:ascii="Helvetica" w:hAnsi="Helvetica" w:cs="Helvetica"/>
                <w:sz w:val="18"/>
                <w:szCs w:val="18"/>
              </w:rPr>
            </w:pPr>
            <w:r>
              <w:rPr>
                <w:rFonts w:ascii="Helvetica" w:hAnsi="Helvetica" w:cs="Helvetica"/>
                <w:sz w:val="18"/>
                <w:szCs w:val="18"/>
              </w:rPr>
              <w:t>Rotbrenner</w:t>
            </w:r>
          </w:p>
        </w:tc>
      </w:tr>
      <w:tr>
        <w:tc>
          <w:tcPr>
            <w:tcW w:w="8789" w:type="dxa"/>
            <w:gridSpan w:val="2"/>
            <w:tcBorders>
              <w:top w:val="single" w:sz="12" w:space="0" w:color="008000"/>
            </w:tcBorders>
            <w:shd w:val="clear" w:color="auto" w:fill="EEECE1"/>
          </w:tcPr>
          <w:p>
            <w:pPr>
              <w:spacing w:before="20" w:after="20" w:line="240" w:lineRule="atLeast"/>
              <w:jc w:val="left"/>
              <w:rPr>
                <w:rFonts w:ascii="Verdana" w:hAnsi="Verdana" w:cs="Arial"/>
                <w:b/>
                <w:sz w:val="18"/>
                <w:szCs w:val="18"/>
              </w:rPr>
            </w:pPr>
            <w:r>
              <w:rPr>
                <w:rFonts w:ascii="Verdana" w:hAnsi="Verdana" w:cs="Arial"/>
                <w:b/>
                <w:sz w:val="18"/>
                <w:szCs w:val="18"/>
              </w:rPr>
              <w:t>VIRUSES</w:t>
            </w:r>
          </w:p>
        </w:tc>
      </w:tr>
      <w:tr>
        <w:tc>
          <w:tcPr>
            <w:tcW w:w="5387" w:type="dxa"/>
          </w:tcPr>
          <w:p>
            <w:pPr>
              <w:spacing w:line="240" w:lineRule="atLeast"/>
              <w:jc w:val="left"/>
              <w:rPr>
                <w:rFonts w:ascii="Helvetica" w:hAnsi="Helvetica" w:cs="Arial"/>
                <w:i/>
                <w:sz w:val="18"/>
                <w:szCs w:val="18"/>
              </w:rPr>
            </w:pPr>
            <w:r>
              <w:rPr>
                <w:rFonts w:ascii="Helvetica" w:hAnsi="Helvetica" w:cs="Arial"/>
                <w:i/>
                <w:sz w:val="18"/>
                <w:szCs w:val="18"/>
              </w:rPr>
              <w:t xml:space="preserve">Arabis mosaic virus </w:t>
            </w:r>
          </w:p>
        </w:tc>
        <w:tc>
          <w:tcPr>
            <w:tcW w:w="3402" w:type="dxa"/>
          </w:tcPr>
          <w:p>
            <w:pPr>
              <w:spacing w:line="240" w:lineRule="atLeast"/>
              <w:jc w:val="left"/>
              <w:rPr>
                <w:rFonts w:ascii="Helvetica" w:hAnsi="Helvetica" w:cs="Arial"/>
                <w:sz w:val="18"/>
                <w:szCs w:val="18"/>
              </w:rPr>
            </w:pPr>
            <w:r>
              <w:rPr>
                <w:rFonts w:ascii="Helvetica" w:hAnsi="Helvetica" w:cs="Arial"/>
                <w:sz w:val="18"/>
                <w:szCs w:val="18"/>
              </w:rPr>
              <w:t>AMV</w:t>
            </w:r>
          </w:p>
        </w:tc>
      </w:tr>
      <w:tr>
        <w:tc>
          <w:tcPr>
            <w:tcW w:w="5387" w:type="dxa"/>
          </w:tcPr>
          <w:p>
            <w:pPr>
              <w:spacing w:line="240" w:lineRule="atLeast"/>
              <w:jc w:val="left"/>
              <w:rPr>
                <w:rFonts w:ascii="Helvetica" w:hAnsi="Helvetica" w:cs="Arial"/>
                <w:i/>
                <w:sz w:val="18"/>
                <w:szCs w:val="18"/>
              </w:rPr>
            </w:pPr>
            <w:r>
              <w:rPr>
                <w:rFonts w:ascii="Helvetica" w:hAnsi="Helvetica" w:cs="Arial"/>
                <w:i/>
                <w:sz w:val="18"/>
                <w:szCs w:val="18"/>
              </w:rPr>
              <w:t xml:space="preserve">Grapevine ajinashika virus </w:t>
            </w:r>
          </w:p>
        </w:tc>
        <w:tc>
          <w:tcPr>
            <w:tcW w:w="3402" w:type="dxa"/>
          </w:tcPr>
          <w:p>
            <w:pPr>
              <w:spacing w:line="240" w:lineRule="atLeast"/>
              <w:jc w:val="left"/>
              <w:rPr>
                <w:rFonts w:ascii="Helvetica" w:hAnsi="Helvetica" w:cs="Arial"/>
                <w:sz w:val="18"/>
                <w:szCs w:val="18"/>
              </w:rPr>
            </w:pPr>
            <w:r>
              <w:rPr>
                <w:rFonts w:ascii="Helvetica" w:hAnsi="Helvetica" w:cs="Arial"/>
                <w:sz w:val="18"/>
                <w:szCs w:val="18"/>
              </w:rPr>
              <w:t>GAV</w:t>
            </w:r>
          </w:p>
        </w:tc>
      </w:tr>
      <w:tr>
        <w:tc>
          <w:tcPr>
            <w:tcW w:w="5387" w:type="dxa"/>
          </w:tcPr>
          <w:p>
            <w:pPr>
              <w:spacing w:line="240" w:lineRule="atLeast"/>
              <w:jc w:val="left"/>
              <w:rPr>
                <w:rFonts w:ascii="Helvetica" w:hAnsi="Helvetica" w:cs="Arial"/>
                <w:i/>
                <w:sz w:val="18"/>
                <w:szCs w:val="18"/>
              </w:rPr>
            </w:pPr>
            <w:r>
              <w:rPr>
                <w:rFonts w:ascii="Helvetica" w:hAnsi="Helvetica" w:cs="Arial"/>
                <w:i/>
                <w:sz w:val="18"/>
                <w:szCs w:val="18"/>
              </w:rPr>
              <w:t>Grapevine Bulgarian latent virus</w:t>
            </w:r>
          </w:p>
        </w:tc>
        <w:tc>
          <w:tcPr>
            <w:tcW w:w="3402" w:type="dxa"/>
          </w:tcPr>
          <w:p>
            <w:pPr>
              <w:spacing w:line="240" w:lineRule="atLeast"/>
              <w:jc w:val="left"/>
              <w:rPr>
                <w:rFonts w:ascii="Helvetica" w:hAnsi="Helvetica" w:cs="Arial"/>
                <w:sz w:val="18"/>
                <w:szCs w:val="18"/>
              </w:rPr>
            </w:pPr>
            <w:r>
              <w:rPr>
                <w:rFonts w:ascii="Helvetica" w:hAnsi="Helvetica" w:cs="Arial"/>
                <w:sz w:val="18"/>
                <w:szCs w:val="18"/>
              </w:rPr>
              <w:t>GBLV</w:t>
            </w:r>
          </w:p>
        </w:tc>
      </w:tr>
      <w:tr>
        <w:tc>
          <w:tcPr>
            <w:tcW w:w="5387" w:type="dxa"/>
          </w:tcPr>
          <w:p>
            <w:pPr>
              <w:spacing w:line="240" w:lineRule="atLeast"/>
              <w:jc w:val="left"/>
              <w:rPr>
                <w:rFonts w:ascii="Helvetica" w:hAnsi="Helvetica" w:cs="Arial"/>
                <w:i/>
                <w:sz w:val="18"/>
                <w:szCs w:val="18"/>
              </w:rPr>
            </w:pPr>
            <w:r>
              <w:rPr>
                <w:rFonts w:ascii="Helvetica" w:hAnsi="Helvetica" w:cs="Arial"/>
                <w:i/>
                <w:sz w:val="18"/>
                <w:szCs w:val="18"/>
              </w:rPr>
              <w:t>Grapevine chrome mosaic virus</w:t>
            </w:r>
          </w:p>
        </w:tc>
        <w:tc>
          <w:tcPr>
            <w:tcW w:w="3402" w:type="dxa"/>
          </w:tcPr>
          <w:p>
            <w:pPr>
              <w:spacing w:line="240" w:lineRule="atLeast"/>
              <w:jc w:val="left"/>
              <w:rPr>
                <w:rFonts w:ascii="Helvetica" w:hAnsi="Helvetica" w:cs="Arial"/>
                <w:sz w:val="18"/>
                <w:szCs w:val="18"/>
              </w:rPr>
            </w:pPr>
            <w:r>
              <w:rPr>
                <w:rFonts w:ascii="Helvetica" w:hAnsi="Helvetica" w:cs="Arial"/>
                <w:sz w:val="18"/>
                <w:szCs w:val="18"/>
              </w:rPr>
              <w:t>GCMV</w:t>
            </w:r>
          </w:p>
        </w:tc>
      </w:tr>
      <w:tr>
        <w:tc>
          <w:tcPr>
            <w:tcW w:w="5387" w:type="dxa"/>
          </w:tcPr>
          <w:p>
            <w:pPr>
              <w:spacing w:line="240" w:lineRule="atLeast"/>
              <w:jc w:val="left"/>
              <w:rPr>
                <w:rFonts w:ascii="Helvetica" w:hAnsi="Helvetica" w:cs="Arial"/>
                <w:i/>
                <w:sz w:val="18"/>
                <w:szCs w:val="18"/>
              </w:rPr>
            </w:pPr>
            <w:r>
              <w:rPr>
                <w:rFonts w:ascii="Helvetica" w:hAnsi="Helvetica" w:cs="Arial"/>
                <w:i/>
                <w:sz w:val="18"/>
                <w:szCs w:val="18"/>
              </w:rPr>
              <w:t xml:space="preserve">Grapevine corky bark-associated virus </w:t>
            </w:r>
          </w:p>
        </w:tc>
        <w:tc>
          <w:tcPr>
            <w:tcW w:w="3402" w:type="dxa"/>
          </w:tcPr>
          <w:p>
            <w:pPr>
              <w:spacing w:line="240" w:lineRule="atLeast"/>
              <w:jc w:val="left"/>
              <w:rPr>
                <w:rFonts w:ascii="Helvetica" w:hAnsi="Helvetica" w:cs="Arial"/>
                <w:sz w:val="18"/>
                <w:szCs w:val="18"/>
              </w:rPr>
            </w:pPr>
            <w:r>
              <w:rPr>
                <w:rFonts w:ascii="Helvetica" w:hAnsi="Helvetica" w:cs="Arial"/>
                <w:sz w:val="18"/>
                <w:szCs w:val="18"/>
              </w:rPr>
              <w:t>GCBaV</w:t>
            </w:r>
          </w:p>
        </w:tc>
      </w:tr>
      <w:tr>
        <w:tc>
          <w:tcPr>
            <w:tcW w:w="5387" w:type="dxa"/>
          </w:tcPr>
          <w:p>
            <w:pPr>
              <w:spacing w:line="240" w:lineRule="atLeast"/>
              <w:jc w:val="left"/>
              <w:rPr>
                <w:rFonts w:ascii="Helvetica" w:hAnsi="Helvetica" w:cs="Arial"/>
                <w:i/>
                <w:sz w:val="18"/>
                <w:szCs w:val="18"/>
              </w:rPr>
            </w:pPr>
            <w:r>
              <w:rPr>
                <w:rFonts w:ascii="Helvetica" w:hAnsi="Helvetica" w:cs="Arial"/>
                <w:i/>
                <w:sz w:val="18"/>
                <w:szCs w:val="18"/>
              </w:rPr>
              <w:t>Grapevine fanleaf virus</w:t>
            </w:r>
          </w:p>
        </w:tc>
        <w:tc>
          <w:tcPr>
            <w:tcW w:w="3402" w:type="dxa"/>
          </w:tcPr>
          <w:p>
            <w:pPr>
              <w:spacing w:line="240" w:lineRule="atLeast"/>
              <w:jc w:val="left"/>
              <w:rPr>
                <w:rFonts w:ascii="Helvetica" w:hAnsi="Helvetica" w:cs="Arial"/>
                <w:sz w:val="18"/>
                <w:szCs w:val="18"/>
              </w:rPr>
            </w:pPr>
            <w:r>
              <w:rPr>
                <w:rFonts w:ascii="Helvetica" w:hAnsi="Helvetica" w:cs="Arial"/>
                <w:sz w:val="18"/>
                <w:szCs w:val="18"/>
              </w:rPr>
              <w:t>GFLV</w:t>
            </w:r>
          </w:p>
        </w:tc>
      </w:tr>
      <w:tr>
        <w:tc>
          <w:tcPr>
            <w:tcW w:w="5387" w:type="dxa"/>
          </w:tcPr>
          <w:p>
            <w:pPr>
              <w:spacing w:line="240" w:lineRule="atLeast"/>
              <w:jc w:val="left"/>
              <w:rPr>
                <w:rFonts w:ascii="Helvetica" w:hAnsi="Helvetica" w:cs="Arial"/>
                <w:i/>
                <w:sz w:val="18"/>
                <w:szCs w:val="18"/>
              </w:rPr>
            </w:pPr>
            <w:r>
              <w:rPr>
                <w:rFonts w:ascii="Helvetica" w:hAnsi="Helvetica" w:cs="Arial"/>
                <w:i/>
                <w:sz w:val="18"/>
                <w:szCs w:val="18"/>
              </w:rPr>
              <w:t>Grapevine Joannes Seyve virus</w:t>
            </w:r>
          </w:p>
        </w:tc>
        <w:tc>
          <w:tcPr>
            <w:tcW w:w="3402" w:type="dxa"/>
          </w:tcPr>
          <w:p>
            <w:pPr>
              <w:spacing w:line="240" w:lineRule="atLeast"/>
              <w:jc w:val="left"/>
              <w:rPr>
                <w:rFonts w:ascii="Helvetica" w:hAnsi="Helvetica" w:cs="Arial"/>
                <w:sz w:val="18"/>
                <w:szCs w:val="18"/>
              </w:rPr>
            </w:pPr>
            <w:r>
              <w:rPr>
                <w:rFonts w:ascii="Helvetica" w:hAnsi="Helvetica" w:cs="Arial"/>
                <w:sz w:val="18"/>
                <w:szCs w:val="18"/>
              </w:rPr>
              <w:t>GJSV</w:t>
            </w:r>
          </w:p>
        </w:tc>
      </w:tr>
      <w:tr>
        <w:tc>
          <w:tcPr>
            <w:tcW w:w="5387" w:type="dxa"/>
          </w:tcPr>
          <w:p>
            <w:pPr>
              <w:spacing w:line="240" w:lineRule="atLeast"/>
              <w:jc w:val="left"/>
              <w:rPr>
                <w:rFonts w:ascii="Helvetica" w:hAnsi="Helvetica" w:cs="Arial"/>
                <w:i/>
                <w:sz w:val="18"/>
                <w:szCs w:val="18"/>
              </w:rPr>
            </w:pPr>
            <w:r>
              <w:rPr>
                <w:rFonts w:ascii="Helvetica" w:hAnsi="Helvetica" w:cs="Arial"/>
                <w:i/>
                <w:sz w:val="18"/>
                <w:szCs w:val="18"/>
              </w:rPr>
              <w:t>Tomato ringspot virus</w:t>
            </w:r>
          </w:p>
        </w:tc>
        <w:tc>
          <w:tcPr>
            <w:tcW w:w="3402" w:type="dxa"/>
          </w:tcPr>
          <w:p>
            <w:pPr>
              <w:spacing w:line="240" w:lineRule="atLeast"/>
              <w:jc w:val="left"/>
              <w:rPr>
                <w:rFonts w:ascii="Helvetica" w:hAnsi="Helvetica" w:cs="Arial"/>
                <w:sz w:val="18"/>
                <w:szCs w:val="18"/>
              </w:rPr>
            </w:pPr>
            <w:r>
              <w:rPr>
                <w:rFonts w:ascii="Helvetica" w:hAnsi="Helvetica" w:cs="Arial"/>
                <w:sz w:val="18"/>
                <w:szCs w:val="18"/>
              </w:rPr>
              <w:t>ToRSV</w:t>
            </w:r>
          </w:p>
        </w:tc>
      </w:tr>
      <w:tr>
        <w:tc>
          <w:tcPr>
            <w:tcW w:w="8789" w:type="dxa"/>
            <w:gridSpan w:val="2"/>
            <w:tcBorders>
              <w:top w:val="single" w:sz="12" w:space="0" w:color="008000"/>
            </w:tcBorders>
            <w:shd w:val="clear" w:color="auto" w:fill="EEECE1"/>
          </w:tcPr>
          <w:p>
            <w:pPr>
              <w:spacing w:line="240" w:lineRule="atLeast"/>
              <w:jc w:val="left"/>
              <w:rPr>
                <w:rFonts w:ascii="Verdana" w:hAnsi="Verdana" w:cs="Arial"/>
                <w:b/>
                <w:sz w:val="18"/>
                <w:szCs w:val="18"/>
              </w:rPr>
            </w:pPr>
            <w:r>
              <w:rPr>
                <w:rFonts w:ascii="Verdana" w:hAnsi="Verdana" w:cs="Arial"/>
                <w:b/>
                <w:sz w:val="18"/>
                <w:szCs w:val="18"/>
              </w:rPr>
              <w:t xml:space="preserve">PHYTOPLASMA </w:t>
            </w:r>
          </w:p>
        </w:tc>
      </w:tr>
      <w:tr>
        <w:tc>
          <w:tcPr>
            <w:tcW w:w="8789" w:type="dxa"/>
            <w:gridSpan w:val="2"/>
            <w:shd w:val="clear" w:color="auto" w:fill="F2F2F2"/>
          </w:tcPr>
          <w:p>
            <w:pPr>
              <w:spacing w:line="240" w:lineRule="atLeast"/>
              <w:jc w:val="left"/>
              <w:rPr>
                <w:rFonts w:ascii="Helvetica" w:hAnsi="Helvetica" w:cs="Arial"/>
                <w:sz w:val="18"/>
                <w:szCs w:val="18"/>
              </w:rPr>
            </w:pPr>
            <w:r>
              <w:rPr>
                <w:rFonts w:ascii="Verdana" w:hAnsi="Verdana" w:cs="Arial"/>
                <w:b/>
                <w:sz w:val="18"/>
                <w:szCs w:val="18"/>
              </w:rPr>
              <w:t>ELM</w:t>
            </w:r>
            <w:r>
              <w:rPr>
                <w:rFonts w:ascii="Verdana" w:hAnsi="Verdana" w:cs="Arial"/>
                <w:b/>
                <w:sz w:val="16"/>
                <w:szCs w:val="16"/>
              </w:rPr>
              <w:t xml:space="preserve"> YELLOWS GROUP</w:t>
            </w:r>
          </w:p>
        </w:tc>
      </w:tr>
      <w:tr>
        <w:tc>
          <w:tcPr>
            <w:tcW w:w="5387" w:type="dxa"/>
          </w:tcPr>
          <w:p>
            <w:pPr>
              <w:spacing w:line="240" w:lineRule="atLeast"/>
              <w:jc w:val="left"/>
              <w:rPr>
                <w:rFonts w:ascii="Helvetica" w:hAnsi="Helvetica" w:cs="Arial"/>
                <w:sz w:val="18"/>
                <w:szCs w:val="18"/>
              </w:rPr>
            </w:pPr>
            <w:r>
              <w:rPr>
                <w:rFonts w:ascii="Helvetica" w:hAnsi="Helvetica" w:cs="Arial"/>
                <w:sz w:val="18"/>
                <w:szCs w:val="18"/>
              </w:rPr>
              <w:t>Flavescence dorée phytoplasma</w:t>
            </w:r>
          </w:p>
        </w:tc>
        <w:tc>
          <w:tcPr>
            <w:tcW w:w="3402" w:type="dxa"/>
          </w:tcPr>
          <w:p>
            <w:pPr>
              <w:spacing w:line="240" w:lineRule="atLeast"/>
              <w:jc w:val="left"/>
              <w:rPr>
                <w:rFonts w:ascii="Helvetica" w:hAnsi="Helvetica" w:cs="Arial"/>
                <w:sz w:val="18"/>
                <w:szCs w:val="18"/>
              </w:rPr>
            </w:pPr>
          </w:p>
        </w:tc>
      </w:tr>
      <w:tr>
        <w:tc>
          <w:tcPr>
            <w:tcW w:w="5387" w:type="dxa"/>
          </w:tcPr>
          <w:p>
            <w:pPr>
              <w:spacing w:line="240" w:lineRule="atLeast"/>
              <w:jc w:val="left"/>
              <w:rPr>
                <w:rFonts w:ascii="Helvetica" w:hAnsi="Helvetica" w:cs="Arial"/>
                <w:sz w:val="18"/>
                <w:szCs w:val="18"/>
              </w:rPr>
            </w:pPr>
            <w:smartTag w:uri="urn:schemas-microsoft-com:office:smarttags" w:element="place">
              <w:r>
                <w:rPr>
                  <w:rFonts w:ascii="Helvetica" w:hAnsi="Helvetica" w:cs="Arial"/>
                  <w:sz w:val="18"/>
                  <w:szCs w:val="18"/>
                </w:rPr>
                <w:t>Palatinate</w:t>
              </w:r>
            </w:smartTag>
            <w:r>
              <w:rPr>
                <w:rFonts w:ascii="Helvetica" w:hAnsi="Helvetica" w:cs="Arial"/>
                <w:sz w:val="18"/>
                <w:szCs w:val="18"/>
              </w:rPr>
              <w:t xml:space="preserve"> phytoplasma</w:t>
            </w:r>
          </w:p>
        </w:tc>
        <w:tc>
          <w:tcPr>
            <w:tcW w:w="3402" w:type="dxa"/>
          </w:tcPr>
          <w:p>
            <w:pPr>
              <w:spacing w:line="240" w:lineRule="atLeast"/>
              <w:jc w:val="left"/>
              <w:rPr>
                <w:rFonts w:ascii="Helvetica" w:hAnsi="Helvetica" w:cs="Arial"/>
                <w:sz w:val="18"/>
                <w:szCs w:val="18"/>
              </w:rPr>
            </w:pPr>
          </w:p>
        </w:tc>
      </w:tr>
      <w:tr>
        <w:tc>
          <w:tcPr>
            <w:tcW w:w="8789" w:type="dxa"/>
            <w:gridSpan w:val="2"/>
            <w:shd w:val="clear" w:color="auto" w:fill="F2F2F2"/>
          </w:tcPr>
          <w:p>
            <w:pPr>
              <w:spacing w:line="240" w:lineRule="atLeast"/>
              <w:jc w:val="left"/>
              <w:rPr>
                <w:rFonts w:ascii="Helvetica" w:hAnsi="Helvetica" w:cs="Arial"/>
                <w:sz w:val="18"/>
                <w:szCs w:val="18"/>
              </w:rPr>
            </w:pPr>
            <w:r>
              <w:rPr>
                <w:rFonts w:ascii="Verdana" w:hAnsi="Verdana" w:cs="Arial"/>
                <w:b/>
                <w:sz w:val="16"/>
                <w:szCs w:val="16"/>
              </w:rPr>
              <w:lastRenderedPageBreak/>
              <w:t>STOLBUR GROUP</w:t>
            </w:r>
          </w:p>
        </w:tc>
      </w:tr>
      <w:tr>
        <w:tc>
          <w:tcPr>
            <w:tcW w:w="5387" w:type="dxa"/>
          </w:tcPr>
          <w:p>
            <w:pPr>
              <w:spacing w:line="240" w:lineRule="atLeast"/>
              <w:jc w:val="left"/>
              <w:rPr>
                <w:rFonts w:ascii="Helvetica" w:hAnsi="Helvetica" w:cs="Arial"/>
                <w:sz w:val="18"/>
                <w:szCs w:val="18"/>
              </w:rPr>
            </w:pPr>
            <w:r>
              <w:rPr>
                <w:rFonts w:ascii="Helvetica" w:hAnsi="Helvetica" w:cs="Arial"/>
                <w:sz w:val="18"/>
                <w:szCs w:val="18"/>
              </w:rPr>
              <w:t>Bois noir phytoplasma</w:t>
            </w:r>
          </w:p>
        </w:tc>
        <w:tc>
          <w:tcPr>
            <w:tcW w:w="3402" w:type="dxa"/>
          </w:tcPr>
          <w:p>
            <w:pPr>
              <w:spacing w:line="240" w:lineRule="atLeast"/>
              <w:jc w:val="left"/>
              <w:rPr>
                <w:rFonts w:ascii="Helvetica" w:hAnsi="Helvetica" w:cs="Arial"/>
                <w:sz w:val="18"/>
                <w:szCs w:val="18"/>
              </w:rPr>
            </w:pPr>
          </w:p>
        </w:tc>
      </w:tr>
      <w:tr>
        <w:tc>
          <w:tcPr>
            <w:tcW w:w="5387" w:type="dxa"/>
          </w:tcPr>
          <w:p>
            <w:pPr>
              <w:spacing w:line="240" w:lineRule="atLeast"/>
              <w:jc w:val="left"/>
              <w:rPr>
                <w:rFonts w:ascii="Helvetica" w:hAnsi="Helvetica" w:cs="Arial"/>
                <w:sz w:val="18"/>
                <w:szCs w:val="18"/>
              </w:rPr>
            </w:pPr>
            <w:r>
              <w:rPr>
                <w:rFonts w:ascii="Helvetica" w:hAnsi="Helvetica" w:cs="Arial"/>
                <w:sz w:val="18"/>
                <w:szCs w:val="18"/>
              </w:rPr>
              <w:t>Vergilbungskrankheit</w:t>
            </w:r>
          </w:p>
        </w:tc>
        <w:tc>
          <w:tcPr>
            <w:tcW w:w="3402" w:type="dxa"/>
          </w:tcPr>
          <w:p>
            <w:pPr>
              <w:spacing w:line="240" w:lineRule="atLeast"/>
              <w:jc w:val="left"/>
              <w:rPr>
                <w:rFonts w:ascii="Helvetica" w:hAnsi="Helvetica" w:cs="Arial"/>
                <w:sz w:val="18"/>
                <w:szCs w:val="18"/>
              </w:rPr>
            </w:pPr>
          </w:p>
        </w:tc>
      </w:tr>
      <w:tr>
        <w:tc>
          <w:tcPr>
            <w:tcW w:w="8789" w:type="dxa"/>
            <w:gridSpan w:val="2"/>
            <w:shd w:val="clear" w:color="auto" w:fill="F2F2F2"/>
          </w:tcPr>
          <w:p>
            <w:pPr>
              <w:spacing w:line="240" w:lineRule="atLeast"/>
              <w:jc w:val="left"/>
              <w:rPr>
                <w:rFonts w:ascii="Helvetica" w:hAnsi="Helvetica" w:cs="Arial"/>
                <w:sz w:val="18"/>
                <w:szCs w:val="18"/>
              </w:rPr>
            </w:pPr>
            <w:r>
              <w:rPr>
                <w:rFonts w:ascii="Verdana" w:hAnsi="Verdana" w:cs="Arial"/>
                <w:b/>
                <w:sz w:val="16"/>
                <w:szCs w:val="16"/>
              </w:rPr>
              <w:t>ASTER YELLOWS GROUP</w:t>
            </w:r>
          </w:p>
        </w:tc>
      </w:tr>
      <w:tr>
        <w:tc>
          <w:tcPr>
            <w:tcW w:w="5387" w:type="dxa"/>
          </w:tcPr>
          <w:p>
            <w:pPr>
              <w:spacing w:line="240" w:lineRule="atLeast"/>
              <w:jc w:val="left"/>
              <w:rPr>
                <w:rFonts w:ascii="Helvetica" w:hAnsi="Helvetica" w:cs="Arial"/>
                <w:sz w:val="18"/>
                <w:szCs w:val="18"/>
              </w:rPr>
            </w:pPr>
            <w:r>
              <w:rPr>
                <w:rFonts w:ascii="Helvetica" w:hAnsi="Helvetica" w:cs="Arial"/>
                <w:sz w:val="18"/>
                <w:szCs w:val="18"/>
              </w:rPr>
              <w:t>VGY-I phytoplasma</w:t>
            </w:r>
          </w:p>
        </w:tc>
        <w:tc>
          <w:tcPr>
            <w:tcW w:w="3402" w:type="dxa"/>
          </w:tcPr>
          <w:p>
            <w:pPr>
              <w:spacing w:line="240" w:lineRule="atLeast"/>
              <w:jc w:val="left"/>
              <w:rPr>
                <w:rFonts w:ascii="Helvetica" w:hAnsi="Helvetica" w:cs="Arial"/>
                <w:sz w:val="18"/>
                <w:szCs w:val="18"/>
              </w:rPr>
            </w:pPr>
          </w:p>
        </w:tc>
      </w:tr>
      <w:tr>
        <w:tc>
          <w:tcPr>
            <w:tcW w:w="5387" w:type="dxa"/>
          </w:tcPr>
          <w:p>
            <w:pPr>
              <w:spacing w:line="240" w:lineRule="atLeast"/>
              <w:jc w:val="left"/>
              <w:rPr>
                <w:rFonts w:ascii="Helvetica" w:hAnsi="Helvetica" w:cs="Arial"/>
                <w:sz w:val="18"/>
                <w:szCs w:val="18"/>
              </w:rPr>
            </w:pPr>
            <w:r>
              <w:rPr>
                <w:rFonts w:ascii="Helvetica" w:hAnsi="Helvetica" w:cs="Arial"/>
                <w:sz w:val="18"/>
                <w:szCs w:val="18"/>
              </w:rPr>
              <w:t>Other phytoplasmas</w:t>
            </w:r>
          </w:p>
        </w:tc>
        <w:tc>
          <w:tcPr>
            <w:tcW w:w="3402" w:type="dxa"/>
          </w:tcPr>
          <w:p>
            <w:pPr>
              <w:spacing w:line="240" w:lineRule="atLeast"/>
              <w:jc w:val="left"/>
              <w:rPr>
                <w:rFonts w:ascii="Helvetica" w:hAnsi="Helvetica" w:cs="Arial"/>
                <w:sz w:val="18"/>
                <w:szCs w:val="18"/>
              </w:rPr>
            </w:pPr>
          </w:p>
        </w:tc>
      </w:tr>
      <w:tr>
        <w:tc>
          <w:tcPr>
            <w:tcW w:w="8789" w:type="dxa"/>
            <w:gridSpan w:val="2"/>
            <w:shd w:val="clear" w:color="auto" w:fill="F2F2F2"/>
          </w:tcPr>
          <w:p>
            <w:pPr>
              <w:spacing w:line="240" w:lineRule="atLeast"/>
              <w:jc w:val="left"/>
              <w:rPr>
                <w:rFonts w:ascii="Helvetica" w:hAnsi="Helvetica" w:cs="Arial"/>
                <w:sz w:val="18"/>
                <w:szCs w:val="18"/>
              </w:rPr>
            </w:pPr>
            <w:r>
              <w:rPr>
                <w:rFonts w:ascii="Verdana" w:hAnsi="Verdana" w:cs="Arial"/>
                <w:b/>
                <w:sz w:val="16"/>
                <w:szCs w:val="16"/>
              </w:rPr>
              <w:t>WX PHYTOPLASMA</w:t>
            </w:r>
          </w:p>
        </w:tc>
      </w:tr>
      <w:tr>
        <w:tc>
          <w:tcPr>
            <w:tcW w:w="5387" w:type="dxa"/>
          </w:tcPr>
          <w:p>
            <w:pPr>
              <w:spacing w:line="240" w:lineRule="atLeast"/>
              <w:jc w:val="left"/>
              <w:rPr>
                <w:rFonts w:ascii="Helvetica" w:hAnsi="Helvetica" w:cs="Arial"/>
                <w:sz w:val="18"/>
                <w:szCs w:val="18"/>
              </w:rPr>
            </w:pPr>
            <w:r>
              <w:rPr>
                <w:rFonts w:ascii="Helvetica" w:hAnsi="Helvetica" w:cs="Arial"/>
                <w:sz w:val="18"/>
                <w:szCs w:val="18"/>
              </w:rPr>
              <w:t>VGY-III phytoplasma</w:t>
            </w:r>
          </w:p>
        </w:tc>
        <w:tc>
          <w:tcPr>
            <w:tcW w:w="3402" w:type="dxa"/>
          </w:tcPr>
          <w:p>
            <w:pPr>
              <w:spacing w:line="240" w:lineRule="atLeast"/>
              <w:jc w:val="left"/>
              <w:rPr>
                <w:rFonts w:ascii="Helvetica" w:hAnsi="Helvetica" w:cs="Arial"/>
                <w:sz w:val="18"/>
                <w:szCs w:val="18"/>
              </w:rPr>
            </w:pPr>
          </w:p>
        </w:tc>
      </w:tr>
      <w:tr>
        <w:tc>
          <w:tcPr>
            <w:tcW w:w="5387" w:type="dxa"/>
          </w:tcPr>
          <w:p>
            <w:pPr>
              <w:spacing w:line="240" w:lineRule="atLeast"/>
              <w:jc w:val="left"/>
              <w:rPr>
                <w:rFonts w:ascii="Helvetica" w:hAnsi="Helvetica" w:cs="Arial"/>
                <w:b/>
                <w:sz w:val="18"/>
                <w:szCs w:val="18"/>
              </w:rPr>
            </w:pPr>
            <w:r>
              <w:rPr>
                <w:rFonts w:ascii="Helvetica" w:hAnsi="Helvetica" w:cs="Arial"/>
                <w:sz w:val="18"/>
                <w:szCs w:val="18"/>
              </w:rPr>
              <w:t>Other phytoplasmas</w:t>
            </w:r>
          </w:p>
        </w:tc>
        <w:tc>
          <w:tcPr>
            <w:tcW w:w="3402" w:type="dxa"/>
          </w:tcPr>
          <w:p>
            <w:pPr>
              <w:spacing w:line="240" w:lineRule="atLeast"/>
              <w:jc w:val="left"/>
              <w:rPr>
                <w:rFonts w:ascii="Helvetica" w:hAnsi="Helvetica" w:cs="Arial"/>
                <w:sz w:val="18"/>
                <w:szCs w:val="18"/>
              </w:rPr>
            </w:pPr>
          </w:p>
        </w:tc>
      </w:tr>
    </w:tbl>
    <w:p>
      <w:pPr>
        <w:spacing w:before="180" w:line="280" w:lineRule="atLeast"/>
        <w:jc w:val="left"/>
      </w:pPr>
      <w:bookmarkStart w:id="44" w:name="_Toc275422307"/>
      <w:bookmarkStart w:id="45" w:name="_Toc275502448"/>
      <w:bookmarkEnd w:id="34"/>
      <w:r>
        <w:t>As a result of this review, changes have been made to the list of quarantine pathogens.</w:t>
      </w:r>
    </w:p>
    <w:p>
      <w:pPr>
        <w:pStyle w:val="Heading3"/>
        <w:widowControl/>
        <w:tabs>
          <w:tab w:val="left" w:pos="1260"/>
        </w:tabs>
        <w:overflowPunct w:val="0"/>
        <w:autoSpaceDE w:val="0"/>
        <w:autoSpaceDN w:val="0"/>
        <w:ind w:left="1259" w:hanging="1259"/>
        <w:jc w:val="left"/>
        <w:rPr>
          <w:rFonts w:ascii="Verdana" w:hAnsi="Verdana" w:cs="Arial"/>
          <w:bCs/>
          <w:sz w:val="26"/>
          <w:szCs w:val="26"/>
        </w:rPr>
      </w:pPr>
      <w:bookmarkStart w:id="46" w:name="_Toc345423504"/>
      <w:r>
        <w:rPr>
          <w:rFonts w:ascii="Verdana" w:hAnsi="Verdana" w:cs="Arial"/>
          <w:bCs/>
          <w:sz w:val="26"/>
          <w:szCs w:val="26"/>
        </w:rPr>
        <w:t>1.2.2</w:t>
      </w:r>
      <w:r>
        <w:rPr>
          <w:rFonts w:ascii="Verdana" w:hAnsi="Verdana" w:cs="Arial"/>
          <w:bCs/>
          <w:sz w:val="26"/>
          <w:szCs w:val="26"/>
        </w:rPr>
        <w:tab/>
        <w:t>Scope</w:t>
      </w:r>
      <w:bookmarkEnd w:id="44"/>
      <w:bookmarkEnd w:id="45"/>
      <w:bookmarkEnd w:id="46"/>
    </w:p>
    <w:p>
      <w:pPr>
        <w:spacing w:line="275" w:lineRule="atLeast"/>
        <w:jc w:val="left"/>
        <w:rPr>
          <w:bCs/>
        </w:rPr>
      </w:pPr>
      <w:bookmarkStart w:id="47" w:name="_Toc165093567"/>
      <w:r>
        <w:rPr>
          <w:i/>
        </w:rPr>
        <w:t xml:space="preserve">Vitis </w:t>
      </w:r>
      <w:r>
        <w:t xml:space="preserve">propagative material can currently be imported as dormant cuttings, tissue cultures (microplantlets) or seed. Whole plants (other than tissue cultures) of </w:t>
      </w:r>
      <w:r>
        <w:rPr>
          <w:i/>
        </w:rPr>
        <w:t xml:space="preserve">Vitis </w:t>
      </w:r>
      <w:r>
        <w:t xml:space="preserve">are not allowed entry into Australia, due to their significantly higher risk in comparison to other types of nursery stock commodities. Therefore, whole plants are not considered in this review. </w:t>
      </w:r>
      <w:r>
        <w:rPr>
          <w:bCs/>
        </w:rPr>
        <w:t xml:space="preserve">The </w:t>
      </w:r>
      <w:r>
        <w:t>scope</w:t>
      </w:r>
      <w:r>
        <w:rPr>
          <w:bCs/>
        </w:rPr>
        <w:t xml:space="preserve"> of this review of existing policy is limited to:</w:t>
      </w:r>
    </w:p>
    <w:p>
      <w:pPr>
        <w:pStyle w:val="AQISBullet"/>
        <w:numPr>
          <w:ilvl w:val="0"/>
          <w:numId w:val="14"/>
        </w:numPr>
        <w:spacing w:before="40"/>
        <w:ind w:left="357" w:hanging="357"/>
        <w:jc w:val="left"/>
        <w:rPr>
          <w:bCs/>
          <w:sz w:val="24"/>
          <w:szCs w:val="24"/>
        </w:rPr>
      </w:pPr>
      <w:r>
        <w:rPr>
          <w:bCs/>
          <w:sz w:val="24"/>
          <w:szCs w:val="24"/>
        </w:rPr>
        <w:t>the identification of biosecurity risks associated with grapevine propagative material (dormant cuttings, tissue cultures and seed) from all sources;</w:t>
      </w:r>
    </w:p>
    <w:p>
      <w:pPr>
        <w:pStyle w:val="AQISBullet"/>
        <w:numPr>
          <w:ilvl w:val="0"/>
          <w:numId w:val="14"/>
        </w:numPr>
        <w:spacing w:before="40"/>
        <w:ind w:left="357" w:hanging="357"/>
        <w:jc w:val="left"/>
        <w:rPr>
          <w:bCs/>
          <w:sz w:val="24"/>
          <w:szCs w:val="24"/>
        </w:rPr>
      </w:pPr>
      <w:r>
        <w:rPr>
          <w:bCs/>
          <w:sz w:val="24"/>
          <w:szCs w:val="24"/>
        </w:rPr>
        <w:t xml:space="preserve">the evaluation of existing risk management measures for the identified risks; and </w:t>
      </w:r>
    </w:p>
    <w:p>
      <w:pPr>
        <w:pStyle w:val="AQISBullet"/>
        <w:numPr>
          <w:ilvl w:val="0"/>
          <w:numId w:val="14"/>
        </w:numPr>
        <w:spacing w:before="40"/>
        <w:ind w:left="357" w:hanging="357"/>
        <w:jc w:val="left"/>
        <w:rPr>
          <w:bCs/>
          <w:sz w:val="24"/>
          <w:szCs w:val="24"/>
        </w:rPr>
      </w:pPr>
      <w:r>
        <w:rPr>
          <w:bCs/>
          <w:sz w:val="24"/>
          <w:szCs w:val="24"/>
        </w:rPr>
        <w:t xml:space="preserve">the </w:t>
      </w:r>
      <w:r>
        <w:rPr>
          <w:sz w:val="24"/>
          <w:szCs w:val="24"/>
        </w:rPr>
        <w:t>proposal of additional measures where appropriate.</w:t>
      </w:r>
    </w:p>
    <w:p>
      <w:pPr>
        <w:spacing w:before="120" w:line="275" w:lineRule="atLeast"/>
        <w:jc w:val="left"/>
        <w:rPr>
          <w:bCs/>
        </w:rPr>
      </w:pPr>
      <w:r>
        <w:rPr>
          <w:bCs/>
        </w:rPr>
        <w:t>This review does not consider existing phytosanitary measures during the pest risk assessment. Existing phytosanitary measures are only considered during the development of risk management measures, if they are required, following the pest risk analysis.</w:t>
      </w:r>
    </w:p>
    <w:p>
      <w:pPr>
        <w:pStyle w:val="Heading3"/>
        <w:widowControl/>
        <w:tabs>
          <w:tab w:val="left" w:pos="1260"/>
        </w:tabs>
        <w:overflowPunct w:val="0"/>
        <w:autoSpaceDE w:val="0"/>
        <w:autoSpaceDN w:val="0"/>
        <w:ind w:left="1259" w:hanging="1259"/>
        <w:jc w:val="left"/>
        <w:rPr>
          <w:rFonts w:ascii="Verdana" w:hAnsi="Verdana" w:cs="Arial"/>
          <w:bCs/>
          <w:sz w:val="26"/>
          <w:szCs w:val="26"/>
        </w:rPr>
      </w:pPr>
      <w:bookmarkStart w:id="48" w:name="_Toc260727023"/>
      <w:bookmarkStart w:id="49" w:name="_Toc275422308"/>
      <w:bookmarkStart w:id="50" w:name="_Toc275502449"/>
      <w:bookmarkStart w:id="51" w:name="_Toc345423505"/>
      <w:bookmarkStart w:id="52" w:name="_Toc183419732"/>
      <w:bookmarkEnd w:id="47"/>
      <w:r>
        <w:rPr>
          <w:rFonts w:ascii="Verdana" w:hAnsi="Verdana" w:cs="Arial"/>
          <w:bCs/>
          <w:sz w:val="26"/>
          <w:szCs w:val="26"/>
        </w:rPr>
        <w:t>1.2.3</w:t>
      </w:r>
      <w:r>
        <w:rPr>
          <w:rFonts w:ascii="Verdana" w:hAnsi="Verdana" w:cs="Arial"/>
          <w:bCs/>
          <w:sz w:val="26"/>
          <w:szCs w:val="26"/>
        </w:rPr>
        <w:tab/>
        <w:t xml:space="preserve">Existing import policy for </w:t>
      </w:r>
      <w:bookmarkEnd w:id="48"/>
      <w:r>
        <w:rPr>
          <w:rFonts w:ascii="Verdana" w:hAnsi="Verdana" w:cs="Arial"/>
          <w:bCs/>
          <w:sz w:val="26"/>
          <w:szCs w:val="26"/>
        </w:rPr>
        <w:t>grapevine propagative material</w:t>
      </w:r>
      <w:bookmarkEnd w:id="49"/>
      <w:bookmarkEnd w:id="50"/>
      <w:bookmarkEnd w:id="51"/>
    </w:p>
    <w:p>
      <w:pPr>
        <w:spacing w:line="275" w:lineRule="atLeast"/>
        <w:jc w:val="left"/>
      </w:pPr>
      <w:bookmarkStart w:id="53" w:name="_Toc193278438"/>
      <w:bookmarkEnd w:id="52"/>
      <w:r>
        <w:t>There are a number of grapevine</w:t>
      </w:r>
      <w:r>
        <w:rPr>
          <w:i/>
        </w:rPr>
        <w:t xml:space="preserve"> </w:t>
      </w:r>
      <w:r>
        <w:t>species (</w:t>
      </w:r>
      <w:r>
        <w:rPr>
          <w:i/>
        </w:rPr>
        <w:t>Vitis</w:t>
      </w:r>
      <w:r>
        <w:t xml:space="preserve"> species) that are currently permitted entry into Australia as propagative material (dormant cuttings, tissue cultures and seed), subject to specific import conditions.  These conditions are available on the Import CONditions database (ICON) at </w:t>
      </w:r>
      <w:hyperlink r:id="rId25" w:history="1">
        <w:r>
          <w:rPr>
            <w:rStyle w:val="Hyperlink"/>
            <w:color w:val="auto"/>
            <w:u w:val="none"/>
          </w:rPr>
          <w:t>http://www.aqis.gov.au/icon</w:t>
        </w:r>
      </w:hyperlink>
      <w:r>
        <w:t xml:space="preserve">. The list of </w:t>
      </w:r>
      <w:r>
        <w:rPr>
          <w:i/>
        </w:rPr>
        <w:t xml:space="preserve">Vitis </w:t>
      </w:r>
      <w:r>
        <w:t>species currently permitted entry into Australia (C 16904) from all sources is provided in Table 1.2 ‘Grapevine propagative material’ will hereafter refer to the dormant cuttings, tissue cultures and/or seed of these permitted species only.</w:t>
      </w:r>
    </w:p>
    <w:p>
      <w:pPr>
        <w:pStyle w:val="AQISTable"/>
        <w:tabs>
          <w:tab w:val="clear" w:pos="360"/>
          <w:tab w:val="num" w:pos="1440"/>
        </w:tabs>
        <w:spacing w:before="120" w:after="80"/>
        <w:ind w:left="0" w:firstLine="0"/>
        <w:jc w:val="left"/>
        <w:rPr>
          <w:sz w:val="20"/>
        </w:rPr>
      </w:pPr>
      <w:bookmarkStart w:id="54" w:name="_Toc338424034"/>
      <w:r>
        <w:rPr>
          <w:sz w:val="20"/>
        </w:rPr>
        <w:t>Table 1.2</w:t>
      </w:r>
      <w:r>
        <w:rPr>
          <w:sz w:val="20"/>
        </w:rPr>
        <w:tab/>
        <w:t xml:space="preserve">List of </w:t>
      </w:r>
      <w:r>
        <w:rPr>
          <w:i/>
          <w:sz w:val="20"/>
        </w:rPr>
        <w:t xml:space="preserve">Vitis </w:t>
      </w:r>
      <w:r>
        <w:rPr>
          <w:sz w:val="20"/>
        </w:rPr>
        <w:t xml:space="preserve">species permitted entry into </w:t>
      </w:r>
      <w:smartTag w:uri="urn:schemas-microsoft-com:office:smarttags" w:element="country-region">
        <w:smartTag w:uri="urn:schemas-microsoft-com:office:smarttags" w:element="place">
          <w:r>
            <w:rPr>
              <w:sz w:val="20"/>
            </w:rPr>
            <w:t>Australia</w:t>
          </w:r>
        </w:smartTag>
      </w:smartTag>
      <w:r>
        <w:rPr>
          <w:sz w:val="20"/>
        </w:rPr>
        <w:t xml:space="preserve"> from all sources</w:t>
      </w:r>
      <w:bookmarkEnd w:id="54"/>
    </w:p>
    <w:tbl>
      <w:tblPr>
        <w:tblW w:w="9356" w:type="dxa"/>
        <w:tblInd w:w="108" w:type="dxa"/>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ayout w:type="fixed"/>
        <w:tblLook w:val="01E0"/>
      </w:tblPr>
      <w:tblGrid>
        <w:gridCol w:w="3544"/>
        <w:gridCol w:w="5812"/>
      </w:tblGrid>
      <w:tr>
        <w:trPr>
          <w:tblHeader/>
        </w:trPr>
        <w:tc>
          <w:tcPr>
            <w:tcW w:w="3544" w:type="dxa"/>
            <w:tcBorders>
              <w:top w:val="single" w:sz="12" w:space="0" w:color="008000"/>
              <w:bottom w:val="single" w:sz="12" w:space="0" w:color="008000"/>
            </w:tcBorders>
            <w:shd w:val="clear" w:color="auto" w:fill="E0E0E0"/>
          </w:tcPr>
          <w:p>
            <w:pPr>
              <w:spacing w:before="40" w:after="40" w:line="280" w:lineRule="atLeast"/>
              <w:jc w:val="left"/>
              <w:rPr>
                <w:rFonts w:ascii="Verdana" w:hAnsi="Verdana" w:cs="Arial"/>
                <w:b/>
                <w:sz w:val="18"/>
                <w:szCs w:val="18"/>
              </w:rPr>
            </w:pPr>
            <w:r>
              <w:rPr>
                <w:rFonts w:ascii="Verdana" w:hAnsi="Verdana" w:cs="Arial"/>
                <w:b/>
                <w:sz w:val="18"/>
                <w:szCs w:val="18"/>
              </w:rPr>
              <w:t>Scientific names</w:t>
            </w:r>
          </w:p>
        </w:tc>
        <w:tc>
          <w:tcPr>
            <w:tcW w:w="5812" w:type="dxa"/>
            <w:tcBorders>
              <w:top w:val="single" w:sz="12" w:space="0" w:color="008000"/>
              <w:bottom w:val="single" w:sz="12" w:space="0" w:color="008000"/>
            </w:tcBorders>
            <w:shd w:val="clear" w:color="auto" w:fill="E0E0E0"/>
          </w:tcPr>
          <w:p>
            <w:pPr>
              <w:spacing w:before="40" w:after="40" w:line="280" w:lineRule="atLeast"/>
              <w:jc w:val="left"/>
              <w:rPr>
                <w:rFonts w:ascii="Verdana" w:hAnsi="Verdana" w:cs="Arial"/>
                <w:b/>
                <w:sz w:val="18"/>
                <w:szCs w:val="18"/>
              </w:rPr>
            </w:pPr>
            <w:r>
              <w:rPr>
                <w:rFonts w:ascii="Verdana" w:hAnsi="Verdana" w:cs="Arial"/>
                <w:b/>
                <w:sz w:val="18"/>
                <w:szCs w:val="18"/>
              </w:rPr>
              <w:t>Synonyms</w:t>
            </w:r>
          </w:p>
        </w:tc>
      </w:tr>
      <w:tr>
        <w:trPr>
          <w:trHeight w:val="266"/>
        </w:trP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aestivalis </w:t>
            </w:r>
            <w:r>
              <w:rPr>
                <w:rFonts w:ascii="Helvetica" w:hAnsi="Helvetica" w:cs="Helvetica"/>
                <w:sz w:val="18"/>
                <w:szCs w:val="18"/>
              </w:rPr>
              <w:t>x</w:t>
            </w:r>
            <w:r>
              <w:rPr>
                <w:rFonts w:ascii="Helvetica" w:hAnsi="Helvetica" w:cs="Helvetica"/>
                <w:i/>
                <w:sz w:val="18"/>
                <w:szCs w:val="18"/>
              </w:rPr>
              <w:t xml:space="preserve"> </w:t>
            </w:r>
            <w:r>
              <w:rPr>
                <w:rFonts w:ascii="Helvetica" w:hAnsi="Helvetica" w:cs="Helvetica"/>
                <w:sz w:val="18"/>
                <w:szCs w:val="18"/>
              </w:rPr>
              <w:t>(</w:t>
            </w:r>
            <w:r>
              <w:rPr>
                <w:rFonts w:ascii="Helvetica" w:hAnsi="Helvetica" w:cs="Helvetica"/>
                <w:i/>
                <w:sz w:val="18"/>
                <w:szCs w:val="18"/>
              </w:rPr>
              <w:t>labrusca x vinifera</w:t>
            </w:r>
            <w:r>
              <w:rPr>
                <w:rFonts w:ascii="Helvetica" w:hAnsi="Helvetica" w:cs="Helvetica"/>
                <w:sz w:val="18"/>
                <w:szCs w:val="18"/>
              </w:rPr>
              <w:t>)</w:t>
            </w:r>
          </w:p>
        </w:tc>
        <w:tc>
          <w:tcPr>
            <w:tcW w:w="5812" w:type="dxa"/>
          </w:tcPr>
          <w:p>
            <w:pPr>
              <w:spacing w:before="20" w:after="20" w:line="240" w:lineRule="atLeast"/>
              <w:jc w:val="left"/>
              <w:rPr>
                <w:rFonts w:ascii="Helvetica" w:hAnsi="Helvetica" w:cs="Helvetica"/>
                <w:sz w:val="18"/>
                <w:szCs w:val="18"/>
              </w:rPr>
            </w:pPr>
            <w:r>
              <w:rPr>
                <w:rFonts w:ascii="Helvetica" w:hAnsi="Helvetica" w:cs="Helvetica"/>
                <w:sz w:val="18"/>
                <w:szCs w:val="18"/>
              </w:rPr>
              <w:t>-</w:t>
            </w:r>
          </w:p>
        </w:tc>
      </w:tr>
      <w:tr>
        <w:trPr>
          <w:trHeight w:val="266"/>
        </w:trP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Vitis aestivalis x Vitis vinifera</w:t>
            </w:r>
          </w:p>
        </w:tc>
        <w:tc>
          <w:tcPr>
            <w:tcW w:w="5812" w:type="dxa"/>
          </w:tcPr>
          <w:p>
            <w:pPr>
              <w:spacing w:before="20" w:after="20" w:line="240" w:lineRule="atLeast"/>
              <w:jc w:val="left"/>
              <w:rPr>
                <w:rFonts w:ascii="Arial" w:hAnsi="Arial" w:cs="Arial"/>
                <w:sz w:val="18"/>
                <w:szCs w:val="18"/>
              </w:rPr>
            </w:pPr>
            <w:r>
              <w:rPr>
                <w:rFonts w:ascii="Arial" w:hAnsi="Arial" w:cs="Arial"/>
                <w:sz w:val="18"/>
                <w:szCs w:val="18"/>
              </w:rPr>
              <w:t>-</w:t>
            </w:r>
          </w:p>
        </w:tc>
      </w:tr>
      <w:tr>
        <w:trPr>
          <w:trHeight w:val="131"/>
        </w:trP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brevipedunculata </w:t>
            </w:r>
            <w:r>
              <w:rPr>
                <w:rFonts w:ascii="Helvetica" w:hAnsi="Helvetica" w:cs="Helvetica"/>
                <w:sz w:val="18"/>
                <w:szCs w:val="18"/>
              </w:rPr>
              <w:t>(Maxim.) Dippel</w:t>
            </w:r>
          </w:p>
        </w:tc>
        <w:tc>
          <w:tcPr>
            <w:tcW w:w="5812" w:type="dxa"/>
          </w:tcPr>
          <w:p>
            <w:pPr>
              <w:spacing w:before="20" w:after="20" w:line="240" w:lineRule="atLeast"/>
              <w:jc w:val="left"/>
              <w:rPr>
                <w:rFonts w:ascii="Helvetica" w:hAnsi="Helvetica" w:cs="Helvetica"/>
                <w:sz w:val="18"/>
                <w:szCs w:val="18"/>
              </w:rPr>
            </w:pPr>
            <w:r>
              <w:rPr>
                <w:rFonts w:ascii="Helvetica" w:hAnsi="Helvetica" w:cs="Helvetica"/>
                <w:i/>
                <w:sz w:val="18"/>
                <w:szCs w:val="18"/>
              </w:rPr>
              <w:t>Ampelopsis glandulosa</w:t>
            </w:r>
            <w:r>
              <w:rPr>
                <w:rFonts w:ascii="Helvetica" w:hAnsi="Helvetica" w:cs="Helvetica"/>
                <w:sz w:val="18"/>
                <w:szCs w:val="18"/>
              </w:rPr>
              <w:t xml:space="preserve"> (Wall.) Momiy. var. </w:t>
            </w:r>
            <w:r>
              <w:rPr>
                <w:rFonts w:ascii="Helvetica" w:hAnsi="Helvetica" w:cs="Helvetica"/>
                <w:i/>
                <w:sz w:val="18"/>
                <w:szCs w:val="18"/>
              </w:rPr>
              <w:t>brevipedunculata</w:t>
            </w:r>
            <w:r>
              <w:rPr>
                <w:rFonts w:ascii="Helvetica" w:hAnsi="Helvetica" w:cs="Helvetica"/>
                <w:sz w:val="18"/>
                <w:szCs w:val="18"/>
              </w:rPr>
              <w:t xml:space="preserve"> (Maxim.) Momiy,</w:t>
            </w:r>
            <w:r>
              <w:t xml:space="preserve"> </w:t>
            </w:r>
            <w:r>
              <w:rPr>
                <w:rFonts w:ascii="Helvetica" w:hAnsi="Helvetica" w:cs="Helvetica"/>
                <w:i/>
                <w:sz w:val="18"/>
                <w:szCs w:val="18"/>
              </w:rPr>
              <w:t>Ampelopsis brevipedunculata</w:t>
            </w:r>
            <w:r>
              <w:rPr>
                <w:rFonts w:ascii="Helvetica" w:hAnsi="Helvetica" w:cs="Helvetica"/>
                <w:sz w:val="18"/>
                <w:szCs w:val="18"/>
              </w:rPr>
              <w:t xml:space="preserve"> (Maxim.) Trautv)</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glandulosa </w:t>
            </w:r>
            <w:r>
              <w:rPr>
                <w:rFonts w:ascii="Helvetica" w:hAnsi="Helvetica" w:cs="Helvetica"/>
                <w:sz w:val="18"/>
                <w:szCs w:val="18"/>
              </w:rPr>
              <w:t>Wall.</w:t>
            </w:r>
          </w:p>
        </w:tc>
        <w:tc>
          <w:tcPr>
            <w:tcW w:w="5812" w:type="dxa"/>
          </w:tcPr>
          <w:p>
            <w:pPr>
              <w:spacing w:line="240" w:lineRule="atLeast"/>
              <w:jc w:val="left"/>
              <w:rPr>
                <w:rFonts w:ascii="Arial" w:hAnsi="Arial" w:cs="Arial"/>
                <w:sz w:val="18"/>
                <w:szCs w:val="18"/>
              </w:rPr>
            </w:pPr>
            <w:r>
              <w:rPr>
                <w:rFonts w:ascii="Helvetica" w:hAnsi="Helvetica" w:cs="Helvetica"/>
                <w:i/>
                <w:sz w:val="18"/>
                <w:szCs w:val="18"/>
              </w:rPr>
              <w:t>Ampelopsis glandulosa</w:t>
            </w:r>
            <w:r>
              <w:rPr>
                <w:rFonts w:ascii="Helvetica" w:hAnsi="Helvetica" w:cs="Helvetica"/>
                <w:sz w:val="18"/>
                <w:szCs w:val="18"/>
              </w:rPr>
              <w:t xml:space="preserve"> (Wall.) Momiy. var. </w:t>
            </w:r>
            <w:r>
              <w:rPr>
                <w:rFonts w:ascii="Helvetica" w:hAnsi="Helvetica" w:cs="Helvetica"/>
                <w:i/>
                <w:sz w:val="18"/>
                <w:szCs w:val="18"/>
              </w:rPr>
              <w:t>glandulosa</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heterophylla </w:t>
            </w:r>
            <w:r>
              <w:rPr>
                <w:rFonts w:ascii="Helvetica" w:hAnsi="Helvetica" w:cs="Helvetica"/>
                <w:sz w:val="18"/>
                <w:szCs w:val="18"/>
              </w:rPr>
              <w:t>Thunb</w:t>
            </w:r>
          </w:p>
        </w:tc>
        <w:tc>
          <w:tcPr>
            <w:tcW w:w="5812" w:type="dxa"/>
          </w:tcPr>
          <w:p>
            <w:pPr>
              <w:spacing w:line="240" w:lineRule="atLeast"/>
              <w:jc w:val="left"/>
              <w:rPr>
                <w:rFonts w:ascii="Arial" w:hAnsi="Arial" w:cs="Arial"/>
                <w:sz w:val="18"/>
                <w:szCs w:val="18"/>
              </w:rPr>
            </w:pPr>
            <w:r>
              <w:rPr>
                <w:rFonts w:ascii="Helvetica" w:hAnsi="Helvetica" w:cs="Helvetica"/>
                <w:i/>
                <w:sz w:val="18"/>
                <w:szCs w:val="18"/>
              </w:rPr>
              <w:t>Ampelopsis glandulosa</w:t>
            </w:r>
            <w:r>
              <w:rPr>
                <w:rFonts w:ascii="Helvetica" w:hAnsi="Helvetica" w:cs="Helvetica"/>
                <w:sz w:val="18"/>
                <w:szCs w:val="18"/>
              </w:rPr>
              <w:t xml:space="preserve"> (Wall.) Momiy. var. </w:t>
            </w:r>
            <w:r>
              <w:rPr>
                <w:rFonts w:ascii="Helvetica" w:hAnsi="Helvetica" w:cs="Helvetica"/>
                <w:i/>
                <w:sz w:val="18"/>
                <w:szCs w:val="18"/>
              </w:rPr>
              <w:t>heterophylla</w:t>
            </w:r>
            <w:r>
              <w:rPr>
                <w:rFonts w:ascii="Helvetica" w:hAnsi="Helvetica" w:cs="Helvetica"/>
                <w:sz w:val="18"/>
                <w:szCs w:val="18"/>
              </w:rPr>
              <w:t xml:space="preserve"> (Thunb.) Momiy.</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himalayana </w:t>
            </w:r>
            <w:r>
              <w:rPr>
                <w:rFonts w:ascii="Helvetica" w:hAnsi="Helvetica" w:cs="Helvetica"/>
                <w:sz w:val="18"/>
                <w:szCs w:val="18"/>
              </w:rPr>
              <w:t>(Royle) Brandis</w:t>
            </w:r>
          </w:p>
        </w:tc>
        <w:tc>
          <w:tcPr>
            <w:tcW w:w="5812" w:type="dxa"/>
          </w:tcPr>
          <w:p>
            <w:pPr>
              <w:spacing w:line="240" w:lineRule="atLeast"/>
              <w:jc w:val="left"/>
              <w:rPr>
                <w:rFonts w:ascii="Arial" w:hAnsi="Arial" w:cs="Arial"/>
                <w:sz w:val="18"/>
                <w:szCs w:val="18"/>
              </w:rPr>
            </w:pPr>
            <w:r>
              <w:rPr>
                <w:rFonts w:ascii="Helvetica" w:hAnsi="Helvetica" w:cs="Helvetica"/>
                <w:i/>
                <w:sz w:val="18"/>
                <w:szCs w:val="18"/>
              </w:rPr>
              <w:t>Parthenocissus semicordata</w:t>
            </w:r>
            <w:r>
              <w:rPr>
                <w:rFonts w:ascii="Helvetica" w:hAnsi="Helvetica" w:cs="Helvetica"/>
                <w:sz w:val="18"/>
                <w:szCs w:val="18"/>
              </w:rPr>
              <w:t xml:space="preserve"> (Wall.) Planch. var. </w:t>
            </w:r>
            <w:r>
              <w:rPr>
                <w:rFonts w:ascii="Helvetica" w:hAnsi="Helvetica" w:cs="Helvetica"/>
                <w:i/>
                <w:sz w:val="18"/>
                <w:szCs w:val="18"/>
              </w:rPr>
              <w:t>roylei</w:t>
            </w:r>
            <w:r>
              <w:rPr>
                <w:rFonts w:ascii="Helvetica" w:hAnsi="Helvetica" w:cs="Helvetica"/>
                <w:sz w:val="18"/>
                <w:szCs w:val="18"/>
              </w:rPr>
              <w:t xml:space="preserve"> (King) Raizada &amp; H. O. Saxena</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hypoglauca </w:t>
            </w:r>
            <w:r>
              <w:rPr>
                <w:rFonts w:ascii="Helvetica" w:hAnsi="Helvetica" w:cs="Helvetica"/>
                <w:sz w:val="18"/>
                <w:szCs w:val="18"/>
              </w:rPr>
              <w:t>(A. Gray) F. Mueller</w:t>
            </w:r>
          </w:p>
        </w:tc>
        <w:tc>
          <w:tcPr>
            <w:tcW w:w="5812" w:type="dxa"/>
          </w:tcPr>
          <w:p>
            <w:pPr>
              <w:spacing w:line="240" w:lineRule="atLeast"/>
              <w:jc w:val="left"/>
              <w:rPr>
                <w:rFonts w:ascii="Helvetica" w:hAnsi="Helvetica" w:cs="Helvetica"/>
                <w:sz w:val="18"/>
                <w:szCs w:val="18"/>
              </w:rPr>
            </w:pPr>
            <w:r>
              <w:rPr>
                <w:rFonts w:ascii="Helvetica" w:hAnsi="Helvetica" w:cs="Helvetica"/>
                <w:i/>
                <w:sz w:val="18"/>
                <w:szCs w:val="18"/>
              </w:rPr>
              <w:t>Cissus hypoglauca</w:t>
            </w:r>
            <w:r>
              <w:rPr>
                <w:rFonts w:ascii="Helvetica" w:hAnsi="Helvetica" w:cs="Helvetica"/>
                <w:sz w:val="18"/>
                <w:szCs w:val="18"/>
              </w:rPr>
              <w:t xml:space="preserve"> A. Gray</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lastRenderedPageBreak/>
              <w:t xml:space="preserve">Vitis quadrangularis </w:t>
            </w:r>
            <w:r>
              <w:rPr>
                <w:rFonts w:ascii="Helvetica" w:hAnsi="Helvetica" w:cs="Helvetica"/>
                <w:sz w:val="18"/>
                <w:szCs w:val="18"/>
              </w:rPr>
              <w:t>(L.) Wall. ex Wight</w:t>
            </w:r>
          </w:p>
        </w:tc>
        <w:tc>
          <w:tcPr>
            <w:tcW w:w="5812" w:type="dxa"/>
          </w:tcPr>
          <w:p>
            <w:pPr>
              <w:spacing w:line="240" w:lineRule="atLeast"/>
              <w:jc w:val="left"/>
              <w:rPr>
                <w:rFonts w:ascii="Helvetica" w:hAnsi="Helvetica" w:cs="Arial"/>
                <w:sz w:val="18"/>
                <w:szCs w:val="18"/>
              </w:rPr>
            </w:pPr>
            <w:r>
              <w:rPr>
                <w:rFonts w:ascii="Helvetica" w:hAnsi="Helvetica" w:cs="Helvetica"/>
                <w:i/>
                <w:sz w:val="18"/>
                <w:szCs w:val="18"/>
              </w:rPr>
              <w:t>Cissus quadrangularis</w:t>
            </w:r>
            <w:r>
              <w:rPr>
                <w:rFonts w:ascii="Helvetica" w:hAnsi="Helvetica" w:cs="Helvetica"/>
                <w:sz w:val="18"/>
                <w:szCs w:val="18"/>
              </w:rPr>
              <w:t xml:space="preserve"> L.</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rhombifolia </w:t>
            </w:r>
            <w:r>
              <w:rPr>
                <w:rFonts w:ascii="Helvetica" w:hAnsi="Helvetica" w:cs="Helvetica"/>
                <w:sz w:val="18"/>
                <w:szCs w:val="18"/>
              </w:rPr>
              <w:t>(Vahl) Baker</w:t>
            </w:r>
          </w:p>
        </w:tc>
        <w:tc>
          <w:tcPr>
            <w:tcW w:w="5812" w:type="dxa"/>
          </w:tcPr>
          <w:p>
            <w:pPr>
              <w:spacing w:line="240" w:lineRule="atLeast"/>
              <w:jc w:val="left"/>
              <w:rPr>
                <w:rFonts w:ascii="Helvetica" w:hAnsi="Helvetica" w:cs="Helvetica"/>
                <w:sz w:val="18"/>
                <w:szCs w:val="18"/>
              </w:rPr>
            </w:pPr>
            <w:r>
              <w:rPr>
                <w:rFonts w:ascii="Helvetica" w:hAnsi="Helvetica" w:cs="Helvetica"/>
                <w:i/>
                <w:sz w:val="18"/>
                <w:szCs w:val="18"/>
              </w:rPr>
              <w:t>Cissus alata</w:t>
            </w:r>
            <w:r>
              <w:rPr>
                <w:rFonts w:ascii="Helvetica" w:hAnsi="Helvetica" w:cs="Helvetica"/>
                <w:sz w:val="18"/>
                <w:szCs w:val="18"/>
              </w:rPr>
              <w:t xml:space="preserve"> Jacq.; </w:t>
            </w:r>
            <w:r>
              <w:rPr>
                <w:rFonts w:ascii="Helvetica" w:hAnsi="Helvetica" w:cs="Helvetica"/>
                <w:i/>
                <w:sz w:val="18"/>
                <w:szCs w:val="18"/>
              </w:rPr>
              <w:t>Cissus rhombifolia</w:t>
            </w:r>
            <w:r>
              <w:rPr>
                <w:rFonts w:ascii="Helvetica" w:hAnsi="Helvetica" w:cs="Helvetica"/>
                <w:sz w:val="18"/>
                <w:szCs w:val="18"/>
              </w:rPr>
              <w:t xml:space="preserve"> Vahl</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riparia </w:t>
            </w:r>
            <w:r>
              <w:rPr>
                <w:rFonts w:ascii="Helvetica" w:hAnsi="Helvetica" w:cs="Helvetica"/>
                <w:sz w:val="18"/>
                <w:szCs w:val="18"/>
              </w:rPr>
              <w:t>Michx.</w:t>
            </w:r>
          </w:p>
        </w:tc>
        <w:tc>
          <w:tcPr>
            <w:tcW w:w="5812" w:type="dxa"/>
          </w:tcPr>
          <w:p>
            <w:pPr>
              <w:spacing w:line="240" w:lineRule="atLeast"/>
              <w:jc w:val="left"/>
              <w:rPr>
                <w:rFonts w:ascii="Helvetica" w:hAnsi="Helvetica" w:cs="Arial"/>
                <w:sz w:val="18"/>
                <w:szCs w:val="18"/>
              </w:rPr>
            </w:pPr>
            <w:r>
              <w:rPr>
                <w:rFonts w:ascii="Helvetica" w:hAnsi="Helvetica" w:cs="Arial"/>
                <w:sz w:val="18"/>
                <w:szCs w:val="18"/>
              </w:rPr>
              <w:t>-</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rupestris </w:t>
            </w:r>
            <w:r>
              <w:rPr>
                <w:rFonts w:ascii="Helvetica" w:hAnsi="Helvetica" w:cs="Helvetica"/>
                <w:sz w:val="18"/>
                <w:szCs w:val="18"/>
              </w:rPr>
              <w:t>Scheele</w:t>
            </w:r>
          </w:p>
        </w:tc>
        <w:tc>
          <w:tcPr>
            <w:tcW w:w="5812" w:type="dxa"/>
          </w:tcPr>
          <w:p>
            <w:pPr>
              <w:spacing w:line="240" w:lineRule="atLeast"/>
              <w:jc w:val="left"/>
              <w:rPr>
                <w:rFonts w:ascii="Helvetica" w:hAnsi="Helvetica" w:cs="Arial"/>
                <w:sz w:val="18"/>
                <w:szCs w:val="18"/>
              </w:rPr>
            </w:pPr>
            <w:r>
              <w:rPr>
                <w:rFonts w:ascii="Helvetica" w:hAnsi="Helvetica" w:cs="Arial"/>
                <w:sz w:val="18"/>
                <w:szCs w:val="18"/>
              </w:rPr>
              <w:t>-</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sicyoides </w:t>
            </w:r>
            <w:r>
              <w:rPr>
                <w:rFonts w:ascii="Helvetica" w:hAnsi="Helvetica" w:cs="Helvetica"/>
                <w:sz w:val="18"/>
                <w:szCs w:val="18"/>
              </w:rPr>
              <w:t>(L.) Miq.</w:t>
            </w:r>
          </w:p>
        </w:tc>
        <w:tc>
          <w:tcPr>
            <w:tcW w:w="5812" w:type="dxa"/>
          </w:tcPr>
          <w:p>
            <w:pPr>
              <w:spacing w:line="240" w:lineRule="atLeast"/>
              <w:jc w:val="left"/>
              <w:rPr>
                <w:rFonts w:ascii="Helvetica" w:hAnsi="Helvetica" w:cs="Helvetica"/>
                <w:sz w:val="18"/>
                <w:szCs w:val="18"/>
              </w:rPr>
            </w:pPr>
            <w:r>
              <w:rPr>
                <w:rFonts w:ascii="Helvetica" w:hAnsi="Helvetica" w:cs="Helvetica"/>
                <w:i/>
                <w:sz w:val="18"/>
                <w:szCs w:val="18"/>
              </w:rPr>
              <w:t>Cissus verticillata</w:t>
            </w:r>
            <w:r>
              <w:rPr>
                <w:rFonts w:ascii="Helvetica" w:hAnsi="Helvetica" w:cs="Helvetica"/>
                <w:sz w:val="18"/>
                <w:szCs w:val="18"/>
              </w:rPr>
              <w:t xml:space="preserve"> (L.) Nicolson &amp; C. E. Jarvis subsp. </w:t>
            </w:r>
            <w:r>
              <w:rPr>
                <w:rFonts w:ascii="Helvetica" w:hAnsi="Helvetica" w:cs="Helvetica"/>
                <w:i/>
                <w:sz w:val="18"/>
                <w:szCs w:val="18"/>
              </w:rPr>
              <w:t>verti</w:t>
            </w:r>
            <w:r>
              <w:rPr>
                <w:rFonts w:ascii="Helvetica" w:hAnsi="Helvetica" w:cs="Helvetica"/>
                <w:sz w:val="18"/>
                <w:szCs w:val="18"/>
              </w:rPr>
              <w:t xml:space="preserve">; </w:t>
            </w:r>
            <w:r>
              <w:rPr>
                <w:rFonts w:ascii="Helvetica" w:hAnsi="Helvetica" w:cs="Helvetica"/>
                <w:i/>
                <w:sz w:val="18"/>
                <w:szCs w:val="18"/>
              </w:rPr>
              <w:t>Cissus</w:t>
            </w:r>
            <w:r>
              <w:rPr>
                <w:rFonts w:ascii="Helvetica" w:hAnsi="Helvetica" w:cs="Helvetica"/>
                <w:sz w:val="18"/>
                <w:szCs w:val="18"/>
              </w:rPr>
              <w:t xml:space="preserve"> </w:t>
            </w:r>
            <w:r>
              <w:rPr>
                <w:rFonts w:ascii="Helvetica" w:hAnsi="Helvetica" w:cs="Helvetica"/>
                <w:i/>
                <w:sz w:val="18"/>
                <w:szCs w:val="18"/>
              </w:rPr>
              <w:t>sicyoides</w:t>
            </w:r>
            <w:r>
              <w:rPr>
                <w:rFonts w:ascii="Helvetica" w:hAnsi="Helvetica" w:cs="Helvetica"/>
                <w:sz w:val="18"/>
                <w:szCs w:val="18"/>
              </w:rPr>
              <w:t xml:space="preserve"> L.; </w:t>
            </w:r>
            <w:r>
              <w:rPr>
                <w:rFonts w:ascii="Helvetica" w:hAnsi="Helvetica" w:cs="Helvetica"/>
                <w:i/>
                <w:sz w:val="18"/>
                <w:szCs w:val="18"/>
              </w:rPr>
              <w:t>Viscum verticillatum</w:t>
            </w:r>
            <w:r>
              <w:rPr>
                <w:rFonts w:ascii="Helvetica" w:hAnsi="Helvetica" w:cs="Helvetica"/>
                <w:sz w:val="18"/>
                <w:szCs w:val="18"/>
              </w:rPr>
              <w:t xml:space="preserve"> L.</w:t>
            </w:r>
          </w:p>
        </w:tc>
      </w:tr>
      <w:tr>
        <w:tc>
          <w:tcPr>
            <w:tcW w:w="3544" w:type="dxa"/>
          </w:tcPr>
          <w:p>
            <w:pPr>
              <w:spacing w:line="240" w:lineRule="atLeast"/>
              <w:jc w:val="left"/>
              <w:rPr>
                <w:rFonts w:ascii="Helvetica" w:hAnsi="Helvetica" w:cs="Helvetica"/>
                <w:sz w:val="18"/>
                <w:szCs w:val="18"/>
              </w:rPr>
            </w:pPr>
            <w:r>
              <w:rPr>
                <w:rFonts w:ascii="Helvetica" w:hAnsi="Helvetica" w:cs="Helvetica"/>
                <w:i/>
                <w:sz w:val="18"/>
                <w:szCs w:val="18"/>
              </w:rPr>
              <w:t>Vitis striata</w:t>
            </w:r>
            <w:r>
              <w:rPr>
                <w:rFonts w:ascii="Helvetica" w:hAnsi="Helvetica" w:cs="Helvetica"/>
                <w:sz w:val="18"/>
                <w:szCs w:val="18"/>
              </w:rPr>
              <w:t xml:space="preserve"> (Ruiz &amp; Pav.) Miq.</w:t>
            </w:r>
          </w:p>
        </w:tc>
        <w:tc>
          <w:tcPr>
            <w:tcW w:w="5812" w:type="dxa"/>
          </w:tcPr>
          <w:p>
            <w:pPr>
              <w:spacing w:line="240" w:lineRule="atLeast"/>
              <w:jc w:val="left"/>
              <w:rPr>
                <w:rFonts w:ascii="Helvetica" w:hAnsi="Helvetica" w:cs="Helvetica"/>
                <w:sz w:val="18"/>
                <w:szCs w:val="18"/>
              </w:rPr>
            </w:pPr>
            <w:r>
              <w:rPr>
                <w:rFonts w:ascii="Helvetica" w:hAnsi="Helvetica" w:cs="Helvetica"/>
                <w:i/>
                <w:sz w:val="18"/>
                <w:szCs w:val="18"/>
              </w:rPr>
              <w:t>Cissus striata</w:t>
            </w:r>
            <w:r>
              <w:rPr>
                <w:rFonts w:ascii="Helvetica" w:hAnsi="Helvetica" w:cs="Helvetica"/>
                <w:sz w:val="18"/>
                <w:szCs w:val="18"/>
              </w:rPr>
              <w:t xml:space="preserve"> Ruiz &amp; Pav. subsp. </w:t>
            </w:r>
            <w:r>
              <w:rPr>
                <w:rFonts w:ascii="Helvetica" w:hAnsi="Helvetica" w:cs="Helvetica"/>
                <w:i/>
                <w:sz w:val="18"/>
                <w:szCs w:val="18"/>
              </w:rPr>
              <w:t>Striata</w:t>
            </w:r>
          </w:p>
        </w:tc>
      </w:tr>
      <w:tr>
        <w:tc>
          <w:tcPr>
            <w:tcW w:w="3544" w:type="dxa"/>
          </w:tcPr>
          <w:p>
            <w:pPr>
              <w:spacing w:before="20" w:after="20" w:line="240" w:lineRule="atLeast"/>
              <w:jc w:val="left"/>
              <w:rPr>
                <w:rFonts w:ascii="Helvetica" w:hAnsi="Helvetica" w:cs="Helvetica"/>
                <w:i/>
                <w:sz w:val="18"/>
                <w:szCs w:val="18"/>
              </w:rPr>
            </w:pPr>
            <w:r>
              <w:rPr>
                <w:rFonts w:ascii="Helvetica" w:hAnsi="Helvetica" w:cs="Helvetica"/>
                <w:i/>
                <w:sz w:val="18"/>
                <w:szCs w:val="18"/>
              </w:rPr>
              <w:t xml:space="preserve">Vitis vinifera </w:t>
            </w:r>
            <w:r>
              <w:rPr>
                <w:rFonts w:ascii="Helvetica" w:hAnsi="Helvetica" w:cs="Helvetica"/>
                <w:sz w:val="18"/>
                <w:szCs w:val="18"/>
              </w:rPr>
              <w:t>L.</w:t>
            </w:r>
          </w:p>
        </w:tc>
        <w:tc>
          <w:tcPr>
            <w:tcW w:w="5812" w:type="dxa"/>
          </w:tcPr>
          <w:p>
            <w:pPr>
              <w:spacing w:line="240" w:lineRule="atLeast"/>
              <w:jc w:val="left"/>
              <w:rPr>
                <w:rFonts w:ascii="Helvetica" w:hAnsi="Helvetica" w:cs="Helvetica"/>
                <w:sz w:val="18"/>
                <w:szCs w:val="18"/>
              </w:rPr>
            </w:pPr>
            <w:r>
              <w:rPr>
                <w:rFonts w:ascii="Helvetica" w:hAnsi="Helvetica" w:cs="Helvetica"/>
                <w:i/>
                <w:sz w:val="18"/>
                <w:szCs w:val="18"/>
              </w:rPr>
              <w:t>Vitis vinifera</w:t>
            </w:r>
            <w:r>
              <w:rPr>
                <w:rFonts w:ascii="Helvetica" w:hAnsi="Helvetica" w:cs="Helvetica"/>
                <w:sz w:val="18"/>
                <w:szCs w:val="18"/>
              </w:rPr>
              <w:t xml:space="preserve"> L. subsp. </w:t>
            </w:r>
            <w:r>
              <w:rPr>
                <w:rFonts w:ascii="Helvetica" w:hAnsi="Helvetica" w:cs="Helvetica"/>
                <w:i/>
                <w:sz w:val="18"/>
                <w:szCs w:val="18"/>
              </w:rPr>
              <w:t>vinifera</w:t>
            </w:r>
            <w:r>
              <w:rPr>
                <w:rFonts w:ascii="Helvetica" w:hAnsi="Helvetica" w:cs="Helvetica"/>
                <w:sz w:val="18"/>
                <w:szCs w:val="18"/>
              </w:rPr>
              <w:t xml:space="preserve">, </w:t>
            </w:r>
            <w:r>
              <w:rPr>
                <w:rFonts w:ascii="Helvetica" w:hAnsi="Helvetica" w:cs="Helvetica"/>
                <w:i/>
                <w:sz w:val="18"/>
                <w:szCs w:val="18"/>
              </w:rPr>
              <w:t>Vitis vinifera</w:t>
            </w:r>
            <w:r>
              <w:rPr>
                <w:rFonts w:ascii="Helvetica" w:hAnsi="Helvetica" w:cs="Helvetica"/>
                <w:sz w:val="18"/>
                <w:szCs w:val="18"/>
              </w:rPr>
              <w:t xml:space="preserve"> L. subsp. </w:t>
            </w:r>
            <w:r>
              <w:rPr>
                <w:rFonts w:ascii="Helvetica" w:hAnsi="Helvetica" w:cs="Helvetica"/>
                <w:i/>
                <w:sz w:val="18"/>
                <w:szCs w:val="18"/>
              </w:rPr>
              <w:t>sativa</w:t>
            </w:r>
            <w:r>
              <w:rPr>
                <w:rFonts w:ascii="Helvetica" w:hAnsi="Helvetica" w:cs="Helvetica"/>
                <w:sz w:val="18"/>
                <w:szCs w:val="18"/>
              </w:rPr>
              <w:t xml:space="preserve"> (DC.) Hegi</w:t>
            </w:r>
            <w:r>
              <w:rPr>
                <w:rFonts w:ascii="Helvetica" w:hAnsi="Helvetica" w:cs="Helvetica"/>
                <w:i/>
                <w:sz w:val="18"/>
                <w:szCs w:val="18"/>
              </w:rPr>
              <w:t xml:space="preserve"> Vitis vinifera</w:t>
            </w:r>
            <w:r>
              <w:rPr>
                <w:rFonts w:ascii="Helvetica" w:hAnsi="Helvetica" w:cs="Helvetica"/>
                <w:sz w:val="18"/>
                <w:szCs w:val="18"/>
              </w:rPr>
              <w:t xml:space="preserve"> L. subsp. </w:t>
            </w:r>
            <w:r>
              <w:rPr>
                <w:rFonts w:ascii="Helvetica" w:hAnsi="Helvetica" w:cs="Helvetica"/>
                <w:i/>
                <w:sz w:val="18"/>
                <w:szCs w:val="18"/>
              </w:rPr>
              <w:t>sylvestris</w:t>
            </w:r>
            <w:r>
              <w:rPr>
                <w:rFonts w:ascii="Helvetica" w:hAnsi="Helvetica" w:cs="Helvetica"/>
                <w:sz w:val="18"/>
                <w:szCs w:val="18"/>
              </w:rPr>
              <w:t xml:space="preserve"> (CC Gmel.) Hegi; </w:t>
            </w:r>
            <w:r>
              <w:rPr>
                <w:rFonts w:ascii="Helvetica" w:hAnsi="Helvetica" w:cs="Helvetica"/>
                <w:i/>
                <w:sz w:val="18"/>
                <w:szCs w:val="18"/>
              </w:rPr>
              <w:t>Vitis</w:t>
            </w:r>
            <w:r>
              <w:rPr>
                <w:rFonts w:ascii="Helvetica" w:hAnsi="Helvetica" w:cs="Helvetica"/>
                <w:sz w:val="18"/>
                <w:szCs w:val="18"/>
              </w:rPr>
              <w:t xml:space="preserve"> </w:t>
            </w:r>
            <w:r>
              <w:rPr>
                <w:rFonts w:ascii="Helvetica" w:hAnsi="Helvetica" w:cs="Helvetica"/>
                <w:i/>
                <w:sz w:val="18"/>
                <w:szCs w:val="18"/>
              </w:rPr>
              <w:t>sylvestris</w:t>
            </w:r>
            <w:r>
              <w:rPr>
                <w:rFonts w:ascii="Helvetica" w:hAnsi="Helvetica" w:cs="Helvetica"/>
                <w:sz w:val="18"/>
                <w:szCs w:val="18"/>
              </w:rPr>
              <w:t xml:space="preserve"> CC Gmel. </w:t>
            </w:r>
          </w:p>
        </w:tc>
      </w:tr>
    </w:tbl>
    <w:p>
      <w:pPr>
        <w:spacing w:before="160" w:after="80" w:line="280" w:lineRule="atLeast"/>
        <w:jc w:val="left"/>
        <w:rPr>
          <w:rFonts w:ascii="Verdana" w:hAnsi="Verdana"/>
          <w:b/>
          <w:sz w:val="22"/>
          <w:szCs w:val="22"/>
        </w:rPr>
      </w:pPr>
      <w:r>
        <w:rPr>
          <w:rFonts w:ascii="Verdana" w:hAnsi="Verdana"/>
          <w:b/>
          <w:sz w:val="22"/>
          <w:szCs w:val="22"/>
        </w:rPr>
        <w:t>Dormant cuttings</w:t>
      </w:r>
    </w:p>
    <w:p>
      <w:pPr>
        <w:spacing w:line="275" w:lineRule="atLeast"/>
        <w:jc w:val="left"/>
      </w:pPr>
      <w:r>
        <w:t>Currently, grapevine dormant cuttings of permitted species are allowed entry from approved sources (Foundation Plant Services, University of California) and all countries (non-approved sources) subject to specific import conditions (C7307, C7309). The dormant cuttings from approved sources and non-approved sources are also subject to the ‘General import requirements, nursery stock for all species’ (C7300), which specifies that:</w:t>
      </w:r>
    </w:p>
    <w:p>
      <w:pPr>
        <w:numPr>
          <w:ilvl w:val="0"/>
          <w:numId w:val="12"/>
        </w:numPr>
        <w:tabs>
          <w:tab w:val="num" w:pos="66"/>
        </w:tabs>
        <w:spacing w:before="40" w:line="275" w:lineRule="atLeast"/>
        <w:ind w:left="357" w:hanging="357"/>
        <w:jc w:val="left"/>
      </w:pPr>
      <w:r>
        <w:t>An import permit and a Phytosanitary Certificate is required; and</w:t>
      </w:r>
    </w:p>
    <w:p>
      <w:pPr>
        <w:numPr>
          <w:ilvl w:val="0"/>
          <w:numId w:val="12"/>
        </w:numPr>
        <w:tabs>
          <w:tab w:val="num" w:pos="66"/>
        </w:tabs>
        <w:spacing w:before="40" w:line="275" w:lineRule="atLeast"/>
        <w:ind w:left="357" w:hanging="357"/>
        <w:jc w:val="left"/>
      </w:pPr>
      <w:r>
        <w:t>On-arrival inspection of dormant cuttings is required to verify freedom from soil, disease symptoms and other extraneous contamination of quarantine concern.</w:t>
      </w:r>
    </w:p>
    <w:p>
      <w:pPr>
        <w:spacing w:before="160" w:line="275" w:lineRule="atLeast"/>
        <w:jc w:val="left"/>
      </w:pPr>
      <w:r>
        <w:t>In addition to these general requirements, grapevine dormant cuttings are subjected to the following specific import conditions:</w:t>
      </w:r>
    </w:p>
    <w:p>
      <w:pPr>
        <w:pStyle w:val="AQISNum"/>
        <w:numPr>
          <w:ilvl w:val="0"/>
          <w:numId w:val="9"/>
        </w:numPr>
        <w:spacing w:before="40" w:line="275" w:lineRule="atLeast"/>
        <w:ind w:left="357" w:hanging="357"/>
        <w:jc w:val="left"/>
        <w:rPr>
          <w:sz w:val="24"/>
          <w:szCs w:val="24"/>
        </w:rPr>
      </w:pPr>
      <w:r>
        <w:rPr>
          <w:sz w:val="24"/>
          <w:szCs w:val="24"/>
        </w:rPr>
        <w:t>Mandatory on-arrival methyl bromide fumigation (T9060);</w:t>
      </w:r>
    </w:p>
    <w:p>
      <w:pPr>
        <w:pStyle w:val="AQISNum"/>
        <w:numPr>
          <w:ilvl w:val="0"/>
          <w:numId w:val="9"/>
        </w:numPr>
        <w:spacing w:before="40" w:line="275" w:lineRule="atLeast"/>
        <w:ind w:left="357" w:hanging="357"/>
        <w:jc w:val="left"/>
        <w:rPr>
          <w:sz w:val="24"/>
          <w:szCs w:val="24"/>
        </w:rPr>
      </w:pPr>
      <w:r>
        <w:rPr>
          <w:sz w:val="24"/>
          <w:szCs w:val="24"/>
        </w:rPr>
        <w:t xml:space="preserve">Mandatory on-arrival hot water treatment (50 </w:t>
      </w:r>
      <w:r>
        <w:rPr>
          <w:sz w:val="24"/>
          <w:szCs w:val="24"/>
          <w:vertAlign w:val="superscript"/>
        </w:rPr>
        <w:t>o</w:t>
      </w:r>
      <w:r>
        <w:rPr>
          <w:sz w:val="24"/>
          <w:szCs w:val="24"/>
        </w:rPr>
        <w:t>C for 20 minutes [T9504]); and</w:t>
      </w:r>
    </w:p>
    <w:p>
      <w:pPr>
        <w:pStyle w:val="AQISNum"/>
        <w:numPr>
          <w:ilvl w:val="0"/>
          <w:numId w:val="9"/>
        </w:numPr>
        <w:spacing w:before="40" w:line="275" w:lineRule="atLeast"/>
        <w:ind w:left="357" w:hanging="357"/>
        <w:jc w:val="left"/>
        <w:rPr>
          <w:sz w:val="24"/>
          <w:szCs w:val="24"/>
          <w:lang w:eastAsia="en-AU"/>
        </w:rPr>
      </w:pPr>
      <w:r>
        <w:rPr>
          <w:sz w:val="24"/>
          <w:szCs w:val="24"/>
        </w:rPr>
        <w:t xml:space="preserve">Mandatory growth in closed government PEQ facilities for a minimum of 24 months with disease screening (or until the required disease screening/testing is completed). This includes </w:t>
      </w:r>
      <w:r>
        <w:rPr>
          <w:sz w:val="24"/>
          <w:szCs w:val="24"/>
          <w:lang w:eastAsia="en-AU"/>
        </w:rPr>
        <w:t>12 months in a closed PEQ facility (glasshouse) with disease screening and viral indexing and then transfer to a screen house with bacterial and fungal screening for an additional 12 months.</w:t>
      </w:r>
    </w:p>
    <w:p>
      <w:pPr>
        <w:pStyle w:val="AQISNum"/>
        <w:numPr>
          <w:ilvl w:val="0"/>
          <w:numId w:val="9"/>
        </w:numPr>
        <w:spacing w:before="40" w:line="275" w:lineRule="atLeast"/>
        <w:ind w:left="357" w:hanging="357"/>
        <w:jc w:val="left"/>
        <w:rPr>
          <w:sz w:val="24"/>
          <w:szCs w:val="24"/>
          <w:lang w:eastAsia="en-AU"/>
        </w:rPr>
      </w:pPr>
      <w:r>
        <w:rPr>
          <w:sz w:val="24"/>
          <w:szCs w:val="24"/>
        </w:rPr>
        <w:t>No material will be released from quarantine until all testing and screening procedures have been completed and the material is found to have no evidence of quarantine pests.</w:t>
      </w:r>
    </w:p>
    <w:p>
      <w:pPr>
        <w:spacing w:before="160" w:line="275" w:lineRule="atLeast"/>
        <w:jc w:val="left"/>
      </w:pPr>
      <w:r>
        <w:t>The only difference between approved and non-approved sources is that material from approved sources is exempt from pathogen screening/testing conducted overseas. However, imported cuttings still require 24 months in PEQ facilities.</w:t>
      </w:r>
    </w:p>
    <w:p>
      <w:pPr>
        <w:spacing w:before="160" w:after="80" w:line="280" w:lineRule="atLeast"/>
        <w:jc w:val="left"/>
        <w:rPr>
          <w:rFonts w:ascii="Verdana" w:hAnsi="Verdana"/>
          <w:b/>
          <w:sz w:val="22"/>
          <w:szCs w:val="22"/>
        </w:rPr>
      </w:pPr>
      <w:r>
        <w:rPr>
          <w:rFonts w:ascii="Verdana" w:hAnsi="Verdana"/>
          <w:b/>
          <w:sz w:val="22"/>
          <w:szCs w:val="22"/>
        </w:rPr>
        <w:t>Tissue cultures (microplantlets)</w:t>
      </w:r>
    </w:p>
    <w:p>
      <w:pPr>
        <w:spacing w:line="275" w:lineRule="atLeast"/>
        <w:jc w:val="left"/>
      </w:pPr>
      <w:r>
        <w:t xml:space="preserve">Currently, tissue cultures (microplantlets) of permitted species are allowed entry from approved sources (Foundation Plant Services, University of California) and non-approved sources (all countries) subject to specific conditions (C7306, C7308). The requirements for </w:t>
      </w:r>
      <w:r>
        <w:rPr>
          <w:i/>
        </w:rPr>
        <w:t xml:space="preserve">Vitis </w:t>
      </w:r>
      <w:r>
        <w:t xml:space="preserve">species tissue culture from approved sources and non-approved sources specify that: </w:t>
      </w:r>
    </w:p>
    <w:p>
      <w:pPr>
        <w:numPr>
          <w:ilvl w:val="0"/>
          <w:numId w:val="12"/>
        </w:numPr>
        <w:tabs>
          <w:tab w:val="num" w:pos="66"/>
        </w:tabs>
        <w:spacing w:before="40" w:line="275" w:lineRule="atLeast"/>
        <w:ind w:left="357" w:hanging="357"/>
        <w:jc w:val="left"/>
      </w:pPr>
      <w:r>
        <w:t xml:space="preserve">an </w:t>
      </w:r>
      <w:r>
        <w:rPr>
          <w:bCs/>
        </w:rPr>
        <w:t>import</w:t>
      </w:r>
      <w:r>
        <w:t xml:space="preserve"> permit and a Phytosanitary Certificate is required without any additional declaration (non-approved sources) or a Phytosanitary Certificate is required that specifies which pathogenic organisms have been indexed by the suppliers (approved sources); and</w:t>
      </w:r>
    </w:p>
    <w:p>
      <w:pPr>
        <w:numPr>
          <w:ilvl w:val="0"/>
          <w:numId w:val="12"/>
        </w:numPr>
        <w:tabs>
          <w:tab w:val="num" w:pos="66"/>
        </w:tabs>
        <w:spacing w:before="40" w:line="275" w:lineRule="atLeast"/>
        <w:ind w:left="357" w:hanging="357"/>
        <w:jc w:val="left"/>
      </w:pPr>
      <w:r>
        <w:t>on-arrival inspection of plantlets is required to verify freedom from bacterial and fungal infection, disease symptoms, live insects and other extraneous contamination of quarantine concern.</w:t>
      </w:r>
    </w:p>
    <w:p>
      <w:pPr>
        <w:spacing w:before="160" w:line="275" w:lineRule="atLeast"/>
        <w:jc w:val="left"/>
      </w:pPr>
      <w:r>
        <w:lastRenderedPageBreak/>
        <w:t>In addition to these general measures, grapevine tissue cultures are subjected to the following specific quarantine measures (for both approved and non-approved sources):</w:t>
      </w:r>
    </w:p>
    <w:p>
      <w:pPr>
        <w:numPr>
          <w:ilvl w:val="0"/>
          <w:numId w:val="12"/>
        </w:numPr>
        <w:tabs>
          <w:tab w:val="num" w:pos="66"/>
        </w:tabs>
        <w:spacing w:before="40" w:line="275" w:lineRule="atLeast"/>
        <w:ind w:left="357" w:hanging="357"/>
        <w:jc w:val="left"/>
      </w:pPr>
      <w:r>
        <w:t xml:space="preserve">Mandatory growth in closed government PEQ facilities for a minimum of 24 months with disease screening (or until the required disease screening/testing is completed). This includes </w:t>
      </w:r>
      <w:r>
        <w:rPr>
          <w:lang w:eastAsia="en-AU"/>
        </w:rPr>
        <w:t>12 months in a closed PEQ facility (glasshouse) with disease screening and viral indexing and then transfer to a screen house with bacterial and fungal screening for an additional 12 months; and</w:t>
      </w:r>
    </w:p>
    <w:p>
      <w:pPr>
        <w:numPr>
          <w:ilvl w:val="0"/>
          <w:numId w:val="12"/>
        </w:numPr>
        <w:tabs>
          <w:tab w:val="num" w:pos="66"/>
        </w:tabs>
        <w:spacing w:before="40" w:line="275" w:lineRule="atLeast"/>
        <w:ind w:left="357" w:hanging="357"/>
        <w:jc w:val="left"/>
      </w:pPr>
      <w:r>
        <w:t>Mandatory hot water treatment (T9504) of established plants.</w:t>
      </w:r>
    </w:p>
    <w:p>
      <w:pPr>
        <w:spacing w:before="160" w:after="80" w:line="280" w:lineRule="atLeast"/>
        <w:jc w:val="left"/>
        <w:rPr>
          <w:rFonts w:ascii="Verdana" w:hAnsi="Verdana"/>
          <w:b/>
          <w:sz w:val="22"/>
          <w:szCs w:val="22"/>
        </w:rPr>
      </w:pPr>
      <w:r>
        <w:rPr>
          <w:rFonts w:ascii="Verdana" w:hAnsi="Verdana"/>
          <w:b/>
          <w:sz w:val="22"/>
          <w:szCs w:val="22"/>
        </w:rPr>
        <w:t>Seed for sowing (from approved sources)</w:t>
      </w:r>
    </w:p>
    <w:p>
      <w:pPr>
        <w:spacing w:line="275" w:lineRule="atLeast"/>
        <w:jc w:val="left"/>
      </w:pPr>
      <w:r>
        <w:t>Foundation Plant Services, University of California, USA is an approved source to supply grape seed for sowing sourced from virus tested mother plants to Australia (C6980). The requirements for grape seeds from approved sources are available from ICON. The requirements include:</w:t>
      </w:r>
    </w:p>
    <w:p>
      <w:pPr>
        <w:numPr>
          <w:ilvl w:val="0"/>
          <w:numId w:val="12"/>
        </w:numPr>
        <w:tabs>
          <w:tab w:val="num" w:pos="66"/>
        </w:tabs>
        <w:spacing w:before="40" w:line="275" w:lineRule="atLeast"/>
        <w:ind w:left="357" w:hanging="357"/>
        <w:jc w:val="left"/>
      </w:pPr>
      <w:r>
        <w:t xml:space="preserve">an </w:t>
      </w:r>
      <w:r>
        <w:rPr>
          <w:bCs/>
        </w:rPr>
        <w:t>import</w:t>
      </w:r>
      <w:r>
        <w:t xml:space="preserve"> permit;</w:t>
      </w:r>
    </w:p>
    <w:p>
      <w:pPr>
        <w:numPr>
          <w:ilvl w:val="0"/>
          <w:numId w:val="12"/>
        </w:numPr>
        <w:tabs>
          <w:tab w:val="num" w:pos="66"/>
        </w:tabs>
        <w:spacing w:before="40" w:line="275" w:lineRule="atLeast"/>
        <w:ind w:left="357" w:hanging="357"/>
        <w:jc w:val="left"/>
      </w:pPr>
      <w:r>
        <w:t xml:space="preserve">a Phytosanitary Certificate (seed was sourced from virus tested mother plants grown in the USA and free of </w:t>
      </w:r>
      <w:r>
        <w:rPr>
          <w:i/>
        </w:rPr>
        <w:t xml:space="preserve">Arabis mosaic </w:t>
      </w:r>
      <w:r>
        <w:rPr>
          <w:i/>
          <w:iCs/>
        </w:rPr>
        <w:t>nepovirus</w:t>
      </w:r>
      <w:r>
        <w:t xml:space="preserve"> (ArMV), </w:t>
      </w:r>
      <w:r>
        <w:rPr>
          <w:i/>
        </w:rPr>
        <w:t>Blueberry leaf mottle</w:t>
      </w:r>
      <w:r>
        <w:t xml:space="preserve"> </w:t>
      </w:r>
      <w:r>
        <w:rPr>
          <w:i/>
          <w:iCs/>
        </w:rPr>
        <w:t xml:space="preserve">nepovirus </w:t>
      </w:r>
      <w:r>
        <w:t xml:space="preserve">(BLMV), </w:t>
      </w:r>
      <w:r>
        <w:rPr>
          <w:i/>
        </w:rPr>
        <w:t xml:space="preserve">Grapevine Bulgarian latent </w:t>
      </w:r>
      <w:r>
        <w:rPr>
          <w:i/>
          <w:iCs/>
        </w:rPr>
        <w:t xml:space="preserve">nepovirus </w:t>
      </w:r>
      <w:r>
        <w:t xml:space="preserve">(GBLN), </w:t>
      </w:r>
      <w:r>
        <w:rPr>
          <w:i/>
        </w:rPr>
        <w:t xml:space="preserve">Peach rosette mosaic </w:t>
      </w:r>
      <w:r>
        <w:rPr>
          <w:i/>
          <w:iCs/>
        </w:rPr>
        <w:t xml:space="preserve">nepovirus </w:t>
      </w:r>
      <w:r>
        <w:t xml:space="preserve">(PRMN), </w:t>
      </w:r>
      <w:r>
        <w:rPr>
          <w:i/>
        </w:rPr>
        <w:t xml:space="preserve">Raspberry ringspot </w:t>
      </w:r>
      <w:r>
        <w:rPr>
          <w:i/>
          <w:iCs/>
        </w:rPr>
        <w:t xml:space="preserve">nepovirus </w:t>
      </w:r>
      <w:r>
        <w:t xml:space="preserve">(RpRSV), </w:t>
      </w:r>
      <w:r>
        <w:rPr>
          <w:i/>
        </w:rPr>
        <w:t xml:space="preserve">Strawberry latent ringspot </w:t>
      </w:r>
      <w:r>
        <w:rPr>
          <w:i/>
          <w:iCs/>
        </w:rPr>
        <w:t xml:space="preserve">nepovirus </w:t>
      </w:r>
      <w:r>
        <w:t xml:space="preserve">(SLRSV), </w:t>
      </w:r>
      <w:r>
        <w:rPr>
          <w:i/>
        </w:rPr>
        <w:t xml:space="preserve">Tomato blackring </w:t>
      </w:r>
      <w:r>
        <w:rPr>
          <w:i/>
          <w:iCs/>
        </w:rPr>
        <w:t xml:space="preserve">nepovirus </w:t>
      </w:r>
      <w:r>
        <w:t xml:space="preserve">(TBRV), </w:t>
      </w:r>
      <w:r>
        <w:rPr>
          <w:i/>
        </w:rPr>
        <w:t xml:space="preserve">Tomato ringspot </w:t>
      </w:r>
      <w:r>
        <w:rPr>
          <w:i/>
          <w:iCs/>
        </w:rPr>
        <w:t>nepovirus</w:t>
      </w:r>
      <w:r>
        <w:t xml:space="preserve"> (ToRSV) and </w:t>
      </w:r>
      <w:r>
        <w:rPr>
          <w:i/>
        </w:rPr>
        <w:t xml:space="preserve">Tobacco ringspot </w:t>
      </w:r>
      <w:r>
        <w:rPr>
          <w:i/>
          <w:iCs/>
        </w:rPr>
        <w:t>nepovirus</w:t>
      </w:r>
      <w:r>
        <w:t xml:space="preserve"> (TRSV); and</w:t>
      </w:r>
    </w:p>
    <w:p>
      <w:pPr>
        <w:numPr>
          <w:ilvl w:val="0"/>
          <w:numId w:val="12"/>
        </w:numPr>
        <w:tabs>
          <w:tab w:val="num" w:pos="66"/>
        </w:tabs>
        <w:spacing w:before="40" w:line="275" w:lineRule="atLeast"/>
        <w:ind w:left="357" w:hanging="357"/>
        <w:jc w:val="left"/>
      </w:pPr>
      <w:r>
        <w:t>on-arrival inspection of seed to verify freedom from soil, disease symptoms and other extraneous contamination of quarantine concern.</w:t>
      </w:r>
    </w:p>
    <w:p>
      <w:pPr>
        <w:spacing w:before="160" w:line="275" w:lineRule="atLeast"/>
        <w:jc w:val="left"/>
      </w:pPr>
      <w:r>
        <w:t>In addition to these general measures, the grape seeds from approved sources are subjected to the following specific import conditions:</w:t>
      </w:r>
    </w:p>
    <w:p>
      <w:pPr>
        <w:numPr>
          <w:ilvl w:val="0"/>
          <w:numId w:val="12"/>
        </w:numPr>
        <w:tabs>
          <w:tab w:val="num" w:pos="66"/>
        </w:tabs>
        <w:spacing w:before="40" w:line="275" w:lineRule="atLeast"/>
        <w:ind w:left="357" w:hanging="357"/>
        <w:jc w:val="left"/>
      </w:pPr>
      <w:r>
        <w:t>mandatory surface sterilisation (1% sodium hypochlorite solution for 10 minutes, then rinsed and dried [T9371]);</w:t>
      </w:r>
    </w:p>
    <w:p>
      <w:pPr>
        <w:numPr>
          <w:ilvl w:val="0"/>
          <w:numId w:val="12"/>
        </w:numPr>
        <w:tabs>
          <w:tab w:val="num" w:pos="66"/>
        </w:tabs>
        <w:spacing w:before="40" w:line="275" w:lineRule="atLeast"/>
        <w:ind w:left="357" w:hanging="357"/>
        <w:jc w:val="left"/>
      </w:pPr>
      <w:r>
        <w:t xml:space="preserve">mandatory fungicidal treatment (seed dusted with Thiram [T9420]); and </w:t>
      </w:r>
    </w:p>
    <w:p>
      <w:pPr>
        <w:numPr>
          <w:ilvl w:val="0"/>
          <w:numId w:val="12"/>
        </w:numPr>
        <w:tabs>
          <w:tab w:val="num" w:pos="66"/>
        </w:tabs>
        <w:spacing w:before="40" w:line="275" w:lineRule="atLeast"/>
        <w:ind w:left="357" w:hanging="357"/>
        <w:jc w:val="left"/>
      </w:pPr>
      <w:r>
        <w:t>release from quarantine without further quarantine impediment.</w:t>
      </w:r>
    </w:p>
    <w:p>
      <w:pPr>
        <w:spacing w:before="160" w:after="80" w:line="280" w:lineRule="atLeast"/>
        <w:jc w:val="left"/>
        <w:rPr>
          <w:rFonts w:ascii="Verdana" w:hAnsi="Verdana"/>
          <w:b/>
          <w:sz w:val="22"/>
          <w:szCs w:val="22"/>
        </w:rPr>
      </w:pPr>
      <w:r>
        <w:rPr>
          <w:rFonts w:ascii="Verdana" w:hAnsi="Verdana"/>
          <w:b/>
          <w:sz w:val="22"/>
          <w:szCs w:val="22"/>
        </w:rPr>
        <w:t>Seed for sowing (from non-approved sources)</w:t>
      </w:r>
    </w:p>
    <w:p>
      <w:pPr>
        <w:spacing w:line="275" w:lineRule="atLeast"/>
        <w:jc w:val="left"/>
      </w:pPr>
      <w:r>
        <w:t>Currently, grape seeds are allowed entry from European countries (C9786), Japan (C8963) and the USA (C18428), subject to specific import conditions:</w:t>
      </w:r>
    </w:p>
    <w:p>
      <w:pPr>
        <w:numPr>
          <w:ilvl w:val="0"/>
          <w:numId w:val="12"/>
        </w:numPr>
        <w:tabs>
          <w:tab w:val="num" w:pos="66"/>
        </w:tabs>
        <w:spacing w:before="40" w:line="275" w:lineRule="atLeast"/>
        <w:ind w:left="357" w:hanging="357"/>
        <w:jc w:val="left"/>
      </w:pPr>
      <w:r>
        <w:t xml:space="preserve">an import permit and a Phytosanitary Certificate is required (seeds were sourced from mother plants grown either in Europe, </w:t>
      </w:r>
      <w:smartTag w:uri="urn:schemas-microsoft-com:office:smarttags" w:element="country-region">
        <w:r>
          <w:t>Japan</w:t>
        </w:r>
      </w:smartTag>
      <w:r>
        <w:t xml:space="preserve"> or the </w:t>
      </w:r>
      <w:smartTag w:uri="urn:schemas-microsoft-com:office:smarttags" w:element="country-region">
        <w:smartTag w:uri="urn:schemas-microsoft-com:office:smarttags" w:element="place">
          <w:r>
            <w:t>USA</w:t>
          </w:r>
        </w:smartTag>
      </w:smartTag>
      <w:r>
        <w:t>); and</w:t>
      </w:r>
    </w:p>
    <w:p>
      <w:pPr>
        <w:numPr>
          <w:ilvl w:val="0"/>
          <w:numId w:val="12"/>
        </w:numPr>
        <w:tabs>
          <w:tab w:val="num" w:pos="66"/>
        </w:tabs>
        <w:spacing w:before="40" w:line="275" w:lineRule="atLeast"/>
        <w:ind w:left="357" w:hanging="357"/>
        <w:jc w:val="left"/>
      </w:pPr>
      <w:r>
        <w:t>on-arrival inspection of seed is required to verify freedom from live insects, soil, disease symptoms, prohibited seeds, other plant material (e.g. leaf, stem material, fruit pulp, pod material, etc.), animal material (e.g. animal faeces, feathers, etc.) and any other extraneous contamination of quarantine concern.</w:t>
      </w:r>
    </w:p>
    <w:p>
      <w:pPr>
        <w:spacing w:before="120" w:line="275" w:lineRule="atLeast"/>
        <w:jc w:val="left"/>
      </w:pPr>
      <w:r>
        <w:t>In addition to these requirements, the grape seeds are subjected to the following specific import conditions:</w:t>
      </w:r>
    </w:p>
    <w:p>
      <w:pPr>
        <w:numPr>
          <w:ilvl w:val="0"/>
          <w:numId w:val="12"/>
        </w:numPr>
        <w:tabs>
          <w:tab w:val="num" w:pos="66"/>
        </w:tabs>
        <w:spacing w:before="40" w:line="275" w:lineRule="atLeast"/>
        <w:ind w:left="357" w:hanging="357"/>
        <w:jc w:val="left"/>
      </w:pPr>
      <w:r>
        <w:t>mandatory surface sterilisation (1% sodium hypochlorite solution for 10 minutes, then rinsed and dried [T9371]);</w:t>
      </w:r>
    </w:p>
    <w:p>
      <w:pPr>
        <w:numPr>
          <w:ilvl w:val="0"/>
          <w:numId w:val="12"/>
        </w:numPr>
        <w:tabs>
          <w:tab w:val="num" w:pos="66"/>
        </w:tabs>
        <w:spacing w:before="40" w:line="275" w:lineRule="atLeast"/>
        <w:ind w:left="357" w:hanging="357"/>
        <w:jc w:val="left"/>
      </w:pPr>
      <w:r>
        <w:t xml:space="preserve">mandatory fungicidal treatment (seed dusted with Thiram [T9420]); and </w:t>
      </w:r>
    </w:p>
    <w:p>
      <w:pPr>
        <w:numPr>
          <w:ilvl w:val="0"/>
          <w:numId w:val="12"/>
        </w:numPr>
        <w:tabs>
          <w:tab w:val="num" w:pos="66"/>
        </w:tabs>
        <w:spacing w:line="275" w:lineRule="atLeast"/>
        <w:ind w:left="357" w:hanging="357"/>
        <w:jc w:val="left"/>
      </w:pPr>
      <w:r>
        <w:t>mandatory growth in a government PEQ facility or at a DAFF approved post-entry quarantine facility for a minimum of three months, during which time the plants must be virus indexed and visually screened for diseases.</w:t>
      </w:r>
    </w:p>
    <w:p>
      <w:pPr>
        <w:spacing w:line="280" w:lineRule="atLeast"/>
        <w:jc w:val="left"/>
      </w:pPr>
    </w:p>
    <w:p>
      <w:pPr>
        <w:pStyle w:val="BodyText2"/>
        <w:spacing w:before="120" w:line="300" w:lineRule="atLeast"/>
        <w:jc w:val="left"/>
        <w:rPr>
          <w:szCs w:val="24"/>
        </w:rPr>
        <w:sectPr>
          <w:headerReference w:type="default" r:id="rId26"/>
          <w:headerReference w:type="first" r:id="rId27"/>
          <w:type w:val="nextColumn"/>
          <w:pgSz w:w="11906" w:h="16838" w:code="9"/>
          <w:pgMar w:top="1412" w:right="1412" w:bottom="1412" w:left="1412" w:header="720" w:footer="720" w:gutter="0"/>
          <w:cols w:space="720"/>
          <w:titlePg/>
        </w:sectPr>
      </w:pPr>
    </w:p>
    <w:p>
      <w:pPr>
        <w:pStyle w:val="BAHeader1"/>
        <w:numPr>
          <w:ilvl w:val="0"/>
          <w:numId w:val="0"/>
        </w:numPr>
        <w:tabs>
          <w:tab w:val="num" w:pos="1260"/>
        </w:tabs>
        <w:spacing w:after="240" w:line="300" w:lineRule="atLeast"/>
        <w:ind w:left="1259" w:hanging="1259"/>
        <w:jc w:val="left"/>
        <w:rPr>
          <w:rFonts w:ascii="Verdana" w:hAnsi="Verdana" w:cs="Arial"/>
          <w:sz w:val="32"/>
          <w:szCs w:val="32"/>
        </w:rPr>
      </w:pPr>
      <w:bookmarkStart w:id="55" w:name="_Toc275422309"/>
      <w:bookmarkStart w:id="56" w:name="_Toc275502450"/>
      <w:bookmarkStart w:id="57" w:name="_Toc345423506"/>
      <w:r>
        <w:rPr>
          <w:rFonts w:ascii="Verdana" w:hAnsi="Verdana" w:cs="Arial"/>
          <w:sz w:val="32"/>
          <w:szCs w:val="32"/>
        </w:rPr>
        <w:lastRenderedPageBreak/>
        <w:t>2</w:t>
      </w:r>
      <w:r>
        <w:rPr>
          <w:rFonts w:ascii="Verdana" w:hAnsi="Verdana" w:cs="Arial"/>
          <w:sz w:val="32"/>
          <w:szCs w:val="32"/>
        </w:rPr>
        <w:tab/>
      </w:r>
      <w:smartTag w:uri="urn:schemas-microsoft-com:office:smarttags" w:element="place">
        <w:r>
          <w:rPr>
            <w:rFonts w:ascii="Verdana" w:hAnsi="Verdana" w:cs="Arial"/>
            <w:sz w:val="32"/>
            <w:szCs w:val="32"/>
          </w:rPr>
          <w:t>Pest</w:t>
        </w:r>
      </w:smartTag>
      <w:r>
        <w:rPr>
          <w:rFonts w:ascii="Verdana" w:hAnsi="Verdana" w:cs="Arial"/>
          <w:sz w:val="32"/>
          <w:szCs w:val="32"/>
        </w:rPr>
        <w:t xml:space="preserve"> risk analysis</w:t>
      </w:r>
      <w:bookmarkEnd w:id="53"/>
      <w:bookmarkEnd w:id="55"/>
      <w:bookmarkEnd w:id="56"/>
      <w:bookmarkEnd w:id="57"/>
    </w:p>
    <w:p>
      <w:pPr>
        <w:spacing w:line="275" w:lineRule="atLeast"/>
        <w:jc w:val="left"/>
      </w:pPr>
      <w:r>
        <w:t>Plant Biosecurity has conducted this pest risk analysis (</w:t>
      </w:r>
      <w:r>
        <w:rPr>
          <w:bCs/>
        </w:rPr>
        <w:t>PRA)</w:t>
      </w:r>
      <w:r>
        <w:t xml:space="preserve"> in accordance with the International Standards for Phytosanitary Measures (</w:t>
      </w:r>
      <w:r>
        <w:rPr>
          <w:bCs/>
        </w:rPr>
        <w:t>ISPMs),</w:t>
      </w:r>
      <w:r>
        <w:rPr>
          <w:b/>
          <w:bCs/>
        </w:rPr>
        <w:t xml:space="preserve"> </w:t>
      </w:r>
      <w:r>
        <w:rPr>
          <w:bCs/>
        </w:rPr>
        <w:t xml:space="preserve">including </w:t>
      </w:r>
      <w:r>
        <w:rPr>
          <w:iCs/>
        </w:rPr>
        <w:t xml:space="preserve">ISPM 2: </w:t>
      </w:r>
      <w:r>
        <w:rPr>
          <w:i/>
        </w:rPr>
        <w:t>Framework for pest risk analysis</w:t>
      </w:r>
      <w:r>
        <w:t xml:space="preserve"> (FAO 2007) and </w:t>
      </w:r>
      <w:r>
        <w:rPr>
          <w:bCs/>
        </w:rPr>
        <w:t>ISPM</w:t>
      </w:r>
      <w:r>
        <w:rPr>
          <w:b/>
          <w:bCs/>
        </w:rPr>
        <w:t xml:space="preserve"> </w:t>
      </w:r>
      <w:r>
        <w:t xml:space="preserve">11: </w:t>
      </w:r>
      <w:r>
        <w:rPr>
          <w:i/>
        </w:rPr>
        <w:t>Pest risk analysis for quarantine pests</w:t>
      </w:r>
      <w:r>
        <w:rPr>
          <w:i/>
          <w:iCs/>
        </w:rPr>
        <w:t xml:space="preserve">, including analysis of environmental risks and living modified organisms </w:t>
      </w:r>
      <w:r>
        <w:rPr>
          <w:iCs/>
        </w:rPr>
        <w:t>(FAO 2004)</w:t>
      </w:r>
      <w:r>
        <w:t>. The standards provide a broad rationale for the analysis of the scientific evidence to be taken into consideration when identifying and assessing the risk posed by quarantine pests.</w:t>
      </w:r>
    </w:p>
    <w:p>
      <w:pPr>
        <w:spacing w:before="120" w:line="275" w:lineRule="atLeast"/>
        <w:jc w:val="left"/>
      </w:pPr>
      <w:r>
        <w:t>Following</w:t>
      </w:r>
      <w:r>
        <w:rPr>
          <w:bCs/>
        </w:rPr>
        <w:t xml:space="preserve"> ISPM 11, </w:t>
      </w:r>
      <w:r>
        <w:t>this pest risk analysis process comprises of three discrete stages:</w:t>
      </w:r>
    </w:p>
    <w:p>
      <w:pPr>
        <w:pStyle w:val="AQISNum"/>
        <w:numPr>
          <w:ilvl w:val="0"/>
          <w:numId w:val="9"/>
        </w:numPr>
        <w:spacing w:before="40" w:line="275" w:lineRule="atLeast"/>
        <w:ind w:left="357" w:hanging="357"/>
        <w:jc w:val="left"/>
        <w:rPr>
          <w:sz w:val="24"/>
        </w:rPr>
      </w:pPr>
      <w:r>
        <w:rPr>
          <w:sz w:val="24"/>
        </w:rPr>
        <w:t>Stage 1: Initiation of the PRA</w:t>
      </w:r>
    </w:p>
    <w:p>
      <w:pPr>
        <w:pStyle w:val="AQISNum"/>
        <w:numPr>
          <w:ilvl w:val="0"/>
          <w:numId w:val="9"/>
        </w:numPr>
        <w:spacing w:before="40" w:line="275" w:lineRule="atLeast"/>
        <w:ind w:left="357" w:hanging="357"/>
        <w:jc w:val="left"/>
        <w:rPr>
          <w:sz w:val="24"/>
        </w:rPr>
      </w:pPr>
      <w:r>
        <w:rPr>
          <w:sz w:val="24"/>
        </w:rPr>
        <w:t xml:space="preserve">Stage 2: </w:t>
      </w:r>
      <w:smartTag w:uri="urn:schemas-microsoft-com:office:smarttags" w:element="place">
        <w:r>
          <w:rPr>
            <w:sz w:val="24"/>
          </w:rPr>
          <w:t>Pest</w:t>
        </w:r>
      </w:smartTag>
      <w:r>
        <w:rPr>
          <w:sz w:val="24"/>
        </w:rPr>
        <w:t xml:space="preserve"> Risk Assessment</w:t>
      </w:r>
    </w:p>
    <w:p>
      <w:pPr>
        <w:pStyle w:val="AQISNum"/>
        <w:numPr>
          <w:ilvl w:val="0"/>
          <w:numId w:val="9"/>
        </w:numPr>
        <w:spacing w:before="40" w:line="275" w:lineRule="atLeast"/>
        <w:ind w:left="357" w:hanging="357"/>
        <w:jc w:val="left"/>
        <w:rPr>
          <w:sz w:val="24"/>
        </w:rPr>
      </w:pPr>
      <w:r>
        <w:rPr>
          <w:sz w:val="24"/>
        </w:rPr>
        <w:t xml:space="preserve">Stage 3: </w:t>
      </w:r>
      <w:smartTag w:uri="urn:schemas-microsoft-com:office:smarttags" w:element="place">
        <w:r>
          <w:rPr>
            <w:sz w:val="24"/>
          </w:rPr>
          <w:t>Pest</w:t>
        </w:r>
      </w:smartTag>
      <w:r>
        <w:rPr>
          <w:sz w:val="24"/>
        </w:rPr>
        <w:t xml:space="preserve"> Risk Management</w:t>
      </w:r>
    </w:p>
    <w:p>
      <w:pPr>
        <w:spacing w:before="160" w:line="275" w:lineRule="atLeast"/>
        <w:jc w:val="left"/>
      </w:pPr>
      <w:r>
        <w:t>Phytosanitary terms used in this PRA are defined in ISPM 5 (FAO 2009).</w:t>
      </w:r>
    </w:p>
    <w:p>
      <w:pPr>
        <w:pStyle w:val="BAHeader2"/>
        <w:numPr>
          <w:ilvl w:val="0"/>
          <w:numId w:val="0"/>
        </w:numPr>
        <w:tabs>
          <w:tab w:val="left" w:pos="1260"/>
        </w:tabs>
        <w:spacing w:before="300" w:after="180" w:line="300" w:lineRule="atLeast"/>
        <w:jc w:val="left"/>
        <w:rPr>
          <w:rFonts w:ascii="Verdana" w:hAnsi="Verdana"/>
        </w:rPr>
      </w:pPr>
      <w:bookmarkStart w:id="58" w:name="_Toc70149874"/>
      <w:bookmarkStart w:id="59" w:name="_Toc275422310"/>
      <w:bookmarkStart w:id="60" w:name="_Toc275502451"/>
      <w:bookmarkStart w:id="61" w:name="_Toc345423507"/>
      <w:r>
        <w:rPr>
          <w:rFonts w:ascii="Verdana" w:hAnsi="Verdana"/>
        </w:rPr>
        <w:t>2.1</w:t>
      </w:r>
      <w:r>
        <w:rPr>
          <w:rFonts w:ascii="Verdana" w:hAnsi="Verdana"/>
        </w:rPr>
        <w:tab/>
        <w:t>Stage 1: Initiation</w:t>
      </w:r>
      <w:bookmarkEnd w:id="58"/>
      <w:bookmarkEnd w:id="59"/>
      <w:bookmarkEnd w:id="60"/>
      <w:bookmarkEnd w:id="61"/>
    </w:p>
    <w:p>
      <w:pPr>
        <w:spacing w:line="275" w:lineRule="atLeast"/>
        <w:jc w:val="left"/>
      </w:pPr>
      <w:r>
        <w:t xml:space="preserve">The </w:t>
      </w:r>
      <w:r>
        <w:rPr>
          <w:i/>
        </w:rPr>
        <w:t>initiation</w:t>
      </w:r>
      <w:r>
        <w:t xml:space="preserve"> of a risk analysis involves identifying the reason for the PRA and the identification of the pest(s) and pathway(s) that should be considered for risk analysis in relation to the identified PRA area.</w:t>
      </w:r>
    </w:p>
    <w:p>
      <w:pPr>
        <w:spacing w:before="120" w:line="275" w:lineRule="atLeast"/>
        <w:jc w:val="left"/>
      </w:pPr>
      <w:r>
        <w:t xml:space="preserve">This commodity-based pest risk assessment was initiated by Plant Biosecurity as a basis for a review and possible revision of the existing phytosanitary regulations to import grapevine propagative material into Australia. Additionally, the Grape and Wine Research and Development Corporation requested Plant Biosecurity to review and develop PEQ protocols for </w:t>
      </w:r>
      <w:r>
        <w:rPr>
          <w:i/>
        </w:rPr>
        <w:t xml:space="preserve">Vitis </w:t>
      </w:r>
      <w:r>
        <w:t>nursery stock that will minimise the time imported cultivars spend in quarantine, while maintaining an appropriate level of protection from the threat of exotic pests and diseases. The review was also necessary as new pathogens have been identified on grapevine and several pathogens have extended their global range.</w:t>
      </w:r>
    </w:p>
    <w:p>
      <w:pPr>
        <w:spacing w:before="120" w:line="280" w:lineRule="atLeast"/>
      </w:pPr>
      <w:r>
        <w:t>In the context of this PRA, grapevine propagative material (dormant cuttings, tissue culture and seed) is a potential import ‘pathway’ by which a pest can enter Australia.</w:t>
      </w:r>
    </w:p>
    <w:p>
      <w:pPr>
        <w:spacing w:before="120" w:line="275" w:lineRule="atLeast"/>
        <w:jc w:val="left"/>
      </w:pPr>
      <w:r>
        <w:t xml:space="preserve">A list of pests associated with grapevines worldwide was tabulated from </w:t>
      </w:r>
      <w:r>
        <w:rPr>
          <w:lang w:eastAsia="en-AU"/>
        </w:rPr>
        <w:t xml:space="preserve">published scientific literature, such as reference books, journals </w:t>
      </w:r>
      <w:r>
        <w:t>and database searches. This information is set out in Appendix A and forms the basis of the pest categorisation.</w:t>
      </w:r>
    </w:p>
    <w:p>
      <w:pPr>
        <w:spacing w:before="120" w:line="280" w:lineRule="atLeast"/>
        <w:jc w:val="left"/>
      </w:pPr>
      <w:r>
        <w:t xml:space="preserve">For this PRA, the ‘PRA area’ is defined as </w:t>
      </w:r>
      <w:smartTag w:uri="urn:schemas-microsoft-com:office:smarttags" w:element="country-region">
        <w:r>
          <w:t>Australia</w:t>
        </w:r>
      </w:smartTag>
      <w:r>
        <w:t xml:space="preserve"> for pests that are absent from </w:t>
      </w:r>
      <w:smartTag w:uri="urn:schemas-microsoft-com:office:smarttags" w:element="country-region">
        <w:r>
          <w:t>Australia</w:t>
        </w:r>
      </w:smartTag>
      <w:r>
        <w:t xml:space="preserve"> or of limited distribution and under official control in </w:t>
      </w:r>
      <w:smartTag w:uri="urn:schemas-microsoft-com:office:smarttags" w:element="country-region">
        <w:smartTag w:uri="urn:schemas-microsoft-com:office:smarttags" w:element="place">
          <w:r>
            <w:t>Australia</w:t>
          </w:r>
        </w:smartTag>
      </w:smartTag>
      <w:r>
        <w:t>.</w:t>
      </w:r>
    </w:p>
    <w:p>
      <w:pPr>
        <w:pStyle w:val="BAHeader2"/>
        <w:numPr>
          <w:ilvl w:val="0"/>
          <w:numId w:val="0"/>
        </w:numPr>
        <w:tabs>
          <w:tab w:val="left" w:pos="1260"/>
        </w:tabs>
        <w:spacing w:before="300" w:after="180" w:line="300" w:lineRule="atLeast"/>
        <w:jc w:val="left"/>
        <w:rPr>
          <w:rFonts w:ascii="Verdana" w:hAnsi="Verdana"/>
        </w:rPr>
      </w:pPr>
      <w:bookmarkStart w:id="62" w:name="_Toc70149875"/>
      <w:bookmarkStart w:id="63" w:name="_Toc275422311"/>
      <w:bookmarkStart w:id="64" w:name="_Toc275502452"/>
      <w:bookmarkStart w:id="65" w:name="_Toc345423508"/>
      <w:r>
        <w:rPr>
          <w:rFonts w:ascii="Verdana" w:hAnsi="Verdana"/>
        </w:rPr>
        <w:t>2.2</w:t>
      </w:r>
      <w:r>
        <w:rPr>
          <w:rFonts w:ascii="Verdana" w:hAnsi="Verdana"/>
        </w:rPr>
        <w:tab/>
        <w:t xml:space="preserve">Stage 2: </w:t>
      </w:r>
      <w:smartTag w:uri="urn:schemas-microsoft-com:office:smarttags" w:element="place">
        <w:r>
          <w:rPr>
            <w:rFonts w:ascii="Verdana" w:hAnsi="Verdana"/>
          </w:rPr>
          <w:t>Pest</w:t>
        </w:r>
      </w:smartTag>
      <w:r>
        <w:rPr>
          <w:rFonts w:ascii="Verdana" w:hAnsi="Verdana"/>
        </w:rPr>
        <w:t xml:space="preserve"> Risk Assessment</w:t>
      </w:r>
      <w:bookmarkEnd w:id="62"/>
      <w:bookmarkEnd w:id="63"/>
      <w:bookmarkEnd w:id="64"/>
      <w:bookmarkEnd w:id="65"/>
    </w:p>
    <w:p>
      <w:pPr>
        <w:pStyle w:val="AQISText"/>
        <w:jc w:val="left"/>
        <w:rPr>
          <w:sz w:val="24"/>
          <w:szCs w:val="24"/>
        </w:rPr>
      </w:pPr>
      <w:r>
        <w:rPr>
          <w:sz w:val="24"/>
          <w:szCs w:val="24"/>
        </w:rPr>
        <w:t>A pest risk assessment is the ‘evaluation of the probability of the introduction and spread of a pest and of the magnitude of the associated potential economic consequences’ (FAO 2009, p. 13). The pest risk assessment provides technical justification for identifying quarantine pests and for establishing phytosanitary import requirements.</w:t>
      </w:r>
    </w:p>
    <w:p>
      <w:pPr>
        <w:pStyle w:val="AQISText"/>
        <w:jc w:val="left"/>
        <w:rPr>
          <w:sz w:val="24"/>
          <w:szCs w:val="24"/>
          <w:lang w:eastAsia="en-AU"/>
        </w:rPr>
      </w:pPr>
      <w:r>
        <w:rPr>
          <w:sz w:val="24"/>
          <w:szCs w:val="24"/>
        </w:rPr>
        <w:t xml:space="preserve">This is a commodity-initiated pest risk analysis and </w:t>
      </w:r>
      <w:r>
        <w:rPr>
          <w:sz w:val="24"/>
          <w:szCs w:val="24"/>
          <w:lang w:eastAsia="en-AU"/>
        </w:rPr>
        <w:t xml:space="preserve">risk is estimated through a standard set of factors that contribute to the introduction, establishment, spread or potential economic impact of pests. </w:t>
      </w:r>
      <w:r>
        <w:rPr>
          <w:sz w:val="24"/>
          <w:szCs w:val="24"/>
        </w:rPr>
        <w:t>This pest risk assessment was conducted using three consecutive steps: pest categorisation; assessment of the probability of entry, establishment and spread; and assessment of potential consequences.</w:t>
      </w:r>
    </w:p>
    <w:p>
      <w:pPr>
        <w:pStyle w:val="Heading3"/>
        <w:widowControl/>
        <w:tabs>
          <w:tab w:val="left" w:pos="1260"/>
        </w:tabs>
        <w:overflowPunct w:val="0"/>
        <w:autoSpaceDE w:val="0"/>
        <w:autoSpaceDN w:val="0"/>
        <w:spacing w:line="280" w:lineRule="atLeast"/>
        <w:jc w:val="left"/>
        <w:rPr>
          <w:rFonts w:ascii="Verdana" w:hAnsi="Verdana" w:cs="Arial"/>
          <w:bCs/>
          <w:sz w:val="26"/>
          <w:szCs w:val="26"/>
        </w:rPr>
      </w:pPr>
      <w:bookmarkStart w:id="66" w:name="_Toc70149876"/>
      <w:bookmarkStart w:id="67" w:name="_Toc275422312"/>
      <w:bookmarkStart w:id="68" w:name="_Toc275502453"/>
      <w:bookmarkStart w:id="69" w:name="_Toc345423509"/>
      <w:r>
        <w:rPr>
          <w:rFonts w:ascii="Verdana" w:hAnsi="Verdana" w:cs="Arial"/>
          <w:bCs/>
          <w:sz w:val="26"/>
          <w:szCs w:val="26"/>
        </w:rPr>
        <w:lastRenderedPageBreak/>
        <w:t>2.2.1</w:t>
      </w:r>
      <w:r>
        <w:rPr>
          <w:rFonts w:ascii="Verdana" w:hAnsi="Verdana" w:cs="Arial"/>
          <w:bCs/>
          <w:sz w:val="26"/>
          <w:szCs w:val="26"/>
        </w:rPr>
        <w:tab/>
      </w:r>
      <w:smartTag w:uri="urn:schemas-microsoft-com:office:smarttags" w:element="place">
        <w:r>
          <w:rPr>
            <w:rFonts w:ascii="Verdana" w:hAnsi="Verdana" w:cs="Arial"/>
            <w:bCs/>
            <w:sz w:val="26"/>
            <w:szCs w:val="26"/>
          </w:rPr>
          <w:t>Pest</w:t>
        </w:r>
      </w:smartTag>
      <w:r>
        <w:rPr>
          <w:rFonts w:ascii="Verdana" w:hAnsi="Verdana" w:cs="Arial"/>
          <w:bCs/>
          <w:sz w:val="26"/>
          <w:szCs w:val="26"/>
        </w:rPr>
        <w:t xml:space="preserve"> categorisation</w:t>
      </w:r>
      <w:bookmarkEnd w:id="66"/>
      <w:bookmarkEnd w:id="67"/>
      <w:bookmarkEnd w:id="68"/>
      <w:bookmarkEnd w:id="69"/>
    </w:p>
    <w:p>
      <w:pPr>
        <w:spacing w:line="275" w:lineRule="atLeast"/>
        <w:jc w:val="left"/>
      </w:pPr>
      <w:smartTag w:uri="urn:schemas-microsoft-com:office:smarttags" w:element="place">
        <w:r>
          <w:t>Pest</w:t>
        </w:r>
      </w:smartTag>
      <w:r>
        <w:t xml:space="preserve"> categorisation is a process to examine, for each pest identified in Stage 1 (</w:t>
      </w:r>
      <w:r>
        <w:rPr>
          <w:i/>
        </w:rPr>
        <w:t>Initiation of the PRA process</w:t>
      </w:r>
      <w:r>
        <w:t xml:space="preserve">), whether the criteria for a quarantine pest is satisfied. In the context of propagative material, pest categorisation includes all the main elements of a full pest risk assessment. However, assessment of entry, establishment and spread is done in less detail for propagative material as pests are already with, or within, a suitable, living host that will be grown under favourable conditions to ensure the survival of the host plant. In addition, pests can spread from infected propagative material not only by natural dispersal, but also by domestic trade of infected nursery stock. The process of pest categorisation is summarised by ISPM 11 (FAO 2004) as a screening procedure based on the following criteria: </w:t>
      </w:r>
    </w:p>
    <w:p>
      <w:pPr>
        <w:pStyle w:val="AQISNum"/>
        <w:spacing w:before="40" w:line="275" w:lineRule="atLeast"/>
        <w:ind w:left="357" w:hanging="357"/>
        <w:jc w:val="left"/>
        <w:rPr>
          <w:sz w:val="24"/>
          <w:szCs w:val="24"/>
        </w:rPr>
      </w:pPr>
      <w:r>
        <w:rPr>
          <w:sz w:val="24"/>
          <w:szCs w:val="24"/>
        </w:rPr>
        <w:t>identity of the pest;</w:t>
      </w:r>
    </w:p>
    <w:p>
      <w:pPr>
        <w:pStyle w:val="AQISNum"/>
        <w:spacing w:before="40" w:line="275" w:lineRule="atLeast"/>
        <w:ind w:left="357" w:hanging="357"/>
        <w:jc w:val="left"/>
        <w:rPr>
          <w:sz w:val="24"/>
          <w:szCs w:val="24"/>
        </w:rPr>
      </w:pPr>
      <w:r>
        <w:rPr>
          <w:sz w:val="24"/>
          <w:szCs w:val="24"/>
        </w:rPr>
        <w:t>presence or absence in the endangered area;</w:t>
      </w:r>
    </w:p>
    <w:p>
      <w:pPr>
        <w:pStyle w:val="AQISNum"/>
        <w:spacing w:before="40" w:line="275" w:lineRule="atLeast"/>
        <w:ind w:left="357" w:hanging="357"/>
        <w:jc w:val="left"/>
        <w:rPr>
          <w:sz w:val="24"/>
          <w:szCs w:val="24"/>
        </w:rPr>
      </w:pPr>
      <w:r>
        <w:rPr>
          <w:sz w:val="24"/>
          <w:szCs w:val="24"/>
        </w:rPr>
        <w:t>regulatory status;</w:t>
      </w:r>
    </w:p>
    <w:p>
      <w:pPr>
        <w:pStyle w:val="AQISNum"/>
        <w:spacing w:before="40" w:line="275" w:lineRule="atLeast"/>
        <w:ind w:left="357" w:hanging="357"/>
        <w:jc w:val="left"/>
        <w:rPr>
          <w:sz w:val="24"/>
          <w:szCs w:val="24"/>
        </w:rPr>
      </w:pPr>
      <w:r>
        <w:rPr>
          <w:sz w:val="24"/>
          <w:szCs w:val="24"/>
        </w:rPr>
        <w:t>potential for establishment and spread in the PRA area; and</w:t>
      </w:r>
    </w:p>
    <w:p>
      <w:pPr>
        <w:pStyle w:val="AQISNum"/>
        <w:spacing w:before="40" w:line="275" w:lineRule="atLeast"/>
        <w:ind w:left="357" w:hanging="357"/>
        <w:jc w:val="left"/>
        <w:rPr>
          <w:sz w:val="24"/>
          <w:szCs w:val="24"/>
        </w:rPr>
      </w:pPr>
      <w:r>
        <w:rPr>
          <w:sz w:val="24"/>
          <w:szCs w:val="24"/>
        </w:rPr>
        <w:t>potential for economic consequences in the PRA area.</w:t>
      </w:r>
    </w:p>
    <w:p>
      <w:pPr>
        <w:tabs>
          <w:tab w:val="left" w:pos="1260"/>
        </w:tabs>
        <w:spacing w:before="120" w:line="275" w:lineRule="atLeast"/>
        <w:jc w:val="left"/>
      </w:pPr>
      <w:r>
        <w:t xml:space="preserve">Pests are categorised according to their association with the pathway; their presence or absence or regulatory status; their potential to establish or spread; and their potential for economic consequences. Pests associated with grapevines listed in Appendix A were used to develop a pathway-specific pest list for all pathways (dormant cuttings, tissue cultures and seed). This list identifies the pathway association </w:t>
      </w:r>
      <w:r>
        <w:rPr>
          <w:lang w:val="en-GB"/>
        </w:rPr>
        <w:t>of pests recorded on grapevines and their status in Australia;</w:t>
      </w:r>
      <w:r>
        <w:t xml:space="preserve"> their potential to establish or spread; and their potential for economic consequences. Pests likely to be associated with grapevine propagative material, and absent or under official control in </w:t>
      </w:r>
      <w:smartTag w:uri="urn:schemas-microsoft-com:office:smarttags" w:element="country-region">
        <w:r>
          <w:t>Australia</w:t>
        </w:r>
      </w:smartTag>
      <w:r>
        <w:t xml:space="preserve">, may be capable of establishment or spread within </w:t>
      </w:r>
      <w:smartTag w:uri="urn:schemas-microsoft-com:office:smarttags" w:element="country-region">
        <w:smartTag w:uri="urn:schemas-microsoft-com:office:smarttags" w:element="place">
          <w:r>
            <w:t>Australia</w:t>
          </w:r>
        </w:smartTag>
      </w:smartTag>
      <w:r>
        <w:t xml:space="preserve"> if suitable ecological and climatic conditions exist.</w:t>
      </w:r>
    </w:p>
    <w:p>
      <w:pPr>
        <w:spacing w:before="120" w:line="275" w:lineRule="atLeast"/>
        <w:jc w:val="left"/>
      </w:pPr>
      <w:r>
        <w:t>The quarantine pests of grapevines from all sources identified in the pest categorisation are listed in Table 2.1. These pathogens fulfil the IPPC criteria for a quarantine pest, specifically:</w:t>
      </w:r>
    </w:p>
    <w:p>
      <w:pPr>
        <w:pStyle w:val="AQISNum"/>
        <w:numPr>
          <w:ilvl w:val="0"/>
          <w:numId w:val="9"/>
        </w:numPr>
        <w:spacing w:before="40" w:line="275" w:lineRule="atLeast"/>
        <w:ind w:left="357" w:hanging="357"/>
        <w:jc w:val="left"/>
        <w:rPr>
          <w:sz w:val="24"/>
          <w:szCs w:val="24"/>
        </w:rPr>
      </w:pPr>
      <w:r>
        <w:rPr>
          <w:sz w:val="24"/>
          <w:szCs w:val="24"/>
        </w:rPr>
        <w:t xml:space="preserve">these pests are economically important (as they cause a variety of direct and indirect economic impacts, such as reduced yield, reduced commodity value and/or loss of foreign or domestic markets); and </w:t>
      </w:r>
    </w:p>
    <w:p>
      <w:pPr>
        <w:pStyle w:val="AQISNum"/>
        <w:numPr>
          <w:ilvl w:val="0"/>
          <w:numId w:val="9"/>
        </w:numPr>
        <w:spacing w:before="40" w:line="275" w:lineRule="atLeast"/>
        <w:ind w:left="357" w:hanging="357"/>
        <w:jc w:val="left"/>
        <w:rPr>
          <w:sz w:val="24"/>
          <w:szCs w:val="24"/>
        </w:rPr>
      </w:pPr>
      <w:r>
        <w:rPr>
          <w:sz w:val="24"/>
          <w:szCs w:val="24"/>
        </w:rPr>
        <w:t xml:space="preserve">these pests are not present in </w:t>
      </w:r>
      <w:smartTag w:uri="urn:schemas-microsoft-com:office:smarttags" w:element="country-region">
        <w:smartTag w:uri="urn:schemas-microsoft-com:office:smarttags" w:element="place">
          <w:r>
            <w:rPr>
              <w:sz w:val="24"/>
              <w:szCs w:val="24"/>
            </w:rPr>
            <w:t>Australia</w:t>
          </w:r>
        </w:smartTag>
      </w:smartTag>
      <w:r>
        <w:rPr>
          <w:sz w:val="24"/>
          <w:szCs w:val="24"/>
        </w:rPr>
        <w:t xml:space="preserve"> or have a limited distribution and are under official control.</w:t>
      </w:r>
    </w:p>
    <w:p>
      <w:pPr>
        <w:pStyle w:val="AQISTable"/>
        <w:tabs>
          <w:tab w:val="clear" w:pos="360"/>
          <w:tab w:val="num" w:pos="1440"/>
        </w:tabs>
        <w:spacing w:before="120" w:after="80"/>
        <w:ind w:left="1440" w:hanging="1440"/>
        <w:jc w:val="left"/>
        <w:rPr>
          <w:sz w:val="20"/>
        </w:rPr>
      </w:pPr>
      <w:bookmarkStart w:id="70" w:name="_Toc288228041"/>
      <w:bookmarkStart w:id="71" w:name="_Toc338424035"/>
      <w:bookmarkStart w:id="72" w:name="_Toc70149877"/>
      <w:bookmarkStart w:id="73" w:name="_Toc275502454"/>
      <w:r>
        <w:rPr>
          <w:sz w:val="20"/>
        </w:rPr>
        <w:t>Table 2.1</w:t>
      </w:r>
      <w:r>
        <w:rPr>
          <w:sz w:val="20"/>
        </w:rPr>
        <w:tab/>
        <w:t>Quarantine pests for grapevine propagative material</w:t>
      </w:r>
      <w:bookmarkEnd w:id="70"/>
      <w:bookmarkEnd w:id="71"/>
    </w:p>
    <w:tbl>
      <w:tblPr>
        <w:tblW w:w="9214" w:type="dxa"/>
        <w:tblInd w:w="108" w:type="dxa"/>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ayout w:type="fixed"/>
        <w:tblLook w:val="01E0"/>
      </w:tblPr>
      <w:tblGrid>
        <w:gridCol w:w="6240"/>
        <w:gridCol w:w="1080"/>
        <w:gridCol w:w="960"/>
        <w:gridCol w:w="934"/>
      </w:tblGrid>
      <w:tr>
        <w:trPr>
          <w:tblHeader/>
        </w:trPr>
        <w:tc>
          <w:tcPr>
            <w:tcW w:w="6240" w:type="dxa"/>
            <w:vMerge w:val="restart"/>
            <w:tcBorders>
              <w:top w:val="single" w:sz="12" w:space="0" w:color="008000"/>
            </w:tcBorders>
            <w:shd w:val="clear" w:color="auto" w:fill="E0E0E0"/>
          </w:tcPr>
          <w:p>
            <w:pPr>
              <w:spacing w:before="40" w:after="40" w:line="280" w:lineRule="atLeast"/>
              <w:jc w:val="left"/>
              <w:rPr>
                <w:rFonts w:ascii="Verdana" w:hAnsi="Verdana" w:cs="Arial"/>
                <w:b/>
                <w:sz w:val="18"/>
                <w:szCs w:val="18"/>
              </w:rPr>
            </w:pPr>
            <w:r>
              <w:rPr>
                <w:rFonts w:ascii="Verdana" w:hAnsi="Verdana" w:cs="Arial"/>
                <w:b/>
                <w:sz w:val="18"/>
                <w:szCs w:val="18"/>
              </w:rPr>
              <w:t>Pest type</w:t>
            </w:r>
          </w:p>
        </w:tc>
        <w:tc>
          <w:tcPr>
            <w:tcW w:w="2974" w:type="dxa"/>
            <w:gridSpan w:val="3"/>
            <w:tcBorders>
              <w:top w:val="single" w:sz="12" w:space="0" w:color="008000"/>
              <w:bottom w:val="single" w:sz="12" w:space="0" w:color="008000"/>
            </w:tcBorders>
            <w:shd w:val="clear" w:color="auto" w:fill="E0E0E0"/>
          </w:tcPr>
          <w:p>
            <w:pPr>
              <w:spacing w:before="40" w:after="40" w:line="280" w:lineRule="atLeast"/>
              <w:jc w:val="left"/>
              <w:rPr>
                <w:rFonts w:ascii="Verdana" w:hAnsi="Verdana" w:cs="Arial"/>
                <w:b/>
                <w:sz w:val="18"/>
                <w:szCs w:val="18"/>
              </w:rPr>
            </w:pPr>
            <w:r>
              <w:rPr>
                <w:rFonts w:ascii="Verdana" w:hAnsi="Verdana" w:cs="Arial"/>
                <w:b/>
                <w:sz w:val="18"/>
                <w:szCs w:val="18"/>
              </w:rPr>
              <w:t>Pathway association</w:t>
            </w:r>
            <w:r>
              <w:rPr>
                <w:rStyle w:val="FootnoteReference"/>
                <w:rFonts w:cs="Arial"/>
                <w:bCs/>
              </w:rPr>
              <w:footnoteReference w:id="3"/>
            </w:r>
          </w:p>
        </w:tc>
      </w:tr>
      <w:tr>
        <w:trPr>
          <w:tblHeader/>
        </w:trPr>
        <w:tc>
          <w:tcPr>
            <w:tcW w:w="6240" w:type="dxa"/>
            <w:vMerge/>
            <w:tcBorders>
              <w:bottom w:val="single" w:sz="12" w:space="0" w:color="008000"/>
            </w:tcBorders>
            <w:shd w:val="clear" w:color="auto" w:fill="E0E0E0"/>
          </w:tcPr>
          <w:p>
            <w:pPr>
              <w:spacing w:before="40" w:after="40" w:line="280" w:lineRule="atLeast"/>
              <w:jc w:val="left"/>
              <w:rPr>
                <w:rFonts w:ascii="Verdana" w:hAnsi="Verdana" w:cs="Arial"/>
                <w:b/>
                <w:sz w:val="18"/>
                <w:szCs w:val="18"/>
              </w:rPr>
            </w:pPr>
          </w:p>
        </w:tc>
        <w:tc>
          <w:tcPr>
            <w:tcW w:w="1080" w:type="dxa"/>
            <w:tcBorders>
              <w:top w:val="single" w:sz="12" w:space="0" w:color="008000"/>
              <w:bottom w:val="single" w:sz="12" w:space="0" w:color="008000"/>
            </w:tcBorders>
            <w:shd w:val="clear" w:color="auto" w:fill="E0E0E0"/>
          </w:tcPr>
          <w:p>
            <w:pPr>
              <w:spacing w:before="40" w:after="40" w:line="280" w:lineRule="atLeast"/>
              <w:jc w:val="center"/>
              <w:rPr>
                <w:rFonts w:ascii="Verdana" w:hAnsi="Verdana" w:cs="Arial"/>
                <w:b/>
                <w:sz w:val="16"/>
                <w:szCs w:val="16"/>
              </w:rPr>
            </w:pPr>
            <w:r>
              <w:rPr>
                <w:rFonts w:ascii="Verdana" w:hAnsi="Verdana" w:cs="Arial"/>
                <w:b/>
                <w:sz w:val="16"/>
                <w:szCs w:val="16"/>
              </w:rPr>
              <w:t>Dormant cuttings</w:t>
            </w:r>
          </w:p>
        </w:tc>
        <w:tc>
          <w:tcPr>
            <w:tcW w:w="960" w:type="dxa"/>
            <w:tcBorders>
              <w:top w:val="single" w:sz="12" w:space="0" w:color="008000"/>
              <w:bottom w:val="single" w:sz="12" w:space="0" w:color="008000"/>
            </w:tcBorders>
            <w:shd w:val="clear" w:color="auto" w:fill="E0E0E0"/>
          </w:tcPr>
          <w:p>
            <w:pPr>
              <w:spacing w:before="40" w:after="40" w:line="280" w:lineRule="atLeast"/>
              <w:jc w:val="center"/>
              <w:rPr>
                <w:rFonts w:ascii="Verdana" w:hAnsi="Verdana" w:cs="Arial"/>
                <w:b/>
                <w:sz w:val="16"/>
                <w:szCs w:val="16"/>
              </w:rPr>
            </w:pPr>
            <w:r>
              <w:rPr>
                <w:rFonts w:ascii="Verdana" w:hAnsi="Verdana" w:cs="Arial"/>
                <w:b/>
                <w:sz w:val="16"/>
                <w:szCs w:val="16"/>
              </w:rPr>
              <w:t>Tissue cultures</w:t>
            </w:r>
          </w:p>
        </w:tc>
        <w:tc>
          <w:tcPr>
            <w:tcW w:w="934" w:type="dxa"/>
            <w:tcBorders>
              <w:top w:val="single" w:sz="12" w:space="0" w:color="008000"/>
              <w:bottom w:val="single" w:sz="12" w:space="0" w:color="008000"/>
            </w:tcBorders>
            <w:shd w:val="clear" w:color="auto" w:fill="E0E0E0"/>
          </w:tcPr>
          <w:p>
            <w:pPr>
              <w:spacing w:before="40" w:after="40" w:line="280" w:lineRule="atLeast"/>
              <w:jc w:val="center"/>
              <w:rPr>
                <w:rFonts w:ascii="Verdana" w:hAnsi="Verdana" w:cs="Arial"/>
                <w:b/>
                <w:sz w:val="16"/>
                <w:szCs w:val="16"/>
              </w:rPr>
            </w:pPr>
            <w:r>
              <w:rPr>
                <w:rFonts w:ascii="Verdana" w:hAnsi="Verdana" w:cs="Arial"/>
                <w:b/>
                <w:sz w:val="16"/>
                <w:szCs w:val="16"/>
              </w:rPr>
              <w:t>Seed</w:t>
            </w:r>
          </w:p>
        </w:tc>
      </w:tr>
      <w:tr>
        <w:tc>
          <w:tcPr>
            <w:tcW w:w="9214" w:type="dxa"/>
            <w:gridSpan w:val="4"/>
            <w:tcBorders>
              <w:top w:val="single" w:sz="12" w:space="0" w:color="008000"/>
            </w:tcBorders>
            <w:shd w:val="clear" w:color="auto" w:fill="E6E6E6"/>
          </w:tcPr>
          <w:p>
            <w:pPr>
              <w:spacing w:before="20" w:after="20" w:line="240" w:lineRule="atLeast"/>
              <w:jc w:val="left"/>
              <w:rPr>
                <w:rFonts w:ascii="Verdana" w:hAnsi="Verdana" w:cs="Arial"/>
                <w:sz w:val="18"/>
                <w:szCs w:val="18"/>
              </w:rPr>
            </w:pPr>
            <w:r>
              <w:rPr>
                <w:rFonts w:ascii="Verdana" w:hAnsi="Verdana" w:cs="Arial"/>
                <w:b/>
                <w:sz w:val="18"/>
                <w:szCs w:val="18"/>
              </w:rPr>
              <w:t>ARTHROPODS</w:t>
            </w:r>
          </w:p>
        </w:tc>
      </w:tr>
      <w:tr>
        <w:tc>
          <w:tcPr>
            <w:tcW w:w="9214" w:type="dxa"/>
            <w:gridSpan w:val="4"/>
            <w:shd w:val="clear" w:color="auto" w:fill="F3F3F3"/>
          </w:tcPr>
          <w:p>
            <w:pPr>
              <w:pStyle w:val="AQISText"/>
              <w:spacing w:before="20" w:line="240" w:lineRule="atLeast"/>
              <w:rPr>
                <w:rFonts w:ascii="Arial" w:hAnsi="Arial" w:cs="Arial"/>
                <w:bCs/>
                <w:sz w:val="16"/>
              </w:rPr>
            </w:pPr>
            <w:r>
              <w:rPr>
                <w:rFonts w:ascii="Verdana" w:hAnsi="Verdana" w:cs="Verdana"/>
                <w:b/>
                <w:bCs/>
                <w:sz w:val="16"/>
                <w:szCs w:val="16"/>
              </w:rPr>
              <w:t>ACARI (mites)</w:t>
            </w:r>
          </w:p>
        </w:tc>
      </w:tr>
      <w:tr>
        <w:tc>
          <w:tcPr>
            <w:tcW w:w="6240" w:type="dxa"/>
          </w:tcPr>
          <w:p>
            <w:pPr>
              <w:spacing w:before="20" w:line="240" w:lineRule="atLeast"/>
              <w:rPr>
                <w:rFonts w:ascii="Helvetica" w:hAnsi="Helvetica" w:cs="Helvetica"/>
                <w:i/>
                <w:sz w:val="18"/>
                <w:szCs w:val="18"/>
              </w:rPr>
            </w:pPr>
            <w:r>
              <w:rPr>
                <w:rFonts w:ascii="Helvetica" w:hAnsi="Helvetica" w:cs="Helvetica"/>
                <w:i/>
                <w:iCs/>
                <w:sz w:val="18"/>
                <w:szCs w:val="18"/>
              </w:rPr>
              <w:t>Brevipalpus chilensis</w:t>
            </w:r>
            <w:r>
              <w:rPr>
                <w:rFonts w:ascii="Arial" w:hAnsi="Arial" w:cs="Arial"/>
                <w:sz w:val="18"/>
                <w:szCs w:val="18"/>
              </w:rPr>
              <w:t xml:space="preserve"> </w:t>
            </w:r>
            <w:r>
              <w:rPr>
                <w:rFonts w:ascii="Helvetica" w:hAnsi="Helvetica" w:cs="Helvetica"/>
                <w:sz w:val="18"/>
                <w:szCs w:val="18"/>
              </w:rPr>
              <w:t>Baker [Acari: Tenuipalpidae]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Helvetica" w:hAnsi="Helvetica" w:cs="Shruti"/>
                <w:sz w:val="18"/>
                <w:szCs w:val="18"/>
              </w:rPr>
            </w:pPr>
          </w:p>
        </w:tc>
        <w:tc>
          <w:tcPr>
            <w:tcW w:w="934" w:type="dxa"/>
            <w:shd w:val="clear" w:color="auto" w:fill="F2F2F2"/>
          </w:tcPr>
          <w:p>
            <w:pPr>
              <w:pStyle w:val="AQISText"/>
              <w:spacing w:before="20" w:line="240" w:lineRule="atLeast"/>
              <w:jc w:val="center"/>
              <w:rPr>
                <w:rFonts w:ascii="Arial" w:hAnsi="Arial" w:cs="Arial"/>
                <w:bCs/>
                <w:sz w:val="16"/>
              </w:rPr>
            </w:pPr>
          </w:p>
        </w:tc>
      </w:tr>
      <w:tr>
        <w:tc>
          <w:tcPr>
            <w:tcW w:w="6240" w:type="dxa"/>
          </w:tcPr>
          <w:p>
            <w:pPr>
              <w:spacing w:before="20" w:line="240" w:lineRule="atLeast"/>
              <w:rPr>
                <w:rFonts w:ascii="Helvetica" w:hAnsi="Helvetica" w:cs="Helvetica"/>
                <w:i/>
                <w:sz w:val="18"/>
                <w:szCs w:val="18"/>
                <w:lang w:val="de-DE"/>
              </w:rPr>
            </w:pPr>
            <w:r>
              <w:rPr>
                <w:rFonts w:ascii="Helvetica" w:hAnsi="Helvetica" w:cs="Helvetica"/>
                <w:i/>
                <w:iCs/>
                <w:sz w:val="18"/>
                <w:szCs w:val="18"/>
                <w:lang w:val="de-DE"/>
              </w:rPr>
              <w:t>Colomerus vitis</w:t>
            </w:r>
            <w:r>
              <w:rPr>
                <w:rFonts w:ascii="Helvetica" w:hAnsi="Helvetica" w:cs="Helvetica"/>
                <w:sz w:val="18"/>
                <w:szCs w:val="18"/>
                <w:lang w:val="de-DE"/>
              </w:rPr>
              <w:t xml:space="preserve"> Pagenstecher strain c [Acari: Eriophyidae]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Helvetica" w:hAnsi="Helvetica" w:cs="Shruti"/>
                <w:sz w:val="18"/>
                <w:szCs w:val="18"/>
                <w:lang w:val="de-DE"/>
              </w:rPr>
            </w:pPr>
          </w:p>
        </w:tc>
        <w:tc>
          <w:tcPr>
            <w:tcW w:w="934" w:type="dxa"/>
            <w:shd w:val="clear" w:color="auto" w:fill="F2F2F2"/>
          </w:tcPr>
          <w:p>
            <w:pPr>
              <w:pStyle w:val="AQISText"/>
              <w:spacing w:before="20" w:line="240" w:lineRule="atLeast"/>
              <w:jc w:val="center"/>
              <w:rPr>
                <w:rFonts w:ascii="Arial" w:hAnsi="Arial" w:cs="Arial"/>
                <w:bCs/>
                <w:sz w:val="16"/>
                <w:lang w:val="de-DE"/>
              </w:rPr>
            </w:pPr>
          </w:p>
        </w:tc>
      </w:tr>
      <w:tr>
        <w:tc>
          <w:tcPr>
            <w:tcW w:w="9214" w:type="dxa"/>
            <w:gridSpan w:val="4"/>
            <w:shd w:val="clear" w:color="auto" w:fill="F3F3F3"/>
          </w:tcPr>
          <w:p>
            <w:pPr>
              <w:pStyle w:val="AQISText"/>
              <w:spacing w:before="20" w:line="240" w:lineRule="atLeast"/>
              <w:rPr>
                <w:rFonts w:ascii="Arial" w:hAnsi="Arial" w:cs="Arial"/>
                <w:bCs/>
                <w:sz w:val="16"/>
                <w:lang w:val="de-DE"/>
              </w:rPr>
            </w:pPr>
            <w:r>
              <w:rPr>
                <w:rFonts w:ascii="Verdana" w:hAnsi="Verdana" w:cs="Verdana"/>
                <w:b/>
                <w:bCs/>
                <w:sz w:val="16"/>
                <w:szCs w:val="16"/>
              </w:rPr>
              <w:t>COLEOPTERA (beetles, weevils)</w:t>
            </w:r>
          </w:p>
        </w:tc>
      </w:tr>
      <w:tr>
        <w:tc>
          <w:tcPr>
            <w:tcW w:w="6240" w:type="dxa"/>
          </w:tcPr>
          <w:p>
            <w:pPr>
              <w:spacing w:before="20" w:line="240" w:lineRule="atLeast"/>
              <w:rPr>
                <w:rFonts w:ascii="Helvetica" w:hAnsi="Helvetica" w:cs="Helvetica"/>
                <w:i/>
                <w:sz w:val="18"/>
                <w:szCs w:val="18"/>
              </w:rPr>
            </w:pPr>
            <w:r>
              <w:rPr>
                <w:rFonts w:ascii="Helvetica" w:hAnsi="Helvetica" w:cs="Helvetica"/>
                <w:i/>
                <w:iCs/>
                <w:sz w:val="18"/>
                <w:szCs w:val="18"/>
              </w:rPr>
              <w:t>Sinoxylon perforans</w:t>
            </w:r>
            <w:r>
              <w:rPr>
                <w:rFonts w:ascii="Helvetica" w:hAnsi="Helvetica" w:cs="Helvetica"/>
                <w:sz w:val="18"/>
                <w:szCs w:val="18"/>
              </w:rPr>
              <w:t xml:space="preserve"> Schrank [Coleoptera: Bostrichidae]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Helvetica" w:hAnsi="Helvetica" w:cs="Shruti"/>
                <w:sz w:val="18"/>
                <w:szCs w:val="18"/>
                <w:lang w:val="de-DE"/>
              </w:rPr>
            </w:pPr>
          </w:p>
        </w:tc>
        <w:tc>
          <w:tcPr>
            <w:tcW w:w="934" w:type="dxa"/>
            <w:shd w:val="clear" w:color="auto" w:fill="F2F2F2"/>
          </w:tcPr>
          <w:p>
            <w:pPr>
              <w:pStyle w:val="AQISText"/>
              <w:spacing w:before="20" w:line="240" w:lineRule="atLeast"/>
              <w:jc w:val="center"/>
              <w:rPr>
                <w:rFonts w:ascii="Arial" w:hAnsi="Arial" w:cs="Arial"/>
                <w:bCs/>
                <w:sz w:val="16"/>
                <w:lang w:val="de-DE"/>
              </w:rPr>
            </w:pPr>
          </w:p>
        </w:tc>
      </w:tr>
      <w:tr>
        <w:tc>
          <w:tcPr>
            <w:tcW w:w="6240" w:type="dxa"/>
          </w:tcPr>
          <w:p>
            <w:pPr>
              <w:spacing w:before="20" w:line="240" w:lineRule="atLeast"/>
              <w:rPr>
                <w:rFonts w:ascii="Helvetica" w:hAnsi="Helvetica" w:cs="Helvetica"/>
                <w:i/>
                <w:sz w:val="18"/>
                <w:szCs w:val="18"/>
              </w:rPr>
            </w:pPr>
            <w:r>
              <w:rPr>
                <w:rFonts w:ascii="Helvetica" w:hAnsi="Helvetica" w:cs="Helvetica"/>
                <w:i/>
                <w:iCs/>
                <w:sz w:val="18"/>
                <w:szCs w:val="18"/>
              </w:rPr>
              <w:t>Sinoxylon sexdentatum</w:t>
            </w:r>
            <w:r>
              <w:rPr>
                <w:rFonts w:ascii="Helvetica" w:hAnsi="Helvetica" w:cs="Helvetica"/>
                <w:sz w:val="18"/>
                <w:szCs w:val="18"/>
              </w:rPr>
              <w:t xml:space="preserve"> Olivier [Coleoptera: Bostrichidae]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Helvetica" w:hAnsi="Helvetica" w:cs="Shruti"/>
                <w:sz w:val="18"/>
                <w:szCs w:val="18"/>
                <w:lang w:val="de-DE"/>
              </w:rPr>
            </w:pPr>
          </w:p>
        </w:tc>
        <w:tc>
          <w:tcPr>
            <w:tcW w:w="934" w:type="dxa"/>
            <w:shd w:val="clear" w:color="auto" w:fill="F2F2F2"/>
          </w:tcPr>
          <w:p>
            <w:pPr>
              <w:pStyle w:val="AQISText"/>
              <w:spacing w:before="20" w:line="240" w:lineRule="atLeast"/>
              <w:jc w:val="center"/>
              <w:rPr>
                <w:rFonts w:ascii="Arial" w:hAnsi="Arial" w:cs="Arial"/>
                <w:bCs/>
                <w:sz w:val="16"/>
                <w:lang w:val="de-DE"/>
              </w:rPr>
            </w:pPr>
          </w:p>
        </w:tc>
      </w:tr>
      <w:tr>
        <w:tc>
          <w:tcPr>
            <w:tcW w:w="9214" w:type="dxa"/>
            <w:gridSpan w:val="4"/>
            <w:shd w:val="clear" w:color="auto" w:fill="F3F3F3"/>
          </w:tcPr>
          <w:p>
            <w:pPr>
              <w:pStyle w:val="AQISText"/>
              <w:spacing w:before="20" w:line="240" w:lineRule="atLeast"/>
              <w:rPr>
                <w:rFonts w:ascii="Arial" w:hAnsi="Arial" w:cs="Arial"/>
                <w:bCs/>
                <w:sz w:val="16"/>
              </w:rPr>
            </w:pPr>
            <w:r>
              <w:rPr>
                <w:rFonts w:ascii="Verdana" w:hAnsi="Verdana" w:cs="Verdana"/>
                <w:b/>
                <w:bCs/>
                <w:sz w:val="16"/>
                <w:szCs w:val="16"/>
              </w:rPr>
              <w:lastRenderedPageBreak/>
              <w:t>HEMIPTERA (aphids, leafhoppers, mealybugs, psyllids, scales, true bugs, whiteflies)</w:t>
            </w:r>
          </w:p>
        </w:tc>
      </w:tr>
      <w:tr>
        <w:tc>
          <w:tcPr>
            <w:tcW w:w="6240" w:type="dxa"/>
          </w:tcPr>
          <w:p>
            <w:pPr>
              <w:spacing w:before="20" w:line="240" w:lineRule="atLeast"/>
              <w:rPr>
                <w:rFonts w:ascii="Helvetica" w:hAnsi="Helvetica" w:cs="Helvetica"/>
                <w:i/>
                <w:sz w:val="18"/>
                <w:szCs w:val="18"/>
              </w:rPr>
            </w:pPr>
            <w:r>
              <w:rPr>
                <w:rFonts w:ascii="Helvetica" w:hAnsi="Helvetica" w:cs="Helvetica"/>
                <w:i/>
                <w:iCs/>
                <w:sz w:val="18"/>
                <w:szCs w:val="18"/>
              </w:rPr>
              <w:t>Planococcus ficus</w:t>
            </w:r>
            <w:r>
              <w:rPr>
                <w:rFonts w:ascii="Helvetica" w:hAnsi="Helvetica" w:cs="Helvetica"/>
                <w:sz w:val="18"/>
                <w:szCs w:val="18"/>
              </w:rPr>
              <w:t xml:space="preserve"> Signoret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Helvetica" w:hAnsi="Helvetica" w:cs="Shruti"/>
                <w:sz w:val="18"/>
                <w:szCs w:val="18"/>
              </w:rPr>
            </w:pPr>
          </w:p>
        </w:tc>
        <w:tc>
          <w:tcPr>
            <w:tcW w:w="934" w:type="dxa"/>
            <w:shd w:val="clear" w:color="auto" w:fill="F2F2F2"/>
          </w:tcPr>
          <w:p>
            <w:pPr>
              <w:pStyle w:val="AQISText"/>
              <w:spacing w:before="20" w:line="240" w:lineRule="atLeast"/>
              <w:jc w:val="center"/>
              <w:rPr>
                <w:rFonts w:ascii="Arial" w:hAnsi="Arial" w:cs="Arial"/>
                <w:bCs/>
                <w:sz w:val="16"/>
              </w:rPr>
            </w:pPr>
          </w:p>
        </w:tc>
      </w:tr>
      <w:tr>
        <w:tc>
          <w:tcPr>
            <w:tcW w:w="6240" w:type="dxa"/>
          </w:tcPr>
          <w:p>
            <w:pPr>
              <w:spacing w:before="20" w:line="240" w:lineRule="atLeast"/>
              <w:rPr>
                <w:rFonts w:ascii="Helvetica" w:hAnsi="Helvetica" w:cs="Helvetica"/>
                <w:i/>
                <w:sz w:val="18"/>
                <w:szCs w:val="18"/>
              </w:rPr>
            </w:pPr>
            <w:r>
              <w:rPr>
                <w:rFonts w:ascii="Helvetica" w:hAnsi="Helvetica" w:cs="Helvetica"/>
                <w:i/>
                <w:iCs/>
                <w:sz w:val="18"/>
                <w:szCs w:val="18"/>
              </w:rPr>
              <w:t>Planococcus lilacinus</w:t>
            </w:r>
            <w:r>
              <w:rPr>
                <w:rFonts w:ascii="Helvetica" w:hAnsi="Helvetica" w:cs="Helvetica"/>
                <w:sz w:val="18"/>
                <w:szCs w:val="18"/>
              </w:rPr>
              <w:t xml:space="preserve"> Cockerell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Helvetica" w:hAnsi="Helvetica" w:cs="Shruti"/>
                <w:sz w:val="18"/>
                <w:szCs w:val="18"/>
              </w:rPr>
            </w:pPr>
          </w:p>
        </w:tc>
        <w:tc>
          <w:tcPr>
            <w:tcW w:w="934" w:type="dxa"/>
            <w:shd w:val="clear" w:color="auto" w:fill="F2F2F2"/>
          </w:tcPr>
          <w:p>
            <w:pPr>
              <w:pStyle w:val="AQISText"/>
              <w:spacing w:before="20" w:line="240" w:lineRule="atLeast"/>
              <w:jc w:val="center"/>
              <w:rPr>
                <w:rFonts w:ascii="Arial" w:hAnsi="Arial" w:cs="Arial"/>
                <w:bCs/>
                <w:sz w:val="16"/>
              </w:rPr>
            </w:pPr>
          </w:p>
        </w:tc>
      </w:tr>
      <w:tr>
        <w:tc>
          <w:tcPr>
            <w:tcW w:w="6240" w:type="dxa"/>
          </w:tcPr>
          <w:p>
            <w:pPr>
              <w:spacing w:before="20" w:line="240" w:lineRule="atLeast"/>
              <w:rPr>
                <w:rFonts w:ascii="Helvetica" w:hAnsi="Helvetica" w:cs="Helvetica"/>
                <w:i/>
                <w:iCs/>
                <w:sz w:val="18"/>
                <w:szCs w:val="18"/>
              </w:rPr>
            </w:pPr>
            <w:r>
              <w:rPr>
                <w:rFonts w:ascii="Helvetica" w:hAnsi="Helvetica" w:cs="Helvetica"/>
                <w:i/>
                <w:sz w:val="18"/>
                <w:szCs w:val="18"/>
              </w:rPr>
              <w:t>Planococcus kraunhiae</w:t>
            </w:r>
            <w:r>
              <w:rPr>
                <w:rFonts w:ascii="Helvetica" w:hAnsi="Helvetica" w:cs="Helvetica"/>
                <w:sz w:val="18"/>
                <w:szCs w:val="18"/>
              </w:rPr>
              <w:t xml:space="preserve">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Helvetica" w:hAnsi="Helvetica" w:cs="Shruti"/>
                <w:sz w:val="18"/>
                <w:szCs w:val="18"/>
              </w:rPr>
            </w:pPr>
          </w:p>
        </w:tc>
        <w:tc>
          <w:tcPr>
            <w:tcW w:w="934" w:type="dxa"/>
            <w:shd w:val="clear" w:color="auto" w:fill="F2F2F2"/>
          </w:tcPr>
          <w:p>
            <w:pPr>
              <w:pStyle w:val="AQISText"/>
              <w:spacing w:before="20" w:line="240" w:lineRule="atLeast"/>
              <w:jc w:val="center"/>
              <w:rPr>
                <w:rFonts w:ascii="Arial" w:hAnsi="Arial" w:cs="Arial"/>
                <w:bCs/>
                <w:sz w:val="16"/>
              </w:rPr>
            </w:pPr>
          </w:p>
        </w:tc>
      </w:tr>
      <w:tr>
        <w:tc>
          <w:tcPr>
            <w:tcW w:w="6240" w:type="dxa"/>
          </w:tcPr>
          <w:p>
            <w:pPr>
              <w:spacing w:before="20" w:line="240" w:lineRule="atLeast"/>
              <w:rPr>
                <w:rFonts w:ascii="Helvetica" w:hAnsi="Helvetica" w:cs="Helvetica"/>
                <w:sz w:val="18"/>
                <w:szCs w:val="18"/>
              </w:rPr>
            </w:pPr>
            <w:r>
              <w:rPr>
                <w:rFonts w:ascii="Helvetica" w:hAnsi="Helvetica" w:cs="Helvetica"/>
                <w:i/>
                <w:iCs/>
                <w:sz w:val="18"/>
                <w:szCs w:val="18"/>
              </w:rPr>
              <w:t xml:space="preserve">Targionia vitis </w:t>
            </w:r>
            <w:r>
              <w:rPr>
                <w:rFonts w:ascii="Helvetica" w:hAnsi="Helvetica" w:cs="Helvetica"/>
                <w:sz w:val="18"/>
                <w:szCs w:val="18"/>
              </w:rPr>
              <w:t>Signoret [Hemiptera: Diaspididae]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6"/>
              </w:rPr>
            </w:pPr>
          </w:p>
        </w:tc>
        <w:tc>
          <w:tcPr>
            <w:tcW w:w="934" w:type="dxa"/>
            <w:shd w:val="clear" w:color="auto" w:fill="F2F2F2"/>
          </w:tcPr>
          <w:p>
            <w:pPr>
              <w:pStyle w:val="AQISText"/>
              <w:spacing w:before="20" w:line="240" w:lineRule="atLeast"/>
              <w:jc w:val="center"/>
              <w:rPr>
                <w:rFonts w:ascii="Arial" w:hAnsi="Arial" w:cs="Arial"/>
                <w:bCs/>
                <w:sz w:val="16"/>
              </w:rPr>
            </w:pPr>
          </w:p>
        </w:tc>
      </w:tr>
      <w:tr>
        <w:tc>
          <w:tcPr>
            <w:tcW w:w="9214" w:type="dxa"/>
            <w:gridSpan w:val="4"/>
            <w:shd w:val="clear" w:color="auto" w:fill="F3F3F3"/>
          </w:tcPr>
          <w:p>
            <w:pPr>
              <w:pStyle w:val="AQISText"/>
              <w:spacing w:before="20" w:line="240" w:lineRule="atLeast"/>
              <w:rPr>
                <w:rFonts w:ascii="Arial" w:hAnsi="Arial" w:cs="Arial"/>
                <w:bCs/>
                <w:sz w:val="16"/>
              </w:rPr>
            </w:pPr>
            <w:r>
              <w:rPr>
                <w:rFonts w:ascii="Verdana" w:hAnsi="Verdana" w:cs="Verdana"/>
                <w:b/>
                <w:bCs/>
                <w:sz w:val="16"/>
                <w:szCs w:val="16"/>
              </w:rPr>
              <w:t>LEPIDOPTERA (moths, butterflies)</w:t>
            </w:r>
          </w:p>
        </w:tc>
      </w:tr>
      <w:tr>
        <w:tc>
          <w:tcPr>
            <w:tcW w:w="6240" w:type="dxa"/>
          </w:tcPr>
          <w:p>
            <w:pPr>
              <w:spacing w:before="20" w:line="240" w:lineRule="atLeast"/>
              <w:rPr>
                <w:rFonts w:ascii="Helvetica" w:hAnsi="Helvetica" w:cs="Helvetica"/>
                <w:sz w:val="18"/>
                <w:szCs w:val="18"/>
              </w:rPr>
            </w:pPr>
            <w:r>
              <w:rPr>
                <w:rFonts w:ascii="Helvetica" w:hAnsi="Helvetica" w:cs="Helvetica"/>
                <w:i/>
                <w:iCs/>
                <w:sz w:val="18"/>
                <w:szCs w:val="18"/>
              </w:rPr>
              <w:t xml:space="preserve">Paranthrene regalis </w:t>
            </w:r>
            <w:smartTag w:uri="urn:schemas-microsoft-com:office:smarttags" w:element="City">
              <w:smartTag w:uri="urn:schemas-microsoft-com:office:smarttags" w:element="place">
                <w:r>
                  <w:rPr>
                    <w:rFonts w:ascii="Helvetica" w:hAnsi="Helvetica" w:cs="Helvetica"/>
                    <w:sz w:val="18"/>
                    <w:szCs w:val="18"/>
                  </w:rPr>
                  <w:t>Butler</w:t>
                </w:r>
              </w:smartTag>
            </w:smartTag>
            <w:r>
              <w:rPr>
                <w:rFonts w:ascii="Helvetica" w:hAnsi="Helvetica" w:cs="Helvetica"/>
                <w:sz w:val="18"/>
                <w:szCs w:val="18"/>
              </w:rPr>
              <w:t xml:space="preserve"> [Lepidoptera: Sesiidae]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6"/>
              </w:rPr>
            </w:pPr>
          </w:p>
        </w:tc>
        <w:tc>
          <w:tcPr>
            <w:tcW w:w="934" w:type="dxa"/>
            <w:shd w:val="clear" w:color="auto" w:fill="F2F2F2"/>
          </w:tcPr>
          <w:p>
            <w:pPr>
              <w:pStyle w:val="AQISText"/>
              <w:spacing w:before="20" w:line="240" w:lineRule="atLeast"/>
              <w:jc w:val="center"/>
              <w:rPr>
                <w:rFonts w:ascii="Arial" w:hAnsi="Arial" w:cs="Arial"/>
                <w:bCs/>
                <w:sz w:val="16"/>
              </w:rPr>
            </w:pPr>
          </w:p>
        </w:tc>
      </w:tr>
      <w:tr>
        <w:tc>
          <w:tcPr>
            <w:tcW w:w="6240" w:type="dxa"/>
          </w:tcPr>
          <w:p>
            <w:pPr>
              <w:spacing w:before="20" w:line="240" w:lineRule="atLeast"/>
              <w:rPr>
                <w:rFonts w:ascii="Helvetica" w:hAnsi="Helvetica" w:cs="Helvetica"/>
                <w:sz w:val="18"/>
                <w:szCs w:val="18"/>
              </w:rPr>
            </w:pPr>
            <w:r>
              <w:rPr>
                <w:rFonts w:ascii="Helvetica" w:hAnsi="Helvetica" w:cs="Helvetica"/>
                <w:i/>
                <w:iCs/>
                <w:sz w:val="18"/>
                <w:szCs w:val="18"/>
              </w:rPr>
              <w:t>Z</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zera coffeae </w:t>
            </w:r>
            <w:r>
              <w:rPr>
                <w:rFonts w:ascii="Helvetica" w:hAnsi="Helvetica" w:cs="Helvetica"/>
                <w:sz w:val="18"/>
                <w:szCs w:val="18"/>
              </w:rPr>
              <w:t>Nietner [Lepidoptera: Cossidae]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6"/>
              </w:rPr>
            </w:pPr>
          </w:p>
        </w:tc>
        <w:tc>
          <w:tcPr>
            <w:tcW w:w="934" w:type="dxa"/>
            <w:shd w:val="clear" w:color="auto" w:fill="F2F2F2"/>
          </w:tcPr>
          <w:p>
            <w:pPr>
              <w:pStyle w:val="AQISText"/>
              <w:spacing w:before="20" w:line="240" w:lineRule="atLeast"/>
              <w:jc w:val="center"/>
              <w:rPr>
                <w:rFonts w:ascii="Arial" w:hAnsi="Arial" w:cs="Arial"/>
                <w:bCs/>
                <w:sz w:val="16"/>
              </w:rPr>
            </w:pPr>
          </w:p>
        </w:tc>
      </w:tr>
      <w:tr>
        <w:tc>
          <w:tcPr>
            <w:tcW w:w="9214" w:type="dxa"/>
            <w:gridSpan w:val="4"/>
            <w:tcBorders>
              <w:top w:val="single" w:sz="12" w:space="0" w:color="008000"/>
            </w:tcBorders>
            <w:shd w:val="clear" w:color="auto" w:fill="E6E6E6"/>
          </w:tcPr>
          <w:p>
            <w:pPr>
              <w:spacing w:before="20" w:after="20" w:line="240" w:lineRule="atLeast"/>
              <w:rPr>
                <w:rFonts w:ascii="Verdana" w:hAnsi="Verdana" w:cs="Arial"/>
                <w:sz w:val="18"/>
                <w:szCs w:val="18"/>
              </w:rPr>
            </w:pPr>
            <w:r>
              <w:rPr>
                <w:rFonts w:ascii="Verdana" w:hAnsi="Verdana" w:cs="Arial"/>
                <w:b/>
                <w:sz w:val="18"/>
                <w:szCs w:val="18"/>
              </w:rPr>
              <w:t>PATHOGENS</w:t>
            </w:r>
          </w:p>
        </w:tc>
      </w:tr>
      <w:tr>
        <w:tc>
          <w:tcPr>
            <w:tcW w:w="9214" w:type="dxa"/>
            <w:gridSpan w:val="4"/>
            <w:shd w:val="clear" w:color="auto" w:fill="F3F3F3"/>
          </w:tcPr>
          <w:p>
            <w:pPr>
              <w:pStyle w:val="AQISText"/>
              <w:spacing w:before="20" w:line="240" w:lineRule="atLeast"/>
              <w:rPr>
                <w:rFonts w:ascii="Arial" w:hAnsi="Arial" w:cs="Arial"/>
                <w:bCs/>
                <w:sz w:val="16"/>
              </w:rPr>
            </w:pPr>
            <w:r>
              <w:rPr>
                <w:rFonts w:ascii="Verdana" w:hAnsi="Verdana" w:cs="Verdana"/>
                <w:b/>
                <w:bCs/>
                <w:sz w:val="16"/>
                <w:szCs w:val="16"/>
              </w:rPr>
              <w:t>BACTERIA</w:t>
            </w:r>
          </w:p>
        </w:tc>
      </w:tr>
      <w:tr>
        <w:tc>
          <w:tcPr>
            <w:tcW w:w="6240" w:type="dxa"/>
          </w:tcPr>
          <w:p>
            <w:pPr>
              <w:spacing w:before="20" w:line="240" w:lineRule="atLeast"/>
              <w:rPr>
                <w:rFonts w:ascii="Helvetica" w:hAnsi="Helvetica" w:cs="Helvetica"/>
                <w:i/>
                <w:iCs/>
                <w:sz w:val="18"/>
                <w:szCs w:val="18"/>
              </w:rPr>
            </w:pPr>
            <w:r>
              <w:rPr>
                <w:rFonts w:ascii="Helvetica" w:hAnsi="Helvetica" w:cs="Helvetica"/>
                <w:i/>
                <w:iCs/>
                <w:sz w:val="18"/>
                <w:szCs w:val="18"/>
              </w:rPr>
              <w:t>Xanthomonas campestris</w:t>
            </w:r>
            <w:r>
              <w:rPr>
                <w:rFonts w:ascii="Helvetica" w:hAnsi="Helvetica" w:cs="Helvetica"/>
                <w:sz w:val="18"/>
                <w:szCs w:val="18"/>
              </w:rPr>
              <w:t xml:space="preserve"> pv. </w:t>
            </w:r>
            <w:r>
              <w:rPr>
                <w:rFonts w:ascii="Helvetica" w:hAnsi="Helvetica" w:cs="Helvetica"/>
                <w:i/>
                <w:iCs/>
                <w:sz w:val="18"/>
                <w:szCs w:val="18"/>
              </w:rPr>
              <w:t>viticola</w:t>
            </w:r>
            <w:r>
              <w:rPr>
                <w:rFonts w:ascii="Helvetica" w:hAnsi="Helvetica" w:cs="Helvetica"/>
                <w:sz w:val="18"/>
                <w:szCs w:val="18"/>
              </w:rPr>
              <w:t xml:space="preserve"> (Nayudu) Dye</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34" w:type="dxa"/>
            <w:shd w:val="clear" w:color="auto" w:fill="F2F2F2"/>
          </w:tcPr>
          <w:p>
            <w:pPr>
              <w:pStyle w:val="AQISText"/>
              <w:spacing w:before="20" w:line="240" w:lineRule="atLeast"/>
              <w:jc w:val="center"/>
              <w:rPr>
                <w:rFonts w:ascii="Arial" w:hAnsi="Arial" w:cs="Arial"/>
                <w:bCs/>
                <w:sz w:val="16"/>
              </w:rPr>
            </w:pPr>
          </w:p>
        </w:tc>
      </w:tr>
      <w:tr>
        <w:tc>
          <w:tcPr>
            <w:tcW w:w="6240" w:type="dxa"/>
          </w:tcPr>
          <w:p>
            <w:pPr>
              <w:spacing w:before="20" w:line="240" w:lineRule="atLeast"/>
              <w:rPr>
                <w:rFonts w:ascii="Helvetica" w:hAnsi="Helvetica" w:cs="Helvetica"/>
                <w:i/>
                <w:sz w:val="18"/>
                <w:szCs w:val="18"/>
              </w:rPr>
            </w:pPr>
            <w:r>
              <w:rPr>
                <w:rFonts w:ascii="Helvetica" w:hAnsi="Helvetica" w:cs="Helvetica"/>
                <w:i/>
                <w:sz w:val="18"/>
                <w:szCs w:val="18"/>
              </w:rPr>
              <w:t>Xylella fastidiosa</w:t>
            </w:r>
            <w:r>
              <w:rPr>
                <w:rFonts w:ascii="Helvetica" w:hAnsi="Helvetica" w:cs="Helvetica"/>
                <w:sz w:val="18"/>
                <w:szCs w:val="18"/>
              </w:rPr>
              <w:t xml:space="preserve"> (Wells </w:t>
            </w:r>
            <w:r>
              <w:rPr>
                <w:rFonts w:ascii="Helvetica" w:hAnsi="Helvetica" w:cs="Helvetica"/>
                <w:i/>
                <w:iCs/>
                <w:sz w:val="18"/>
                <w:szCs w:val="18"/>
              </w:rPr>
              <w:t>et al</w:t>
            </w:r>
            <w:r>
              <w:rPr>
                <w:rFonts w:ascii="Helvetica" w:hAnsi="Helvetica" w:cs="Helvetica"/>
                <w:sz w:val="18"/>
                <w:szCs w:val="18"/>
              </w:rPr>
              <w:t>.) – grapevine strain</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34" w:type="dxa"/>
            <w:shd w:val="clear" w:color="auto" w:fill="F2F2F2"/>
          </w:tcPr>
          <w:p>
            <w:pPr>
              <w:pStyle w:val="AQISText"/>
              <w:spacing w:before="20" w:line="240" w:lineRule="atLeast"/>
              <w:jc w:val="center"/>
              <w:rPr>
                <w:rFonts w:ascii="Arial" w:hAnsi="Arial" w:cs="Arial"/>
                <w:bCs/>
                <w:sz w:val="16"/>
              </w:rPr>
            </w:pP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Xylophilus ampelinus</w:t>
            </w:r>
            <w:r>
              <w:rPr>
                <w:rFonts w:ascii="Helvetica" w:hAnsi="Helvetica" w:cs="Helvetica"/>
                <w:sz w:val="18"/>
                <w:szCs w:val="18"/>
              </w:rPr>
              <w:t xml:space="preserve"> (Panagopoulos) Willems </w:t>
            </w:r>
            <w:r>
              <w:rPr>
                <w:rFonts w:ascii="Helvetica" w:hAnsi="Helvetica" w:cs="Helvetica"/>
                <w:i/>
                <w:iCs/>
                <w:sz w:val="18"/>
                <w:szCs w:val="18"/>
              </w:rPr>
              <w:t>et al</w:t>
            </w:r>
            <w:r>
              <w:rPr>
                <w:rFonts w:ascii="Helvetica" w:hAnsi="Helvetica" w:cs="Helvetica"/>
                <w:sz w:val="18"/>
                <w:szCs w:val="18"/>
              </w:rPr>
              <w:t>.</w:t>
            </w:r>
          </w:p>
        </w:tc>
        <w:tc>
          <w:tcPr>
            <w:tcW w:w="108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6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34" w:type="dxa"/>
            <w:shd w:val="clear" w:color="auto" w:fill="F2F2F2"/>
          </w:tcPr>
          <w:p>
            <w:pPr>
              <w:pStyle w:val="AQISText"/>
              <w:spacing w:before="20" w:line="240" w:lineRule="atLeast"/>
              <w:jc w:val="center"/>
              <w:rPr>
                <w:rFonts w:ascii="Arial" w:hAnsi="Arial" w:cs="Arial"/>
                <w:bCs/>
                <w:sz w:val="16"/>
              </w:rPr>
            </w:pPr>
          </w:p>
        </w:tc>
      </w:tr>
      <w:tr>
        <w:tc>
          <w:tcPr>
            <w:tcW w:w="9214" w:type="dxa"/>
            <w:gridSpan w:val="4"/>
            <w:tcBorders>
              <w:top w:val="single" w:sz="12" w:space="0" w:color="008000"/>
            </w:tcBorders>
            <w:shd w:val="clear" w:color="auto" w:fill="E6E6E6"/>
          </w:tcPr>
          <w:p>
            <w:pPr>
              <w:spacing w:before="20" w:after="20" w:line="240" w:lineRule="atLeast"/>
              <w:rPr>
                <w:rFonts w:ascii="Verdana" w:hAnsi="Verdana" w:cs="Arial"/>
                <w:sz w:val="18"/>
                <w:szCs w:val="18"/>
              </w:rPr>
            </w:pPr>
            <w:r>
              <w:rPr>
                <w:rFonts w:ascii="Verdana" w:hAnsi="Verdana" w:cs="Verdana"/>
                <w:b/>
                <w:bCs/>
                <w:sz w:val="16"/>
                <w:szCs w:val="16"/>
              </w:rPr>
              <w:t>FUNGI</w:t>
            </w: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Alternaria viticola</w:t>
            </w:r>
            <w:r>
              <w:rPr>
                <w:rFonts w:ascii="Helvetica" w:hAnsi="Helvetica" w:cs="Helvetica"/>
                <w:sz w:val="18"/>
                <w:szCs w:val="18"/>
              </w:rPr>
              <w:t xml:space="preserve"> Brunaud</w:t>
            </w:r>
          </w:p>
        </w:tc>
        <w:tc>
          <w:tcPr>
            <w:tcW w:w="108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6"/>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6240" w:type="dxa"/>
          </w:tcPr>
          <w:p>
            <w:pPr>
              <w:spacing w:before="20" w:line="240" w:lineRule="atLeast"/>
              <w:rPr>
                <w:rFonts w:ascii="Helvetica" w:hAnsi="Helvetica" w:cs="Helvetica"/>
                <w:i/>
                <w:sz w:val="18"/>
                <w:szCs w:val="18"/>
              </w:rPr>
            </w:pPr>
            <w:r>
              <w:rPr>
                <w:rFonts w:ascii="Helvetica" w:hAnsi="Helvetica" w:cs="Helvetica"/>
                <w:i/>
                <w:sz w:val="18"/>
                <w:szCs w:val="18"/>
              </w:rPr>
              <w:t xml:space="preserve">Cadophora luteo-olivacea </w:t>
            </w:r>
            <w:r>
              <w:rPr>
                <w:rFonts w:ascii="Helvetica" w:hAnsi="Helvetica" w:cs="Helvetica"/>
                <w:sz w:val="18"/>
                <w:szCs w:val="18"/>
              </w:rPr>
              <w:t>(J.F.H Beyma) T.C. Harr. &amp; McNew</w:t>
            </w:r>
          </w:p>
        </w:tc>
        <w:tc>
          <w:tcPr>
            <w:tcW w:w="108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6"/>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6240" w:type="dxa"/>
          </w:tcPr>
          <w:p>
            <w:pPr>
              <w:spacing w:before="20" w:line="240" w:lineRule="atLeast"/>
              <w:rPr>
                <w:rFonts w:ascii="Helvetica" w:hAnsi="Helvetica" w:cs="Helvetica"/>
                <w:i/>
                <w:sz w:val="18"/>
                <w:szCs w:val="18"/>
              </w:rPr>
            </w:pPr>
            <w:r>
              <w:rPr>
                <w:rFonts w:ascii="Helvetica" w:hAnsi="Helvetica" w:cs="Helvetica"/>
                <w:i/>
                <w:sz w:val="18"/>
                <w:szCs w:val="18"/>
              </w:rPr>
              <w:t xml:space="preserve">Cadophora melinii </w:t>
            </w:r>
            <w:r>
              <w:rPr>
                <w:rFonts w:ascii="Helvetica" w:hAnsi="Helvetica" w:cs="Helvetica"/>
                <w:sz w:val="18"/>
                <w:szCs w:val="18"/>
              </w:rPr>
              <w:t>Nannf.</w:t>
            </w:r>
          </w:p>
        </w:tc>
        <w:tc>
          <w:tcPr>
            <w:tcW w:w="108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6"/>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Eutypella</w:t>
            </w:r>
            <w:r>
              <w:rPr>
                <w:rFonts w:ascii="Helvetica" w:hAnsi="Helvetica" w:cs="Helvetica"/>
                <w:sz w:val="18"/>
                <w:szCs w:val="18"/>
              </w:rPr>
              <w:t xml:space="preserve"> </w:t>
            </w:r>
            <w:r>
              <w:rPr>
                <w:rFonts w:ascii="Helvetica" w:hAnsi="Helvetica" w:cs="Helvetica"/>
                <w:i/>
                <w:sz w:val="18"/>
                <w:szCs w:val="18"/>
              </w:rPr>
              <w:t>leprosa</w:t>
            </w:r>
            <w:r>
              <w:rPr>
                <w:rFonts w:ascii="Helvetica" w:hAnsi="Helvetica" w:cs="Helvetica"/>
                <w:sz w:val="18"/>
                <w:szCs w:val="18"/>
              </w:rPr>
              <w:t xml:space="preserve"> (Pers.) Berl.</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Helvetica" w:hAnsi="Helvetica" w:cs="Shruti"/>
                <w:sz w:val="18"/>
                <w:szCs w:val="18"/>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6240" w:type="dxa"/>
          </w:tcPr>
          <w:p>
            <w:pPr>
              <w:spacing w:before="20" w:line="240" w:lineRule="atLeast"/>
              <w:rPr>
                <w:rFonts w:ascii="Helvetica" w:hAnsi="Helvetica"/>
                <w:sz w:val="18"/>
                <w:szCs w:val="18"/>
                <w:lang w:val="de-DE"/>
              </w:rPr>
            </w:pPr>
            <w:r>
              <w:rPr>
                <w:rFonts w:ascii="Helvetica" w:hAnsi="Helvetica" w:cs="Helvetica"/>
                <w:i/>
                <w:sz w:val="18"/>
                <w:szCs w:val="18"/>
                <w:lang w:val="de-DE"/>
              </w:rPr>
              <w:t>Eutypella vitis</w:t>
            </w:r>
            <w:r>
              <w:rPr>
                <w:rFonts w:ascii="Helvetica" w:hAnsi="Helvetica" w:cs="Helvetica"/>
                <w:sz w:val="18"/>
                <w:szCs w:val="18"/>
                <w:lang w:val="de-DE"/>
              </w:rPr>
              <w:t xml:space="preserve"> (Schwein.:Fr.) Ellis &amp; Everhart</w:t>
            </w:r>
          </w:p>
        </w:tc>
        <w:tc>
          <w:tcPr>
            <w:tcW w:w="108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Arial" w:hAnsi="Arial" w:cs="Arial"/>
                <w:bCs/>
                <w:sz w:val="18"/>
                <w:szCs w:val="18"/>
                <w:lang w:val="de-DE"/>
              </w:rPr>
            </w:pPr>
          </w:p>
        </w:tc>
        <w:tc>
          <w:tcPr>
            <w:tcW w:w="934" w:type="dxa"/>
            <w:shd w:val="clear" w:color="auto" w:fill="F2F2F2"/>
          </w:tcPr>
          <w:p>
            <w:pPr>
              <w:spacing w:before="20" w:line="240" w:lineRule="atLeast"/>
              <w:jc w:val="center"/>
              <w:rPr>
                <w:rFonts w:ascii="Helvetica" w:hAnsi="Helvetica" w:cs="Shruti"/>
                <w:sz w:val="18"/>
                <w:szCs w:val="18"/>
                <w:lang w:val="de-DE"/>
              </w:rPr>
            </w:pPr>
          </w:p>
        </w:tc>
      </w:tr>
      <w:tr>
        <w:tc>
          <w:tcPr>
            <w:tcW w:w="6240" w:type="dxa"/>
          </w:tcPr>
          <w:p>
            <w:pPr>
              <w:spacing w:before="20" w:line="240" w:lineRule="atLeast"/>
              <w:rPr>
                <w:rFonts w:ascii="Helvetica" w:hAnsi="Helvetica"/>
                <w:sz w:val="18"/>
                <w:szCs w:val="18"/>
                <w:lang w:val="de-DE"/>
              </w:rPr>
            </w:pPr>
            <w:r>
              <w:rPr>
                <w:rFonts w:ascii="Helvetica" w:hAnsi="Helvetica" w:cs="Helvetica"/>
                <w:i/>
                <w:sz w:val="18"/>
                <w:szCs w:val="18"/>
              </w:rPr>
              <w:t>Fomitiporia mediterranea</w:t>
            </w:r>
            <w:r>
              <w:rPr>
                <w:rFonts w:ascii="Helvetica" w:hAnsi="Helvetica" w:cs="Helvetica"/>
                <w:sz w:val="18"/>
                <w:szCs w:val="18"/>
              </w:rPr>
              <w:t xml:space="preserve"> M. Fischer</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spacing w:before="20" w:line="240" w:lineRule="atLeast"/>
              <w:jc w:val="center"/>
              <w:rPr>
                <w:rFonts w:ascii="Arial" w:hAnsi="Arial" w:cs="Arial"/>
                <w:bCs/>
                <w:sz w:val="18"/>
                <w:szCs w:val="18"/>
                <w:lang w:val="de-DE"/>
              </w:rPr>
            </w:pPr>
          </w:p>
        </w:tc>
        <w:tc>
          <w:tcPr>
            <w:tcW w:w="934" w:type="dxa"/>
            <w:shd w:val="clear" w:color="auto" w:fill="F2F2F2"/>
          </w:tcPr>
          <w:p>
            <w:pPr>
              <w:spacing w:before="20" w:line="240" w:lineRule="atLeast"/>
              <w:jc w:val="center"/>
              <w:rPr>
                <w:rFonts w:ascii="Helvetica" w:hAnsi="Helvetica" w:cs="Shruti"/>
                <w:sz w:val="18"/>
                <w:szCs w:val="18"/>
                <w:lang w:val="de-DE"/>
              </w:rPr>
            </w:pPr>
          </w:p>
        </w:tc>
      </w:tr>
      <w:tr>
        <w:tc>
          <w:tcPr>
            <w:tcW w:w="6240" w:type="dxa"/>
          </w:tcPr>
          <w:p>
            <w:pPr>
              <w:spacing w:before="20" w:line="240" w:lineRule="atLeast"/>
              <w:rPr>
                <w:rFonts w:ascii="Helvetica" w:hAnsi="Helvetica" w:cs="Helvetica"/>
                <w:sz w:val="18"/>
                <w:szCs w:val="18"/>
                <w:lang w:val="de-DE"/>
              </w:rPr>
            </w:pPr>
            <w:r>
              <w:rPr>
                <w:rFonts w:ascii="Helvetica" w:hAnsi="Helvetica" w:cs="Helvetica"/>
                <w:i/>
                <w:sz w:val="18"/>
                <w:szCs w:val="18"/>
              </w:rPr>
              <w:t>Fomitiporia polymorpha</w:t>
            </w:r>
            <w:r>
              <w:rPr>
                <w:rFonts w:ascii="Helvetica" w:hAnsi="Helvetica" w:cs="Helvetica"/>
                <w:sz w:val="18"/>
                <w:szCs w:val="18"/>
              </w:rPr>
              <w:t xml:space="preserve"> M. Fischer</w:t>
            </w:r>
          </w:p>
        </w:tc>
        <w:tc>
          <w:tcPr>
            <w:tcW w:w="108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8"/>
                <w:szCs w:val="18"/>
                <w:lang w:val="de-DE"/>
              </w:rPr>
            </w:pPr>
          </w:p>
        </w:tc>
        <w:tc>
          <w:tcPr>
            <w:tcW w:w="934" w:type="dxa"/>
            <w:shd w:val="clear" w:color="auto" w:fill="F2F2F2"/>
          </w:tcPr>
          <w:p>
            <w:pPr>
              <w:spacing w:before="20" w:line="240" w:lineRule="atLeast"/>
              <w:jc w:val="center"/>
              <w:rPr>
                <w:rFonts w:ascii="Helvetica" w:hAnsi="Helvetica" w:cs="Shruti"/>
                <w:sz w:val="18"/>
                <w:szCs w:val="18"/>
                <w:lang w:val="de-DE"/>
              </w:rPr>
            </w:pP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 xml:space="preserve">Guignardia </w:t>
            </w:r>
            <w:r>
              <w:rPr>
                <w:rFonts w:ascii="Helvetica" w:hAnsi="Helvetica" w:cs="Helvetica"/>
                <w:sz w:val="18"/>
                <w:szCs w:val="18"/>
              </w:rPr>
              <w:t>species (</w:t>
            </w:r>
            <w:r>
              <w:rPr>
                <w:rFonts w:ascii="Helvetica" w:hAnsi="Helvetica" w:cs="Helvetica"/>
                <w:i/>
                <w:sz w:val="18"/>
                <w:szCs w:val="18"/>
              </w:rPr>
              <w:t>Guignardia bidwellii</w:t>
            </w:r>
            <w:r>
              <w:rPr>
                <w:rFonts w:ascii="Helvetica" w:hAnsi="Helvetica" w:cs="Helvetica"/>
                <w:sz w:val="18"/>
                <w:szCs w:val="18"/>
              </w:rPr>
              <w:t xml:space="preserve">, </w:t>
            </w:r>
            <w:r>
              <w:rPr>
                <w:rFonts w:ascii="Helvetica" w:hAnsi="Helvetica" w:cs="Helvetica"/>
                <w:i/>
                <w:sz w:val="18"/>
                <w:szCs w:val="18"/>
              </w:rPr>
              <w:t xml:space="preserve">Guignardia bidwellii </w:t>
            </w:r>
            <w:r>
              <w:rPr>
                <w:rFonts w:ascii="Helvetica" w:hAnsi="Helvetica" w:cs="Helvetica"/>
                <w:sz w:val="18"/>
                <w:szCs w:val="18"/>
              </w:rPr>
              <w:t xml:space="preserve">f. </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vitis</w:t>
            </w:r>
            <w:r>
              <w:rPr>
                <w:rFonts w:ascii="Helvetica" w:hAnsi="Helvetica" w:cs="Helvetica"/>
                <w:sz w:val="18"/>
                <w:szCs w:val="18"/>
              </w:rPr>
              <w:t xml:space="preserve">, </w:t>
            </w:r>
            <w:r>
              <w:rPr>
                <w:rFonts w:ascii="Helvetica" w:hAnsi="Helvetica" w:cs="Helvetica"/>
                <w:i/>
                <w:sz w:val="18"/>
                <w:szCs w:val="18"/>
              </w:rPr>
              <w:t>Guignardia</w:t>
            </w:r>
            <w:r>
              <w:rPr>
                <w:rFonts w:ascii="Helvetica" w:hAnsi="Helvetica" w:cs="Helvetica"/>
                <w:sz w:val="18"/>
                <w:szCs w:val="18"/>
              </w:rPr>
              <w:t xml:space="preserve"> </w:t>
            </w:r>
            <w:r>
              <w:rPr>
                <w:rFonts w:ascii="Helvetica" w:hAnsi="Helvetica" w:cs="Helvetica"/>
                <w:i/>
                <w:sz w:val="18"/>
                <w:szCs w:val="18"/>
              </w:rPr>
              <w:t>bidwellii</w:t>
            </w:r>
            <w:r>
              <w:rPr>
                <w:rFonts w:ascii="Helvetica" w:hAnsi="Helvetica" w:cs="Helvetica"/>
                <w:sz w:val="18"/>
                <w:szCs w:val="18"/>
              </w:rPr>
              <w:t xml:space="preserve"> f. </w:t>
            </w:r>
            <w:r>
              <w:rPr>
                <w:rFonts w:ascii="Helvetica" w:hAnsi="Helvetica" w:cs="Helvetica"/>
                <w:i/>
                <w:sz w:val="18"/>
                <w:szCs w:val="18"/>
              </w:rPr>
              <w:t>muscadinii</w:t>
            </w:r>
            <w:r>
              <w:rPr>
                <w:rFonts w:ascii="Helvetica" w:hAnsi="Helvetica" w:cs="Helvetica"/>
                <w:sz w:val="18"/>
                <w:szCs w:val="18"/>
              </w:rPr>
              <w:t>)</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8"/>
                <w:szCs w:val="18"/>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6240" w:type="dxa"/>
          </w:tcPr>
          <w:p>
            <w:pPr>
              <w:spacing w:before="20" w:line="240" w:lineRule="atLeast"/>
              <w:rPr>
                <w:rFonts w:ascii="Helvetica" w:hAnsi="Helvetica"/>
                <w:sz w:val="18"/>
                <w:szCs w:val="18"/>
              </w:rPr>
            </w:pPr>
            <w:r>
              <w:rPr>
                <w:rFonts w:ascii="Helvetica" w:hAnsi="Helvetica" w:cs="Helvetica"/>
                <w:i/>
                <w:sz w:val="18"/>
                <w:szCs w:val="18"/>
              </w:rPr>
              <w:t>Inocutis jamaicensis</w:t>
            </w:r>
            <w:r>
              <w:rPr>
                <w:rFonts w:ascii="Helvetica" w:hAnsi="Helvetica" w:cs="Helvetica"/>
                <w:sz w:val="18"/>
                <w:szCs w:val="18"/>
              </w:rPr>
              <w:t xml:space="preserve"> (Murrill) Gottlieb </w:t>
            </w:r>
            <w:r>
              <w:rPr>
                <w:rFonts w:ascii="Helvetica" w:hAnsi="Helvetica" w:cs="Helvetica"/>
                <w:i/>
                <w:sz w:val="18"/>
                <w:szCs w:val="18"/>
              </w:rPr>
              <w:t>et al</w:t>
            </w:r>
            <w:r>
              <w:rPr>
                <w:rFonts w:ascii="Helvetica" w:hAnsi="Helvetica" w:cs="Helvetica"/>
                <w:sz w:val="18"/>
                <w:szCs w:val="18"/>
              </w:rPr>
              <w:t>.</w:t>
            </w:r>
          </w:p>
        </w:tc>
        <w:tc>
          <w:tcPr>
            <w:tcW w:w="108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8"/>
                <w:szCs w:val="18"/>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6240" w:type="dxa"/>
          </w:tcPr>
          <w:p>
            <w:pPr>
              <w:spacing w:before="20" w:line="240" w:lineRule="atLeast"/>
              <w:rPr>
                <w:rFonts w:ascii="Helvetica" w:hAnsi="Helvetica"/>
                <w:i/>
                <w:sz w:val="18"/>
                <w:szCs w:val="18"/>
              </w:rPr>
            </w:pPr>
            <w:r>
              <w:rPr>
                <w:rFonts w:ascii="Helvetica" w:hAnsi="Helvetica" w:cs="Helvetica"/>
                <w:i/>
                <w:sz w:val="18"/>
                <w:szCs w:val="18"/>
              </w:rPr>
              <w:t>Monilinia fructigena</w:t>
            </w:r>
            <w:r>
              <w:rPr>
                <w:rFonts w:ascii="Helvetica" w:hAnsi="Helvetica" w:cs="Helvetica"/>
                <w:sz w:val="18"/>
                <w:szCs w:val="18"/>
              </w:rPr>
              <w:t xml:space="preserve"> Honey</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8"/>
                <w:szCs w:val="18"/>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6240" w:type="dxa"/>
          </w:tcPr>
          <w:p>
            <w:pPr>
              <w:spacing w:before="20" w:line="240" w:lineRule="atLeast"/>
              <w:jc w:val="left"/>
              <w:rPr>
                <w:rFonts w:ascii="Helvetica" w:hAnsi="Helvetica" w:cs="Helvetica"/>
                <w:sz w:val="18"/>
                <w:szCs w:val="18"/>
              </w:rPr>
            </w:pPr>
            <w:r>
              <w:rPr>
                <w:rFonts w:ascii="Helvetica" w:hAnsi="Helvetica" w:cs="Helvetica"/>
                <w:i/>
                <w:sz w:val="18"/>
                <w:szCs w:val="18"/>
              </w:rPr>
              <w:t xml:space="preserve">Phaeoacremonium </w:t>
            </w:r>
            <w:r>
              <w:rPr>
                <w:rFonts w:ascii="Helvetica" w:hAnsi="Helvetica" w:cs="Helvetica"/>
                <w:sz w:val="18"/>
                <w:szCs w:val="18"/>
              </w:rPr>
              <w:t>species (</w:t>
            </w:r>
            <w:r>
              <w:rPr>
                <w:rFonts w:ascii="Helvetica" w:hAnsi="Helvetica" w:cs="Helvetica"/>
                <w:i/>
                <w:sz w:val="18"/>
                <w:szCs w:val="18"/>
              </w:rPr>
              <w:t>P. alvesii, P. angustius,</w:t>
            </w:r>
            <w:r>
              <w:rPr>
                <w:rFonts w:ascii="Helvetica" w:hAnsi="Helvetica" w:cs="Helvetica"/>
                <w:sz w:val="18"/>
                <w:szCs w:val="18"/>
              </w:rPr>
              <w:t xml:space="preserve"> </w:t>
            </w:r>
            <w:r>
              <w:rPr>
                <w:rFonts w:ascii="Helvetica" w:hAnsi="Helvetica" w:cs="Helvetica"/>
                <w:i/>
                <w:sz w:val="18"/>
                <w:szCs w:val="18"/>
              </w:rPr>
              <w:t xml:space="preserve">P. </w:t>
            </w:r>
            <w:r>
              <w:rPr>
                <w:rFonts w:ascii="Helvetica" w:hAnsi="Helvetica" w:cs="Helvetica"/>
                <w:i/>
                <w:iCs/>
                <w:sz w:val="18"/>
                <w:szCs w:val="18"/>
                <w:lang w:eastAsia="en-AU"/>
              </w:rPr>
              <w:t>argentinense</w:t>
            </w:r>
            <w:r>
              <w:rPr>
                <w:rFonts w:ascii="Helvetica" w:hAnsi="Helvetica" w:cs="Helvetica"/>
                <w:iCs/>
                <w:sz w:val="18"/>
                <w:szCs w:val="18"/>
                <w:lang w:eastAsia="en-AU"/>
              </w:rPr>
              <w:t>,</w:t>
            </w:r>
            <w:r>
              <w:rPr>
                <w:rFonts w:ascii="Helvetica" w:hAnsi="Helvetica" w:cs="Helvetica"/>
                <w:i/>
                <w:iCs/>
                <w:sz w:val="18"/>
                <w:szCs w:val="18"/>
                <w:lang w:eastAsia="en-AU"/>
              </w:rPr>
              <w:t xml:space="preserve"> </w:t>
            </w:r>
            <w:r>
              <w:rPr>
                <w:rFonts w:ascii="Helvetica" w:hAnsi="Helvetica" w:cs="Helvetica"/>
                <w:i/>
                <w:sz w:val="18"/>
                <w:szCs w:val="18"/>
              </w:rPr>
              <w:t xml:space="preserve">P. </w:t>
            </w:r>
            <w:r>
              <w:rPr>
                <w:rFonts w:ascii="Helvetica" w:hAnsi="Helvetica" w:cs="Helvetica"/>
                <w:i/>
                <w:iCs/>
                <w:sz w:val="18"/>
                <w:szCs w:val="18"/>
                <w:lang w:eastAsia="en-AU"/>
              </w:rPr>
              <w:t>armeniacum</w:t>
            </w:r>
            <w:r>
              <w:rPr>
                <w:rFonts w:ascii="Helvetica" w:hAnsi="Helvetica" w:cs="Helvetica"/>
                <w:iCs/>
                <w:sz w:val="18"/>
                <w:szCs w:val="18"/>
                <w:lang w:eastAsia="en-AU"/>
              </w:rPr>
              <w:t>,</w:t>
            </w:r>
            <w:r>
              <w:rPr>
                <w:rFonts w:ascii="Helvetica" w:hAnsi="Helvetica" w:cs="Helvetica"/>
                <w:i/>
                <w:iCs/>
                <w:sz w:val="18"/>
                <w:szCs w:val="18"/>
                <w:lang w:eastAsia="en-AU"/>
              </w:rPr>
              <w:t xml:space="preserve"> </w:t>
            </w:r>
            <w:r>
              <w:rPr>
                <w:rFonts w:ascii="Helvetica" w:hAnsi="Helvetica" w:cs="Helvetica"/>
                <w:i/>
                <w:sz w:val="18"/>
                <w:szCs w:val="18"/>
              </w:rPr>
              <w:t>P. austroafricanum</w:t>
            </w:r>
            <w:r>
              <w:rPr>
                <w:rFonts w:ascii="Helvetica" w:hAnsi="Helvetica" w:cs="Helvetica"/>
                <w:sz w:val="18"/>
                <w:szCs w:val="18"/>
              </w:rPr>
              <w:t xml:space="preserve"> </w:t>
            </w:r>
            <w:r>
              <w:rPr>
                <w:rFonts w:ascii="Helvetica" w:hAnsi="Helvetica" w:cs="Helvetica"/>
                <w:i/>
                <w:sz w:val="18"/>
                <w:szCs w:val="18"/>
              </w:rPr>
              <w:t>P. ciner</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m</w:t>
            </w:r>
            <w:r>
              <w:rPr>
                <w:rFonts w:ascii="Helvetica" w:hAnsi="Helvetica" w:cs="Helvetica"/>
                <w:sz w:val="18"/>
                <w:szCs w:val="18"/>
              </w:rPr>
              <w:t xml:space="preserve">, </w:t>
            </w:r>
            <w:r>
              <w:rPr>
                <w:rFonts w:ascii="Helvetica" w:hAnsi="Helvetica" w:cs="Helvetica"/>
                <w:i/>
                <w:sz w:val="18"/>
                <w:szCs w:val="18"/>
              </w:rPr>
              <w:t>P. croatiense</w:t>
            </w:r>
            <w:r>
              <w:rPr>
                <w:rFonts w:ascii="Helvetica" w:hAnsi="Helvetica" w:cs="Helvetica"/>
                <w:sz w:val="18"/>
                <w:szCs w:val="18"/>
              </w:rPr>
              <w:t xml:space="preserve">, </w:t>
            </w:r>
            <w:r>
              <w:rPr>
                <w:rFonts w:ascii="Helvetica" w:hAnsi="Helvetica" w:cs="Helvetica"/>
                <w:i/>
                <w:sz w:val="18"/>
                <w:szCs w:val="18"/>
              </w:rPr>
              <w:t xml:space="preserve">P. </w:t>
            </w:r>
            <w:r>
              <w:rPr>
                <w:rFonts w:ascii="Helvetica" w:hAnsi="Helvetica" w:cs="Helvetica"/>
                <w:i/>
                <w:iCs/>
                <w:sz w:val="18"/>
                <w:szCs w:val="18"/>
                <w:lang w:eastAsia="en-AU"/>
              </w:rPr>
              <w:t>globosum</w:t>
            </w:r>
            <w:r>
              <w:rPr>
                <w:rFonts w:ascii="Helvetica" w:hAnsi="Helvetica" w:cs="Helvetica"/>
                <w:iCs/>
                <w:sz w:val="18"/>
                <w:szCs w:val="18"/>
                <w:lang w:eastAsia="en-AU"/>
              </w:rPr>
              <w:t xml:space="preserve">, </w:t>
            </w:r>
            <w:r>
              <w:rPr>
                <w:rFonts w:ascii="Helvetica" w:hAnsi="Helvetica" w:cs="Helvetica"/>
                <w:i/>
                <w:sz w:val="18"/>
                <w:szCs w:val="18"/>
              </w:rPr>
              <w:t>P. griseorubrum</w:t>
            </w:r>
            <w:r>
              <w:rPr>
                <w:rFonts w:ascii="Helvetica" w:hAnsi="Helvetica" w:cs="Helvetica"/>
                <w:sz w:val="18"/>
                <w:szCs w:val="18"/>
              </w:rPr>
              <w:t xml:space="preserve">, </w:t>
            </w:r>
            <w:r>
              <w:rPr>
                <w:rFonts w:ascii="Helvetica" w:hAnsi="Helvetica" w:cs="Helvetica"/>
                <w:i/>
                <w:sz w:val="18"/>
                <w:szCs w:val="18"/>
              </w:rPr>
              <w:t>P. hispanicum</w:t>
            </w:r>
            <w:r>
              <w:rPr>
                <w:rFonts w:ascii="Helvetica" w:hAnsi="Helvetica" w:cs="Helvetica"/>
                <w:sz w:val="18"/>
                <w:szCs w:val="18"/>
              </w:rPr>
              <w:t xml:space="preserve">, </w:t>
            </w:r>
            <w:r>
              <w:rPr>
                <w:rFonts w:ascii="Helvetica" w:hAnsi="Helvetica" w:cs="Helvetica"/>
                <w:i/>
                <w:sz w:val="18"/>
                <w:szCs w:val="18"/>
              </w:rPr>
              <w:t>P. hungaricum</w:t>
            </w:r>
            <w:r>
              <w:rPr>
                <w:rFonts w:ascii="Helvetica" w:hAnsi="Helvetica" w:cs="Helvetica"/>
                <w:sz w:val="18"/>
                <w:szCs w:val="18"/>
              </w:rPr>
              <w:t xml:space="preserve">, </w:t>
            </w:r>
            <w:r>
              <w:rPr>
                <w:rFonts w:ascii="Helvetica" w:hAnsi="Helvetica" w:cs="Helvetica"/>
                <w:i/>
                <w:sz w:val="18"/>
                <w:szCs w:val="18"/>
              </w:rPr>
              <w:t>P. inflatipes</w:t>
            </w:r>
            <w:r>
              <w:rPr>
                <w:rFonts w:ascii="Helvetica" w:hAnsi="Helvetica" w:cs="Helvetica"/>
                <w:sz w:val="18"/>
                <w:szCs w:val="18"/>
              </w:rPr>
              <w:t>,</w:t>
            </w:r>
            <w:r>
              <w:rPr>
                <w:rFonts w:ascii="Helvetica" w:hAnsi="Helvetica" w:cs="Helvetica"/>
                <w:i/>
                <w:sz w:val="18"/>
                <w:szCs w:val="18"/>
              </w:rPr>
              <w:t xml:space="preserve"> </w:t>
            </w:r>
            <w:hyperlink r:id="rId28" w:history="1">
              <w:r>
                <w:rPr>
                  <w:rFonts w:ascii="Helvetica" w:hAnsi="Helvetica" w:cs="Helvetica"/>
                  <w:i/>
                  <w:sz w:val="18"/>
                  <w:szCs w:val="18"/>
                </w:rPr>
                <w:t>P. iranianum</w:t>
              </w:r>
            </w:hyperlink>
            <w:r>
              <w:rPr>
                <w:rFonts w:ascii="Helvetica" w:hAnsi="Helvetica" w:cs="Helvetica"/>
                <w:sz w:val="18"/>
                <w:szCs w:val="18"/>
              </w:rPr>
              <w:t xml:space="preserve">, </w:t>
            </w:r>
            <w:r>
              <w:rPr>
                <w:rFonts w:ascii="Helvetica" w:hAnsi="Helvetica" w:cs="Helvetica"/>
                <w:i/>
                <w:sz w:val="18"/>
                <w:szCs w:val="18"/>
              </w:rPr>
              <w:t>P. krajdenii</w:t>
            </w:r>
            <w:r>
              <w:rPr>
                <w:rFonts w:ascii="Helvetica" w:hAnsi="Helvetica" w:cs="Helvetica"/>
                <w:sz w:val="18"/>
                <w:szCs w:val="18"/>
              </w:rPr>
              <w:t xml:space="preserve">, </w:t>
            </w:r>
            <w:r>
              <w:rPr>
                <w:rFonts w:ascii="Helvetica" w:hAnsi="Helvetica" w:cs="Helvetica"/>
                <w:i/>
                <w:sz w:val="18"/>
                <w:szCs w:val="18"/>
              </w:rPr>
              <w:t>P. mortoniae</w:t>
            </w:r>
            <w:r>
              <w:rPr>
                <w:rFonts w:ascii="Helvetica" w:hAnsi="Helvetica" w:cs="Helvetica"/>
                <w:sz w:val="18"/>
                <w:szCs w:val="18"/>
              </w:rPr>
              <w:t xml:space="preserve">, </w:t>
            </w:r>
            <w:r>
              <w:rPr>
                <w:rFonts w:ascii="Helvetica" w:hAnsi="Helvetica" w:cs="Helvetica"/>
                <w:i/>
                <w:sz w:val="18"/>
                <w:szCs w:val="18"/>
              </w:rPr>
              <w:t xml:space="preserve">P. </w:t>
            </w:r>
            <w:r>
              <w:rPr>
                <w:rFonts w:ascii="Helvetica" w:hAnsi="Helvetica" w:cs="Helvetica"/>
                <w:i/>
                <w:iCs/>
                <w:sz w:val="18"/>
                <w:szCs w:val="18"/>
                <w:lang w:eastAsia="en-AU"/>
              </w:rPr>
              <w:t>occidentale</w:t>
            </w:r>
            <w:r>
              <w:rPr>
                <w:rFonts w:ascii="Helvetica" w:hAnsi="Helvetica" w:cs="Helvetica"/>
                <w:iCs/>
                <w:sz w:val="18"/>
                <w:szCs w:val="18"/>
                <w:lang w:eastAsia="en-AU"/>
              </w:rPr>
              <w:t>,</w:t>
            </w:r>
            <w:r>
              <w:rPr>
                <w:rFonts w:ascii="Helvetica" w:hAnsi="Helvetica" w:cs="Helvetica"/>
                <w:i/>
                <w:iCs/>
                <w:sz w:val="18"/>
                <w:szCs w:val="18"/>
                <w:lang w:eastAsia="en-AU"/>
              </w:rPr>
              <w:t xml:space="preserve"> </w:t>
            </w:r>
            <w:r>
              <w:rPr>
                <w:rFonts w:ascii="Helvetica" w:hAnsi="Helvetica" w:cs="Helvetica"/>
                <w:i/>
                <w:sz w:val="18"/>
                <w:szCs w:val="18"/>
              </w:rPr>
              <w:t>P. rubrigenum</w:t>
            </w:r>
            <w:r>
              <w:rPr>
                <w:rFonts w:ascii="Helvetica" w:hAnsi="Helvetica" w:cs="Helvetica"/>
                <w:sz w:val="18"/>
                <w:szCs w:val="18"/>
              </w:rPr>
              <w:t xml:space="preserve">, </w:t>
            </w:r>
            <w:r>
              <w:rPr>
                <w:rFonts w:ascii="Helvetica" w:hAnsi="Helvetica" w:cs="Helvetica"/>
                <w:i/>
                <w:sz w:val="18"/>
                <w:szCs w:val="18"/>
              </w:rPr>
              <w:t>P. scolyti, P. sicilianum</w:t>
            </w:r>
            <w:r>
              <w:rPr>
                <w:rFonts w:ascii="Helvetica" w:hAnsi="Helvetica" w:cs="Helvetica"/>
                <w:sz w:val="18"/>
                <w:szCs w:val="18"/>
              </w:rPr>
              <w:t xml:space="preserve">, </w:t>
            </w:r>
            <w:r>
              <w:rPr>
                <w:rFonts w:ascii="Helvetica" w:hAnsi="Helvetica" w:cs="Helvetica"/>
                <w:i/>
                <w:sz w:val="18"/>
                <w:szCs w:val="18"/>
              </w:rPr>
              <w:t>P. subulatum</w:t>
            </w:r>
            <w:r>
              <w:rPr>
                <w:rFonts w:ascii="Helvetica" w:hAnsi="Helvetica" w:cs="Helvetica"/>
                <w:sz w:val="18"/>
                <w:szCs w:val="18"/>
              </w:rPr>
              <w:t>,</w:t>
            </w:r>
            <w:r>
              <w:rPr>
                <w:rFonts w:ascii="Helvetica" w:hAnsi="Helvetica" w:cs="Helvetica"/>
                <w:i/>
                <w:sz w:val="18"/>
                <w:szCs w:val="18"/>
              </w:rPr>
              <w:t xml:space="preserve"> P. tuscanum</w:t>
            </w:r>
            <w:r>
              <w:rPr>
                <w:rFonts w:ascii="Helvetica" w:hAnsi="Helvetica" w:cs="Helvetica"/>
                <w:sz w:val="18"/>
                <w:szCs w:val="18"/>
              </w:rPr>
              <w:t>,</w:t>
            </w:r>
            <w:r>
              <w:rPr>
                <w:rFonts w:ascii="Helvetica" w:hAnsi="Helvetica" w:cs="Helvetica"/>
                <w:i/>
                <w:sz w:val="18"/>
                <w:szCs w:val="18"/>
              </w:rPr>
              <w:t xml:space="preserve"> </w:t>
            </w:r>
            <w:hyperlink r:id="rId29" w:history="1">
              <w:r>
                <w:rPr>
                  <w:rFonts w:ascii="Helvetica" w:hAnsi="Helvetica" w:cs="Helvetica"/>
                  <w:i/>
                  <w:sz w:val="18"/>
                  <w:szCs w:val="18"/>
                </w:rPr>
                <w:t>P. venezuelense</w:t>
              </w:r>
            </w:hyperlink>
            <w:r>
              <w:rPr>
                <w:rFonts w:ascii="Helvetica" w:hAnsi="Helvetica" w:cs="Helvetica"/>
                <w:sz w:val="18"/>
                <w:szCs w:val="18"/>
              </w:rPr>
              <w:t>,</w:t>
            </w:r>
            <w:r>
              <w:rPr>
                <w:rFonts w:ascii="Helvetica" w:hAnsi="Helvetica" w:cs="Helvetica"/>
                <w:i/>
                <w:sz w:val="18"/>
                <w:szCs w:val="18"/>
              </w:rPr>
              <w:t xml:space="preserve"> P. viticola</w:t>
            </w:r>
            <w:r>
              <w:rPr>
                <w:rFonts w:ascii="Helvetica" w:hAnsi="Helvetica" w:cs="Helvetica"/>
                <w:sz w:val="18"/>
                <w:szCs w:val="18"/>
              </w:rPr>
              <w:t>)</w:t>
            </w:r>
          </w:p>
        </w:tc>
        <w:tc>
          <w:tcPr>
            <w:tcW w:w="1080" w:type="dxa"/>
          </w:tcPr>
          <w:p>
            <w:pPr>
              <w:pStyle w:val="AQISText"/>
              <w:spacing w:before="20" w:line="240" w:lineRule="atLeast"/>
              <w:jc w:val="center"/>
              <w:rPr>
                <w:rFonts w:ascii="Arial" w:hAnsi="Arial" w:cs="Arial"/>
                <w:bCs/>
                <w:sz w:val="16"/>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8"/>
                <w:szCs w:val="18"/>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6240" w:type="dxa"/>
          </w:tcPr>
          <w:p>
            <w:pPr>
              <w:spacing w:before="20" w:line="240" w:lineRule="atLeast"/>
              <w:jc w:val="left"/>
              <w:rPr>
                <w:rFonts w:ascii="Helvetica" w:hAnsi="Helvetica"/>
                <w:sz w:val="18"/>
                <w:szCs w:val="18"/>
              </w:rPr>
            </w:pPr>
            <w:r>
              <w:rPr>
                <w:rFonts w:ascii="Helvetica" w:hAnsi="Helvetica" w:cs="Helvetica"/>
                <w:i/>
                <w:sz w:val="18"/>
                <w:szCs w:val="18"/>
              </w:rPr>
              <w:t xml:space="preserve">Phakopsora </w:t>
            </w:r>
            <w:r>
              <w:rPr>
                <w:rFonts w:ascii="Helvetica" w:hAnsi="Helvetica" w:cs="Helvetica"/>
                <w:sz w:val="18"/>
                <w:szCs w:val="18"/>
              </w:rPr>
              <w:t>species (</w:t>
            </w:r>
            <w:r>
              <w:rPr>
                <w:rFonts w:ascii="Helvetica" w:hAnsi="Helvetica" w:cs="Helvetica"/>
                <w:i/>
                <w:sz w:val="18"/>
                <w:szCs w:val="18"/>
              </w:rPr>
              <w:t xml:space="preserve">Phakopsora </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vitis</w:t>
            </w:r>
            <w:r>
              <w:rPr>
                <w:rFonts w:ascii="Helvetica" w:hAnsi="Helvetica" w:cs="Helvetica"/>
                <w:sz w:val="18"/>
                <w:szCs w:val="18"/>
              </w:rPr>
              <w:t xml:space="preserve">, </w:t>
            </w:r>
            <w:r>
              <w:rPr>
                <w:rFonts w:ascii="Helvetica" w:hAnsi="Helvetica" w:cs="Helvetica"/>
                <w:i/>
                <w:sz w:val="18"/>
                <w:szCs w:val="18"/>
              </w:rPr>
              <w:t>Phakopsora muscadiniae</w:t>
            </w:r>
            <w:r>
              <w:rPr>
                <w:rFonts w:ascii="Helvetica" w:hAnsi="Helvetica" w:cs="Helvetica"/>
                <w:sz w:val="18"/>
                <w:szCs w:val="18"/>
              </w:rPr>
              <w:t xml:space="preserve">, </w:t>
            </w:r>
            <w:r>
              <w:rPr>
                <w:rFonts w:ascii="Helvetica" w:hAnsi="Helvetica" w:cs="Helvetica"/>
                <w:i/>
                <w:sz w:val="18"/>
                <w:szCs w:val="18"/>
              </w:rPr>
              <w:t>Phakopsora uva</w:t>
            </w:r>
            <w:r>
              <w:rPr>
                <w:rFonts w:ascii="Helvetica" w:hAnsi="Helvetica" w:cs="Helvetica"/>
                <w:sz w:val="18"/>
                <w:szCs w:val="18"/>
              </w:rPr>
              <w:t>)</w:t>
            </w:r>
          </w:p>
        </w:tc>
        <w:tc>
          <w:tcPr>
            <w:tcW w:w="1080" w:type="dxa"/>
          </w:tcPr>
          <w:p>
            <w:pPr>
              <w:spacing w:before="20" w:line="240" w:lineRule="atLeast"/>
              <w:jc w:val="center"/>
              <w:rPr>
                <w:rFonts w:ascii="Helvetica" w:hAnsi="Helvetica" w:cs="Shruti"/>
                <w:sz w:val="18"/>
                <w:szCs w:val="18"/>
              </w:rPr>
            </w:pPr>
            <w:r>
              <w:rPr>
                <w:rFonts w:ascii="Arial" w:hAnsi="Arial" w:cs="Arial"/>
                <w:bCs/>
                <w:sz w:val="16"/>
              </w:rPr>
              <w:sym w:font="Wingdings" w:char="F0FC"/>
            </w:r>
          </w:p>
        </w:tc>
        <w:tc>
          <w:tcPr>
            <w:tcW w:w="960" w:type="dxa"/>
            <w:shd w:val="clear" w:color="auto" w:fill="F2F2F2"/>
          </w:tcPr>
          <w:p>
            <w:pPr>
              <w:pStyle w:val="AQISText"/>
              <w:spacing w:before="20" w:line="240" w:lineRule="atLeast"/>
              <w:jc w:val="center"/>
              <w:rPr>
                <w:rFonts w:ascii="Arial" w:hAnsi="Arial" w:cs="Arial"/>
                <w:bCs/>
                <w:sz w:val="18"/>
                <w:szCs w:val="18"/>
              </w:rPr>
            </w:pPr>
          </w:p>
        </w:tc>
        <w:tc>
          <w:tcPr>
            <w:tcW w:w="934" w:type="dxa"/>
            <w:shd w:val="clear" w:color="auto" w:fill="F2F2F2"/>
          </w:tcPr>
          <w:p>
            <w:pPr>
              <w:spacing w:before="20" w:line="240" w:lineRule="atLeast"/>
              <w:jc w:val="center"/>
              <w:rPr>
                <w:rFonts w:ascii="Helvetica" w:hAnsi="Helvetica" w:cs="Shruti"/>
                <w:sz w:val="18"/>
                <w:szCs w:val="18"/>
              </w:rPr>
            </w:pPr>
          </w:p>
        </w:tc>
      </w:tr>
      <w:tr>
        <w:tc>
          <w:tcPr>
            <w:tcW w:w="9214" w:type="dxa"/>
            <w:gridSpan w:val="4"/>
            <w:tcBorders>
              <w:top w:val="single" w:sz="12" w:space="0" w:color="008000"/>
            </w:tcBorders>
            <w:shd w:val="clear" w:color="auto" w:fill="E6E6E6"/>
          </w:tcPr>
          <w:p>
            <w:pPr>
              <w:spacing w:before="20" w:after="20" w:line="240" w:lineRule="atLeast"/>
              <w:rPr>
                <w:rFonts w:ascii="Verdana" w:hAnsi="Verdana" w:cs="Verdana"/>
                <w:b/>
                <w:bCs/>
                <w:sz w:val="16"/>
                <w:szCs w:val="16"/>
              </w:rPr>
            </w:pPr>
            <w:r>
              <w:rPr>
                <w:rFonts w:ascii="Verdana" w:hAnsi="Verdana" w:cs="Verdana"/>
                <w:b/>
                <w:bCs/>
                <w:sz w:val="16"/>
                <w:szCs w:val="16"/>
              </w:rPr>
              <w:t>PHYTOPLASMA</w:t>
            </w:r>
          </w:p>
        </w:tc>
      </w:tr>
      <w:tr>
        <w:tc>
          <w:tcPr>
            <w:tcW w:w="6240" w:type="dxa"/>
          </w:tcPr>
          <w:p>
            <w:pPr>
              <w:spacing w:before="20" w:line="240" w:lineRule="atLeast"/>
              <w:jc w:val="left"/>
              <w:rPr>
                <w:rFonts w:ascii="Helvetica" w:hAnsi="Helvetica" w:cs="Helvetica"/>
                <w:sz w:val="18"/>
                <w:szCs w:val="18"/>
              </w:rPr>
            </w:pPr>
            <w:r>
              <w:rPr>
                <w:rFonts w:ascii="Helvetica" w:hAnsi="Helvetica"/>
                <w:i/>
                <w:sz w:val="18"/>
                <w:szCs w:val="18"/>
              </w:rPr>
              <w:t xml:space="preserve">Candidatus </w:t>
            </w:r>
            <w:r>
              <w:rPr>
                <w:rFonts w:ascii="Helvetica" w:hAnsi="Helvetica"/>
                <w:sz w:val="18"/>
                <w:szCs w:val="18"/>
              </w:rPr>
              <w:t>Phytoplasma asteris</w:t>
            </w:r>
            <w:r>
              <w:rPr>
                <w:rFonts w:ascii="Helvetica" w:hAnsi="Helvetica"/>
                <w:i/>
                <w:sz w:val="18"/>
                <w:szCs w:val="18"/>
              </w:rPr>
              <w:t xml:space="preserve"> </w:t>
            </w:r>
            <w:r>
              <w:rPr>
                <w:rFonts w:ascii="Helvetica" w:hAnsi="Helvetica" w:cs="Helvetica"/>
                <w:bCs/>
                <w:sz w:val="18"/>
                <w:szCs w:val="18"/>
              </w:rPr>
              <w:t>[</w:t>
            </w:r>
            <w:r>
              <w:rPr>
                <w:rFonts w:ascii="Helvetica" w:hAnsi="Helvetica" w:cs="Helvetica"/>
                <w:b/>
                <w:bCs/>
                <w:sz w:val="18"/>
                <w:szCs w:val="18"/>
              </w:rPr>
              <w:t>16SrI</w:t>
            </w:r>
            <w:r>
              <w:rPr>
                <w:rFonts w:ascii="Helvetica" w:hAnsi="Helvetica" w:cs="Helvetica"/>
                <w:bCs/>
                <w:sz w:val="18"/>
                <w:szCs w:val="18"/>
              </w:rPr>
              <w:t xml:space="preserve"> </w:t>
            </w:r>
            <w:r>
              <w:rPr>
                <w:rFonts w:ascii="Arial" w:hAnsi="Arial" w:cs="Arial"/>
                <w:bCs/>
                <w:sz w:val="18"/>
                <w:szCs w:val="18"/>
              </w:rPr>
              <w:t xml:space="preserve">– </w:t>
            </w:r>
            <w:r>
              <w:rPr>
                <w:rFonts w:ascii="Helvetica" w:hAnsi="Helvetica" w:cs="Helvetica"/>
                <w:bCs/>
                <w:sz w:val="18"/>
                <w:szCs w:val="18"/>
              </w:rPr>
              <w:t>Aster yellows group]</w:t>
            </w:r>
          </w:p>
        </w:tc>
        <w:tc>
          <w:tcPr>
            <w:tcW w:w="108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jc w:val="left"/>
              <w:rPr>
                <w:rFonts w:ascii="Helvetica" w:hAnsi="Helvetica" w:cs="Helvetica"/>
                <w:sz w:val="18"/>
                <w:szCs w:val="18"/>
              </w:rPr>
            </w:pPr>
            <w:r>
              <w:rPr>
                <w:rFonts w:ascii="Helvetica" w:hAnsi="Helvetica" w:cs="Helvetica"/>
                <w:i/>
                <w:sz w:val="18"/>
                <w:szCs w:val="18"/>
              </w:rPr>
              <w:t>Candidatus</w:t>
            </w:r>
            <w:r>
              <w:rPr>
                <w:rFonts w:ascii="Helvetica" w:hAnsi="Helvetica" w:cs="Helvetica"/>
                <w:sz w:val="18"/>
                <w:szCs w:val="18"/>
              </w:rPr>
              <w:t xml:space="preserve"> Phytoplasma fraxini [</w:t>
            </w:r>
            <w:r>
              <w:rPr>
                <w:rFonts w:ascii="Helvetica" w:hAnsi="Helvetica" w:cs="Helvetica"/>
                <w:b/>
                <w:sz w:val="18"/>
                <w:szCs w:val="18"/>
              </w:rPr>
              <w:t>16SrVII</w:t>
            </w:r>
            <w:r>
              <w:rPr>
                <w:rFonts w:ascii="Helvetica" w:hAnsi="Helvetica" w:cs="Helvetica"/>
                <w:b/>
                <w:sz w:val="18"/>
                <w:szCs w:val="18"/>
              </w:rPr>
              <w:noBreakHyphen/>
              <w:t>A]</w:t>
            </w:r>
            <w:r>
              <w:rPr>
                <w:rFonts w:ascii="Helvetica" w:hAnsi="Helvetica" w:cs="Helvetica"/>
                <w:sz w:val="18"/>
                <w:szCs w:val="18"/>
              </w:rPr>
              <w:t xml:space="preserve"> (Ash yellows group)</w:t>
            </w:r>
          </w:p>
        </w:tc>
        <w:tc>
          <w:tcPr>
            <w:tcW w:w="108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jc w:val="left"/>
              <w:rPr>
                <w:rFonts w:ascii="Helvetica" w:hAnsi="Helvetica" w:cs="Helvetica"/>
                <w:sz w:val="18"/>
                <w:szCs w:val="18"/>
              </w:rPr>
            </w:pPr>
            <w:r>
              <w:rPr>
                <w:rFonts w:ascii="Helvetica" w:hAnsi="Helvetica" w:cs="Helvetica"/>
                <w:i/>
                <w:iCs/>
                <w:sz w:val="18"/>
                <w:szCs w:val="18"/>
              </w:rPr>
              <w:t>Candidatus</w:t>
            </w:r>
            <w:r>
              <w:rPr>
                <w:rFonts w:ascii="Helvetica" w:hAnsi="Helvetica" w:cs="Helvetica"/>
                <w:sz w:val="18"/>
                <w:szCs w:val="18"/>
              </w:rPr>
              <w:t xml:space="preserve"> Phytoplasma pruni [</w:t>
            </w:r>
            <w:r>
              <w:rPr>
                <w:rFonts w:ascii="Helvetica" w:hAnsi="Helvetica" w:cs="Helvetica"/>
                <w:b/>
                <w:sz w:val="18"/>
                <w:szCs w:val="18"/>
              </w:rPr>
              <w:t xml:space="preserve">16SrIII </w:t>
            </w:r>
            <w:r>
              <w:rPr>
                <w:rFonts w:ascii="Helvetica" w:hAnsi="Helvetica" w:cs="Helvetica"/>
                <w:sz w:val="18"/>
                <w:szCs w:val="18"/>
              </w:rPr>
              <w:t>– peach X-disease phytoplasmas group]</w:t>
            </w:r>
          </w:p>
        </w:tc>
        <w:tc>
          <w:tcPr>
            <w:tcW w:w="108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jc w:val="left"/>
              <w:rPr>
                <w:rFonts w:ascii="Helvetica" w:hAnsi="Helvetica" w:cs="Helvetica"/>
                <w:sz w:val="18"/>
                <w:szCs w:val="18"/>
              </w:rPr>
            </w:pPr>
            <w:r>
              <w:rPr>
                <w:rFonts w:ascii="Helvetica" w:hAnsi="Helvetica" w:cs="Helvetica"/>
                <w:i/>
                <w:sz w:val="18"/>
                <w:szCs w:val="18"/>
              </w:rPr>
              <w:t>Candidatus</w:t>
            </w:r>
            <w:r>
              <w:rPr>
                <w:rFonts w:ascii="Helvetica" w:hAnsi="Helvetica" w:cs="Helvetica"/>
                <w:sz w:val="18"/>
                <w:szCs w:val="18"/>
              </w:rPr>
              <w:t xml:space="preserve"> Phytoplasma solani </w:t>
            </w:r>
            <w:r>
              <w:rPr>
                <w:rFonts w:ascii="Helvetica" w:hAnsi="Helvetica" w:cs="Helvetica"/>
                <w:b/>
                <w:sz w:val="18"/>
                <w:szCs w:val="18"/>
              </w:rPr>
              <w:t>[16 SrXII-A]</w:t>
            </w:r>
            <w:r>
              <w:rPr>
                <w:rFonts w:ascii="Helvetica" w:hAnsi="Helvetica" w:cs="Helvetica"/>
                <w:sz w:val="18"/>
                <w:szCs w:val="18"/>
              </w:rPr>
              <w:t xml:space="preserve"> (Stolbur group)</w:t>
            </w:r>
          </w:p>
        </w:tc>
        <w:tc>
          <w:tcPr>
            <w:tcW w:w="108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jc w:val="left"/>
              <w:rPr>
                <w:rFonts w:ascii="Helvetica" w:hAnsi="Helvetica" w:cs="Helvetica"/>
                <w:sz w:val="18"/>
                <w:szCs w:val="18"/>
              </w:rPr>
            </w:pPr>
            <w:r>
              <w:rPr>
                <w:rFonts w:ascii="Helvetica" w:hAnsi="Helvetica" w:cs="Helvetica"/>
                <w:i/>
                <w:iCs/>
                <w:sz w:val="18"/>
                <w:szCs w:val="18"/>
              </w:rPr>
              <w:t>Candidatus</w:t>
            </w:r>
            <w:r>
              <w:rPr>
                <w:rFonts w:ascii="Helvetica" w:hAnsi="Helvetica" w:cs="Helvetica"/>
                <w:sz w:val="18"/>
                <w:szCs w:val="18"/>
              </w:rPr>
              <w:t xml:space="preserve"> Phytoplasma ulmi [</w:t>
            </w:r>
            <w:r>
              <w:rPr>
                <w:rFonts w:ascii="Helvetica" w:hAnsi="Helvetica" w:cs="Helvetica"/>
                <w:b/>
                <w:sz w:val="18"/>
                <w:szCs w:val="18"/>
              </w:rPr>
              <w:t>16SrV–A</w:t>
            </w:r>
            <w:r>
              <w:rPr>
                <w:rFonts w:ascii="Helvetica" w:hAnsi="Helvetica" w:cs="Helvetica"/>
                <w:sz w:val="18"/>
                <w:szCs w:val="18"/>
              </w:rPr>
              <w:t>] (Elm yellows group EY group)</w:t>
            </w:r>
          </w:p>
        </w:tc>
        <w:tc>
          <w:tcPr>
            <w:tcW w:w="108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jc w:val="left"/>
              <w:rPr>
                <w:rFonts w:ascii="Helvetica" w:hAnsi="Helvetica" w:cs="Helvetica"/>
                <w:sz w:val="18"/>
                <w:szCs w:val="18"/>
              </w:rPr>
            </w:pPr>
            <w:r>
              <w:rPr>
                <w:rFonts w:ascii="Helvetica" w:hAnsi="Helvetica" w:cs="Helvetica"/>
                <w:i/>
                <w:sz w:val="18"/>
                <w:szCs w:val="18"/>
              </w:rPr>
              <w:t>Candidatus</w:t>
            </w:r>
            <w:r>
              <w:rPr>
                <w:rFonts w:ascii="Helvetica" w:hAnsi="Helvetica" w:cs="Helvetica"/>
                <w:sz w:val="18"/>
                <w:szCs w:val="18"/>
              </w:rPr>
              <w:t xml:space="preserve"> Phytoplasma vitis [</w:t>
            </w:r>
            <w:r>
              <w:rPr>
                <w:rFonts w:ascii="Helvetica" w:hAnsi="Helvetica" w:cs="Helvetica"/>
                <w:b/>
                <w:sz w:val="18"/>
                <w:szCs w:val="18"/>
              </w:rPr>
              <w:t>16SrV</w:t>
            </w:r>
            <w:r>
              <w:rPr>
                <w:rFonts w:ascii="Helvetica" w:hAnsi="Helvetica" w:cs="Helvetica"/>
                <w:sz w:val="18"/>
                <w:szCs w:val="18"/>
              </w:rPr>
              <w:t>] (Elm yellows group)</w:t>
            </w:r>
          </w:p>
        </w:tc>
        <w:tc>
          <w:tcPr>
            <w:tcW w:w="108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line="240" w:lineRule="atLeast"/>
              <w:jc w:val="left"/>
              <w:rPr>
                <w:rFonts w:ascii="Helvetica" w:hAnsi="Helvetica" w:cs="Helvetica"/>
                <w:sz w:val="18"/>
                <w:szCs w:val="18"/>
              </w:rPr>
            </w:pPr>
            <w:r>
              <w:rPr>
                <w:rFonts w:ascii="Helvetica" w:hAnsi="Helvetica" w:cs="Helvetica"/>
                <w:sz w:val="18"/>
                <w:szCs w:val="18"/>
              </w:rPr>
              <w:t xml:space="preserve">European stone fruit yellows Phytoplasma </w:t>
            </w:r>
            <w:r>
              <w:rPr>
                <w:rFonts w:ascii="Helvetica" w:hAnsi="Helvetica" w:cs="Helvetica"/>
                <w:b/>
                <w:sz w:val="18"/>
                <w:szCs w:val="18"/>
              </w:rPr>
              <w:t>16SrX-B</w:t>
            </w:r>
            <w:r>
              <w:rPr>
                <w:rFonts w:ascii="Helvetica" w:hAnsi="Helvetica" w:cs="Helvetica"/>
                <w:sz w:val="18"/>
                <w:szCs w:val="18"/>
              </w:rPr>
              <w:t xml:space="preserve"> (Apple proliferation group)</w:t>
            </w:r>
          </w:p>
        </w:tc>
        <w:tc>
          <w:tcPr>
            <w:tcW w:w="108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40" w:line="240" w:lineRule="atLeast"/>
              <w:jc w:val="center"/>
              <w:rPr>
                <w:rFonts w:ascii="Helvetica" w:hAnsi="Helvetica" w:cs="Helvetica"/>
                <w:sz w:val="18"/>
                <w:szCs w:val="18"/>
              </w:rPr>
            </w:pPr>
          </w:p>
        </w:tc>
      </w:tr>
      <w:tr>
        <w:tc>
          <w:tcPr>
            <w:tcW w:w="6240" w:type="dxa"/>
          </w:tcPr>
          <w:p>
            <w:pPr>
              <w:spacing w:line="240" w:lineRule="atLeast"/>
              <w:rPr>
                <w:rFonts w:ascii="Helvetica" w:hAnsi="Helvetica" w:cs="Helvetica"/>
                <w:b/>
                <w:sz w:val="18"/>
                <w:szCs w:val="18"/>
              </w:rPr>
            </w:pPr>
            <w:r>
              <w:rPr>
                <w:rFonts w:ascii="Helvetica" w:hAnsi="Helvetica" w:cs="Helvetica"/>
                <w:sz w:val="18"/>
                <w:szCs w:val="18"/>
              </w:rPr>
              <w:t xml:space="preserve">Phytoplasma </w:t>
            </w:r>
            <w:r>
              <w:rPr>
                <w:rFonts w:ascii="Helvetica" w:hAnsi="Helvetica" w:cs="Helvetica"/>
                <w:b/>
                <w:sz w:val="18"/>
                <w:szCs w:val="18"/>
              </w:rPr>
              <w:t>16SrIX</w:t>
            </w:r>
          </w:p>
        </w:tc>
        <w:tc>
          <w:tcPr>
            <w:tcW w:w="108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40" w:line="240" w:lineRule="atLeast"/>
              <w:jc w:val="center"/>
              <w:rPr>
                <w:rFonts w:ascii="Helvetica" w:hAnsi="Helvetica" w:cs="Helvetica"/>
                <w:sz w:val="18"/>
                <w:szCs w:val="18"/>
              </w:rPr>
            </w:pPr>
          </w:p>
        </w:tc>
      </w:tr>
      <w:tr>
        <w:tc>
          <w:tcPr>
            <w:tcW w:w="9214" w:type="dxa"/>
            <w:gridSpan w:val="4"/>
            <w:tcBorders>
              <w:top w:val="single" w:sz="12" w:space="0" w:color="008000"/>
            </w:tcBorders>
            <w:shd w:val="clear" w:color="auto" w:fill="E6E6E6"/>
          </w:tcPr>
          <w:p>
            <w:pPr>
              <w:spacing w:before="20" w:after="20" w:line="240" w:lineRule="atLeast"/>
              <w:rPr>
                <w:rFonts w:ascii="Verdana" w:hAnsi="Verdana" w:cs="Verdana"/>
                <w:b/>
                <w:bCs/>
                <w:sz w:val="16"/>
                <w:szCs w:val="16"/>
              </w:rPr>
            </w:pPr>
            <w:r>
              <w:rPr>
                <w:rFonts w:ascii="Verdana" w:hAnsi="Verdana" w:cs="Verdana"/>
                <w:b/>
                <w:bCs/>
                <w:sz w:val="16"/>
                <w:szCs w:val="16"/>
              </w:rPr>
              <w:t>VIRUSES</w:t>
            </w: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Arabis mosaic virus</w:t>
            </w:r>
            <w:r>
              <w:rPr>
                <w:rFonts w:ascii="Helvetica" w:hAnsi="Helvetica" w:cs="Helvetica"/>
                <w:bCs/>
                <w:sz w:val="18"/>
                <w:szCs w:val="18"/>
              </w:rPr>
              <w:t xml:space="preserve"> (ArMV) – grape strain</w:t>
            </w:r>
          </w:p>
        </w:tc>
        <w:tc>
          <w:tcPr>
            <w:tcW w:w="1080" w:type="dxa"/>
            <w:shd w:val="clear" w:color="auto" w:fill="auto"/>
          </w:tcPr>
          <w:p>
            <w:pPr>
              <w:spacing w:before="20" w:line="240" w:lineRule="atLeast"/>
              <w:jc w:val="center"/>
              <w:rPr>
                <w:rFonts w:ascii="Arial" w:hAnsi="Arial" w:cs="Arial"/>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Artichoke Italian latent virus</w:t>
            </w:r>
            <w:r>
              <w:rPr>
                <w:rFonts w:ascii="Helvetica" w:hAnsi="Helvetica" w:cs="Helvetica"/>
                <w:bCs/>
                <w:sz w:val="18"/>
                <w:szCs w:val="18"/>
              </w:rPr>
              <w:t xml:space="preserve"> (AILV)</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Blueberry leaf mottle virus</w:t>
            </w:r>
            <w:r>
              <w:rPr>
                <w:rFonts w:ascii="Helvetica" w:hAnsi="Helvetica" w:cs="Helvetica"/>
                <w:bCs/>
                <w:sz w:val="18"/>
                <w:szCs w:val="18"/>
              </w:rPr>
              <w:t xml:space="preserve"> (BLMoV) </w:t>
            </w:r>
            <w:smartTag w:uri="urn:schemas-microsoft-com:office:smarttags" w:element="State">
              <w:smartTag w:uri="urn:schemas-microsoft-com:office:smarttags" w:element="place">
                <w:r>
                  <w:rPr>
                    <w:rFonts w:ascii="Helvetica" w:hAnsi="Helvetica" w:cs="Helvetica"/>
                    <w:bCs/>
                    <w:sz w:val="18"/>
                    <w:szCs w:val="18"/>
                  </w:rPr>
                  <w:t>New York</w:t>
                </w:r>
              </w:smartTag>
            </w:smartTag>
            <w:r>
              <w:rPr>
                <w:rFonts w:ascii="Helvetica" w:hAnsi="Helvetica" w:cs="Helvetica"/>
                <w:bCs/>
                <w:sz w:val="18"/>
                <w:szCs w:val="18"/>
              </w:rPr>
              <w:t xml:space="preserve"> (NY) strain</w:t>
            </w:r>
          </w:p>
        </w:tc>
        <w:tc>
          <w:tcPr>
            <w:tcW w:w="1080" w:type="dxa"/>
            <w:shd w:val="clear" w:color="auto" w:fill="auto"/>
          </w:tcPr>
          <w:p>
            <w:pPr>
              <w:spacing w:before="20" w:line="240" w:lineRule="atLeast"/>
              <w:jc w:val="center"/>
              <w:rPr>
                <w:rFonts w:ascii="Arial" w:hAnsi="Arial" w:cs="Arial"/>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 xml:space="preserve">Cherry leafroll virus </w:t>
            </w:r>
            <w:r>
              <w:rPr>
                <w:rFonts w:ascii="Helvetica" w:hAnsi="Helvetica" w:cs="Helvetica"/>
                <w:bCs/>
                <w:sz w:val="18"/>
                <w:szCs w:val="18"/>
              </w:rPr>
              <w:t>(CLRV) – grape isolate</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Arial" w:hAnsi="Arial" w:cs="Arial"/>
                <w:iCs/>
                <w:sz w:val="18"/>
                <w:szCs w:val="18"/>
              </w:rPr>
            </w:pPr>
            <w:r>
              <w:rPr>
                <w:rFonts w:ascii="Helvetica" w:hAnsi="Helvetica" w:cs="Helvetica"/>
                <w:bCs/>
                <w:i/>
                <w:sz w:val="18"/>
                <w:szCs w:val="18"/>
              </w:rPr>
              <w:lastRenderedPageBreak/>
              <w:t xml:space="preserve">Grapevine ajinashika virus </w:t>
            </w:r>
            <w:r>
              <w:rPr>
                <w:rFonts w:ascii="Helvetica" w:hAnsi="Helvetica" w:cs="Helvetica"/>
                <w:bCs/>
                <w:sz w:val="18"/>
                <w:szCs w:val="18"/>
              </w:rPr>
              <w:t>(GAgV)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pPr>
            <w:r>
              <w:rPr>
                <w:rFonts w:ascii="Helvetica" w:hAnsi="Helvetica" w:cs="Helvetica"/>
                <w:bCs/>
                <w:i/>
                <w:sz w:val="18"/>
                <w:szCs w:val="18"/>
              </w:rPr>
              <w:t xml:space="preserve">Grapevine Anatolian ringspot </w:t>
            </w:r>
            <w:r>
              <w:rPr>
                <w:rFonts w:ascii="Helvetica" w:hAnsi="Helvetica" w:cs="Helvetica"/>
                <w:i/>
                <w:sz w:val="18"/>
                <w:szCs w:val="18"/>
              </w:rPr>
              <w:t>virus</w:t>
            </w:r>
            <w:r>
              <w:rPr>
                <w:rFonts w:ascii="Helvetica" w:hAnsi="Helvetica" w:cs="Helvetica"/>
                <w:bCs/>
                <w:sz w:val="18"/>
                <w:szCs w:val="18"/>
              </w:rPr>
              <w:t xml:space="preserve"> (GARSV) </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Arial" w:hAnsi="Arial" w:cs="Arial"/>
                <w:iCs/>
                <w:sz w:val="18"/>
                <w:szCs w:val="18"/>
              </w:rPr>
            </w:pPr>
            <w:r>
              <w:rPr>
                <w:rFonts w:ascii="Helvetica" w:hAnsi="Helvetica" w:cs="Helvetica"/>
                <w:bCs/>
                <w:i/>
                <w:sz w:val="18"/>
                <w:szCs w:val="18"/>
              </w:rPr>
              <w:t>Grapevine angular mosaic-associated virus</w:t>
            </w:r>
            <w:r>
              <w:rPr>
                <w:rFonts w:ascii="Helvetica" w:hAnsi="Helvetica" w:cs="Helvetica"/>
                <w:bCs/>
                <w:sz w:val="18"/>
                <w:szCs w:val="18"/>
              </w:rPr>
              <w:t xml:space="preserve"> (GAMaV)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auto"/>
          </w:tcPr>
          <w:p>
            <w:pPr>
              <w:spacing w:before="20" w:line="240" w:lineRule="atLeast"/>
              <w:jc w:val="center"/>
              <w:rPr>
                <w:rFonts w:ascii="Arial" w:hAnsi="Arial" w:cs="Arial"/>
                <w:iCs/>
                <w:sz w:val="18"/>
                <w:szCs w:val="18"/>
              </w:rPr>
            </w:pPr>
            <w:r>
              <w:rPr>
                <w:rFonts w:ascii="Arial" w:hAnsi="Arial" w:cs="Arial"/>
                <w:bCs/>
                <w:sz w:val="18"/>
                <w:szCs w:val="18"/>
              </w:rPr>
              <w:sym w:font="Wingdings" w:char="F0FC"/>
            </w: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Grapevine asteroid mosaic associated virus</w:t>
            </w:r>
            <w:r>
              <w:rPr>
                <w:rFonts w:ascii="Helvetica" w:hAnsi="Helvetica" w:cs="Helvetica"/>
                <w:bCs/>
                <w:sz w:val="18"/>
                <w:szCs w:val="18"/>
              </w:rPr>
              <w:t xml:space="preserve"> (GAMV)</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Grapevine berry inner necrosis virus</w:t>
            </w:r>
            <w:r>
              <w:rPr>
                <w:rFonts w:ascii="Helvetica" w:hAnsi="Helvetica" w:cs="Helvetica"/>
                <w:bCs/>
                <w:sz w:val="18"/>
                <w:szCs w:val="18"/>
              </w:rPr>
              <w:t xml:space="preserve"> (GINV)</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Grapevine Bulgarian latent virus</w:t>
            </w:r>
            <w:r>
              <w:rPr>
                <w:rFonts w:ascii="Helvetica" w:hAnsi="Helvetica" w:cs="Helvetica"/>
                <w:bCs/>
                <w:sz w:val="18"/>
                <w:szCs w:val="18"/>
              </w:rPr>
              <w:t xml:space="preserve"> (GBLV)</w:t>
            </w:r>
          </w:p>
        </w:tc>
        <w:tc>
          <w:tcPr>
            <w:tcW w:w="1080" w:type="dxa"/>
            <w:shd w:val="clear" w:color="auto" w:fill="auto"/>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Grapevine chrome mosaic virus</w:t>
            </w:r>
            <w:r>
              <w:rPr>
                <w:rFonts w:ascii="Helvetica" w:hAnsi="Helvetica" w:cs="Helvetica"/>
                <w:bCs/>
                <w:sz w:val="18"/>
                <w:szCs w:val="18"/>
              </w:rPr>
              <w:t xml:space="preserve"> (GCMV)</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r>
        <w:tc>
          <w:tcPr>
            <w:tcW w:w="6240" w:type="dxa"/>
          </w:tcPr>
          <w:p>
            <w:pPr>
              <w:spacing w:before="20" w:line="240" w:lineRule="atLeast"/>
              <w:rPr>
                <w:rFonts w:ascii="Arial" w:hAnsi="Arial" w:cs="Arial"/>
                <w:iCs/>
                <w:sz w:val="18"/>
                <w:szCs w:val="18"/>
              </w:rPr>
            </w:pPr>
            <w:r>
              <w:rPr>
                <w:rFonts w:ascii="Helvetica" w:hAnsi="Helvetica" w:cs="Helvetica"/>
                <w:bCs/>
                <w:i/>
                <w:sz w:val="18"/>
                <w:szCs w:val="18"/>
              </w:rPr>
              <w:t>Grapevine deformation virus</w:t>
            </w:r>
            <w:r>
              <w:rPr>
                <w:rFonts w:ascii="Helvetica" w:hAnsi="Helvetica" w:cs="Helvetica"/>
                <w:bCs/>
                <w:sz w:val="18"/>
                <w:szCs w:val="18"/>
              </w:rPr>
              <w:t xml:space="preserve"> (GDefV)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bCs/>
                <w:sz w:val="18"/>
                <w:szCs w:val="18"/>
              </w:rPr>
            </w:pPr>
            <w:r>
              <w:rPr>
                <w:rFonts w:ascii="Helvetica" w:hAnsi="Helvetica" w:cs="Helvetica"/>
                <w:i/>
                <w:sz w:val="18"/>
                <w:szCs w:val="18"/>
              </w:rPr>
              <w:t>Grapevine fanleaf virus</w:t>
            </w:r>
            <w:r>
              <w:rPr>
                <w:rFonts w:ascii="Helvetica" w:hAnsi="Helvetica" w:cs="Helvetica"/>
                <w:sz w:val="18"/>
                <w:szCs w:val="18"/>
              </w:rPr>
              <w:t xml:space="preserve"> (GFLV)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Grapevine leafroll associated virus</w:t>
            </w:r>
            <w:r>
              <w:rPr>
                <w:rFonts w:ascii="Helvetica" w:hAnsi="Helvetica" w:cs="Helvetica"/>
                <w:sz w:val="18"/>
                <w:szCs w:val="18"/>
              </w:rPr>
              <w:t xml:space="preserve"> (GLRaV – 6,7,10, 11)</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Grapevine line pattern virus</w:t>
            </w:r>
            <w:r>
              <w:rPr>
                <w:rFonts w:ascii="Helvetica" w:hAnsi="Helvetica" w:cs="Helvetica"/>
                <w:bCs/>
                <w:sz w:val="18"/>
                <w:szCs w:val="18"/>
              </w:rPr>
              <w:t xml:space="preserve"> (GLPV)</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Grapevine red globe virus</w:t>
            </w:r>
            <w:r>
              <w:rPr>
                <w:rFonts w:ascii="Helvetica" w:hAnsi="Helvetica" w:cs="Helvetica"/>
                <w:sz w:val="18"/>
                <w:szCs w:val="18"/>
              </w:rPr>
              <w:t xml:space="preserve"> (GRGV)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Grapevine rupestris vein feathering virus</w:t>
            </w:r>
            <w:r>
              <w:rPr>
                <w:rFonts w:ascii="Helvetica" w:hAnsi="Helvetica" w:cs="Helvetica"/>
                <w:sz w:val="18"/>
                <w:szCs w:val="18"/>
              </w:rPr>
              <w:t xml:space="preserve"> (GRVFV)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Grapevine syrah virus-I</w:t>
            </w:r>
            <w:r>
              <w:rPr>
                <w:rFonts w:ascii="Helvetica" w:hAnsi="Helvetica" w:cs="Helvetica"/>
                <w:bCs/>
                <w:sz w:val="18"/>
                <w:szCs w:val="18"/>
              </w:rPr>
              <w:t xml:space="preserve"> (GSyV-I)</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Shruti"/>
                <w:sz w:val="18"/>
                <w:szCs w:val="18"/>
              </w:rPr>
            </w:pPr>
            <w:r>
              <w:rPr>
                <w:rFonts w:ascii="Helvetica" w:hAnsi="Helvetica" w:cs="Helvetica"/>
                <w:bCs/>
                <w:i/>
                <w:sz w:val="18"/>
                <w:szCs w:val="18"/>
              </w:rPr>
              <w:t xml:space="preserve">Grapevine Tunisian ringspot virus </w:t>
            </w:r>
            <w:r>
              <w:rPr>
                <w:rFonts w:ascii="Helvetica" w:hAnsi="Helvetica" w:cs="Helvetica"/>
                <w:bCs/>
                <w:sz w:val="18"/>
                <w:szCs w:val="18"/>
              </w:rPr>
              <w:t>(GTRSV)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bCs/>
                <w:sz w:val="18"/>
                <w:szCs w:val="18"/>
              </w:rPr>
            </w:pPr>
            <w:r>
              <w:rPr>
                <w:rFonts w:ascii="Helvetica" w:hAnsi="Helvetica" w:cs="Helvetica"/>
                <w:bCs/>
                <w:i/>
                <w:sz w:val="18"/>
                <w:szCs w:val="18"/>
              </w:rPr>
              <w:t xml:space="preserve">Grapevine virus B </w:t>
            </w:r>
            <w:r>
              <w:rPr>
                <w:rFonts w:ascii="Helvetica" w:hAnsi="Helvetica" w:cs="Helvetica"/>
                <w:bCs/>
                <w:sz w:val="18"/>
                <w:szCs w:val="18"/>
              </w:rPr>
              <w:t>(strains associated with corky bark) (GVB)</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Grapevine virus E</w:t>
            </w:r>
            <w:r>
              <w:rPr>
                <w:rFonts w:ascii="Helvetica" w:hAnsi="Helvetica" w:cs="Helvetica"/>
                <w:sz w:val="18"/>
                <w:szCs w:val="18"/>
              </w:rPr>
              <w:t xml:space="preserve"> (GVE)</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Peach rosette mosaic virus</w:t>
            </w:r>
            <w:r>
              <w:rPr>
                <w:rFonts w:ascii="Helvetica" w:hAnsi="Helvetica" w:cs="Helvetica"/>
                <w:bCs/>
                <w:sz w:val="18"/>
                <w:szCs w:val="18"/>
              </w:rPr>
              <w:t xml:space="preserve"> (PRMV)</w:t>
            </w:r>
          </w:p>
        </w:tc>
        <w:tc>
          <w:tcPr>
            <w:tcW w:w="1080" w:type="dxa"/>
            <w:shd w:val="clear" w:color="auto" w:fill="auto"/>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r>
        <w:tc>
          <w:tcPr>
            <w:tcW w:w="6240" w:type="dxa"/>
          </w:tcPr>
          <w:p>
            <w:pPr>
              <w:spacing w:before="20" w:line="240" w:lineRule="atLeast"/>
              <w:rPr>
                <w:rFonts w:ascii="Helvetica" w:hAnsi="Helvetica" w:cs="Shruti"/>
                <w:sz w:val="18"/>
                <w:szCs w:val="18"/>
              </w:rPr>
            </w:pPr>
            <w:r>
              <w:rPr>
                <w:rFonts w:ascii="Helvetica" w:hAnsi="Helvetica" w:cs="Helvetica"/>
                <w:i/>
                <w:sz w:val="18"/>
                <w:szCs w:val="18"/>
              </w:rPr>
              <w:t>Petunia asteroid mosaic virus</w:t>
            </w:r>
            <w:r>
              <w:rPr>
                <w:rFonts w:ascii="Helvetica" w:hAnsi="Helvetica" w:cs="Helvetica"/>
                <w:sz w:val="18"/>
                <w:szCs w:val="18"/>
              </w:rPr>
              <w:t xml:space="preserve"> (PeAMV)</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 xml:space="preserve">Raspberry ringspot virus </w:t>
            </w:r>
            <w:r>
              <w:rPr>
                <w:rFonts w:ascii="Helvetica" w:hAnsi="Helvetica" w:cs="Helvetica"/>
                <w:bCs/>
                <w:sz w:val="18"/>
                <w:szCs w:val="18"/>
              </w:rPr>
              <w:t>(RpRSV) – grapevine strain</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Sowbane mosaic virus</w:t>
            </w:r>
            <w:r>
              <w:rPr>
                <w:rFonts w:ascii="Helvetica" w:hAnsi="Helvetica" w:cs="Helvetica"/>
                <w:bCs/>
                <w:sz w:val="18"/>
                <w:szCs w:val="18"/>
              </w:rPr>
              <w:t xml:space="preserve"> (SoMV) – grape infecting strain</w:t>
            </w:r>
          </w:p>
        </w:tc>
        <w:tc>
          <w:tcPr>
            <w:tcW w:w="108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Strawberry latent ringspot virus</w:t>
            </w:r>
            <w:r>
              <w:rPr>
                <w:rFonts w:ascii="Helvetica" w:hAnsi="Helvetica" w:cs="Helvetica"/>
                <w:sz w:val="18"/>
                <w:szCs w:val="18"/>
              </w:rPr>
              <w:t xml:space="preserve"> (SLRSV)</w:t>
            </w:r>
          </w:p>
        </w:tc>
        <w:tc>
          <w:tcPr>
            <w:tcW w:w="1080" w:type="dxa"/>
            <w:shd w:val="clear" w:color="auto" w:fill="auto"/>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Arial" w:hAnsi="Arial" w:cs="Arial"/>
                <w:bCs/>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i/>
                <w:sz w:val="18"/>
                <w:szCs w:val="18"/>
              </w:rPr>
              <w:t>Tobacco necrosis virus</w:t>
            </w:r>
            <w:r>
              <w:rPr>
                <w:rFonts w:ascii="Helvetica" w:hAnsi="Helvetica" w:cs="Helvetica"/>
                <w:sz w:val="18"/>
                <w:szCs w:val="18"/>
              </w:rPr>
              <w:t xml:space="preserve"> (TNV) </w:t>
            </w:r>
            <w:r>
              <w:rPr>
                <w:rFonts w:ascii="Helvetica" w:hAnsi="Helvetica" w:cs="Helvetica"/>
                <w:bCs/>
                <w:sz w:val="18"/>
                <w:szCs w:val="18"/>
              </w:rPr>
              <w:t xml:space="preserve">– </w:t>
            </w:r>
            <w:r>
              <w:rPr>
                <w:rFonts w:ascii="Helvetica" w:hAnsi="Helvetica" w:cs="Helvetica"/>
                <w:sz w:val="18"/>
                <w:szCs w:val="18"/>
              </w:rPr>
              <w:t>grape strain</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F2F2F2"/>
          </w:tcPr>
          <w:p>
            <w:pPr>
              <w:pStyle w:val="AQISText"/>
              <w:spacing w:before="20" w:line="240" w:lineRule="atLeast"/>
              <w:jc w:val="center"/>
              <w:rPr>
                <w:rFonts w:ascii="Arial" w:hAnsi="Arial" w:cs="Arial"/>
                <w:bCs/>
                <w:sz w:val="18"/>
                <w:szCs w:val="18"/>
              </w:rPr>
            </w:pPr>
          </w:p>
        </w:tc>
      </w:tr>
      <w:tr>
        <w:tc>
          <w:tcPr>
            <w:tcW w:w="6240" w:type="dxa"/>
          </w:tcPr>
          <w:p>
            <w:pPr>
              <w:spacing w:before="20" w:line="240" w:lineRule="atLeast"/>
              <w:rPr>
                <w:rFonts w:ascii="Helvetica" w:hAnsi="Helvetica" w:cs="Helvetica"/>
                <w:sz w:val="18"/>
                <w:szCs w:val="18"/>
              </w:rPr>
            </w:pPr>
            <w:r>
              <w:rPr>
                <w:rFonts w:ascii="Helvetica" w:hAnsi="Helvetica" w:cs="Helvetica"/>
                <w:bCs/>
                <w:i/>
                <w:sz w:val="18"/>
                <w:szCs w:val="18"/>
              </w:rPr>
              <w:t>Tomato black ring virus</w:t>
            </w:r>
            <w:r>
              <w:rPr>
                <w:rFonts w:ascii="Helvetica" w:hAnsi="Helvetica" w:cs="Helvetica"/>
                <w:bCs/>
                <w:sz w:val="18"/>
                <w:szCs w:val="18"/>
              </w:rPr>
              <w:t xml:space="preserve"> (TBRV)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r>
        <w:tc>
          <w:tcPr>
            <w:tcW w:w="6240" w:type="dxa"/>
          </w:tcPr>
          <w:p>
            <w:pPr>
              <w:spacing w:before="20" w:line="240" w:lineRule="atLeast"/>
              <w:rPr>
                <w:rFonts w:ascii="Helvetica" w:hAnsi="Helvetica" w:cs="Helvetica"/>
                <w:bCs/>
                <w:sz w:val="18"/>
                <w:szCs w:val="18"/>
              </w:rPr>
            </w:pPr>
            <w:r>
              <w:rPr>
                <w:rFonts w:ascii="Helvetica" w:hAnsi="Helvetica" w:cs="Helvetica"/>
                <w:bCs/>
                <w:i/>
                <w:sz w:val="18"/>
                <w:szCs w:val="18"/>
              </w:rPr>
              <w:t xml:space="preserve">Tomato ringspot virus </w:t>
            </w:r>
            <w:r>
              <w:rPr>
                <w:rFonts w:ascii="Helvetica" w:hAnsi="Helvetica" w:cs="Helvetica"/>
                <w:bCs/>
                <w:sz w:val="18"/>
                <w:szCs w:val="18"/>
              </w:rPr>
              <w:t>(ToRSV)</w:t>
            </w:r>
          </w:p>
        </w:tc>
        <w:tc>
          <w:tcPr>
            <w:tcW w:w="108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60" w:type="dxa"/>
          </w:tcPr>
          <w:p>
            <w:pPr>
              <w:spacing w:before="20" w:line="240" w:lineRule="atLeast"/>
              <w:jc w:val="center"/>
              <w:rPr>
                <w:rFonts w:ascii="Helvetica" w:hAnsi="Helvetica" w:cs="Shruti"/>
                <w:sz w:val="18"/>
                <w:szCs w:val="18"/>
              </w:rPr>
            </w:pPr>
            <w:r>
              <w:rPr>
                <w:rFonts w:ascii="Helvetica" w:hAnsi="Helvetica" w:cs="Shruti"/>
                <w:sz w:val="18"/>
                <w:szCs w:val="18"/>
              </w:rPr>
              <w:sym w:font="Wingdings" w:char="F0FC"/>
            </w:r>
          </w:p>
        </w:tc>
        <w:tc>
          <w:tcPr>
            <w:tcW w:w="934" w:type="dxa"/>
            <w:shd w:val="clear" w:color="auto" w:fill="auto"/>
          </w:tcPr>
          <w:p>
            <w:pPr>
              <w:pStyle w:val="AQISText"/>
              <w:spacing w:before="20" w:line="240" w:lineRule="atLeast"/>
              <w:jc w:val="center"/>
              <w:rPr>
                <w:rFonts w:ascii="Arial" w:hAnsi="Arial" w:cs="Arial"/>
                <w:bCs/>
                <w:sz w:val="18"/>
                <w:szCs w:val="18"/>
              </w:rPr>
            </w:pPr>
            <w:r>
              <w:rPr>
                <w:rFonts w:ascii="Arial" w:hAnsi="Arial" w:cs="Arial"/>
                <w:bCs/>
                <w:sz w:val="18"/>
                <w:szCs w:val="18"/>
              </w:rPr>
              <w:sym w:font="Wingdings" w:char="F0FC"/>
            </w:r>
          </w:p>
        </w:tc>
      </w:tr>
    </w:tbl>
    <w:p>
      <w:pPr>
        <w:pStyle w:val="Heading3"/>
        <w:keepLines/>
        <w:widowControl/>
        <w:tabs>
          <w:tab w:val="left" w:pos="1260"/>
        </w:tabs>
        <w:overflowPunct w:val="0"/>
        <w:autoSpaceDE w:val="0"/>
        <w:autoSpaceDN w:val="0"/>
        <w:spacing w:line="280" w:lineRule="atLeast"/>
        <w:ind w:left="1321" w:hanging="1321"/>
        <w:jc w:val="left"/>
        <w:rPr>
          <w:rFonts w:ascii="Verdana" w:hAnsi="Verdana" w:cs="Arial"/>
          <w:bCs/>
          <w:sz w:val="26"/>
          <w:szCs w:val="26"/>
        </w:rPr>
      </w:pPr>
      <w:bookmarkStart w:id="74" w:name="_Toc345423510"/>
      <w:r>
        <w:rPr>
          <w:rFonts w:ascii="Verdana" w:hAnsi="Verdana" w:cs="Arial"/>
          <w:bCs/>
          <w:sz w:val="26"/>
          <w:szCs w:val="26"/>
        </w:rPr>
        <w:t>2.2.2</w:t>
      </w:r>
      <w:r>
        <w:rPr>
          <w:rFonts w:ascii="Verdana" w:hAnsi="Verdana" w:cs="Arial"/>
          <w:bCs/>
          <w:sz w:val="26"/>
          <w:szCs w:val="26"/>
        </w:rPr>
        <w:tab/>
        <w:t>Assessment of the probability of entry, establishment and spread</w:t>
      </w:r>
      <w:bookmarkEnd w:id="72"/>
      <w:bookmarkEnd w:id="73"/>
      <w:bookmarkEnd w:id="74"/>
    </w:p>
    <w:p>
      <w:pPr>
        <w:autoSpaceDE w:val="0"/>
        <w:autoSpaceDN w:val="0"/>
        <w:spacing w:line="275" w:lineRule="atLeast"/>
        <w:jc w:val="left"/>
      </w:pPr>
      <w:r>
        <w:t xml:space="preserve">Details of how to assess the ‘probability of entry’, ‘probability of establishment’ and ‘probability of spread’ of a pest are given in ISPM 11 (FAO 2004). </w:t>
      </w:r>
    </w:p>
    <w:p>
      <w:pPr>
        <w:autoSpaceDE w:val="0"/>
        <w:autoSpaceDN w:val="0"/>
        <w:spacing w:before="120" w:line="275" w:lineRule="atLeast"/>
        <w:jc w:val="left"/>
      </w:pPr>
      <w:r>
        <w:t xml:space="preserve">In the case of propagative </w:t>
      </w:r>
      <w:r>
        <w:rPr>
          <w:lang w:eastAsia="en-AU"/>
        </w:rPr>
        <w:t>material</w:t>
      </w:r>
      <w:r>
        <w:t xml:space="preserve"> imports, the concepts of entry, establishment and spread have to be considered differently. Propagative material intended for ongoing propagation purposes is deliberately introduced, distributed and aided to establish and spread. This material will enter and then be maintained in a suitable habitat, potentially in substantial numbers and for an indeterminate period. Significant resources are utilised to ensure the continued welfare of imported propagative material. Therefore, the introduction and establishment of plants from imported propagative material in essence establishes the pests and pathogens associated with the propagative material. Pathogens, in particular, may not need to leave the host to complete their life cycles, further enabling them to establish in the PRA area. Furthermore, propagative material is expected to be shipped at moderate temperatures and humidity, which is unlikely to adversely affect any pest that is present during shipment.</w:t>
      </w:r>
    </w:p>
    <w:p>
      <w:pPr>
        <w:autoSpaceDE w:val="0"/>
        <w:autoSpaceDN w:val="0"/>
        <w:spacing w:before="120" w:line="275" w:lineRule="atLeast"/>
        <w:jc w:val="left"/>
      </w:pPr>
      <w:r>
        <w:t xml:space="preserve">Several key factors contribute to the increased ability of pests and pathogens associated with propagative material to enter, establish and spread in </w:t>
      </w:r>
      <w:smartTag w:uri="urn:schemas-microsoft-com:office:smarttags" w:element="country-region">
        <w:smartTag w:uri="urn:schemas-microsoft-com:office:smarttags" w:element="place">
          <w:r>
            <w:t>Australia</w:t>
          </w:r>
        </w:smartTag>
      </w:smartTag>
      <w:r>
        <w:t>.</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lastRenderedPageBreak/>
        <w:t>Probability of entry</w:t>
      </w:r>
    </w:p>
    <w:p>
      <w:pPr>
        <w:pStyle w:val="AQISNum"/>
        <w:spacing w:before="0"/>
        <w:ind w:left="357" w:hanging="357"/>
        <w:jc w:val="left"/>
        <w:rPr>
          <w:sz w:val="24"/>
          <w:szCs w:val="24"/>
        </w:rPr>
      </w:pPr>
      <w:r>
        <w:rPr>
          <w:sz w:val="24"/>
          <w:szCs w:val="24"/>
        </w:rPr>
        <w:t xml:space="preserve">Association with host commodities provides the opportunity for the pest to enter </w:t>
      </w:r>
      <w:smartTag w:uri="urn:schemas-microsoft-com:office:smarttags" w:element="country-region">
        <w:smartTag w:uri="urn:schemas-microsoft-com:office:smarttags" w:element="place">
          <w:r>
            <w:rPr>
              <w:sz w:val="24"/>
              <w:szCs w:val="24"/>
            </w:rPr>
            <w:t>Australia</w:t>
          </w:r>
        </w:smartTag>
      </w:smartTag>
      <w:r>
        <w:rPr>
          <w:sz w:val="24"/>
          <w:szCs w:val="24"/>
        </w:rPr>
        <w:t xml:space="preserve">. Their ability to survive on, or in, propagative material acts to ensure their viability on route to, and during distribution across, </w:t>
      </w:r>
      <w:smartTag w:uri="urn:schemas-microsoft-com:office:smarttags" w:element="country-region">
        <w:smartTag w:uri="urn:schemas-microsoft-com:office:smarttags" w:element="place">
          <w:r>
            <w:rPr>
              <w:sz w:val="24"/>
              <w:szCs w:val="24"/>
            </w:rPr>
            <w:t>Australia</w:t>
          </w:r>
        </w:smartTag>
      </w:smartTag>
      <w:r>
        <w:rPr>
          <w:sz w:val="24"/>
          <w:szCs w:val="24"/>
        </w:rPr>
        <w:t>.</w:t>
      </w:r>
    </w:p>
    <w:p>
      <w:pPr>
        <w:pStyle w:val="AQISNum"/>
        <w:spacing w:before="40"/>
        <w:ind w:left="357" w:hanging="357"/>
        <w:jc w:val="left"/>
        <w:rPr>
          <w:sz w:val="24"/>
          <w:szCs w:val="24"/>
          <w:lang w:eastAsia="en-AU"/>
        </w:rPr>
      </w:pPr>
      <w:r>
        <w:rPr>
          <w:sz w:val="24"/>
          <w:szCs w:val="24"/>
          <w:lang w:eastAsia="en-AU"/>
        </w:rPr>
        <w:t>Viruses, as a rule, infect host plants systemically and all plant parts, including parts used for vegetative propagation, are infected. Therefore, propagative material provides a pathway for viruses.</w:t>
      </w:r>
    </w:p>
    <w:p>
      <w:pPr>
        <w:pStyle w:val="AQISNum"/>
        <w:spacing w:before="40"/>
        <w:ind w:left="357" w:hanging="357"/>
        <w:jc w:val="left"/>
        <w:rPr>
          <w:sz w:val="24"/>
          <w:szCs w:val="24"/>
        </w:rPr>
      </w:pPr>
      <w:r>
        <w:rPr>
          <w:sz w:val="24"/>
          <w:szCs w:val="24"/>
          <w:lang w:eastAsia="en-AU"/>
        </w:rPr>
        <w:t xml:space="preserve">Propagative material is assumed to come from areas where these pests specifically occur and no phytosanitary measures have been applied. The primary conditions for survival of pests are fulfilled by the presence of the live propagative material and the associated environmental conditions. Therefore, association </w:t>
      </w:r>
      <w:r>
        <w:rPr>
          <w:sz w:val="24"/>
          <w:szCs w:val="24"/>
        </w:rPr>
        <w:t>with propagative material can provide long term survival for the pests.</w:t>
      </w:r>
    </w:p>
    <w:p>
      <w:pPr>
        <w:pStyle w:val="AQISNum"/>
        <w:spacing w:before="40"/>
        <w:ind w:left="357" w:hanging="357"/>
        <w:jc w:val="left"/>
        <w:rPr>
          <w:sz w:val="24"/>
          <w:szCs w:val="24"/>
        </w:rPr>
      </w:pPr>
      <w:r>
        <w:rPr>
          <w:sz w:val="24"/>
          <w:szCs w:val="24"/>
        </w:rPr>
        <w:t xml:space="preserve">Infected propagative material is the main pathway for the introduction of the pests into new areas. This mode of introduction is greatly enhanced because of latency periods before conspicuous symptoms develop. Long latency periods can lead to the propagation and distribution of infected propagative material and can therefore assist in the introduction of these pests into </w:t>
      </w:r>
      <w:smartTag w:uri="urn:schemas-microsoft-com:office:smarttags" w:element="country-region">
        <w:smartTag w:uri="urn:schemas-microsoft-com:office:smarttags" w:element="place">
          <w:r>
            <w:rPr>
              <w:sz w:val="24"/>
              <w:szCs w:val="24"/>
            </w:rPr>
            <w:t>Australia</w:t>
          </w:r>
        </w:smartTag>
      </w:smartTag>
      <w:r>
        <w:rPr>
          <w:sz w:val="24"/>
          <w:szCs w:val="24"/>
        </w:rPr>
        <w:t>.</w:t>
      </w:r>
    </w:p>
    <w:p>
      <w:pPr>
        <w:pStyle w:val="AQISNum"/>
        <w:spacing w:before="40"/>
        <w:ind w:left="357" w:hanging="357"/>
        <w:jc w:val="left"/>
        <w:rPr>
          <w:sz w:val="24"/>
          <w:szCs w:val="24"/>
          <w:lang w:eastAsia="en-AU"/>
        </w:rPr>
      </w:pPr>
      <w:r>
        <w:rPr>
          <w:sz w:val="24"/>
          <w:szCs w:val="24"/>
          <w:lang w:eastAsia="en-AU"/>
        </w:rPr>
        <w:t>The pests associated with propagative material may be systemic or are associated with the vascular system (or occur internally in the nursery stock) and they are unlikely to be dislodged during standard harvesting, handling and shipping operations. Therefore, pests associated with propagative material are likely to survive during transport.</w:t>
      </w:r>
    </w:p>
    <w:p>
      <w:pPr>
        <w:pStyle w:val="AQISNum"/>
        <w:spacing w:before="40"/>
        <w:ind w:left="357" w:hanging="357"/>
        <w:jc w:val="left"/>
        <w:rPr>
          <w:sz w:val="24"/>
          <w:szCs w:val="24"/>
          <w:lang w:eastAsia="en-AU"/>
        </w:rPr>
      </w:pPr>
      <w:r>
        <w:rPr>
          <w:sz w:val="24"/>
          <w:szCs w:val="24"/>
          <w:lang w:eastAsia="en-AU"/>
        </w:rPr>
        <w:t>Seeds will be maintained at a suitable temperature and humidity to maintain seed viability. Seed-borne and seed-transmissible pathogens will therefore be maintained within the seed for subsequent propagation.</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Probability of establishment</w:t>
      </w:r>
    </w:p>
    <w:p>
      <w:pPr>
        <w:pStyle w:val="AQISNum"/>
        <w:spacing w:before="0"/>
        <w:ind w:left="357" w:hanging="357"/>
        <w:jc w:val="left"/>
        <w:rPr>
          <w:sz w:val="24"/>
          <w:szCs w:val="24"/>
        </w:rPr>
      </w:pPr>
      <w:r>
        <w:rPr>
          <w:sz w:val="24"/>
          <w:szCs w:val="24"/>
        </w:rPr>
        <w:t>Association with the host will facilitate the establishment of pests of propagative material, as they are already established with, or within, a suitable host. As host plant material is likely to be maintained in places with similar climates to the area of production, climatic conditions are expected to favour the pest’s establishment.</w:t>
      </w:r>
    </w:p>
    <w:p>
      <w:pPr>
        <w:pStyle w:val="AQISNum"/>
        <w:numPr>
          <w:ilvl w:val="1"/>
          <w:numId w:val="24"/>
        </w:numPr>
        <w:spacing w:before="40"/>
        <w:ind w:left="641" w:hanging="357"/>
        <w:jc w:val="left"/>
        <w:rPr>
          <w:sz w:val="24"/>
          <w:szCs w:val="24"/>
        </w:rPr>
      </w:pPr>
      <w:r>
        <w:rPr>
          <w:sz w:val="24"/>
          <w:szCs w:val="24"/>
        </w:rPr>
        <w:t xml:space="preserve">Some pest specific factors are likely to impact upon a pest’s ability to establish in </w:t>
      </w:r>
      <w:smartTag w:uri="urn:schemas-microsoft-com:office:smarttags" w:element="country-region">
        <w:smartTag w:uri="urn:schemas-microsoft-com:office:smarttags" w:element="place">
          <w:r>
            <w:rPr>
              <w:sz w:val="24"/>
              <w:szCs w:val="24"/>
            </w:rPr>
            <w:t>Australia</w:t>
          </w:r>
        </w:smartTag>
      </w:smartTag>
      <w:r>
        <w:rPr>
          <w:sz w:val="24"/>
          <w:szCs w:val="24"/>
        </w:rPr>
        <w:t>. For example, the likelihood of establishment will vary if an alternative host is required for the pest to complete its life cycle or if multiple individuals are required to form a founder population. Where appropriate, these considerations are addressed in the potential for establishment and spread field of the pest categorisation.</w:t>
      </w:r>
    </w:p>
    <w:p>
      <w:pPr>
        <w:pStyle w:val="AQISNum"/>
        <w:spacing w:before="40"/>
        <w:ind w:left="357" w:hanging="357"/>
        <w:jc w:val="left"/>
        <w:rPr>
          <w:sz w:val="24"/>
          <w:szCs w:val="24"/>
        </w:rPr>
      </w:pPr>
      <w:r>
        <w:rPr>
          <w:sz w:val="24"/>
          <w:szCs w:val="24"/>
        </w:rPr>
        <w:t>Propagative material, including grapevine cuttings, tissue culture and seed, is intended for ongoing propagation or horticultural purposes and therefore is deliberately introduced, distributed and aided to establish. This material will enter and then be maintained in a suitable habitat, potentially in substantial numbers and for an indeterminate period. Therefore, the introduction and establishment of plants from imported propagative material in essence establishes the pests and pathogens associated with the propagative material.</w:t>
      </w:r>
    </w:p>
    <w:p>
      <w:pPr>
        <w:pStyle w:val="AQISNum"/>
        <w:ind w:left="357" w:hanging="357"/>
        <w:jc w:val="left"/>
      </w:pPr>
      <w:r>
        <w:rPr>
          <w:sz w:val="24"/>
          <w:szCs w:val="24"/>
        </w:rPr>
        <w:t>The latent period of infection before visible symptoms appear may result in non-detection of these pathogens; therefore, the pathogens will have ample time to establish into new areas.</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Probability of spread</w:t>
      </w:r>
    </w:p>
    <w:p>
      <w:pPr>
        <w:pStyle w:val="AQISNum"/>
        <w:spacing w:before="0"/>
        <w:ind w:left="357" w:hanging="357"/>
        <w:jc w:val="left"/>
        <w:rPr>
          <w:sz w:val="24"/>
          <w:szCs w:val="24"/>
        </w:rPr>
      </w:pPr>
      <w:r>
        <w:rPr>
          <w:sz w:val="24"/>
          <w:szCs w:val="24"/>
        </w:rPr>
        <w:t xml:space="preserve">The ability of the pest to be introduced and distributed throughout </w:t>
      </w:r>
      <w:smartTag w:uri="urn:schemas-microsoft-com:office:smarttags" w:element="country-region">
        <w:r>
          <w:rPr>
            <w:sz w:val="24"/>
            <w:szCs w:val="24"/>
          </w:rPr>
          <w:t>Australia</w:t>
        </w:r>
      </w:smartTag>
      <w:r>
        <w:rPr>
          <w:sz w:val="24"/>
          <w:szCs w:val="24"/>
        </w:rPr>
        <w:t xml:space="preserve"> on </w:t>
      </w:r>
      <w:r>
        <w:rPr>
          <w:sz w:val="24"/>
          <w:szCs w:val="24"/>
        </w:rPr>
        <w:lastRenderedPageBreak/>
        <w:t xml:space="preserve">propagative material through human mediated spread is a high risk for continued spread post-border in </w:t>
      </w:r>
      <w:smartTag w:uri="urn:schemas-microsoft-com:office:smarttags" w:element="country-region">
        <w:smartTag w:uri="urn:schemas-microsoft-com:office:smarttags" w:element="place">
          <w:r>
            <w:rPr>
              <w:sz w:val="24"/>
              <w:szCs w:val="24"/>
            </w:rPr>
            <w:t>Australia</w:t>
          </w:r>
        </w:smartTag>
      </w:smartTag>
      <w:r>
        <w:rPr>
          <w:sz w:val="24"/>
          <w:szCs w:val="24"/>
        </w:rPr>
        <w:t xml:space="preserve">. Pest related factors that aid the spread of the pest once it has established in </w:t>
      </w:r>
      <w:smartTag w:uri="urn:schemas-microsoft-com:office:smarttags" w:element="country-region">
        <w:smartTag w:uri="urn:schemas-microsoft-com:office:smarttags" w:element="place">
          <w:r>
            <w:rPr>
              <w:sz w:val="24"/>
              <w:szCs w:val="24"/>
            </w:rPr>
            <w:t>Australia</w:t>
          </w:r>
        </w:smartTag>
      </w:smartTag>
      <w:r>
        <w:rPr>
          <w:sz w:val="24"/>
          <w:szCs w:val="24"/>
        </w:rPr>
        <w:t xml:space="preserve"> (such as wind, water or mechanical transmission) will increase the pest’s ability to spread from an already high baseline.</w:t>
      </w:r>
    </w:p>
    <w:p>
      <w:pPr>
        <w:pStyle w:val="AQISNum"/>
        <w:spacing w:before="40"/>
        <w:ind w:left="357" w:hanging="357"/>
        <w:jc w:val="left"/>
        <w:rPr>
          <w:sz w:val="24"/>
          <w:szCs w:val="24"/>
        </w:rPr>
      </w:pPr>
      <w:r>
        <w:rPr>
          <w:sz w:val="24"/>
          <w:szCs w:val="24"/>
        </w:rPr>
        <w:t xml:space="preserve">In the absence of statutory control, there is a high probability that the pests will spread quickly in </w:t>
      </w:r>
      <w:smartTag w:uri="urn:schemas-microsoft-com:office:smarttags" w:element="country-region">
        <w:smartTag w:uri="urn:schemas-microsoft-com:office:smarttags" w:element="place">
          <w:r>
            <w:rPr>
              <w:sz w:val="24"/>
              <w:szCs w:val="24"/>
            </w:rPr>
            <w:t>Australia</w:t>
          </w:r>
        </w:smartTag>
      </w:smartTag>
      <w:r>
        <w:rPr>
          <w:sz w:val="24"/>
          <w:szCs w:val="24"/>
        </w:rPr>
        <w:t xml:space="preserve"> by trade of propagative material. Planting of infected propagative material will bring the pests into the environment. Climatic conditions, such as those found in propagation houses, may be sufficient for pest survival and spread.</w:t>
      </w:r>
    </w:p>
    <w:p>
      <w:pPr>
        <w:pStyle w:val="AQISNum"/>
        <w:spacing w:before="40"/>
        <w:ind w:left="357" w:hanging="357"/>
        <w:jc w:val="left"/>
        <w:rPr>
          <w:sz w:val="24"/>
          <w:szCs w:val="24"/>
        </w:rPr>
      </w:pPr>
      <w:r>
        <w:rPr>
          <w:sz w:val="24"/>
          <w:szCs w:val="24"/>
        </w:rPr>
        <w:t>The systemic nature of some of the pests associated with propagative material is a major pathway for dispersal. Accordingly, local and long-distance spread of these pathogens has been associated with the movement of infected propagative material.</w:t>
      </w:r>
    </w:p>
    <w:p>
      <w:pPr>
        <w:pStyle w:val="AQISNum"/>
        <w:spacing w:before="40"/>
        <w:ind w:left="357" w:hanging="357"/>
        <w:jc w:val="left"/>
        <w:rPr>
          <w:sz w:val="24"/>
          <w:szCs w:val="24"/>
        </w:rPr>
      </w:pPr>
      <w:r>
        <w:rPr>
          <w:sz w:val="24"/>
          <w:szCs w:val="24"/>
        </w:rPr>
        <w:t xml:space="preserve">The symptomless nature of several pathogens may contribute to the inadvertent propagation and distribution of infected material that will help spread these pathogens within </w:t>
      </w:r>
      <w:smartTag w:uri="urn:schemas-microsoft-com:office:smarttags" w:element="country-region">
        <w:smartTag w:uri="urn:schemas-microsoft-com:office:smarttags" w:element="place">
          <w:r>
            <w:rPr>
              <w:sz w:val="24"/>
              <w:szCs w:val="24"/>
            </w:rPr>
            <w:t>Australia</w:t>
          </w:r>
        </w:smartTag>
      </w:smartTag>
      <w:r>
        <w:rPr>
          <w:sz w:val="24"/>
          <w:szCs w:val="24"/>
        </w:rPr>
        <w:t xml:space="preserve">. Additionally, insect vectors present in </w:t>
      </w:r>
      <w:smartTag w:uri="urn:schemas-microsoft-com:office:smarttags" w:element="country-region">
        <w:smartTag w:uri="urn:schemas-microsoft-com:office:smarttags" w:element="place">
          <w:r>
            <w:rPr>
              <w:sz w:val="24"/>
              <w:szCs w:val="24"/>
            </w:rPr>
            <w:t>Australia</w:t>
          </w:r>
        </w:smartTag>
      </w:smartTag>
      <w:r>
        <w:rPr>
          <w:sz w:val="24"/>
          <w:szCs w:val="24"/>
        </w:rPr>
        <w:t xml:space="preserve"> will help spread viruses from infected plants to healthy plants. </w:t>
      </w:r>
    </w:p>
    <w:p>
      <w:pPr>
        <w:pStyle w:val="AQISNum"/>
        <w:numPr>
          <w:ilvl w:val="1"/>
          <w:numId w:val="24"/>
        </w:numPr>
        <w:spacing w:before="40"/>
        <w:ind w:left="641" w:hanging="357"/>
        <w:jc w:val="left"/>
        <w:rPr>
          <w:sz w:val="24"/>
          <w:szCs w:val="24"/>
          <w:lang w:eastAsia="en-AU"/>
        </w:rPr>
      </w:pPr>
      <w:r>
        <w:rPr>
          <w:sz w:val="24"/>
          <w:szCs w:val="24"/>
          <w:lang w:eastAsia="en-AU"/>
        </w:rPr>
        <w:t>Viruses may differ in particle morphologies, disease symptoms induced and means of natural spread by insect or nematode vectors. However, each virus is readily carried and dispersed in nursery stock.</w:t>
      </w:r>
    </w:p>
    <w:p>
      <w:pPr>
        <w:pStyle w:val="AQISNum"/>
        <w:numPr>
          <w:ilvl w:val="1"/>
          <w:numId w:val="24"/>
        </w:numPr>
        <w:spacing w:before="40"/>
        <w:ind w:left="641" w:hanging="357"/>
        <w:jc w:val="left"/>
        <w:rPr>
          <w:sz w:val="24"/>
          <w:szCs w:val="24"/>
          <w:lang w:eastAsia="en-AU"/>
        </w:rPr>
      </w:pPr>
      <w:r>
        <w:rPr>
          <w:sz w:val="24"/>
          <w:szCs w:val="24"/>
          <w:lang w:eastAsia="en-AU"/>
        </w:rPr>
        <w:t>In some instances, pathogens may be introduced via infected plants into a viticulture region where native vector species reside resulting in secondary spread to neighbouring grapevines or to surrounding vineyards.</w:t>
      </w:r>
    </w:p>
    <w:p>
      <w:pPr>
        <w:autoSpaceDE w:val="0"/>
        <w:autoSpaceDN w:val="0"/>
        <w:spacing w:before="160" w:line="280" w:lineRule="atLeast"/>
        <w:jc w:val="left"/>
      </w:pPr>
      <w:r>
        <w:t xml:space="preserve">As a result of these pathway specific factors, it would be inappropriate to assess the probability of entry, establishment and spread using the processes described in ISPM 11 (FAO 2004). For the purposes of this PRA, the overall likelihood for the probability of entry, establishment and spread is considered to be high for pests entering </w:t>
      </w:r>
      <w:smartTag w:uri="urn:schemas-microsoft-com:office:smarttags" w:element="country-region">
        <w:smartTag w:uri="urn:schemas-microsoft-com:office:smarttags" w:element="place">
          <w:r>
            <w:t>Australia</w:t>
          </w:r>
        </w:smartTag>
      </w:smartTag>
      <w:r>
        <w:t xml:space="preserve"> on grapevine propagative material.</w:t>
      </w:r>
    </w:p>
    <w:p>
      <w:pPr>
        <w:pStyle w:val="Heading3"/>
        <w:widowControl/>
        <w:tabs>
          <w:tab w:val="left" w:pos="1260"/>
        </w:tabs>
        <w:overflowPunct w:val="0"/>
        <w:autoSpaceDE w:val="0"/>
        <w:autoSpaceDN w:val="0"/>
        <w:spacing w:line="280" w:lineRule="atLeast"/>
        <w:ind w:left="1320" w:hanging="1320"/>
        <w:jc w:val="left"/>
        <w:rPr>
          <w:rFonts w:ascii="Verdana" w:hAnsi="Verdana" w:cs="Arial"/>
          <w:bCs/>
          <w:sz w:val="26"/>
          <w:szCs w:val="26"/>
        </w:rPr>
      </w:pPr>
      <w:bookmarkStart w:id="75" w:name="_Toc67287573"/>
      <w:bookmarkStart w:id="76" w:name="_Toc69873713"/>
      <w:bookmarkStart w:id="77" w:name="_Toc70149879"/>
      <w:bookmarkStart w:id="78" w:name="_Toc275502455"/>
      <w:bookmarkStart w:id="79" w:name="_Toc345423511"/>
      <w:r>
        <w:rPr>
          <w:rFonts w:ascii="Verdana" w:hAnsi="Verdana" w:cs="Arial"/>
          <w:bCs/>
          <w:sz w:val="26"/>
          <w:szCs w:val="26"/>
        </w:rPr>
        <w:t>2.2.3</w:t>
      </w:r>
      <w:r>
        <w:rPr>
          <w:rFonts w:ascii="Verdana" w:hAnsi="Verdana" w:cs="Arial"/>
          <w:bCs/>
          <w:sz w:val="26"/>
          <w:szCs w:val="26"/>
        </w:rPr>
        <w:tab/>
        <w:t>Assessment of potential consequences</w:t>
      </w:r>
      <w:bookmarkEnd w:id="75"/>
      <w:bookmarkEnd w:id="76"/>
      <w:bookmarkEnd w:id="77"/>
      <w:bookmarkEnd w:id="78"/>
      <w:bookmarkEnd w:id="79"/>
    </w:p>
    <w:p>
      <w:pPr>
        <w:spacing w:line="280" w:lineRule="atLeast"/>
        <w:jc w:val="left"/>
      </w:pPr>
      <w:r>
        <w:t>The purpose of assessment of potential consequences in the pest risk assessment process is to identify and quantify, as much as possible, the potential impacts that could be expected to result from a pest’s introduction and spread.</w:t>
      </w:r>
    </w:p>
    <w:p>
      <w:pPr>
        <w:spacing w:before="160" w:line="280" w:lineRule="atLeast"/>
        <w:jc w:val="left"/>
      </w:pPr>
      <w:r>
        <w:t>The basic requirements for the assessment of consequences are described in the SPS Agreement, in particular Article 5.3 and Annex A. Further detail on assessing consequences is given in the “potential economic consequences” section of ISPM 11. This ISPM separates the consequences into “direct” and “indirect” and provides examples of factors to consider within each.</w:t>
      </w:r>
    </w:p>
    <w:p>
      <w:pPr>
        <w:pStyle w:val="Default"/>
        <w:spacing w:before="120" w:line="280" w:lineRule="atLeast"/>
        <w:jc w:val="left"/>
        <w:rPr>
          <w:color w:val="auto"/>
        </w:rPr>
      </w:pPr>
      <w:r>
        <w:rPr>
          <w:color w:val="auto"/>
        </w:rPr>
        <w:t xml:space="preserve">The introduction of pests which meet the criteria of a quarantine pest will have unacceptable economic consequences in </w:t>
      </w:r>
      <w:smartTag w:uri="urn:schemas-microsoft-com:office:smarttags" w:element="country-region">
        <w:smartTag w:uri="urn:schemas-microsoft-com:office:smarttags" w:element="place">
          <w:r>
            <w:rPr>
              <w:color w:val="auto"/>
            </w:rPr>
            <w:t>Australia</w:t>
          </w:r>
        </w:smartTag>
      </w:smartTag>
      <w:r>
        <w:rPr>
          <w:color w:val="auto"/>
        </w:rPr>
        <w:t xml:space="preserve"> as these pests will cause a variety of direct and indirect economic impacts. The identified pests are of economic concern and do not occur in </w:t>
      </w:r>
      <w:smartTag w:uri="urn:schemas-microsoft-com:office:smarttags" w:element="country-region">
        <w:smartTag w:uri="urn:schemas-microsoft-com:office:smarttags" w:element="place">
          <w:r>
            <w:rPr>
              <w:color w:val="auto"/>
            </w:rPr>
            <w:t>Australia</w:t>
          </w:r>
        </w:smartTag>
      </w:smartTag>
      <w:r>
        <w:rPr>
          <w:color w:val="auto"/>
        </w:rPr>
        <w:t xml:space="preserve">. A summary and justification is provided below: </w:t>
      </w:r>
    </w:p>
    <w:p>
      <w:pPr>
        <w:pStyle w:val="AQISNum"/>
        <w:autoSpaceDE w:val="0"/>
        <w:autoSpaceDN w:val="0"/>
        <w:ind w:left="357" w:hanging="357"/>
        <w:jc w:val="left"/>
        <w:rPr>
          <w:sz w:val="24"/>
          <w:szCs w:val="24"/>
        </w:rPr>
      </w:pPr>
      <w:r>
        <w:rPr>
          <w:sz w:val="24"/>
          <w:szCs w:val="24"/>
        </w:rPr>
        <w:t xml:space="preserve">Direct impacts of the introduction and spread of multi-host pests in </w:t>
      </w:r>
      <w:smartTag w:uri="urn:schemas-microsoft-com:office:smarttags" w:element="country-region">
        <w:smartTag w:uri="urn:schemas-microsoft-com:office:smarttags" w:element="place">
          <w:r>
            <w:rPr>
              <w:sz w:val="24"/>
              <w:szCs w:val="24"/>
            </w:rPr>
            <w:t>Australia</w:t>
          </w:r>
        </w:smartTag>
      </w:smartTag>
      <w:r>
        <w:rPr>
          <w:sz w:val="24"/>
          <w:szCs w:val="24"/>
        </w:rPr>
        <w:t xml:space="preserve"> will not only affect the imported host but also </w:t>
      </w:r>
      <w:r>
        <w:rPr>
          <w:bCs/>
          <w:sz w:val="24"/>
          <w:szCs w:val="24"/>
        </w:rPr>
        <w:t xml:space="preserve">other hosts. </w:t>
      </w:r>
    </w:p>
    <w:p>
      <w:pPr>
        <w:pStyle w:val="AQISNum"/>
        <w:autoSpaceDE w:val="0"/>
        <w:autoSpaceDN w:val="0"/>
        <w:ind w:left="357" w:hanging="357"/>
        <w:jc w:val="left"/>
        <w:rPr>
          <w:sz w:val="24"/>
          <w:szCs w:val="24"/>
        </w:rPr>
      </w:pPr>
      <w:r>
        <w:rPr>
          <w:sz w:val="24"/>
          <w:szCs w:val="24"/>
        </w:rPr>
        <w:t>Introduction and establishment of quarantine pests in Australia would not only result in phytosanitary regulations imposed by foreign or domestic trading partners, but also in increased costs of production, including pathogen control costs.</w:t>
      </w:r>
    </w:p>
    <w:p>
      <w:pPr>
        <w:pStyle w:val="AQISNum"/>
        <w:autoSpaceDE w:val="0"/>
        <w:autoSpaceDN w:val="0"/>
        <w:ind w:left="357" w:hanging="357"/>
        <w:jc w:val="left"/>
        <w:rPr>
          <w:sz w:val="24"/>
          <w:szCs w:val="24"/>
        </w:rPr>
      </w:pPr>
      <w:r>
        <w:rPr>
          <w:sz w:val="24"/>
          <w:szCs w:val="24"/>
        </w:rPr>
        <w:t xml:space="preserve">Quarantine pest introduction and establishment would also be likely to result in industry </w:t>
      </w:r>
      <w:r>
        <w:rPr>
          <w:sz w:val="24"/>
          <w:szCs w:val="24"/>
        </w:rPr>
        <w:lastRenderedPageBreak/>
        <w:t>adjustment. The potential economic impact for the nursery trade is high. Without controls, these pests have the potential to spread further in the trade network and could potentially expand their host range.</w:t>
      </w:r>
    </w:p>
    <w:p>
      <w:pPr>
        <w:pStyle w:val="AQISNum"/>
        <w:autoSpaceDE w:val="0"/>
        <w:autoSpaceDN w:val="0"/>
        <w:ind w:left="357" w:hanging="357"/>
        <w:jc w:val="left"/>
        <w:rPr>
          <w:sz w:val="24"/>
          <w:szCs w:val="24"/>
        </w:rPr>
      </w:pPr>
      <w:r>
        <w:rPr>
          <w:sz w:val="24"/>
          <w:szCs w:val="24"/>
        </w:rPr>
        <w:t>Grapevines that are vegetatively propagated may be exposed to attack by a variety of pests and pathogens. Of these pests, infectious intracellular agents (viruses, viroids, bacteria and phytoplasmas) play a major role, causing heavy yield loss, shortening the productive life of vineyards and endangering the survival of affected vines (Martelli and Boudon-Padi</w:t>
      </w:r>
      <w:smartTag w:uri="urn:schemas-microsoft-com:office:smarttags" w:element="PersonName">
        <w:r>
          <w:rPr>
            <w:sz w:val="24"/>
            <w:szCs w:val="24"/>
          </w:rPr>
          <w:t>eu</w:t>
        </w:r>
      </w:smartTag>
      <w:r>
        <w:rPr>
          <w:sz w:val="24"/>
          <w:szCs w:val="24"/>
        </w:rPr>
        <w:t xml:space="preserve"> 2006). </w:t>
      </w:r>
    </w:p>
    <w:p>
      <w:pPr>
        <w:pStyle w:val="AQISNum"/>
        <w:autoSpaceDE w:val="0"/>
        <w:autoSpaceDN w:val="0"/>
        <w:ind w:left="357" w:hanging="357"/>
        <w:jc w:val="left"/>
        <w:rPr>
          <w:sz w:val="24"/>
          <w:szCs w:val="24"/>
        </w:rPr>
      </w:pPr>
      <w:r>
        <w:rPr>
          <w:sz w:val="24"/>
          <w:szCs w:val="24"/>
        </w:rPr>
        <w:t>Both phytoplasmas and viruses are able to affect fruit development and ripening, possibly as a result of phloem disruption. This blockage can hinder berry sugar accumulation and delay ripening.</w:t>
      </w:r>
    </w:p>
    <w:p>
      <w:pPr>
        <w:pStyle w:val="AQISNum"/>
        <w:jc w:val="left"/>
        <w:rPr>
          <w:sz w:val="24"/>
          <w:szCs w:val="24"/>
        </w:rPr>
      </w:pPr>
      <w:r>
        <w:rPr>
          <w:sz w:val="24"/>
          <w:szCs w:val="24"/>
        </w:rPr>
        <w:t xml:space="preserve">Grapevine viruses cause yield loss, reduced fruit quality, reduced vine growth, vine decline and vine death. For example, leafroll viruses and rugose wood viruses are associated with yield losses (Guidoni </w:t>
      </w:r>
      <w:r>
        <w:rPr>
          <w:i/>
          <w:sz w:val="24"/>
          <w:szCs w:val="24"/>
        </w:rPr>
        <w:t>et al</w:t>
      </w:r>
      <w:r>
        <w:rPr>
          <w:sz w:val="24"/>
          <w:szCs w:val="24"/>
        </w:rPr>
        <w:t xml:space="preserve">. 2000; Mannini and Credi 2000; Kovacs </w:t>
      </w:r>
      <w:r>
        <w:rPr>
          <w:i/>
          <w:sz w:val="24"/>
          <w:szCs w:val="24"/>
        </w:rPr>
        <w:t>et al</w:t>
      </w:r>
      <w:r>
        <w:rPr>
          <w:sz w:val="24"/>
          <w:szCs w:val="24"/>
        </w:rPr>
        <w:t xml:space="preserve">. 2000, 2001; Tomazic </w:t>
      </w:r>
      <w:r>
        <w:rPr>
          <w:i/>
          <w:sz w:val="24"/>
          <w:szCs w:val="24"/>
        </w:rPr>
        <w:t>et al</w:t>
      </w:r>
      <w:r>
        <w:rPr>
          <w:sz w:val="24"/>
          <w:szCs w:val="24"/>
        </w:rPr>
        <w:t xml:space="preserve">. 2000, 2005; Komar </w:t>
      </w:r>
      <w:r>
        <w:rPr>
          <w:i/>
          <w:sz w:val="24"/>
          <w:szCs w:val="24"/>
        </w:rPr>
        <w:t>et al</w:t>
      </w:r>
      <w:r>
        <w:rPr>
          <w:sz w:val="24"/>
          <w:szCs w:val="24"/>
        </w:rPr>
        <w:t xml:space="preserve">. 2007). Leafroll viruses also cause poor fruit quality (Woodham </w:t>
      </w:r>
      <w:r>
        <w:rPr>
          <w:i/>
          <w:sz w:val="24"/>
          <w:szCs w:val="24"/>
        </w:rPr>
        <w:t xml:space="preserve">et al. </w:t>
      </w:r>
      <w:r>
        <w:rPr>
          <w:sz w:val="24"/>
          <w:szCs w:val="24"/>
        </w:rPr>
        <w:t xml:space="preserve">1983; Komar </w:t>
      </w:r>
      <w:r>
        <w:rPr>
          <w:i/>
          <w:sz w:val="24"/>
          <w:szCs w:val="24"/>
        </w:rPr>
        <w:t>et al</w:t>
      </w:r>
      <w:r>
        <w:rPr>
          <w:sz w:val="24"/>
          <w:szCs w:val="24"/>
        </w:rPr>
        <w:t xml:space="preserve">. 2007). Grapevine fanleaf virus and Arabis mosaic virus are associated with significant yield loss, reduced fruit quality, reduced vine vigour, vine decline and vine death (Auger </w:t>
      </w:r>
      <w:r>
        <w:rPr>
          <w:i/>
          <w:sz w:val="24"/>
          <w:szCs w:val="24"/>
        </w:rPr>
        <w:t>et al</w:t>
      </w:r>
      <w:r>
        <w:rPr>
          <w:sz w:val="24"/>
          <w:szCs w:val="24"/>
        </w:rPr>
        <w:t xml:space="preserve">. 1992; Martelli 1993; Walter and Martelli 1998; Golino </w:t>
      </w:r>
      <w:r>
        <w:rPr>
          <w:i/>
          <w:sz w:val="24"/>
          <w:szCs w:val="24"/>
        </w:rPr>
        <w:t xml:space="preserve">et al. </w:t>
      </w:r>
      <w:r>
        <w:rPr>
          <w:sz w:val="24"/>
          <w:szCs w:val="24"/>
        </w:rPr>
        <w:t xml:space="preserve">2003; Legorburu </w:t>
      </w:r>
      <w:r>
        <w:rPr>
          <w:i/>
          <w:sz w:val="24"/>
          <w:szCs w:val="24"/>
        </w:rPr>
        <w:t>et al</w:t>
      </w:r>
      <w:r>
        <w:rPr>
          <w:sz w:val="24"/>
          <w:szCs w:val="24"/>
        </w:rPr>
        <w:t xml:space="preserve">. 2009; Santini </w:t>
      </w:r>
      <w:r>
        <w:rPr>
          <w:i/>
          <w:sz w:val="24"/>
          <w:szCs w:val="24"/>
        </w:rPr>
        <w:t>et al</w:t>
      </w:r>
      <w:r>
        <w:rPr>
          <w:sz w:val="24"/>
          <w:szCs w:val="24"/>
        </w:rPr>
        <w:t xml:space="preserve">. 2009). Rugose wood complex viruses are associated with vine death (Tomazic </w:t>
      </w:r>
      <w:r>
        <w:rPr>
          <w:i/>
          <w:sz w:val="24"/>
          <w:szCs w:val="24"/>
        </w:rPr>
        <w:t>et al</w:t>
      </w:r>
      <w:r>
        <w:rPr>
          <w:sz w:val="24"/>
          <w:szCs w:val="24"/>
        </w:rPr>
        <w:t xml:space="preserve">. 2005). </w:t>
      </w:r>
    </w:p>
    <w:p>
      <w:pPr>
        <w:pStyle w:val="AQISNum"/>
        <w:jc w:val="left"/>
        <w:rPr>
          <w:sz w:val="24"/>
          <w:szCs w:val="24"/>
        </w:rPr>
      </w:pPr>
      <w:r>
        <w:rPr>
          <w:sz w:val="24"/>
          <w:szCs w:val="24"/>
        </w:rPr>
        <w:t xml:space="preserve">The identified pests are considered important as they cause a variety of direct and indirect economic impacts, such as reduced yield, reduced commodity value and loss of foreign or domestic markets. Therefore, these pests have a potential for economic consequences in </w:t>
      </w:r>
      <w:smartTag w:uri="urn:schemas-microsoft-com:office:smarttags" w:element="country-region">
        <w:smartTag w:uri="urn:schemas-microsoft-com:office:smarttags" w:element="place">
          <w:r>
            <w:rPr>
              <w:sz w:val="24"/>
              <w:szCs w:val="24"/>
            </w:rPr>
            <w:t>Australia</w:t>
          </w:r>
        </w:smartTag>
      </w:smartTag>
      <w:r>
        <w:rPr>
          <w:sz w:val="24"/>
          <w:szCs w:val="24"/>
        </w:rPr>
        <w:t>. For example, some of these pathogens are identified by COSAVE, EPPO, NAPPO and other countries as pests of quarantine concern. The presence of these pests and pathogens in Australia would impact upon Australia’s ability to access overseas markets.</w:t>
      </w:r>
    </w:p>
    <w:p>
      <w:pPr>
        <w:pStyle w:val="Default"/>
        <w:spacing w:before="180" w:line="280" w:lineRule="atLeast"/>
        <w:jc w:val="left"/>
        <w:rPr>
          <w:color w:val="auto"/>
        </w:rPr>
      </w:pPr>
      <w:r>
        <w:rPr>
          <w:color w:val="auto"/>
        </w:rPr>
        <w:t xml:space="preserve">Pests and pathogens listed in Table 2.1 are of economic significance and are either absent from Australia, or if present, are under official control. Therefore, they meet the IPPC criteria for a quarantine pest and phytosanitary measures are justified to manage these pests and pathogens. </w:t>
      </w:r>
    </w:p>
    <w:p>
      <w:pPr>
        <w:pStyle w:val="BAHeader2"/>
        <w:numPr>
          <w:ilvl w:val="0"/>
          <w:numId w:val="0"/>
        </w:numPr>
        <w:tabs>
          <w:tab w:val="left" w:pos="1260"/>
        </w:tabs>
        <w:spacing w:before="300" w:after="180" w:line="300" w:lineRule="atLeast"/>
        <w:jc w:val="left"/>
        <w:rPr>
          <w:rFonts w:ascii="Verdana" w:hAnsi="Verdana"/>
        </w:rPr>
      </w:pPr>
      <w:bookmarkStart w:id="80" w:name="_Toc275502458"/>
      <w:bookmarkStart w:id="81" w:name="_Toc345423512"/>
      <w:r>
        <w:rPr>
          <w:rFonts w:ascii="Verdana" w:hAnsi="Verdana"/>
        </w:rPr>
        <w:t>2.3</w:t>
      </w:r>
      <w:r>
        <w:rPr>
          <w:rFonts w:ascii="Verdana" w:hAnsi="Verdana"/>
        </w:rPr>
        <w:tab/>
        <w:t xml:space="preserve">Stage 3: </w:t>
      </w:r>
      <w:smartTag w:uri="urn:schemas-microsoft-com:office:smarttags" w:element="place">
        <w:r>
          <w:rPr>
            <w:rFonts w:ascii="Verdana" w:hAnsi="Verdana"/>
          </w:rPr>
          <w:t>Pest</w:t>
        </w:r>
      </w:smartTag>
      <w:r>
        <w:rPr>
          <w:rFonts w:ascii="Verdana" w:hAnsi="Verdana"/>
        </w:rPr>
        <w:t xml:space="preserve"> Risk Management</w:t>
      </w:r>
      <w:bookmarkEnd w:id="80"/>
      <w:bookmarkEnd w:id="81"/>
    </w:p>
    <w:p>
      <w:pPr>
        <w:spacing w:line="280" w:lineRule="atLeast"/>
        <w:jc w:val="left"/>
      </w:pPr>
      <w:r>
        <w:t xml:space="preserve">ISPM 11 (FAO 2004) provides details on the identification and selection of appropriate risk management options. </w:t>
      </w:r>
      <w:smartTag w:uri="urn:schemas-microsoft-com:office:smarttags" w:element="place">
        <w:r>
          <w:t>Pest</w:t>
        </w:r>
      </w:smartTag>
      <w:r>
        <w:t xml:space="preserve"> risk management describes the process of identifying and implementing phytosanitary measures to manage risks posed by identified quarantine pests, while ensuring that any negative effects on trade are minimised.</w:t>
      </w:r>
    </w:p>
    <w:p>
      <w:pPr>
        <w:spacing w:before="160" w:line="280" w:lineRule="atLeast"/>
        <w:jc w:val="left"/>
      </w:pPr>
      <w:smartTag w:uri="urn:schemas-microsoft-com:office:smarttags" w:element="place">
        <w:r>
          <w:t>Pest</w:t>
        </w:r>
      </w:smartTag>
      <w:r>
        <w:t xml:space="preserve"> risk management evaluates and selects risk management options to reduce the risk of entry, establishment or spread of identified pests for the identified import pathways. </w:t>
      </w:r>
      <w:r>
        <w:rPr>
          <w:bCs/>
        </w:rPr>
        <w:t>To effectively prevent the introduction of pests associated with an identified pathway, a series of important safeguards, conditions or phytosanitary measures must be in place. P</w:t>
      </w:r>
      <w:r>
        <w:t>ropagative material represents a direct pathway for pests identified by the pest categorisation. This pathway is direct since the end-use is the planting of a known host plant.</w:t>
      </w:r>
    </w:p>
    <w:p>
      <w:pPr>
        <w:pStyle w:val="Heading3"/>
        <w:widowControl/>
        <w:tabs>
          <w:tab w:val="left" w:pos="1260"/>
        </w:tabs>
        <w:overflowPunct w:val="0"/>
        <w:autoSpaceDE w:val="0"/>
        <w:autoSpaceDN w:val="0"/>
        <w:spacing w:line="280" w:lineRule="atLeast"/>
        <w:ind w:left="1320" w:hanging="1320"/>
        <w:jc w:val="left"/>
        <w:rPr>
          <w:rFonts w:ascii="Verdana" w:hAnsi="Verdana" w:cs="Arial"/>
          <w:bCs/>
          <w:sz w:val="26"/>
          <w:szCs w:val="26"/>
        </w:rPr>
      </w:pPr>
      <w:bookmarkStart w:id="82" w:name="_Toc293921817"/>
      <w:bookmarkStart w:id="83" w:name="_Toc345423513"/>
      <w:r>
        <w:rPr>
          <w:rFonts w:ascii="Verdana" w:hAnsi="Verdana" w:cs="Arial"/>
          <w:bCs/>
          <w:sz w:val="26"/>
          <w:szCs w:val="26"/>
        </w:rPr>
        <w:lastRenderedPageBreak/>
        <w:t>2.3.1</w:t>
      </w:r>
      <w:r>
        <w:rPr>
          <w:rFonts w:ascii="Verdana" w:hAnsi="Verdana" w:cs="Arial"/>
          <w:bCs/>
          <w:sz w:val="26"/>
          <w:szCs w:val="26"/>
        </w:rPr>
        <w:tab/>
        <w:t>Identification and selection of appropriate risk management options</w:t>
      </w:r>
      <w:bookmarkEnd w:id="82"/>
      <w:bookmarkEnd w:id="83"/>
    </w:p>
    <w:p>
      <w:pPr>
        <w:pStyle w:val="AQISText"/>
        <w:spacing w:before="0"/>
        <w:jc w:val="left"/>
        <w:rPr>
          <w:sz w:val="24"/>
          <w:szCs w:val="24"/>
        </w:rPr>
      </w:pPr>
      <w:r>
        <w:rPr>
          <w:sz w:val="24"/>
          <w:szCs w:val="24"/>
        </w:rPr>
        <w:t xml:space="preserve">Phytosanitary measures to prevent the establishment and spread of quarantine pests may include any combination of measures, including pre- or post-harvest treatments, inspection at various points between production and final distribution, surveillance, official control, documentation, or certification. A measure or combination of measures may be applied at any one or more points along the continuum between the point of origin and the final destination. </w:t>
      </w:r>
      <w:smartTag w:uri="urn:schemas-microsoft-com:office:smarttags" w:element="place">
        <w:r>
          <w:rPr>
            <w:sz w:val="24"/>
            <w:szCs w:val="24"/>
          </w:rPr>
          <w:t>Pest</w:t>
        </w:r>
      </w:smartTag>
      <w:r>
        <w:rPr>
          <w:sz w:val="24"/>
          <w:szCs w:val="24"/>
        </w:rPr>
        <w:t xml:space="preserve"> risk management explores options that can be implemented (i) in the exporting country, (ii) at the point of entry or (iii) within the importing country. The ultimate goal is to protect plants and prevent the introduction of identified quarantine pests.</w:t>
      </w:r>
    </w:p>
    <w:p>
      <w:pPr>
        <w:pStyle w:val="AQISText"/>
        <w:jc w:val="left"/>
        <w:rPr>
          <w:sz w:val="24"/>
          <w:szCs w:val="24"/>
        </w:rPr>
      </w:pPr>
      <w:r>
        <w:rPr>
          <w:sz w:val="24"/>
          <w:szCs w:val="24"/>
        </w:rPr>
        <w:t>Examples of phytosanitary measures which may be applied to propagative material consignments include:</w:t>
      </w:r>
    </w:p>
    <w:p>
      <w:pPr>
        <w:pStyle w:val="AQISNum"/>
        <w:numPr>
          <w:ilvl w:val="0"/>
          <w:numId w:val="26"/>
        </w:numPr>
        <w:tabs>
          <w:tab w:val="clear" w:pos="567"/>
          <w:tab w:val="num" w:pos="360"/>
        </w:tabs>
        <w:spacing w:before="120"/>
        <w:ind w:left="357" w:hanging="357"/>
        <w:jc w:val="left"/>
        <w:rPr>
          <w:sz w:val="24"/>
          <w:szCs w:val="24"/>
        </w:rPr>
      </w:pPr>
      <w:r>
        <w:rPr>
          <w:sz w:val="24"/>
          <w:szCs w:val="24"/>
        </w:rPr>
        <w:t>Import from pest free areas only (</w:t>
      </w:r>
      <w:r>
        <w:rPr>
          <w:b/>
          <w:sz w:val="24"/>
          <w:szCs w:val="24"/>
        </w:rPr>
        <w:t>ISPM 4, 10</w:t>
      </w:r>
      <w:r>
        <w:rPr>
          <w:sz w:val="24"/>
          <w:szCs w:val="24"/>
        </w:rPr>
        <w:t>)—the establishment and use of a pest free area by an NPPO provides for the export of plants from the exporting country to the importing country without the need for application of additional phytosanitary measures when certain requirements are met.</w:t>
      </w:r>
    </w:p>
    <w:p>
      <w:pPr>
        <w:pStyle w:val="AQISNum"/>
        <w:numPr>
          <w:ilvl w:val="0"/>
          <w:numId w:val="26"/>
        </w:numPr>
        <w:tabs>
          <w:tab w:val="clear" w:pos="567"/>
          <w:tab w:val="num" w:pos="360"/>
        </w:tabs>
        <w:spacing w:before="120"/>
        <w:ind w:left="357" w:hanging="357"/>
        <w:jc w:val="left"/>
        <w:rPr>
          <w:sz w:val="24"/>
          <w:szCs w:val="24"/>
        </w:rPr>
      </w:pPr>
      <w:r>
        <w:rPr>
          <w:sz w:val="24"/>
          <w:szCs w:val="24"/>
        </w:rPr>
        <w:t>Inspections or testing for freedom from regulated pests—this is a practical measure for visible pests or for pests which produce visible symptoms on plants.</w:t>
      </w:r>
    </w:p>
    <w:p>
      <w:pPr>
        <w:pStyle w:val="AQISNum"/>
        <w:numPr>
          <w:ilvl w:val="0"/>
          <w:numId w:val="26"/>
        </w:numPr>
        <w:tabs>
          <w:tab w:val="clear" w:pos="567"/>
          <w:tab w:val="num" w:pos="360"/>
        </w:tabs>
        <w:spacing w:before="120"/>
        <w:ind w:left="357" w:hanging="357"/>
        <w:jc w:val="left"/>
        <w:rPr>
          <w:sz w:val="24"/>
          <w:szCs w:val="24"/>
        </w:rPr>
      </w:pPr>
      <w:r>
        <w:rPr>
          <w:sz w:val="24"/>
          <w:szCs w:val="24"/>
        </w:rPr>
        <w:t>Inspection and certification (</w:t>
      </w:r>
      <w:r>
        <w:rPr>
          <w:b/>
          <w:sz w:val="24"/>
          <w:szCs w:val="24"/>
        </w:rPr>
        <w:t>ISPM 7, 12, 23</w:t>
      </w:r>
      <w:r>
        <w:rPr>
          <w:sz w:val="24"/>
          <w:szCs w:val="24"/>
        </w:rPr>
        <w:t>)—the exporting country may be asked to inspect the shipment and certify that the shipment is free from regulated pests before export.</w:t>
      </w:r>
    </w:p>
    <w:p>
      <w:pPr>
        <w:pStyle w:val="AQISNum"/>
        <w:numPr>
          <w:ilvl w:val="0"/>
          <w:numId w:val="26"/>
        </w:numPr>
        <w:tabs>
          <w:tab w:val="clear" w:pos="567"/>
          <w:tab w:val="num" w:pos="360"/>
        </w:tabs>
        <w:spacing w:before="120"/>
        <w:ind w:left="357" w:hanging="357"/>
        <w:jc w:val="left"/>
      </w:pPr>
      <w:r>
        <w:rPr>
          <w:sz w:val="24"/>
          <w:szCs w:val="24"/>
        </w:rPr>
        <w:t>Specified conditions for preparation of the consignment—the importing country may specify steps that must be followed in order to prepare the consignment for shipment. These conditions can include the requirement for plants to be produced from appropriately tested parent material.</w:t>
      </w:r>
    </w:p>
    <w:p>
      <w:pPr>
        <w:pStyle w:val="AQISNum"/>
        <w:numPr>
          <w:ilvl w:val="0"/>
          <w:numId w:val="26"/>
        </w:numPr>
        <w:tabs>
          <w:tab w:val="clear" w:pos="567"/>
          <w:tab w:val="num" w:pos="360"/>
        </w:tabs>
        <w:spacing w:before="120"/>
        <w:ind w:left="357" w:hanging="357"/>
        <w:jc w:val="left"/>
        <w:rPr>
          <w:sz w:val="24"/>
          <w:szCs w:val="24"/>
        </w:rPr>
      </w:pPr>
      <w:r>
        <w:rPr>
          <w:sz w:val="24"/>
          <w:szCs w:val="24"/>
        </w:rPr>
        <w:t xml:space="preserve">Pre-entry or post-entry quarantine—the importing country may define certain control conditions, inspection and possible treatment of shipments upon their entry into the country. Post-entry quarantine (PEQ) of dormant cuttings, seed and even </w:t>
      </w:r>
      <w:r>
        <w:rPr>
          <w:i/>
          <w:sz w:val="24"/>
          <w:szCs w:val="24"/>
        </w:rPr>
        <w:t>in vitro</w:t>
      </w:r>
      <w:r>
        <w:rPr>
          <w:sz w:val="24"/>
          <w:szCs w:val="24"/>
        </w:rPr>
        <w:t xml:space="preserve"> plantlets can help avoid introduction of new viruses or allied pathogens into the importing countries.</w:t>
      </w:r>
    </w:p>
    <w:p>
      <w:pPr>
        <w:pStyle w:val="AQISNum"/>
        <w:numPr>
          <w:ilvl w:val="0"/>
          <w:numId w:val="26"/>
        </w:numPr>
        <w:tabs>
          <w:tab w:val="clear" w:pos="567"/>
          <w:tab w:val="num" w:pos="360"/>
        </w:tabs>
        <w:spacing w:before="120"/>
        <w:ind w:left="357" w:hanging="357"/>
        <w:jc w:val="left"/>
        <w:rPr>
          <w:sz w:val="24"/>
          <w:szCs w:val="24"/>
        </w:rPr>
      </w:pPr>
      <w:r>
        <w:rPr>
          <w:sz w:val="24"/>
          <w:szCs w:val="24"/>
        </w:rPr>
        <w:t>Removal of the pest from the consignment by treatment or other methods—the importing country may specify chemical or physical treatments that must be applied to the consignment before it may be imported.</w:t>
      </w:r>
    </w:p>
    <w:p>
      <w:pPr>
        <w:pStyle w:val="AQISText"/>
        <w:jc w:val="left"/>
        <w:rPr>
          <w:sz w:val="24"/>
          <w:szCs w:val="24"/>
        </w:rPr>
      </w:pPr>
      <w:r>
        <w:rPr>
          <w:sz w:val="24"/>
          <w:szCs w:val="24"/>
        </w:rPr>
        <w:t>Measures can range from total prohibition to permitting import subject to visual inspection. In some cases more than one phytosanitary measure may be required in order to reduce the pest risk to an acceptable level.</w:t>
      </w:r>
    </w:p>
    <w:p>
      <w:pPr>
        <w:pStyle w:val="AQISText"/>
        <w:jc w:val="left"/>
      </w:pPr>
    </w:p>
    <w:p>
      <w:pPr>
        <w:pStyle w:val="BAText1"/>
        <w:spacing w:before="180"/>
        <w:jc w:val="left"/>
        <w:rPr>
          <w:rFonts w:ascii="Times New Roman" w:hAnsi="Times New Roman"/>
        </w:rPr>
        <w:sectPr>
          <w:headerReference w:type="default" r:id="rId30"/>
          <w:headerReference w:type="first" r:id="rId31"/>
          <w:pgSz w:w="11906" w:h="16838" w:code="9"/>
          <w:pgMar w:top="1412" w:right="1412" w:bottom="1412" w:left="1412" w:header="720" w:footer="720" w:gutter="0"/>
          <w:cols w:space="720"/>
          <w:titlePg/>
        </w:sectPr>
      </w:pPr>
    </w:p>
    <w:p>
      <w:pPr>
        <w:pStyle w:val="BAHeader1"/>
        <w:numPr>
          <w:ilvl w:val="0"/>
          <w:numId w:val="0"/>
        </w:numPr>
        <w:tabs>
          <w:tab w:val="left" w:pos="1260"/>
        </w:tabs>
        <w:spacing w:after="240" w:line="300" w:lineRule="atLeast"/>
        <w:ind w:left="1259" w:hanging="1259"/>
        <w:jc w:val="left"/>
        <w:rPr>
          <w:rFonts w:ascii="Verdana" w:hAnsi="Verdana" w:cs="Arial"/>
          <w:sz w:val="32"/>
          <w:szCs w:val="32"/>
        </w:rPr>
      </w:pPr>
      <w:bookmarkStart w:id="84" w:name="_Toc345423514"/>
      <w:bookmarkStart w:id="85" w:name="_Toc270426723"/>
      <w:bookmarkStart w:id="86" w:name="_Toc512656306"/>
      <w:bookmarkEnd w:id="35"/>
      <w:bookmarkEnd w:id="36"/>
      <w:r>
        <w:rPr>
          <w:rFonts w:ascii="Verdana" w:hAnsi="Verdana" w:cs="Arial"/>
          <w:sz w:val="32"/>
          <w:szCs w:val="32"/>
        </w:rPr>
        <w:lastRenderedPageBreak/>
        <w:t>3</w:t>
      </w:r>
      <w:r>
        <w:rPr>
          <w:rFonts w:ascii="Verdana" w:hAnsi="Verdana" w:cs="Arial"/>
          <w:sz w:val="32"/>
          <w:szCs w:val="32"/>
        </w:rPr>
        <w:tab/>
        <w:t>Risk management measures for grapevine propagative material from all sources</w:t>
      </w:r>
      <w:bookmarkEnd w:id="84"/>
    </w:p>
    <w:p>
      <w:pPr>
        <w:pStyle w:val="BodyText2"/>
        <w:spacing w:line="280" w:lineRule="atLeast"/>
        <w:jc w:val="left"/>
      </w:pPr>
      <w:r>
        <w:rPr>
          <w:lang w:eastAsia="en-AU"/>
        </w:rPr>
        <w:t xml:space="preserve">To effectively prevent the introduction of plant pests associated with propagative material a series of important safeguards, conditions, or phytosanitary measures must be in place. </w:t>
      </w:r>
      <w:r>
        <w:rPr>
          <w:bCs/>
        </w:rPr>
        <w:t>Australia has a well established policy for the importation of grapevine propagative material f</w:t>
      </w:r>
      <w:r>
        <w:t>rom all countries.</w:t>
      </w:r>
    </w:p>
    <w:p>
      <w:pPr>
        <w:pStyle w:val="BAHeader2"/>
        <w:numPr>
          <w:ilvl w:val="0"/>
          <w:numId w:val="0"/>
        </w:numPr>
        <w:tabs>
          <w:tab w:val="left" w:pos="1260"/>
        </w:tabs>
        <w:spacing w:before="300" w:line="260" w:lineRule="atLeast"/>
        <w:ind w:left="1259" w:hanging="1259"/>
        <w:jc w:val="left"/>
        <w:rPr>
          <w:rFonts w:ascii="Verdana" w:hAnsi="Verdana"/>
        </w:rPr>
      </w:pPr>
      <w:bookmarkStart w:id="87" w:name="_Toc345423515"/>
      <w:r>
        <w:rPr>
          <w:rFonts w:ascii="Verdana" w:hAnsi="Verdana"/>
        </w:rPr>
        <w:t>3.1</w:t>
      </w:r>
      <w:r>
        <w:rPr>
          <w:rFonts w:ascii="Verdana" w:hAnsi="Verdana"/>
        </w:rPr>
        <w:tab/>
        <w:t>Existing risk management measures</w:t>
      </w:r>
      <w:bookmarkEnd w:id="87"/>
    </w:p>
    <w:p>
      <w:pPr>
        <w:pStyle w:val="BodyText2"/>
        <w:spacing w:line="280" w:lineRule="atLeast"/>
        <w:jc w:val="left"/>
      </w:pPr>
      <w:r>
        <w:t>Australia’s existing policy to import grapevine (</w:t>
      </w:r>
      <w:r>
        <w:rPr>
          <w:i/>
          <w:iCs/>
        </w:rPr>
        <w:t xml:space="preserve">Vitis </w:t>
      </w:r>
      <w:r>
        <w:t>species) permitted species (C16904) propagative material (dormant cuttings, tissue cultures and seed) is based on on-shore risk management (phytosanitary measures implemented in the importing country). These risk management measures</w:t>
      </w:r>
      <w:r>
        <w:rPr>
          <w:lang w:eastAsia="en-AU"/>
        </w:rPr>
        <w:t xml:space="preserve"> include on-arrival inspection, mandatory treatment and growth in a </w:t>
      </w:r>
      <w:r>
        <w:t xml:space="preserve">closed government post-entry quarantine (PEQ) facility, with pathogen screening. Grape </w:t>
      </w:r>
      <w:r>
        <w:rPr>
          <w:lang w:eastAsia="en-AU"/>
        </w:rPr>
        <w:t xml:space="preserve">propagative material can currently be imported into Australia as dormant cuttings, tissue cultures or seed. </w:t>
      </w:r>
      <w:r>
        <w:t>Currently, there are two separate sets of conditions that apply to grapevine propagative material: conditions for sourcing propagative material from (1) all sources (non-approved sources) and (2) approved sources.</w:t>
      </w:r>
    </w:p>
    <w:p>
      <w:pPr>
        <w:pStyle w:val="Heading3"/>
        <w:widowControl/>
        <w:tabs>
          <w:tab w:val="left" w:pos="1320"/>
        </w:tabs>
        <w:overflowPunct w:val="0"/>
        <w:autoSpaceDE w:val="0"/>
        <w:autoSpaceDN w:val="0"/>
        <w:spacing w:line="280" w:lineRule="atLeast"/>
        <w:rPr>
          <w:rFonts w:ascii="Verdana" w:hAnsi="Verdana" w:cs="Arial"/>
          <w:bCs/>
          <w:sz w:val="26"/>
          <w:szCs w:val="26"/>
        </w:rPr>
      </w:pPr>
      <w:bookmarkStart w:id="88" w:name="_Toc345423516"/>
      <w:r>
        <w:rPr>
          <w:rFonts w:ascii="Verdana" w:hAnsi="Verdana" w:cs="Arial"/>
          <w:bCs/>
          <w:sz w:val="26"/>
          <w:szCs w:val="26"/>
        </w:rPr>
        <w:t>3.1.1</w:t>
      </w:r>
      <w:r>
        <w:rPr>
          <w:rFonts w:ascii="Verdana" w:hAnsi="Verdana" w:cs="Arial"/>
          <w:bCs/>
          <w:sz w:val="26"/>
          <w:szCs w:val="26"/>
        </w:rPr>
        <w:tab/>
        <w:t>All sources (non-approved sources)</w:t>
      </w:r>
      <w:bookmarkEnd w:id="88"/>
    </w:p>
    <w:p>
      <w:pPr>
        <w:spacing w:line="280" w:lineRule="atLeast"/>
        <w:jc w:val="left"/>
      </w:pPr>
      <w:r>
        <w:t>All imported grape propagative material (dormant cuttings, tissue cultures and seed) are subject to the quarantine/biosecurity measures set out in Condition C7309 (dormant cuttings from non-approved sources); C7308 (tissue cultures from non-approved sources); C9786, C8963, C18428 (seed for sowing from non-approved sources) and C7300 (general nursery stock). A summary of the existing policy for grapevine propagative material from approved sources and non-approved sources is provided in the Table 3.1.</w:t>
      </w:r>
    </w:p>
    <w:p>
      <w:pPr>
        <w:pStyle w:val="AQISTable"/>
        <w:tabs>
          <w:tab w:val="clear" w:pos="360"/>
          <w:tab w:val="num" w:pos="1440"/>
        </w:tabs>
        <w:spacing w:before="120" w:after="80"/>
        <w:ind w:left="0" w:firstLine="0"/>
        <w:jc w:val="left"/>
        <w:rPr>
          <w:sz w:val="20"/>
        </w:rPr>
      </w:pPr>
      <w:bookmarkStart w:id="89" w:name="_Toc338424036"/>
      <w:r>
        <w:rPr>
          <w:sz w:val="20"/>
        </w:rPr>
        <w:t>Table 3.1</w:t>
      </w:r>
      <w:r>
        <w:rPr>
          <w:sz w:val="20"/>
        </w:rPr>
        <w:tab/>
        <w:t>Summary of existing import conditions for grapevine propagative material</w:t>
      </w:r>
      <w:bookmarkEnd w:id="89"/>
    </w:p>
    <w:tbl>
      <w:tblPr>
        <w:tblW w:w="9214" w:type="dxa"/>
        <w:tblInd w:w="108" w:type="dxa"/>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ayout w:type="fixed"/>
        <w:tblLook w:val="01E0"/>
      </w:tblPr>
      <w:tblGrid>
        <w:gridCol w:w="3969"/>
        <w:gridCol w:w="1985"/>
        <w:gridCol w:w="1843"/>
        <w:gridCol w:w="1417"/>
      </w:tblGrid>
      <w:tr>
        <w:trPr>
          <w:tblHeader/>
        </w:trPr>
        <w:tc>
          <w:tcPr>
            <w:tcW w:w="3969" w:type="dxa"/>
            <w:tcBorders>
              <w:top w:val="single" w:sz="12" w:space="0" w:color="008000"/>
              <w:bottom w:val="single" w:sz="12" w:space="0" w:color="008000"/>
            </w:tcBorders>
            <w:shd w:val="clear" w:color="auto" w:fill="E0E0E0"/>
          </w:tcPr>
          <w:p>
            <w:pPr>
              <w:spacing w:before="40" w:after="40" w:line="280" w:lineRule="atLeast"/>
              <w:rPr>
                <w:rFonts w:ascii="Verdana" w:hAnsi="Verdana" w:cs="Arial"/>
                <w:b/>
                <w:sz w:val="18"/>
                <w:szCs w:val="18"/>
              </w:rPr>
            </w:pPr>
            <w:r>
              <w:rPr>
                <w:rFonts w:ascii="Verdana" w:hAnsi="Verdana" w:cs="Arial"/>
                <w:b/>
                <w:sz w:val="18"/>
                <w:szCs w:val="18"/>
              </w:rPr>
              <w:t>Conditions</w:t>
            </w:r>
          </w:p>
        </w:tc>
        <w:tc>
          <w:tcPr>
            <w:tcW w:w="1985" w:type="dxa"/>
            <w:tcBorders>
              <w:top w:val="single" w:sz="12" w:space="0" w:color="008000"/>
              <w:bottom w:val="single" w:sz="12" w:space="0" w:color="008000"/>
            </w:tcBorders>
            <w:shd w:val="clear" w:color="auto" w:fill="E0E0E0"/>
          </w:tcPr>
          <w:p>
            <w:pPr>
              <w:spacing w:before="40" w:after="40" w:line="280" w:lineRule="atLeast"/>
              <w:jc w:val="center"/>
              <w:rPr>
                <w:rFonts w:ascii="Verdana" w:hAnsi="Verdana" w:cs="Arial"/>
                <w:b/>
                <w:sz w:val="18"/>
                <w:szCs w:val="18"/>
              </w:rPr>
            </w:pPr>
            <w:r>
              <w:rPr>
                <w:rFonts w:ascii="Verdana" w:hAnsi="Verdana" w:cs="Arial"/>
                <w:b/>
                <w:sz w:val="18"/>
                <w:szCs w:val="18"/>
              </w:rPr>
              <w:t>Dormant cuttings</w:t>
            </w:r>
          </w:p>
        </w:tc>
        <w:tc>
          <w:tcPr>
            <w:tcW w:w="1843" w:type="dxa"/>
            <w:tcBorders>
              <w:top w:val="single" w:sz="12" w:space="0" w:color="008000"/>
              <w:bottom w:val="single" w:sz="12" w:space="0" w:color="008000"/>
            </w:tcBorders>
            <w:shd w:val="clear" w:color="auto" w:fill="E0E0E0"/>
          </w:tcPr>
          <w:p>
            <w:pPr>
              <w:spacing w:before="40" w:after="40" w:line="280" w:lineRule="atLeast"/>
              <w:jc w:val="center"/>
              <w:rPr>
                <w:rFonts w:ascii="Verdana" w:hAnsi="Verdana" w:cs="Arial"/>
                <w:b/>
                <w:sz w:val="18"/>
                <w:szCs w:val="18"/>
              </w:rPr>
            </w:pPr>
            <w:r>
              <w:rPr>
                <w:rFonts w:ascii="Verdana" w:hAnsi="Verdana" w:cs="Arial"/>
                <w:b/>
                <w:sz w:val="18"/>
                <w:szCs w:val="18"/>
              </w:rPr>
              <w:t>Tissue cultures</w:t>
            </w:r>
          </w:p>
        </w:tc>
        <w:tc>
          <w:tcPr>
            <w:tcW w:w="1417" w:type="dxa"/>
            <w:tcBorders>
              <w:top w:val="single" w:sz="12" w:space="0" w:color="008000"/>
              <w:bottom w:val="single" w:sz="12" w:space="0" w:color="008000"/>
            </w:tcBorders>
            <w:shd w:val="clear" w:color="auto" w:fill="E0E0E0"/>
          </w:tcPr>
          <w:p>
            <w:pPr>
              <w:spacing w:before="40" w:after="40" w:line="280" w:lineRule="atLeast"/>
              <w:jc w:val="center"/>
              <w:rPr>
                <w:rFonts w:ascii="Verdana" w:hAnsi="Verdana" w:cs="Arial"/>
                <w:b/>
                <w:sz w:val="18"/>
                <w:szCs w:val="18"/>
              </w:rPr>
            </w:pPr>
            <w:r>
              <w:rPr>
                <w:rFonts w:ascii="Verdana" w:hAnsi="Verdana" w:cs="Arial"/>
                <w:b/>
                <w:sz w:val="18"/>
                <w:szCs w:val="18"/>
              </w:rPr>
              <w:t>Seed</w:t>
            </w:r>
            <w:r>
              <w:rPr>
                <w:rFonts w:ascii="Verdana" w:hAnsi="Verdana" w:cs="Verdana"/>
                <w:b/>
                <w:bCs/>
                <w:sz w:val="18"/>
                <w:szCs w:val="18"/>
                <w:vertAlign w:val="superscript"/>
              </w:rPr>
              <w:t>1</w:t>
            </w:r>
          </w:p>
        </w:tc>
      </w:tr>
      <w:tr>
        <w:tc>
          <w:tcPr>
            <w:tcW w:w="9214" w:type="dxa"/>
            <w:gridSpan w:val="4"/>
            <w:tcBorders>
              <w:top w:val="single" w:sz="12" w:space="0" w:color="008000"/>
            </w:tcBorders>
            <w:shd w:val="clear" w:color="auto" w:fill="E6E6E6"/>
          </w:tcPr>
          <w:p>
            <w:pPr>
              <w:spacing w:before="20" w:after="20" w:line="240" w:lineRule="atLeast"/>
              <w:rPr>
                <w:rFonts w:ascii="Arial" w:hAnsi="Arial" w:cs="Arial"/>
                <w:sz w:val="18"/>
                <w:szCs w:val="18"/>
              </w:rPr>
            </w:pPr>
            <w:r>
              <w:rPr>
                <w:rFonts w:ascii="Verdana" w:hAnsi="Verdana" w:cs="Verdana"/>
                <w:b/>
                <w:bCs/>
                <w:sz w:val="18"/>
                <w:szCs w:val="18"/>
              </w:rPr>
              <w:t>GENERAL CONDITIONS</w:t>
            </w:r>
          </w:p>
        </w:tc>
      </w:tr>
      <w:tr>
        <w:trPr>
          <w:trHeight w:val="266"/>
        </w:trPr>
        <w:tc>
          <w:tcPr>
            <w:tcW w:w="3969" w:type="dxa"/>
          </w:tcPr>
          <w:p>
            <w:pPr>
              <w:spacing w:before="20" w:line="240" w:lineRule="atLeast"/>
              <w:jc w:val="left"/>
              <w:rPr>
                <w:rFonts w:ascii="Helvetica" w:hAnsi="Helvetica" w:cs="Helvetica"/>
                <w:sz w:val="18"/>
                <w:szCs w:val="18"/>
              </w:rPr>
            </w:pPr>
            <w:r>
              <w:rPr>
                <w:rFonts w:ascii="Helvetica" w:hAnsi="Helvetica" w:cs="Helvetica"/>
                <w:sz w:val="18"/>
                <w:szCs w:val="18"/>
              </w:rPr>
              <w:t>An import permit is required</w:t>
            </w:r>
          </w:p>
        </w:tc>
        <w:tc>
          <w:tcPr>
            <w:tcW w:w="1985"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c>
          <w:tcPr>
            <w:tcW w:w="1843"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c>
          <w:tcPr>
            <w:tcW w:w="1417"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r>
      <w:tr>
        <w:trPr>
          <w:trHeight w:val="266"/>
        </w:trPr>
        <w:tc>
          <w:tcPr>
            <w:tcW w:w="3969" w:type="dxa"/>
          </w:tcPr>
          <w:p>
            <w:pPr>
              <w:spacing w:before="20" w:line="240" w:lineRule="atLeast"/>
              <w:jc w:val="left"/>
              <w:rPr>
                <w:rFonts w:ascii="Helvetica" w:hAnsi="Helvetica" w:cs="Helvetica"/>
                <w:sz w:val="18"/>
                <w:szCs w:val="18"/>
              </w:rPr>
            </w:pPr>
            <w:r>
              <w:rPr>
                <w:rFonts w:ascii="Helvetica" w:hAnsi="Helvetica" w:cs="Helvetica"/>
                <w:sz w:val="18"/>
                <w:szCs w:val="18"/>
              </w:rPr>
              <w:t>A Phytosanitary Certificate is required</w:t>
            </w:r>
          </w:p>
        </w:tc>
        <w:tc>
          <w:tcPr>
            <w:tcW w:w="1985" w:type="dxa"/>
          </w:tcPr>
          <w:p>
            <w:pPr>
              <w:spacing w:before="20" w:line="240" w:lineRule="atLeast"/>
              <w:jc w:val="center"/>
              <w:rPr>
                <w:rFonts w:ascii="Helvetica" w:hAnsi="Helvetica" w:cs="Helvetica"/>
                <w:sz w:val="18"/>
                <w:szCs w:val="18"/>
              </w:rPr>
            </w:pPr>
            <w:r>
              <w:rPr>
                <w:rFonts w:ascii="Helvetica" w:hAnsi="Helvetica" w:cs="Helvetica"/>
                <w:sz w:val="18"/>
                <w:szCs w:val="18"/>
              </w:rPr>
              <w:t>Yes (without AD)</w:t>
            </w:r>
          </w:p>
        </w:tc>
        <w:tc>
          <w:tcPr>
            <w:tcW w:w="1843" w:type="dxa"/>
          </w:tcPr>
          <w:p>
            <w:pPr>
              <w:spacing w:before="20" w:line="240" w:lineRule="atLeast"/>
              <w:jc w:val="center"/>
              <w:rPr>
                <w:rFonts w:ascii="Helvetica" w:hAnsi="Helvetica" w:cs="Helvetica"/>
                <w:sz w:val="18"/>
                <w:szCs w:val="18"/>
              </w:rPr>
            </w:pPr>
            <w:r>
              <w:rPr>
                <w:rFonts w:ascii="Helvetica" w:hAnsi="Helvetica" w:cs="Helvetica"/>
                <w:sz w:val="18"/>
                <w:szCs w:val="18"/>
              </w:rPr>
              <w:t>Yes (without AD)</w:t>
            </w:r>
          </w:p>
        </w:tc>
        <w:tc>
          <w:tcPr>
            <w:tcW w:w="1417" w:type="dxa"/>
          </w:tcPr>
          <w:p>
            <w:pPr>
              <w:spacing w:before="20" w:line="240" w:lineRule="atLeast"/>
              <w:jc w:val="center"/>
              <w:rPr>
                <w:rFonts w:ascii="Helvetica" w:hAnsi="Helvetica" w:cs="Helvetica"/>
                <w:sz w:val="18"/>
                <w:szCs w:val="18"/>
              </w:rPr>
            </w:pPr>
            <w:r>
              <w:rPr>
                <w:rFonts w:ascii="Helvetica" w:hAnsi="Helvetica" w:cs="Helvetica"/>
                <w:sz w:val="18"/>
                <w:szCs w:val="18"/>
              </w:rPr>
              <w:t>Yes (with AD)</w:t>
            </w:r>
            <w:r>
              <w:rPr>
                <w:rFonts w:ascii="Verdana" w:hAnsi="Verdana" w:cs="Verdana"/>
                <w:b/>
                <w:bCs/>
                <w:sz w:val="18"/>
                <w:szCs w:val="18"/>
                <w:vertAlign w:val="superscript"/>
              </w:rPr>
              <w:t>2</w:t>
            </w:r>
          </w:p>
        </w:tc>
      </w:tr>
      <w:tr>
        <w:trPr>
          <w:trHeight w:val="266"/>
        </w:trPr>
        <w:tc>
          <w:tcPr>
            <w:tcW w:w="3969" w:type="dxa"/>
          </w:tcPr>
          <w:p>
            <w:pPr>
              <w:spacing w:before="20" w:line="240" w:lineRule="atLeast"/>
              <w:jc w:val="left"/>
              <w:rPr>
                <w:rFonts w:ascii="Helvetica" w:hAnsi="Helvetica" w:cs="Helvetica"/>
                <w:sz w:val="18"/>
                <w:szCs w:val="18"/>
              </w:rPr>
            </w:pPr>
            <w:r>
              <w:rPr>
                <w:rFonts w:ascii="Helvetica" w:hAnsi="Helvetica" w:cs="Helvetica"/>
                <w:sz w:val="18"/>
                <w:szCs w:val="18"/>
              </w:rPr>
              <w:t>On arrival Inspection to verify freedom from soil, disease symptoms and other extraneous contamination of quarantine concern</w:t>
            </w:r>
          </w:p>
        </w:tc>
        <w:tc>
          <w:tcPr>
            <w:tcW w:w="1985"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c>
          <w:tcPr>
            <w:tcW w:w="1843"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c>
          <w:tcPr>
            <w:tcW w:w="1417"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r>
      <w:tr>
        <w:tc>
          <w:tcPr>
            <w:tcW w:w="9214" w:type="dxa"/>
            <w:gridSpan w:val="4"/>
            <w:tcBorders>
              <w:top w:val="single" w:sz="12" w:space="0" w:color="008000"/>
            </w:tcBorders>
            <w:shd w:val="clear" w:color="auto" w:fill="E6E6E6"/>
          </w:tcPr>
          <w:p>
            <w:pPr>
              <w:spacing w:before="20" w:after="20" w:line="240" w:lineRule="atLeast"/>
              <w:rPr>
                <w:rFonts w:ascii="Arial" w:hAnsi="Arial" w:cs="Arial"/>
                <w:sz w:val="18"/>
                <w:szCs w:val="18"/>
              </w:rPr>
            </w:pPr>
            <w:r>
              <w:rPr>
                <w:rFonts w:ascii="Verdana" w:hAnsi="Verdana" w:cs="Verdana"/>
                <w:b/>
                <w:bCs/>
                <w:sz w:val="18"/>
                <w:szCs w:val="18"/>
              </w:rPr>
              <w:t>SPECIFIC CONDITIONS</w:t>
            </w:r>
          </w:p>
        </w:tc>
      </w:tr>
      <w:tr>
        <w:trPr>
          <w:trHeight w:val="131"/>
        </w:trPr>
        <w:tc>
          <w:tcPr>
            <w:tcW w:w="3969" w:type="dxa"/>
          </w:tcPr>
          <w:p>
            <w:pPr>
              <w:spacing w:before="20" w:line="240" w:lineRule="atLeast"/>
              <w:rPr>
                <w:rFonts w:ascii="Helvetica" w:hAnsi="Helvetica" w:cs="Helvetica"/>
                <w:sz w:val="18"/>
                <w:szCs w:val="18"/>
              </w:rPr>
            </w:pPr>
            <w:r>
              <w:rPr>
                <w:rFonts w:ascii="Helvetica" w:hAnsi="Helvetica" w:cs="Helvetica"/>
                <w:sz w:val="18"/>
                <w:szCs w:val="18"/>
              </w:rPr>
              <w:t>Mandatory methyl bromide fumigation</w:t>
            </w:r>
          </w:p>
        </w:tc>
        <w:tc>
          <w:tcPr>
            <w:tcW w:w="1985"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c>
          <w:tcPr>
            <w:tcW w:w="1843" w:type="dxa"/>
            <w:shd w:val="clear" w:color="auto" w:fill="F2F2F2" w:themeFill="background1" w:themeFillShade="F2"/>
          </w:tcPr>
          <w:p>
            <w:pPr>
              <w:spacing w:before="20" w:line="240" w:lineRule="atLeast"/>
              <w:jc w:val="center"/>
              <w:rPr>
                <w:rFonts w:ascii="Helvetica" w:hAnsi="Helvetica" w:cs="Helvetica"/>
                <w:sz w:val="18"/>
                <w:szCs w:val="18"/>
              </w:rPr>
            </w:pPr>
          </w:p>
        </w:tc>
        <w:tc>
          <w:tcPr>
            <w:tcW w:w="1417" w:type="dxa"/>
            <w:shd w:val="clear" w:color="auto" w:fill="F2F2F2" w:themeFill="background1" w:themeFillShade="F2"/>
          </w:tcPr>
          <w:p>
            <w:pPr>
              <w:spacing w:before="20" w:line="240" w:lineRule="atLeast"/>
              <w:jc w:val="center"/>
              <w:rPr>
                <w:rFonts w:ascii="Helvetica" w:hAnsi="Helvetica" w:cs="Helvetica"/>
                <w:sz w:val="18"/>
                <w:szCs w:val="18"/>
              </w:rPr>
            </w:pPr>
          </w:p>
        </w:tc>
      </w:tr>
      <w:tr>
        <w:tc>
          <w:tcPr>
            <w:tcW w:w="3969" w:type="dxa"/>
          </w:tcPr>
          <w:p>
            <w:pPr>
              <w:spacing w:before="20" w:after="20" w:line="240" w:lineRule="atLeast"/>
              <w:rPr>
                <w:rFonts w:ascii="Helvetica" w:hAnsi="Helvetica" w:cs="Helvetica"/>
                <w:sz w:val="18"/>
                <w:szCs w:val="18"/>
              </w:rPr>
            </w:pPr>
            <w:r>
              <w:rPr>
                <w:rFonts w:ascii="Helvetica" w:hAnsi="Helvetica" w:cs="Helvetica"/>
                <w:sz w:val="18"/>
                <w:szCs w:val="18"/>
              </w:rPr>
              <w:t>Mandatory hot water treatment</w:t>
            </w:r>
          </w:p>
        </w:tc>
        <w:tc>
          <w:tcPr>
            <w:tcW w:w="1985"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c>
          <w:tcPr>
            <w:tcW w:w="1843" w:type="dxa"/>
            <w:shd w:val="clear" w:color="auto" w:fill="FFFFFF"/>
          </w:tcPr>
          <w:p>
            <w:pPr>
              <w:spacing w:before="20" w:after="20" w:line="240" w:lineRule="atLeast"/>
              <w:jc w:val="center"/>
              <w:rPr>
                <w:rFonts w:ascii="Helvetica" w:hAnsi="Helvetica" w:cs="Helvetica"/>
                <w:sz w:val="18"/>
                <w:szCs w:val="18"/>
              </w:rPr>
            </w:pPr>
            <w:r>
              <w:rPr>
                <w:rFonts w:ascii="Helvetica" w:hAnsi="Helvetica" w:cs="Helvetica"/>
                <w:sz w:val="18"/>
                <w:szCs w:val="18"/>
              </w:rPr>
              <w:t>Yes</w:t>
            </w:r>
            <w:r>
              <w:rPr>
                <w:rFonts w:ascii="Verdana" w:hAnsi="Verdana" w:cs="Verdana"/>
                <w:b/>
                <w:bCs/>
                <w:sz w:val="18"/>
                <w:szCs w:val="18"/>
                <w:vertAlign w:val="superscript"/>
              </w:rPr>
              <w:t>4</w:t>
            </w:r>
          </w:p>
        </w:tc>
        <w:tc>
          <w:tcPr>
            <w:tcW w:w="1417" w:type="dxa"/>
            <w:shd w:val="clear" w:color="auto" w:fill="F2F2F2" w:themeFill="background1" w:themeFillShade="F2"/>
          </w:tcPr>
          <w:p>
            <w:pPr>
              <w:spacing w:before="20" w:after="20" w:line="240" w:lineRule="atLeast"/>
              <w:jc w:val="center"/>
              <w:rPr>
                <w:rFonts w:ascii="Helvetica" w:hAnsi="Helvetica" w:cs="Helvetica"/>
                <w:sz w:val="18"/>
                <w:szCs w:val="18"/>
              </w:rPr>
            </w:pPr>
          </w:p>
        </w:tc>
      </w:tr>
      <w:tr>
        <w:tc>
          <w:tcPr>
            <w:tcW w:w="3969" w:type="dxa"/>
          </w:tcPr>
          <w:p>
            <w:pPr>
              <w:spacing w:before="20" w:line="240" w:lineRule="atLeast"/>
              <w:rPr>
                <w:rFonts w:ascii="Helvetica" w:hAnsi="Helvetica" w:cs="Helvetica"/>
                <w:sz w:val="18"/>
                <w:szCs w:val="18"/>
              </w:rPr>
            </w:pPr>
            <w:r>
              <w:rPr>
                <w:rFonts w:ascii="Helvetica" w:hAnsi="Helvetica" w:cs="Helvetica"/>
                <w:sz w:val="18"/>
                <w:szCs w:val="18"/>
              </w:rPr>
              <w:t>Mandatory surface sterilisation</w:t>
            </w:r>
          </w:p>
        </w:tc>
        <w:tc>
          <w:tcPr>
            <w:tcW w:w="1985" w:type="dxa"/>
            <w:shd w:val="clear" w:color="auto" w:fill="F2F2F2" w:themeFill="background1" w:themeFillShade="F2"/>
          </w:tcPr>
          <w:p>
            <w:pPr>
              <w:spacing w:before="20" w:line="240" w:lineRule="atLeast"/>
              <w:jc w:val="center"/>
              <w:rPr>
                <w:rFonts w:ascii="Helvetica" w:hAnsi="Helvetica" w:cs="Helvetica"/>
                <w:sz w:val="18"/>
                <w:szCs w:val="18"/>
              </w:rPr>
            </w:pPr>
          </w:p>
        </w:tc>
        <w:tc>
          <w:tcPr>
            <w:tcW w:w="1843" w:type="dxa"/>
            <w:shd w:val="clear" w:color="auto" w:fill="F2F2F2" w:themeFill="background1" w:themeFillShade="F2"/>
          </w:tcPr>
          <w:p>
            <w:pPr>
              <w:spacing w:before="20" w:line="240" w:lineRule="atLeast"/>
              <w:jc w:val="center"/>
              <w:rPr>
                <w:rFonts w:ascii="Helvetica" w:hAnsi="Helvetica" w:cs="Helvetica"/>
                <w:sz w:val="18"/>
                <w:szCs w:val="18"/>
              </w:rPr>
            </w:pPr>
          </w:p>
        </w:tc>
        <w:tc>
          <w:tcPr>
            <w:tcW w:w="1417"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r>
      <w:tr>
        <w:tc>
          <w:tcPr>
            <w:tcW w:w="3969" w:type="dxa"/>
          </w:tcPr>
          <w:p>
            <w:pPr>
              <w:spacing w:before="20" w:line="240" w:lineRule="atLeast"/>
              <w:rPr>
                <w:rFonts w:ascii="Helvetica" w:hAnsi="Helvetica" w:cs="Helvetica"/>
                <w:sz w:val="18"/>
                <w:szCs w:val="18"/>
              </w:rPr>
            </w:pPr>
            <w:r>
              <w:rPr>
                <w:rFonts w:ascii="Helvetica" w:hAnsi="Helvetica" w:cs="Helvetica"/>
                <w:sz w:val="18"/>
                <w:szCs w:val="18"/>
              </w:rPr>
              <w:t>Mandatory fungicidal treatment</w:t>
            </w:r>
          </w:p>
        </w:tc>
        <w:tc>
          <w:tcPr>
            <w:tcW w:w="1985" w:type="dxa"/>
            <w:shd w:val="clear" w:color="auto" w:fill="F2F2F2" w:themeFill="background1" w:themeFillShade="F2"/>
          </w:tcPr>
          <w:p>
            <w:pPr>
              <w:spacing w:before="20" w:line="240" w:lineRule="atLeast"/>
              <w:jc w:val="center"/>
              <w:rPr>
                <w:rFonts w:ascii="Helvetica" w:hAnsi="Helvetica" w:cs="Helvetica"/>
                <w:sz w:val="18"/>
                <w:szCs w:val="18"/>
              </w:rPr>
            </w:pPr>
          </w:p>
        </w:tc>
        <w:tc>
          <w:tcPr>
            <w:tcW w:w="1843" w:type="dxa"/>
            <w:shd w:val="clear" w:color="auto" w:fill="F2F2F2" w:themeFill="background1" w:themeFillShade="F2"/>
          </w:tcPr>
          <w:p>
            <w:pPr>
              <w:spacing w:before="20" w:line="240" w:lineRule="atLeast"/>
              <w:jc w:val="center"/>
              <w:rPr>
                <w:rFonts w:ascii="Helvetica" w:hAnsi="Helvetica" w:cs="Helvetica"/>
                <w:sz w:val="18"/>
                <w:szCs w:val="18"/>
              </w:rPr>
            </w:pPr>
          </w:p>
        </w:tc>
        <w:tc>
          <w:tcPr>
            <w:tcW w:w="1417"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r>
      <w:tr>
        <w:tc>
          <w:tcPr>
            <w:tcW w:w="3969" w:type="dxa"/>
          </w:tcPr>
          <w:p>
            <w:pPr>
              <w:spacing w:before="20" w:line="240" w:lineRule="atLeast"/>
              <w:rPr>
                <w:rFonts w:ascii="Helvetica" w:hAnsi="Helvetica" w:cs="Helvetica"/>
                <w:sz w:val="18"/>
                <w:szCs w:val="18"/>
              </w:rPr>
            </w:pPr>
            <w:r>
              <w:rPr>
                <w:rFonts w:ascii="Helvetica" w:hAnsi="Helvetica" w:cs="Helvetica"/>
                <w:sz w:val="18"/>
                <w:szCs w:val="18"/>
              </w:rPr>
              <w:t>Mandatory growth in the closed PEQ</w:t>
            </w:r>
            <w:r>
              <w:rPr>
                <w:rFonts w:ascii="Helvetica" w:hAnsi="Helvetica" w:cs="Helvetica"/>
                <w:b/>
                <w:bCs/>
                <w:sz w:val="18"/>
                <w:szCs w:val="18"/>
                <w:vertAlign w:val="superscript"/>
              </w:rPr>
              <w:t>3</w:t>
            </w:r>
            <w:r>
              <w:rPr>
                <w:rFonts w:ascii="Helvetica" w:hAnsi="Helvetica" w:cs="Helvetica"/>
                <w:sz w:val="18"/>
                <w:szCs w:val="18"/>
              </w:rPr>
              <w:t xml:space="preserve"> </w:t>
            </w:r>
          </w:p>
        </w:tc>
        <w:tc>
          <w:tcPr>
            <w:tcW w:w="1985"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c>
          <w:tcPr>
            <w:tcW w:w="1843"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c>
          <w:tcPr>
            <w:tcW w:w="1417" w:type="dxa"/>
          </w:tcPr>
          <w:p>
            <w:pPr>
              <w:spacing w:before="20" w:line="240" w:lineRule="atLeast"/>
              <w:jc w:val="center"/>
              <w:rPr>
                <w:rFonts w:ascii="Helvetica" w:hAnsi="Helvetica" w:cs="Helvetica"/>
                <w:sz w:val="18"/>
                <w:szCs w:val="18"/>
              </w:rPr>
            </w:pPr>
            <w:r>
              <w:rPr>
                <w:rFonts w:ascii="Helvetica" w:hAnsi="Helvetica" w:cs="Helvetica"/>
                <w:sz w:val="18"/>
                <w:szCs w:val="18"/>
              </w:rPr>
              <w:t>Yes</w:t>
            </w:r>
          </w:p>
        </w:tc>
      </w:tr>
    </w:tbl>
    <w:p>
      <w:pPr>
        <w:spacing w:before="80" w:line="260" w:lineRule="atLeast"/>
        <w:jc w:val="left"/>
        <w:rPr>
          <w:rFonts w:ascii="Arial" w:hAnsi="Arial" w:cs="Arial"/>
          <w:sz w:val="18"/>
          <w:szCs w:val="18"/>
        </w:rPr>
      </w:pPr>
      <w:r>
        <w:rPr>
          <w:rFonts w:ascii="Arial" w:hAnsi="Arial" w:cs="Arial"/>
          <w:sz w:val="18"/>
          <w:szCs w:val="18"/>
        </w:rPr>
        <w:t>AD</w:t>
      </w:r>
      <w:r>
        <w:rPr>
          <w:rFonts w:ascii="Arial" w:hAnsi="Arial" w:cs="Arial"/>
          <w:sz w:val="18"/>
          <w:szCs w:val="18"/>
        </w:rPr>
        <w:tab/>
        <w:t>Additional declaration</w:t>
      </w:r>
    </w:p>
    <w:p>
      <w:pPr>
        <w:spacing w:before="20" w:line="240" w:lineRule="atLeast"/>
        <w:jc w:val="left"/>
        <w:rPr>
          <w:rFonts w:ascii="Arial" w:hAnsi="Arial" w:cs="Arial"/>
          <w:sz w:val="18"/>
          <w:szCs w:val="18"/>
        </w:rPr>
      </w:pPr>
      <w:r>
        <w:rPr>
          <w:rFonts w:ascii="Arial" w:hAnsi="Arial" w:cs="Arial"/>
          <w:sz w:val="18"/>
          <w:szCs w:val="18"/>
        </w:rPr>
        <w:t>1</w:t>
      </w:r>
      <w:r>
        <w:rPr>
          <w:rFonts w:ascii="Arial" w:hAnsi="Arial" w:cs="Arial"/>
          <w:sz w:val="18"/>
          <w:szCs w:val="18"/>
        </w:rPr>
        <w:tab/>
        <w:t>Grape seeds for sowing are currently permitted from the EU, Japan and the USA.</w:t>
      </w:r>
    </w:p>
    <w:p>
      <w:pPr>
        <w:spacing w:before="20" w:line="240" w:lineRule="atLeast"/>
        <w:ind w:left="720" w:hanging="720"/>
        <w:jc w:val="left"/>
        <w:rPr>
          <w:rFonts w:ascii="Arial" w:hAnsi="Arial" w:cs="Arial"/>
          <w:sz w:val="18"/>
          <w:szCs w:val="18"/>
        </w:rPr>
      </w:pPr>
      <w:r>
        <w:rPr>
          <w:rFonts w:ascii="Arial" w:hAnsi="Arial" w:cs="Arial"/>
          <w:sz w:val="18"/>
          <w:szCs w:val="18"/>
        </w:rPr>
        <w:t>2</w:t>
      </w:r>
      <w:r>
        <w:rPr>
          <w:rFonts w:ascii="Arial" w:hAnsi="Arial" w:cs="Arial"/>
          <w:sz w:val="18"/>
          <w:szCs w:val="18"/>
        </w:rPr>
        <w:tab/>
        <w:t>A Phytosanitary Certificate is required stating that seeds were sourced from the EU, Japan or the USA.</w:t>
      </w:r>
    </w:p>
    <w:p>
      <w:pPr>
        <w:spacing w:before="20" w:line="240" w:lineRule="atLeast"/>
        <w:ind w:left="720" w:hanging="720"/>
        <w:jc w:val="left"/>
        <w:rPr>
          <w:rFonts w:ascii="Arial" w:hAnsi="Arial" w:cs="Arial"/>
          <w:sz w:val="18"/>
          <w:szCs w:val="18"/>
        </w:rPr>
      </w:pPr>
      <w:r>
        <w:rPr>
          <w:rFonts w:ascii="Arial" w:hAnsi="Arial" w:cs="Arial"/>
          <w:sz w:val="18"/>
          <w:szCs w:val="18"/>
        </w:rPr>
        <w:t>3</w:t>
      </w:r>
      <w:r>
        <w:rPr>
          <w:rFonts w:ascii="Arial" w:hAnsi="Arial" w:cs="Arial"/>
          <w:sz w:val="18"/>
          <w:szCs w:val="18"/>
        </w:rPr>
        <w:tab/>
        <w:t>Dormant cuttings and tissue cultures from all sources are grown for 24 months in closed government PEQ facilities and are subject to disease screening and virus indexing. Seeds from non-approved sources are grown for three months in PEQ.</w:t>
      </w:r>
    </w:p>
    <w:p>
      <w:pPr>
        <w:spacing w:before="20" w:line="240" w:lineRule="atLeast"/>
        <w:ind w:left="720" w:hanging="720"/>
        <w:jc w:val="left"/>
        <w:rPr>
          <w:rFonts w:ascii="Arial" w:hAnsi="Arial" w:cs="Arial"/>
          <w:sz w:val="18"/>
          <w:szCs w:val="18"/>
        </w:rPr>
      </w:pPr>
      <w:r>
        <w:rPr>
          <w:rFonts w:ascii="Arial" w:hAnsi="Arial" w:cs="Arial"/>
          <w:sz w:val="18"/>
          <w:szCs w:val="18"/>
        </w:rPr>
        <w:t>4</w:t>
      </w:r>
      <w:r>
        <w:rPr>
          <w:rFonts w:ascii="Arial" w:hAnsi="Arial" w:cs="Arial"/>
          <w:sz w:val="18"/>
          <w:szCs w:val="18"/>
        </w:rPr>
        <w:tab/>
        <w:t xml:space="preserve">Plants established from tissue cultures (two years) require hot water treatment for </w:t>
      </w:r>
      <w:r>
        <w:rPr>
          <w:rFonts w:ascii="Arial" w:hAnsi="Arial" w:cs="Arial"/>
          <w:i/>
          <w:sz w:val="18"/>
          <w:szCs w:val="18"/>
        </w:rPr>
        <w:t>Xylella fastidiosa</w:t>
      </w:r>
      <w:r>
        <w:rPr>
          <w:rFonts w:ascii="Arial" w:hAnsi="Arial" w:cs="Arial"/>
          <w:sz w:val="18"/>
          <w:szCs w:val="18"/>
        </w:rPr>
        <w:t>.</w:t>
      </w:r>
    </w:p>
    <w:p>
      <w:pPr>
        <w:pStyle w:val="Heading3"/>
        <w:widowControl/>
        <w:tabs>
          <w:tab w:val="left" w:pos="1320"/>
        </w:tabs>
        <w:overflowPunct w:val="0"/>
        <w:autoSpaceDE w:val="0"/>
        <w:autoSpaceDN w:val="0"/>
        <w:spacing w:line="280" w:lineRule="atLeast"/>
        <w:rPr>
          <w:rFonts w:ascii="Verdana" w:hAnsi="Verdana" w:cs="Arial"/>
          <w:bCs/>
          <w:sz w:val="26"/>
          <w:szCs w:val="26"/>
        </w:rPr>
      </w:pPr>
      <w:bookmarkStart w:id="90" w:name="_Toc345423517"/>
      <w:r>
        <w:rPr>
          <w:rFonts w:ascii="Verdana" w:hAnsi="Verdana" w:cs="Arial"/>
          <w:bCs/>
          <w:sz w:val="26"/>
          <w:szCs w:val="26"/>
        </w:rPr>
        <w:lastRenderedPageBreak/>
        <w:t>3.1.2</w:t>
      </w:r>
      <w:r>
        <w:rPr>
          <w:rFonts w:ascii="Verdana" w:hAnsi="Verdana" w:cs="Arial"/>
          <w:bCs/>
          <w:sz w:val="26"/>
          <w:szCs w:val="26"/>
        </w:rPr>
        <w:tab/>
        <w:t>Approved sources</w:t>
      </w:r>
      <w:bookmarkEnd w:id="90"/>
    </w:p>
    <w:p>
      <w:pPr>
        <w:spacing w:line="280" w:lineRule="atLeast"/>
        <w:jc w:val="left"/>
      </w:pPr>
      <w:r>
        <w:t xml:space="preserve">Currently, Foundation Plant Services, University of California, USA is an approved source to supply grapevine propagative material (dormant cuttings, tissue culture, and seed for sowing) to Australia. All imported grape propagative material from this approved source is subject to the quarantine/biosecurity measures set out in Condition C7307 (dormant cuttings from approved sources); C7306 (tissue cultures from approved sources); C6980 (seed for sowing from approved sources); and C7300 (general nursery stock). However, there is no significant difference in risk mitigation measures applied in Australia for dormant cuttings and tissue culture from this approved source. If testing is done by the Foundation Plant Services and certified accordingly, dormant cuttings and tissue cultures may be exempt from tests already conducted overseas. However, the material still has to be grown in a government PEQ facility for 24 months. </w:t>
      </w:r>
      <w:r>
        <w:rPr>
          <w:snapToGrid w:val="0"/>
        </w:rPr>
        <w:t>S</w:t>
      </w:r>
      <w:r>
        <w:t xml:space="preserve">eed for sowing imported from approved sources does not require growth in PEQ whereas seeds from non-approved sources must be grown in PEQ for a minimum of three months. </w:t>
      </w:r>
    </w:p>
    <w:p>
      <w:pPr>
        <w:pStyle w:val="BAHeader2"/>
        <w:numPr>
          <w:ilvl w:val="0"/>
          <w:numId w:val="0"/>
        </w:numPr>
        <w:tabs>
          <w:tab w:val="left" w:pos="1260"/>
        </w:tabs>
        <w:spacing w:before="300" w:line="260" w:lineRule="atLeast"/>
        <w:ind w:left="1259" w:hanging="1259"/>
        <w:jc w:val="left"/>
        <w:rPr>
          <w:rFonts w:ascii="Verdana" w:hAnsi="Verdana"/>
        </w:rPr>
      </w:pPr>
      <w:bookmarkStart w:id="91" w:name="_Toc345423518"/>
      <w:r>
        <w:rPr>
          <w:rFonts w:ascii="Verdana" w:hAnsi="Verdana"/>
        </w:rPr>
        <w:t>3.2</w:t>
      </w:r>
      <w:r>
        <w:rPr>
          <w:rFonts w:ascii="Verdana" w:hAnsi="Verdana"/>
        </w:rPr>
        <w:tab/>
        <w:t>Evaluation of existing measures for grapevine propagative material from all sources</w:t>
      </w:r>
      <w:bookmarkEnd w:id="91"/>
    </w:p>
    <w:p>
      <w:pPr>
        <w:pStyle w:val="AQISText"/>
        <w:spacing w:before="0" w:line="275" w:lineRule="atLeast"/>
        <w:jc w:val="left"/>
        <w:rPr>
          <w:sz w:val="24"/>
          <w:szCs w:val="24"/>
        </w:rPr>
      </w:pPr>
      <w:r>
        <w:rPr>
          <w:sz w:val="24"/>
          <w:szCs w:val="24"/>
        </w:rPr>
        <w:t xml:space="preserve">As part of the review, the quarantine status of the pests and pathogens of grapevine was reassessed and several new pests were identified. Consequently, Plant Biosecurity evaluated the appropriateness of existing risk management measures to determine if alternative or additional measures are required. </w:t>
      </w:r>
    </w:p>
    <w:p>
      <w:pPr>
        <w:pStyle w:val="Heading3"/>
        <w:widowControl/>
        <w:numPr>
          <w:ilvl w:val="2"/>
          <w:numId w:val="28"/>
        </w:numPr>
        <w:tabs>
          <w:tab w:val="left" w:pos="1320"/>
        </w:tabs>
        <w:overflowPunct w:val="0"/>
        <w:autoSpaceDE w:val="0"/>
        <w:autoSpaceDN w:val="0"/>
        <w:spacing w:line="280" w:lineRule="atLeast"/>
        <w:rPr>
          <w:rFonts w:ascii="Verdana" w:hAnsi="Verdana" w:cs="Arial"/>
          <w:bCs/>
          <w:sz w:val="26"/>
          <w:szCs w:val="26"/>
        </w:rPr>
      </w:pPr>
      <w:bookmarkStart w:id="92" w:name="_Toc345423519"/>
      <w:r>
        <w:rPr>
          <w:rFonts w:ascii="Verdana" w:hAnsi="Verdana" w:cs="Arial"/>
          <w:bCs/>
          <w:sz w:val="26"/>
          <w:szCs w:val="26"/>
        </w:rPr>
        <w:t>Dormant cuttings</w:t>
      </w:r>
      <w:bookmarkEnd w:id="92"/>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All sources</w:t>
      </w:r>
    </w:p>
    <w:p>
      <w:pPr>
        <w:pStyle w:val="AQISText"/>
        <w:spacing w:before="0" w:line="240" w:lineRule="atLeast"/>
        <w:jc w:val="left"/>
        <w:rPr>
          <w:bCs/>
          <w:sz w:val="24"/>
          <w:szCs w:val="24"/>
        </w:rPr>
      </w:pPr>
      <w:r>
        <w:rPr>
          <w:bCs/>
          <w:sz w:val="24"/>
          <w:szCs w:val="24"/>
        </w:rPr>
        <w:t>The appropriateness of existing measures for dormant cuttings from all sources has been evaluated as follows:</w:t>
      </w:r>
    </w:p>
    <w:p>
      <w:pPr>
        <w:pStyle w:val="AQISNum"/>
        <w:numPr>
          <w:ilvl w:val="0"/>
          <w:numId w:val="9"/>
        </w:numPr>
        <w:spacing w:line="240" w:lineRule="atLeast"/>
        <w:ind w:left="357" w:hanging="357"/>
        <w:jc w:val="left"/>
        <w:rPr>
          <w:sz w:val="24"/>
          <w:szCs w:val="24"/>
        </w:rPr>
      </w:pPr>
      <w:r>
        <w:rPr>
          <w:sz w:val="24"/>
          <w:szCs w:val="24"/>
        </w:rPr>
        <w:t xml:space="preserve">The existing requirement for imported grapevine cuttings to be restricted to one-year-old dormant cuttings (with 2–3 internodes to allow for propagation) is recommended to continue. </w:t>
      </w:r>
    </w:p>
    <w:p>
      <w:pPr>
        <w:pStyle w:val="AQISNum"/>
        <w:widowControl/>
        <w:numPr>
          <w:ilvl w:val="1"/>
          <w:numId w:val="30"/>
        </w:numPr>
        <w:tabs>
          <w:tab w:val="clear" w:pos="1440"/>
          <w:tab w:val="num" w:pos="644"/>
        </w:tabs>
        <w:adjustRightInd/>
        <w:spacing w:before="20" w:line="240" w:lineRule="atLeast"/>
        <w:ind w:left="641" w:hanging="357"/>
        <w:jc w:val="left"/>
        <w:textAlignment w:val="auto"/>
        <w:rPr>
          <w:sz w:val="24"/>
          <w:szCs w:val="24"/>
        </w:rPr>
      </w:pPr>
      <w:r>
        <w:rPr>
          <w:sz w:val="24"/>
          <w:szCs w:val="24"/>
        </w:rPr>
        <w:t xml:space="preserve">Restricting cuttings to one-year-old material reduces the risk of infection by grapevine pathogens, since canes are exposed to infection for a shorter period. </w:t>
      </w:r>
    </w:p>
    <w:p>
      <w:pPr>
        <w:pStyle w:val="AQISNum"/>
        <w:widowControl/>
        <w:numPr>
          <w:ilvl w:val="1"/>
          <w:numId w:val="30"/>
        </w:numPr>
        <w:tabs>
          <w:tab w:val="clear" w:pos="1440"/>
          <w:tab w:val="num" w:pos="644"/>
        </w:tabs>
        <w:adjustRightInd/>
        <w:spacing w:before="20" w:line="240" w:lineRule="atLeast"/>
        <w:ind w:left="641" w:hanging="357"/>
        <w:jc w:val="left"/>
        <w:textAlignment w:val="auto"/>
        <w:rPr>
          <w:sz w:val="24"/>
          <w:szCs w:val="24"/>
        </w:rPr>
      </w:pPr>
      <w:r>
        <w:rPr>
          <w:sz w:val="24"/>
          <w:szCs w:val="24"/>
        </w:rPr>
        <w:t xml:space="preserve">Cuttings are less likely to have been damaged, providing fewer infection sites for opportunistic wound pathogens. </w:t>
      </w:r>
    </w:p>
    <w:p>
      <w:pPr>
        <w:pStyle w:val="AQISNum"/>
        <w:widowControl/>
        <w:numPr>
          <w:ilvl w:val="1"/>
          <w:numId w:val="30"/>
        </w:numPr>
        <w:tabs>
          <w:tab w:val="clear" w:pos="1440"/>
          <w:tab w:val="num" w:pos="644"/>
        </w:tabs>
        <w:adjustRightInd/>
        <w:spacing w:before="20" w:line="240" w:lineRule="atLeast"/>
        <w:ind w:left="641" w:hanging="357"/>
        <w:jc w:val="left"/>
        <w:textAlignment w:val="auto"/>
        <w:rPr>
          <w:sz w:val="24"/>
          <w:szCs w:val="24"/>
        </w:rPr>
      </w:pPr>
      <w:r>
        <w:rPr>
          <w:sz w:val="24"/>
          <w:szCs w:val="24"/>
        </w:rPr>
        <w:t>Disease symptoms are also more obvious on young tissue.</w:t>
      </w:r>
    </w:p>
    <w:p>
      <w:pPr>
        <w:pStyle w:val="AQISNum"/>
        <w:widowControl/>
        <w:numPr>
          <w:ilvl w:val="1"/>
          <w:numId w:val="30"/>
        </w:numPr>
        <w:tabs>
          <w:tab w:val="clear" w:pos="1440"/>
          <w:tab w:val="num" w:pos="644"/>
        </w:tabs>
        <w:adjustRightInd/>
        <w:spacing w:before="20" w:line="240" w:lineRule="atLeast"/>
        <w:ind w:left="641" w:hanging="357"/>
        <w:jc w:val="left"/>
        <w:textAlignment w:val="auto"/>
        <w:rPr>
          <w:bCs/>
          <w:sz w:val="24"/>
          <w:szCs w:val="24"/>
        </w:rPr>
      </w:pPr>
      <w:r>
        <w:rPr>
          <w:sz w:val="24"/>
          <w:szCs w:val="24"/>
        </w:rPr>
        <w:t xml:space="preserve">Most wood rot in living plants is confined to the older central wood of roots, trunks and branches and therefore would not be associated with one-year-old dormant cuttings. </w:t>
      </w:r>
    </w:p>
    <w:p>
      <w:pPr>
        <w:pStyle w:val="AQISNum"/>
        <w:numPr>
          <w:ilvl w:val="0"/>
          <w:numId w:val="9"/>
        </w:numPr>
        <w:spacing w:line="240" w:lineRule="atLeast"/>
        <w:ind w:left="357" w:hanging="357"/>
        <w:jc w:val="left"/>
        <w:rPr>
          <w:sz w:val="24"/>
          <w:szCs w:val="24"/>
        </w:rPr>
      </w:pPr>
      <w:r>
        <w:rPr>
          <w:sz w:val="24"/>
          <w:szCs w:val="24"/>
        </w:rPr>
        <w:t>The existing requirement for mandatory on-arrival inspection of imported dormant cuttings to verify freedom from disease symptoms, live insects, soil and other extraneous contaminants of quarantine concern is recommended to continue.</w:t>
      </w:r>
    </w:p>
    <w:p>
      <w:pPr>
        <w:pStyle w:val="AQISNum"/>
        <w:numPr>
          <w:ilvl w:val="0"/>
          <w:numId w:val="9"/>
        </w:numPr>
        <w:spacing w:line="240" w:lineRule="atLeast"/>
        <w:ind w:left="357" w:hanging="357"/>
        <w:jc w:val="left"/>
        <w:rPr>
          <w:sz w:val="24"/>
          <w:szCs w:val="24"/>
        </w:rPr>
      </w:pPr>
      <w:r>
        <w:rPr>
          <w:sz w:val="24"/>
          <w:szCs w:val="24"/>
        </w:rPr>
        <w:t>The existing requirement for mandatory on-arrival fumigation (T9060) of grapevine dormant cuttings to manage the risk posed by arthropod pests from all sources is recommended to continue.</w:t>
      </w:r>
    </w:p>
    <w:p>
      <w:pPr>
        <w:pStyle w:val="AQISNum"/>
        <w:numPr>
          <w:ilvl w:val="0"/>
          <w:numId w:val="9"/>
        </w:numPr>
        <w:spacing w:line="240" w:lineRule="atLeast"/>
        <w:ind w:left="357" w:hanging="357"/>
        <w:jc w:val="left"/>
        <w:rPr>
          <w:sz w:val="24"/>
          <w:szCs w:val="24"/>
        </w:rPr>
      </w:pPr>
      <w:r>
        <w:rPr>
          <w:sz w:val="24"/>
          <w:szCs w:val="24"/>
        </w:rPr>
        <w:t>The existing requirement for mandatory hot water treatment (50 °C for 20 minutes, T9504), with a slight modification, is recommended to continue to minimise the risk of accidental introduction of pathogens, particularly phytoplasmas.</w:t>
      </w:r>
    </w:p>
    <w:p>
      <w:pPr>
        <w:pStyle w:val="AQISNum"/>
        <w:numPr>
          <w:ilvl w:val="0"/>
          <w:numId w:val="9"/>
        </w:numPr>
        <w:spacing w:line="240" w:lineRule="atLeast"/>
        <w:ind w:left="357" w:hanging="357"/>
        <w:jc w:val="left"/>
        <w:rPr>
          <w:sz w:val="24"/>
          <w:szCs w:val="24"/>
        </w:rPr>
      </w:pPr>
      <w:r>
        <w:rPr>
          <w:sz w:val="24"/>
          <w:szCs w:val="24"/>
        </w:rPr>
        <w:t xml:space="preserve">The existing requirement for growth in a post-entry-quarantine facility is an appropriate </w:t>
      </w:r>
      <w:r>
        <w:rPr>
          <w:sz w:val="24"/>
          <w:szCs w:val="24"/>
        </w:rPr>
        <w:lastRenderedPageBreak/>
        <w:t xml:space="preserve">phytosanitary measure for the safe introduction of grapevine dormant cuttings. Additional testing procedures are proposed where appropriate. Plant Biosecurity considers that: </w:t>
      </w:r>
    </w:p>
    <w:p>
      <w:pPr>
        <w:pStyle w:val="AQISNum"/>
        <w:widowControl/>
        <w:numPr>
          <w:ilvl w:val="1"/>
          <w:numId w:val="30"/>
        </w:numPr>
        <w:tabs>
          <w:tab w:val="clear" w:pos="1440"/>
          <w:tab w:val="num" w:pos="644"/>
        </w:tabs>
        <w:adjustRightInd/>
        <w:spacing w:before="20" w:line="240" w:lineRule="atLeast"/>
        <w:ind w:left="641" w:hanging="357"/>
        <w:jc w:val="left"/>
        <w:textAlignment w:val="auto"/>
        <w:rPr>
          <w:sz w:val="24"/>
          <w:szCs w:val="24"/>
        </w:rPr>
      </w:pPr>
      <w:r>
        <w:rPr>
          <w:sz w:val="24"/>
          <w:szCs w:val="24"/>
        </w:rPr>
        <w:t>Pathogen screening (visual screening) during growth in PEQ is proposed to continue for the detection of symptomatic pathogens. Fungal and bacterial pathogens associated with grapevines may produce distinct symptoms that make them easy to identify by visual inspection during the growth period in PEQ. Although visual inspection is an important method for screening some pathogens, grapevine propagative material may be infected and not produce any obvious disease symptoms due to cultivar susceptibility, environmental conditions or other related factors:</w:t>
      </w:r>
    </w:p>
    <w:p>
      <w:pPr>
        <w:pStyle w:val="AQISNum"/>
        <w:widowControl/>
        <w:numPr>
          <w:ilvl w:val="0"/>
          <w:numId w:val="34"/>
        </w:numPr>
        <w:adjustRightInd/>
        <w:spacing w:before="20" w:line="240" w:lineRule="atLeast"/>
        <w:jc w:val="left"/>
        <w:textAlignment w:val="auto"/>
        <w:rPr>
          <w:sz w:val="24"/>
          <w:szCs w:val="24"/>
        </w:rPr>
      </w:pPr>
      <w:r>
        <w:rPr>
          <w:sz w:val="24"/>
          <w:szCs w:val="24"/>
        </w:rPr>
        <w:t>Grapevines infected with some pathogens (especially viruses) may never show any obvious symptoms. The concentration of viruses may be so low that no symptoms develop, or the infection may be latent. Such latent infections can only be detected with reliable pathogen testing methods.</w:t>
      </w:r>
    </w:p>
    <w:p>
      <w:pPr>
        <w:pStyle w:val="AQISNum"/>
        <w:widowControl/>
        <w:numPr>
          <w:ilvl w:val="0"/>
          <w:numId w:val="34"/>
        </w:numPr>
        <w:adjustRightInd/>
        <w:spacing w:before="20" w:line="240" w:lineRule="atLeast"/>
        <w:jc w:val="left"/>
        <w:textAlignment w:val="auto"/>
        <w:rPr>
          <w:sz w:val="24"/>
          <w:szCs w:val="24"/>
        </w:rPr>
      </w:pPr>
      <w:r>
        <w:rPr>
          <w:sz w:val="24"/>
          <w:szCs w:val="24"/>
        </w:rPr>
        <w:t>Viruses generally occur in mixed infections. The symptoms of a given virus will be expressed only when it encounters favourable conditions. The other viruses remain in a latent state. In addition, one virus may stimulate expression of the symptoms of other viruses. Because of the range and overlap of symptoms, visual diagnosis of virus diseases is unreliable.</w:t>
      </w:r>
    </w:p>
    <w:p>
      <w:pPr>
        <w:pStyle w:val="AQISNum"/>
        <w:widowControl/>
        <w:numPr>
          <w:ilvl w:val="1"/>
          <w:numId w:val="30"/>
        </w:numPr>
        <w:tabs>
          <w:tab w:val="clear" w:pos="1440"/>
          <w:tab w:val="num" w:pos="644"/>
        </w:tabs>
        <w:adjustRightInd/>
        <w:spacing w:before="20" w:line="240" w:lineRule="atLeast"/>
        <w:ind w:left="641" w:hanging="357"/>
        <w:jc w:val="left"/>
        <w:textAlignment w:val="auto"/>
        <w:rPr>
          <w:sz w:val="24"/>
          <w:szCs w:val="24"/>
        </w:rPr>
      </w:pPr>
      <w:r>
        <w:rPr>
          <w:sz w:val="24"/>
          <w:szCs w:val="24"/>
        </w:rPr>
        <w:t>Therefore the existing requirement for biological indexing is recommended to continue, but a combination of biological indexing and molecular testing is proposed to improve the efficacy of pathogen detection and to reduce the PEQ growth period.</w:t>
      </w:r>
    </w:p>
    <w:p>
      <w:pPr>
        <w:pStyle w:val="AQISNum"/>
        <w:widowControl/>
        <w:numPr>
          <w:ilvl w:val="0"/>
          <w:numId w:val="34"/>
        </w:numPr>
        <w:adjustRightInd/>
        <w:spacing w:before="20" w:line="240" w:lineRule="atLeast"/>
        <w:jc w:val="left"/>
        <w:textAlignment w:val="auto"/>
        <w:rPr>
          <w:sz w:val="24"/>
          <w:szCs w:val="24"/>
        </w:rPr>
      </w:pPr>
      <w:r>
        <w:rPr>
          <w:sz w:val="24"/>
          <w:szCs w:val="24"/>
        </w:rPr>
        <w:t xml:space="preserve">Grapevine viruses are transmissible entities; they can be detected and identified on herbaceous and woody indicator plants. Herbaceous host indexing assays may be completed in a matter of weeks whereas woody indicator assays require a lengthier incubation period (up to two years) to complete (Rowhani </w:t>
      </w:r>
      <w:r>
        <w:rPr>
          <w:i/>
          <w:sz w:val="24"/>
          <w:szCs w:val="24"/>
        </w:rPr>
        <w:t>et al</w:t>
      </w:r>
      <w:r>
        <w:rPr>
          <w:sz w:val="24"/>
          <w:szCs w:val="24"/>
        </w:rPr>
        <w:t xml:space="preserve">. 2005). Herbaceous hosts are used to test for sap transmissible nepoviruses, whereas woody indicator plants are used to test for phloem limited viruses (Rowhani </w:t>
      </w:r>
      <w:r>
        <w:rPr>
          <w:i/>
          <w:sz w:val="24"/>
          <w:szCs w:val="24"/>
        </w:rPr>
        <w:t>et al</w:t>
      </w:r>
      <w:r>
        <w:rPr>
          <w:sz w:val="24"/>
          <w:szCs w:val="24"/>
        </w:rPr>
        <w:t xml:space="preserve">. 2005). Woody indexing can be replaced with molecular methods </w:t>
      </w:r>
    </w:p>
    <w:p>
      <w:pPr>
        <w:pStyle w:val="AQISNum"/>
        <w:widowControl/>
        <w:numPr>
          <w:ilvl w:val="0"/>
          <w:numId w:val="34"/>
        </w:numPr>
        <w:adjustRightInd/>
        <w:spacing w:before="20" w:line="240" w:lineRule="atLeast"/>
        <w:jc w:val="left"/>
        <w:textAlignment w:val="auto"/>
        <w:rPr>
          <w:sz w:val="24"/>
          <w:szCs w:val="24"/>
        </w:rPr>
      </w:pPr>
      <w:r>
        <w:rPr>
          <w:sz w:val="24"/>
          <w:szCs w:val="24"/>
        </w:rPr>
        <w:t>Therefore a combination of biological indexing and molecular testing including serological and molecular tests is proposed.</w:t>
      </w:r>
    </w:p>
    <w:p>
      <w:pPr>
        <w:pStyle w:val="Heading3"/>
        <w:widowControl/>
        <w:numPr>
          <w:ilvl w:val="2"/>
          <w:numId w:val="28"/>
        </w:numPr>
        <w:tabs>
          <w:tab w:val="left" w:pos="1320"/>
        </w:tabs>
        <w:overflowPunct w:val="0"/>
        <w:autoSpaceDE w:val="0"/>
        <w:autoSpaceDN w:val="0"/>
        <w:spacing w:line="280" w:lineRule="atLeast"/>
        <w:rPr>
          <w:rFonts w:ascii="Verdana" w:hAnsi="Verdana" w:cs="Arial"/>
          <w:bCs/>
          <w:sz w:val="24"/>
          <w:szCs w:val="24"/>
        </w:rPr>
      </w:pPr>
      <w:bookmarkStart w:id="93" w:name="_Toc345423520"/>
      <w:r>
        <w:rPr>
          <w:rFonts w:ascii="Verdana" w:hAnsi="Verdana" w:cs="Arial"/>
          <w:bCs/>
          <w:sz w:val="24"/>
          <w:szCs w:val="24"/>
        </w:rPr>
        <w:t>Tissue cultures (microplantlets)</w:t>
      </w:r>
      <w:bookmarkEnd w:id="93"/>
    </w:p>
    <w:p>
      <w:pPr>
        <w:pStyle w:val="Heading4"/>
        <w:numPr>
          <w:ilvl w:val="0"/>
          <w:numId w:val="0"/>
        </w:numPr>
        <w:spacing w:before="180" w:after="120"/>
        <w:ind w:left="1077" w:hanging="1077"/>
        <w:jc w:val="left"/>
        <w:rPr>
          <w:rFonts w:ascii="Verdana" w:hAnsi="Verdana"/>
          <w:szCs w:val="22"/>
        </w:rPr>
      </w:pPr>
      <w:r>
        <w:rPr>
          <w:rFonts w:ascii="Verdana" w:hAnsi="Verdana"/>
          <w:sz w:val="22"/>
          <w:szCs w:val="22"/>
        </w:rPr>
        <w:t>All sources</w:t>
      </w:r>
    </w:p>
    <w:p>
      <w:pPr>
        <w:pStyle w:val="AQISText"/>
        <w:spacing w:before="0" w:line="275" w:lineRule="atLeast"/>
        <w:jc w:val="left"/>
        <w:rPr>
          <w:bCs/>
          <w:sz w:val="24"/>
          <w:szCs w:val="24"/>
        </w:rPr>
      </w:pPr>
      <w:r>
        <w:rPr>
          <w:bCs/>
          <w:sz w:val="24"/>
          <w:szCs w:val="24"/>
        </w:rPr>
        <w:t>The appropriateness of existing measures for tissue cultures (microplantlets) from all sources has been evaluated as follows:</w:t>
      </w:r>
    </w:p>
    <w:p>
      <w:pPr>
        <w:pStyle w:val="AQISNum"/>
        <w:widowControl/>
        <w:numPr>
          <w:ilvl w:val="0"/>
          <w:numId w:val="9"/>
        </w:numPr>
        <w:adjustRightInd/>
        <w:spacing w:before="20"/>
        <w:jc w:val="left"/>
        <w:textAlignment w:val="auto"/>
        <w:rPr>
          <w:sz w:val="24"/>
          <w:szCs w:val="24"/>
        </w:rPr>
      </w:pPr>
      <w:r>
        <w:rPr>
          <w:sz w:val="24"/>
          <w:szCs w:val="24"/>
        </w:rPr>
        <w:t>The existing requirement for pathogen screening (visual screening) during growth in the PEQ is adequate to detect symptomatic pathogens.</w:t>
      </w:r>
    </w:p>
    <w:p>
      <w:pPr>
        <w:pStyle w:val="AQISNum"/>
        <w:widowControl/>
        <w:numPr>
          <w:ilvl w:val="0"/>
          <w:numId w:val="9"/>
        </w:numPr>
        <w:adjustRightInd/>
        <w:spacing w:before="20"/>
        <w:jc w:val="left"/>
        <w:textAlignment w:val="auto"/>
        <w:rPr>
          <w:sz w:val="24"/>
          <w:szCs w:val="24"/>
        </w:rPr>
      </w:pPr>
      <w:r>
        <w:rPr>
          <w:sz w:val="24"/>
          <w:szCs w:val="24"/>
        </w:rPr>
        <w:t>The existing requirement for biological indexing using herbaceous indicators proposed to continue, but the introduction of a combination of traditional and modern techniques for pathogen screening is recommended to improve the efficacy of pathogen detection.</w:t>
      </w:r>
    </w:p>
    <w:p>
      <w:pPr>
        <w:pStyle w:val="AQISNum"/>
        <w:widowControl/>
        <w:numPr>
          <w:ilvl w:val="0"/>
          <w:numId w:val="9"/>
        </w:numPr>
        <w:adjustRightInd/>
        <w:spacing w:before="20"/>
        <w:jc w:val="left"/>
        <w:textAlignment w:val="auto"/>
        <w:rPr>
          <w:sz w:val="24"/>
          <w:szCs w:val="24"/>
        </w:rPr>
      </w:pPr>
      <w:r>
        <w:rPr>
          <w:sz w:val="24"/>
          <w:szCs w:val="24"/>
        </w:rPr>
        <w:t>Additional molecular testing is proposed, thereby leading to a reduction of the PEQ growth period from a minimum of 24 months (previously required to complete pathogen screening, including woody indexing) to a minimum of 12 months.</w:t>
      </w:r>
    </w:p>
    <w:p>
      <w:pPr>
        <w:pStyle w:val="Heading4"/>
        <w:numPr>
          <w:ilvl w:val="0"/>
          <w:numId w:val="0"/>
        </w:numPr>
        <w:spacing w:before="180" w:after="120"/>
        <w:ind w:left="1077" w:hanging="1077"/>
        <w:jc w:val="left"/>
        <w:rPr>
          <w:rFonts w:ascii="Verdana" w:hAnsi="Verdana"/>
          <w:szCs w:val="22"/>
        </w:rPr>
      </w:pPr>
      <w:r>
        <w:rPr>
          <w:rFonts w:ascii="Verdana" w:hAnsi="Verdana"/>
          <w:sz w:val="22"/>
          <w:szCs w:val="22"/>
        </w:rPr>
        <w:t>Approved sources</w:t>
      </w:r>
    </w:p>
    <w:p>
      <w:pPr>
        <w:pStyle w:val="AQISText"/>
        <w:spacing w:before="0" w:line="275" w:lineRule="atLeast"/>
        <w:jc w:val="left"/>
        <w:rPr>
          <w:bCs/>
          <w:sz w:val="24"/>
          <w:szCs w:val="24"/>
        </w:rPr>
      </w:pPr>
      <w:r>
        <w:rPr>
          <w:bCs/>
          <w:sz w:val="24"/>
          <w:szCs w:val="24"/>
        </w:rPr>
        <w:t>The appropriateness of existing measures for tissue cultures from approved sources has been evaluated as follows:</w:t>
      </w:r>
    </w:p>
    <w:p>
      <w:pPr>
        <w:pStyle w:val="AQISNum"/>
        <w:numPr>
          <w:ilvl w:val="0"/>
          <w:numId w:val="9"/>
        </w:numPr>
        <w:ind w:left="357" w:hanging="357"/>
        <w:jc w:val="left"/>
        <w:rPr>
          <w:sz w:val="24"/>
          <w:szCs w:val="24"/>
        </w:rPr>
      </w:pPr>
      <w:r>
        <w:rPr>
          <w:sz w:val="24"/>
          <w:szCs w:val="24"/>
        </w:rPr>
        <w:t xml:space="preserve">The existing requirement for tissue cultures to be exempt from tests already conducted </w:t>
      </w:r>
      <w:r>
        <w:rPr>
          <w:sz w:val="24"/>
          <w:szCs w:val="24"/>
        </w:rPr>
        <w:lastRenderedPageBreak/>
        <w:t xml:space="preserve">overseas is proposed to continue. </w:t>
      </w:r>
    </w:p>
    <w:p>
      <w:pPr>
        <w:pStyle w:val="AQISNum"/>
        <w:numPr>
          <w:ilvl w:val="0"/>
          <w:numId w:val="9"/>
        </w:numPr>
        <w:ind w:left="357" w:hanging="357"/>
        <w:jc w:val="left"/>
        <w:rPr>
          <w:sz w:val="24"/>
          <w:szCs w:val="24"/>
        </w:rPr>
      </w:pPr>
      <w:r>
        <w:rPr>
          <w:sz w:val="24"/>
          <w:szCs w:val="24"/>
        </w:rPr>
        <w:t>The existing requirement for tissue cultures from approved sources to be subject to all other measures that apply to tissue cultures from non-approved sources is proposed to continue.</w:t>
      </w:r>
    </w:p>
    <w:p>
      <w:pPr>
        <w:pStyle w:val="AQISNum"/>
        <w:numPr>
          <w:ilvl w:val="0"/>
          <w:numId w:val="9"/>
        </w:numPr>
        <w:ind w:left="357" w:hanging="357"/>
        <w:jc w:val="left"/>
        <w:rPr>
          <w:sz w:val="24"/>
          <w:szCs w:val="24"/>
        </w:rPr>
      </w:pPr>
      <w:r>
        <w:rPr>
          <w:sz w:val="24"/>
          <w:szCs w:val="24"/>
        </w:rPr>
        <w:t>These measures adequately address the risk posed by tissue cultures from approved sources and additional measures are not required.</w:t>
      </w:r>
    </w:p>
    <w:p>
      <w:pPr>
        <w:pStyle w:val="Heading4"/>
        <w:numPr>
          <w:ilvl w:val="0"/>
          <w:numId w:val="0"/>
        </w:numPr>
        <w:spacing w:before="180" w:after="120"/>
        <w:ind w:left="1077" w:hanging="1077"/>
        <w:jc w:val="left"/>
        <w:rPr>
          <w:rFonts w:ascii="Verdana" w:hAnsi="Verdana" w:cs="Arial"/>
          <w:szCs w:val="26"/>
        </w:rPr>
      </w:pPr>
      <w:r>
        <w:rPr>
          <w:rFonts w:ascii="Verdana" w:hAnsi="Verdana" w:cs="Arial"/>
          <w:bCs w:val="0"/>
          <w:szCs w:val="26"/>
        </w:rPr>
        <w:t xml:space="preserve">Seed for sowing </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All sources</w:t>
      </w:r>
    </w:p>
    <w:p>
      <w:pPr>
        <w:pStyle w:val="AQISText"/>
        <w:spacing w:before="0" w:line="275" w:lineRule="atLeast"/>
        <w:jc w:val="left"/>
        <w:rPr>
          <w:bCs/>
          <w:sz w:val="24"/>
          <w:szCs w:val="24"/>
        </w:rPr>
      </w:pPr>
      <w:r>
        <w:rPr>
          <w:bCs/>
          <w:sz w:val="24"/>
          <w:szCs w:val="24"/>
        </w:rPr>
        <w:t>The appropriateness of existing measures for seed for sowing from all sources has been evaluated as follows:</w:t>
      </w:r>
    </w:p>
    <w:p>
      <w:pPr>
        <w:pStyle w:val="AQISNum"/>
        <w:widowControl/>
        <w:numPr>
          <w:ilvl w:val="0"/>
          <w:numId w:val="9"/>
        </w:numPr>
        <w:adjustRightInd/>
        <w:spacing w:before="20"/>
        <w:jc w:val="left"/>
        <w:textAlignment w:val="auto"/>
        <w:rPr>
          <w:sz w:val="24"/>
          <w:szCs w:val="24"/>
        </w:rPr>
      </w:pPr>
      <w:r>
        <w:rPr>
          <w:sz w:val="24"/>
          <w:szCs w:val="24"/>
        </w:rPr>
        <w:t>The existing requirements for grape seed for sowing imported from non-approved sources, including mandatory on-arrival inspection and treatments (sodium hypochlorite [T9371], fungicidal dusting [T9420]), are adequate to address the risk posed by superficial fungal and bacterial contaminants.</w:t>
      </w:r>
    </w:p>
    <w:p>
      <w:pPr>
        <w:pStyle w:val="AQISNum"/>
        <w:widowControl/>
        <w:numPr>
          <w:ilvl w:val="0"/>
          <w:numId w:val="9"/>
        </w:numPr>
        <w:adjustRightInd/>
        <w:spacing w:before="20"/>
        <w:jc w:val="left"/>
        <w:textAlignment w:val="auto"/>
        <w:rPr>
          <w:sz w:val="24"/>
          <w:szCs w:val="24"/>
        </w:rPr>
      </w:pPr>
      <w:r>
        <w:rPr>
          <w:sz w:val="24"/>
          <w:szCs w:val="24"/>
        </w:rPr>
        <w:t>Growth in a PEQ facility for three months may not be sufficient for establishment of a plant from seed and to complete pathogen screening. Therefore, an increased PEQ growth period is proposed.</w:t>
      </w:r>
    </w:p>
    <w:p>
      <w:pPr>
        <w:pStyle w:val="Heading4"/>
        <w:numPr>
          <w:ilvl w:val="0"/>
          <w:numId w:val="0"/>
        </w:numPr>
        <w:spacing w:before="180" w:after="120"/>
        <w:ind w:left="1077" w:hanging="1077"/>
        <w:jc w:val="left"/>
      </w:pPr>
      <w:r>
        <w:rPr>
          <w:rFonts w:ascii="Verdana" w:hAnsi="Verdana"/>
          <w:sz w:val="22"/>
          <w:szCs w:val="22"/>
        </w:rPr>
        <w:t>Approved sources</w:t>
      </w:r>
    </w:p>
    <w:p>
      <w:pPr>
        <w:pStyle w:val="AQISText"/>
        <w:spacing w:before="120"/>
        <w:jc w:val="left"/>
        <w:rPr>
          <w:snapToGrid w:val="0"/>
          <w:sz w:val="24"/>
          <w:szCs w:val="24"/>
        </w:rPr>
      </w:pPr>
      <w:r>
        <w:rPr>
          <w:bCs/>
          <w:sz w:val="24"/>
          <w:szCs w:val="24"/>
        </w:rPr>
        <w:t>The appropriateness of existing measures for seed for sowing from approved sources has been evaluated as follows:</w:t>
      </w:r>
    </w:p>
    <w:p>
      <w:pPr>
        <w:pStyle w:val="AQISNum"/>
        <w:widowControl/>
        <w:numPr>
          <w:ilvl w:val="0"/>
          <w:numId w:val="9"/>
        </w:numPr>
        <w:adjustRightInd/>
        <w:spacing w:before="20"/>
        <w:jc w:val="left"/>
        <w:textAlignment w:val="auto"/>
        <w:rPr>
          <w:sz w:val="24"/>
          <w:szCs w:val="24"/>
        </w:rPr>
      </w:pPr>
      <w:r>
        <w:rPr>
          <w:sz w:val="24"/>
          <w:szCs w:val="24"/>
        </w:rPr>
        <w:t>The existing requirements for grape seed for sowing imported from approved sources; including phytosanitary certification endorsed with freedom from viruses of quarantine concern, certification mandatory on-arrival inspection and treatments (sodium hypochlorite [T9371], fungicidal dusting [T9420]) and exception from growth in PEQ; are proposed to continue.</w:t>
      </w:r>
    </w:p>
    <w:p>
      <w:pPr>
        <w:pStyle w:val="AQISNum"/>
        <w:numPr>
          <w:ilvl w:val="0"/>
          <w:numId w:val="9"/>
        </w:numPr>
        <w:ind w:left="357" w:hanging="357"/>
        <w:jc w:val="left"/>
        <w:rPr>
          <w:sz w:val="24"/>
          <w:szCs w:val="24"/>
        </w:rPr>
      </w:pPr>
      <w:r>
        <w:rPr>
          <w:sz w:val="24"/>
          <w:szCs w:val="24"/>
        </w:rPr>
        <w:t>These measures adequately address the risk posed by seed for sowing from approved sources and additional measures are not required.</w:t>
      </w:r>
    </w:p>
    <w:p>
      <w:pPr>
        <w:pStyle w:val="BAHeader2"/>
        <w:numPr>
          <w:ilvl w:val="0"/>
          <w:numId w:val="0"/>
        </w:numPr>
        <w:tabs>
          <w:tab w:val="left" w:pos="1260"/>
        </w:tabs>
        <w:spacing w:before="300" w:line="300" w:lineRule="atLeast"/>
        <w:ind w:left="1259" w:hanging="1259"/>
        <w:jc w:val="left"/>
        <w:rPr>
          <w:rFonts w:ascii="Verdana" w:hAnsi="Verdana"/>
        </w:rPr>
      </w:pPr>
      <w:bookmarkStart w:id="94" w:name="_Toc345423521"/>
      <w:r>
        <w:rPr>
          <w:rFonts w:ascii="Verdana" w:hAnsi="Verdana"/>
        </w:rPr>
        <w:t>3.3</w:t>
      </w:r>
      <w:r>
        <w:rPr>
          <w:rFonts w:ascii="Verdana" w:hAnsi="Verdana"/>
        </w:rPr>
        <w:tab/>
        <w:t>Proposed risk management measures for grapevine propagative material from all sources</w:t>
      </w:r>
      <w:bookmarkEnd w:id="94"/>
    </w:p>
    <w:p>
      <w:pPr>
        <w:pStyle w:val="AQISText"/>
        <w:spacing w:before="120" w:line="275" w:lineRule="atLeast"/>
        <w:jc w:val="left"/>
        <w:rPr>
          <w:snapToGrid w:val="0"/>
          <w:sz w:val="24"/>
          <w:szCs w:val="24"/>
        </w:rPr>
      </w:pPr>
      <w:r>
        <w:rPr>
          <w:sz w:val="24"/>
          <w:szCs w:val="24"/>
        </w:rPr>
        <w:t xml:space="preserve">The current review proposes pro-active testing and a reduction in the growth period in PEQ for dormant cuttings and tissue cultures from all sources. Proposed testing procedures </w:t>
      </w:r>
      <w:r>
        <w:rPr>
          <w:snapToGrid w:val="0"/>
          <w:sz w:val="24"/>
          <w:szCs w:val="24"/>
        </w:rPr>
        <w:t xml:space="preserve">are based on active testing for quarantine pathogens, using traditional </w:t>
      </w:r>
      <w:r>
        <w:rPr>
          <w:sz w:val="24"/>
          <w:szCs w:val="24"/>
        </w:rPr>
        <w:t>and</w:t>
      </w:r>
      <w:r>
        <w:rPr>
          <w:snapToGrid w:val="0"/>
          <w:sz w:val="24"/>
          <w:szCs w:val="24"/>
        </w:rPr>
        <w:t xml:space="preserve"> modern techniques. This approach allows dormant cutting imports to be screened for a minimum period of 16 months in PEQ instead of the current 24 months and tissue cultures to be screened for a minimum period of 12 months in PEQ instead of the current 24 months.</w:t>
      </w:r>
    </w:p>
    <w:p>
      <w:pPr>
        <w:pStyle w:val="Heading3"/>
        <w:widowControl/>
        <w:tabs>
          <w:tab w:val="left" w:pos="1320"/>
        </w:tabs>
        <w:overflowPunct w:val="0"/>
        <w:autoSpaceDE w:val="0"/>
        <w:autoSpaceDN w:val="0"/>
        <w:spacing w:line="280" w:lineRule="atLeast"/>
        <w:rPr>
          <w:rFonts w:ascii="Verdana" w:hAnsi="Verdana" w:cs="Arial"/>
          <w:bCs/>
          <w:sz w:val="26"/>
          <w:szCs w:val="26"/>
        </w:rPr>
      </w:pPr>
      <w:bookmarkStart w:id="95" w:name="_Toc345423522"/>
      <w:r>
        <w:rPr>
          <w:rFonts w:ascii="Verdana" w:hAnsi="Verdana" w:cs="Arial"/>
          <w:bCs/>
          <w:sz w:val="26"/>
          <w:szCs w:val="26"/>
        </w:rPr>
        <w:t>3.3.1</w:t>
      </w:r>
      <w:r>
        <w:rPr>
          <w:rFonts w:ascii="Verdana" w:hAnsi="Verdana" w:cs="Arial"/>
          <w:bCs/>
          <w:sz w:val="26"/>
          <w:szCs w:val="26"/>
        </w:rPr>
        <w:tab/>
        <w:t>Dormant cuttings</w:t>
      </w:r>
      <w:bookmarkEnd w:id="95"/>
    </w:p>
    <w:p>
      <w:pPr>
        <w:pStyle w:val="AQISText"/>
        <w:spacing w:before="0"/>
        <w:jc w:val="left"/>
        <w:rPr>
          <w:sz w:val="24"/>
          <w:szCs w:val="24"/>
        </w:rPr>
      </w:pPr>
      <w:r>
        <w:rPr>
          <w:sz w:val="24"/>
          <w:szCs w:val="24"/>
        </w:rPr>
        <w:t>The restriction of grapevine to one year old dormant cuttings with 2–3 internodes from all sources (approved or non-approved sources) is proposed to continue. Fully dormant canes should be imported during January to February from the Northern Hemisphere and July to September from the Southern Hemisphere. If this does not occur there may be delays in the release of planting material because of a too shorter growth period and thereby insufficient material to conduct required testing.</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lastRenderedPageBreak/>
        <w:t>Mandatory on-arrival inspection</w:t>
      </w:r>
    </w:p>
    <w:p>
      <w:pPr>
        <w:pStyle w:val="AQISText"/>
        <w:spacing w:before="0" w:line="300" w:lineRule="atLeast"/>
        <w:jc w:val="left"/>
        <w:rPr>
          <w:sz w:val="24"/>
          <w:szCs w:val="24"/>
        </w:rPr>
      </w:pPr>
      <w:r>
        <w:rPr>
          <w:sz w:val="24"/>
          <w:szCs w:val="24"/>
        </w:rPr>
        <w:t>The existing requirement for mandatory on-arrival inspection of imported dormant cuttings to verify freedom from disease symptoms, live insects, soil and other extraneous contaminants of quarantine concern is proposed to continue.</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Mandatory on-arrival fumigation</w:t>
      </w:r>
    </w:p>
    <w:p>
      <w:pPr>
        <w:pStyle w:val="AQISText"/>
        <w:spacing w:before="0" w:line="300" w:lineRule="atLeast"/>
        <w:jc w:val="left"/>
        <w:rPr>
          <w:sz w:val="24"/>
          <w:szCs w:val="24"/>
        </w:rPr>
      </w:pPr>
      <w:r>
        <w:rPr>
          <w:sz w:val="24"/>
          <w:szCs w:val="24"/>
        </w:rPr>
        <w:t>The existing requirement for mandatory on-arrival methyl bromide fumigation (T9060) of grapevine dormant cuttings to manage the risk posed by arthropod pests from all sources is proposed to continue.</w:t>
      </w:r>
    </w:p>
    <w:p>
      <w:pPr>
        <w:pStyle w:val="AQISText"/>
        <w:jc w:val="left"/>
        <w:rPr>
          <w:sz w:val="24"/>
          <w:szCs w:val="24"/>
        </w:rPr>
      </w:pPr>
      <w:r>
        <w:rPr>
          <w:sz w:val="24"/>
          <w:szCs w:val="24"/>
        </w:rPr>
        <w:t>Alternative treatments to methyl-bromide fumigation for grapevine dormant cuttings, if requested by an exporting country, will be considered by Plant Biosecurity on a case by case basis. Prior to the acceptance of an alternative treatment for grapevine dormant cuttings, Plant Biosecurity would need to assess the efficacy of that fumigant to ensure it gives an equal level of protection to methyl-bromide for all pests likely to be associated with the commodity.</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Mandatory hot water treatment</w:t>
      </w:r>
    </w:p>
    <w:p>
      <w:pPr>
        <w:pStyle w:val="AQISText"/>
        <w:spacing w:before="0"/>
        <w:jc w:val="left"/>
        <w:rPr>
          <w:sz w:val="24"/>
          <w:szCs w:val="24"/>
        </w:rPr>
      </w:pPr>
      <w:r>
        <w:rPr>
          <w:sz w:val="24"/>
          <w:szCs w:val="24"/>
        </w:rPr>
        <w:t>It is proposed that dormant cuttings be subjected to hot water treatment at 50 °C for 30 minutes (instead of 20 minutes) to minimise the risk of phytoplasmas.</w:t>
      </w:r>
    </w:p>
    <w:p>
      <w:pPr>
        <w:pStyle w:val="AQISNum"/>
        <w:numPr>
          <w:ilvl w:val="0"/>
          <w:numId w:val="9"/>
        </w:numPr>
        <w:spacing w:before="40"/>
        <w:ind w:left="357" w:hanging="357"/>
        <w:jc w:val="left"/>
        <w:rPr>
          <w:sz w:val="24"/>
          <w:szCs w:val="24"/>
        </w:rPr>
      </w:pPr>
      <w:r>
        <w:rPr>
          <w:sz w:val="24"/>
          <w:szCs w:val="24"/>
        </w:rPr>
        <w:t xml:space="preserve">Hot water treatment at 50 °C for 30 minutes is effective against some phytoplasmas (Caudwell </w:t>
      </w:r>
      <w:r>
        <w:rPr>
          <w:i/>
          <w:iCs/>
          <w:sz w:val="24"/>
          <w:szCs w:val="24"/>
        </w:rPr>
        <w:t>et al</w:t>
      </w:r>
      <w:r>
        <w:rPr>
          <w:sz w:val="24"/>
          <w:szCs w:val="24"/>
        </w:rPr>
        <w:t xml:space="preserve">. 1997) and in eliminating most known fungal pathogens and endophytes from grapevine cuttings, including pathogens associated with young grapevine decline (Crous </w:t>
      </w:r>
      <w:r>
        <w:rPr>
          <w:i/>
          <w:iCs/>
          <w:sz w:val="24"/>
          <w:szCs w:val="24"/>
        </w:rPr>
        <w:t>et al</w:t>
      </w:r>
      <w:r>
        <w:rPr>
          <w:sz w:val="24"/>
          <w:szCs w:val="24"/>
        </w:rPr>
        <w:t>. 2001).</w:t>
      </w:r>
    </w:p>
    <w:p>
      <w:pPr>
        <w:pStyle w:val="AQISNum"/>
        <w:numPr>
          <w:ilvl w:val="0"/>
          <w:numId w:val="9"/>
        </w:numPr>
        <w:spacing w:before="40"/>
        <w:ind w:left="357" w:hanging="357"/>
        <w:jc w:val="left"/>
        <w:rPr>
          <w:sz w:val="24"/>
          <w:szCs w:val="24"/>
        </w:rPr>
      </w:pPr>
      <w:r>
        <w:rPr>
          <w:sz w:val="24"/>
          <w:szCs w:val="24"/>
        </w:rPr>
        <w:t xml:space="preserve">After hot water treatment, dormant cuttings must be plunged into cold water to quickly lower the temperature and minimise heat damage to the tissue (Waite </w:t>
      </w:r>
      <w:r>
        <w:rPr>
          <w:i/>
          <w:sz w:val="24"/>
          <w:szCs w:val="24"/>
        </w:rPr>
        <w:t>et al</w:t>
      </w:r>
      <w:r>
        <w:rPr>
          <w:sz w:val="24"/>
          <w:szCs w:val="24"/>
        </w:rPr>
        <w:t>. 2005).</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Mandatory sodium hypochlorite treatment</w:t>
      </w:r>
    </w:p>
    <w:p>
      <w:pPr>
        <w:pStyle w:val="AQISText"/>
        <w:spacing w:before="0"/>
        <w:jc w:val="left"/>
      </w:pPr>
      <w:r>
        <w:rPr>
          <w:sz w:val="24"/>
          <w:szCs w:val="24"/>
        </w:rPr>
        <w:t>It is proposed that dormant cuttings be subjected to sodium hypochlorite treatment (1% NaOCl for 5 minutes) for surface sterilisation. Sodium hypochlorite treatment of dormant grapevine cuttings has been recommended to facilitate the safe introduction of grapevine propagative material (Frison and Ikin 1991). Treatment with sodium hypochlorite should be undertaken after the hot water treatment outlined above; this should allow some residual effect and increase the efficacy of the sodium hypochlorite treatment.</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Mandatory culturing</w:t>
      </w:r>
    </w:p>
    <w:p>
      <w:pPr>
        <w:pStyle w:val="AQISText"/>
        <w:spacing w:before="0"/>
        <w:jc w:val="left"/>
        <w:rPr>
          <w:sz w:val="24"/>
          <w:szCs w:val="24"/>
        </w:rPr>
      </w:pPr>
      <w:r>
        <w:rPr>
          <w:sz w:val="24"/>
          <w:szCs w:val="24"/>
        </w:rPr>
        <w:t>It is proposed that following hot water and sodium hypochlorite treatments, macerated buds from dormant cuttings be cultured to detect bacterial and fungal pathogens. This broad spectrum culturing test is useful to screen imported dormant cuttings for fungal and bacterial pathogens.</w:t>
      </w:r>
    </w:p>
    <w:p>
      <w:pPr>
        <w:pStyle w:val="Heading4"/>
        <w:numPr>
          <w:ilvl w:val="0"/>
          <w:numId w:val="0"/>
        </w:numPr>
        <w:spacing w:before="180" w:after="120"/>
        <w:ind w:left="1077" w:hanging="1077"/>
        <w:jc w:val="left"/>
        <w:rPr>
          <w:rFonts w:ascii="Verdana" w:hAnsi="Verdana"/>
          <w:sz w:val="22"/>
          <w:szCs w:val="22"/>
        </w:rPr>
      </w:pPr>
      <w:r>
        <w:rPr>
          <w:rFonts w:ascii="Verdana" w:hAnsi="Verdana"/>
          <w:sz w:val="22"/>
          <w:szCs w:val="22"/>
        </w:rPr>
        <w:t>Mandatory growth in PEQ facilities</w:t>
      </w:r>
    </w:p>
    <w:p>
      <w:pPr>
        <w:pStyle w:val="AQISText"/>
        <w:spacing w:before="0"/>
        <w:jc w:val="left"/>
        <w:rPr>
          <w:sz w:val="24"/>
          <w:szCs w:val="24"/>
        </w:rPr>
      </w:pPr>
      <w:r>
        <w:rPr>
          <w:sz w:val="24"/>
          <w:szCs w:val="24"/>
        </w:rPr>
        <w:t>It is proposed that imported grapevine cuttings be grown in a closed government PEQ facility for a minimum period of 16 months instead of 24 months. The purpose of growth in PEQ facilities is to screen imported grapevine propagative material for pathogens in order to prevent the introduction of quarantine pests into Australia. It is proposed that newly established plants are maintained at 20–25 °C for 12 months in closed quarantine followed by four months growth in screen houses. During growth in PEQ, plants must be subject to pathogen screening, visual inspection and pathogen testing, as outlined below.</w:t>
      </w:r>
    </w:p>
    <w:p>
      <w:pPr>
        <w:pStyle w:val="BodyText2"/>
        <w:spacing w:before="120" w:after="80" w:line="280" w:lineRule="atLeast"/>
        <w:jc w:val="left"/>
        <w:rPr>
          <w:rFonts w:ascii="Verdana" w:hAnsi="Verdana"/>
          <w:b/>
          <w:sz w:val="18"/>
          <w:szCs w:val="18"/>
        </w:rPr>
      </w:pPr>
      <w:r>
        <w:rPr>
          <w:rFonts w:ascii="Verdana" w:hAnsi="Verdana"/>
          <w:b/>
          <w:sz w:val="18"/>
          <w:szCs w:val="18"/>
        </w:rPr>
        <w:lastRenderedPageBreak/>
        <w:t>Pathogen screening</w:t>
      </w:r>
    </w:p>
    <w:p>
      <w:pPr>
        <w:pStyle w:val="AQISText"/>
        <w:spacing w:before="0"/>
        <w:jc w:val="left"/>
        <w:rPr>
          <w:sz w:val="24"/>
          <w:szCs w:val="24"/>
        </w:rPr>
      </w:pPr>
      <w:r>
        <w:rPr>
          <w:sz w:val="24"/>
          <w:szCs w:val="24"/>
        </w:rPr>
        <w:t>It is proposed that during PEQ growth period, plants and plantlets are subjected to visual inspection, electron microscopy and active testing, including biological indexing and molecular testing.</w:t>
      </w:r>
    </w:p>
    <w:p>
      <w:pPr>
        <w:pStyle w:val="BodyText2"/>
        <w:spacing w:before="120" w:after="80" w:line="280" w:lineRule="atLeast"/>
        <w:jc w:val="left"/>
        <w:rPr>
          <w:rFonts w:ascii="Verdana" w:hAnsi="Verdana"/>
          <w:b/>
          <w:sz w:val="18"/>
          <w:szCs w:val="18"/>
        </w:rPr>
      </w:pPr>
      <w:r>
        <w:rPr>
          <w:rFonts w:ascii="Verdana" w:hAnsi="Verdana"/>
          <w:b/>
          <w:sz w:val="18"/>
          <w:szCs w:val="18"/>
        </w:rPr>
        <w:t>Visual inspection</w:t>
      </w:r>
    </w:p>
    <w:p>
      <w:pPr>
        <w:spacing w:line="275" w:lineRule="atLeast"/>
        <w:jc w:val="left"/>
      </w:pPr>
      <w:r>
        <w:t xml:space="preserve">Pathogen screening (visual screening) during growth in PEQ is proposed to continue for the detection of symptomatic pathogens. Fungal and bacterial pathogens associated with grapevines may produce distinct </w:t>
      </w:r>
      <w:r>
        <w:rPr>
          <w:snapToGrid w:val="0"/>
        </w:rPr>
        <w:t>symptoms</w:t>
      </w:r>
      <w:r>
        <w:t xml:space="preserve"> that make them easy to identify by visual inspection during growth period in PEQ.</w:t>
      </w:r>
    </w:p>
    <w:p>
      <w:pPr>
        <w:pStyle w:val="BodyText2"/>
        <w:spacing w:before="120" w:after="80" w:line="280" w:lineRule="atLeast"/>
        <w:jc w:val="left"/>
        <w:rPr>
          <w:rFonts w:ascii="Verdana" w:hAnsi="Verdana"/>
          <w:b/>
          <w:sz w:val="18"/>
          <w:szCs w:val="18"/>
        </w:rPr>
      </w:pPr>
      <w:r>
        <w:rPr>
          <w:rFonts w:ascii="Verdana" w:hAnsi="Verdana"/>
          <w:b/>
          <w:sz w:val="18"/>
          <w:szCs w:val="18"/>
        </w:rPr>
        <w:t>Pathogen testing</w:t>
      </w:r>
    </w:p>
    <w:p>
      <w:pPr>
        <w:spacing w:line="275" w:lineRule="atLeast"/>
        <w:jc w:val="left"/>
        <w:rPr>
          <w:lang w:eastAsia="en-AU"/>
        </w:rPr>
      </w:pPr>
      <w:r>
        <w:t xml:space="preserve">The proposed pathogen testing during growth in PEQ will include </w:t>
      </w:r>
      <w:r>
        <w:rPr>
          <w:snapToGrid w:val="0"/>
        </w:rPr>
        <w:t xml:space="preserve">active testing for quarantine pathogens, using traditional </w:t>
      </w:r>
      <w:r>
        <w:t>and</w:t>
      </w:r>
      <w:r>
        <w:rPr>
          <w:snapToGrid w:val="0"/>
        </w:rPr>
        <w:t xml:space="preserve"> modern techniques</w:t>
      </w:r>
      <w:r>
        <w:t xml:space="preserve">. </w:t>
      </w:r>
      <w:r>
        <w:rPr>
          <w:lang w:eastAsia="en-AU"/>
        </w:rPr>
        <w:t xml:space="preserve">Laboratory methods, including culturing, biological indicators, electron microscopy and molecular tests (PCR) may be used to detect grapevine pathogens. </w:t>
      </w:r>
    </w:p>
    <w:p>
      <w:pPr>
        <w:pStyle w:val="BodyText2"/>
        <w:spacing w:before="120" w:after="80" w:line="280" w:lineRule="atLeast"/>
        <w:jc w:val="left"/>
        <w:rPr>
          <w:rFonts w:ascii="Verdana" w:hAnsi="Verdana" w:cs="Verdana"/>
          <w:b/>
          <w:bCs/>
          <w:iCs/>
          <w:sz w:val="16"/>
          <w:szCs w:val="16"/>
        </w:rPr>
      </w:pPr>
      <w:r>
        <w:rPr>
          <w:rFonts w:ascii="Verdana" w:hAnsi="Verdana" w:cs="Verdana"/>
          <w:b/>
          <w:bCs/>
          <w:iCs/>
          <w:sz w:val="16"/>
          <w:szCs w:val="16"/>
        </w:rPr>
        <w:t>Bacterial pathogens</w:t>
      </w:r>
    </w:p>
    <w:p>
      <w:pPr>
        <w:pStyle w:val="AQISNum"/>
        <w:numPr>
          <w:ilvl w:val="0"/>
          <w:numId w:val="9"/>
        </w:numPr>
        <w:spacing w:before="40" w:line="275" w:lineRule="atLeast"/>
        <w:ind w:left="357" w:hanging="357"/>
        <w:jc w:val="left"/>
        <w:rPr>
          <w:sz w:val="24"/>
          <w:szCs w:val="24"/>
        </w:rPr>
      </w:pPr>
      <w:r>
        <w:rPr>
          <w:sz w:val="24"/>
          <w:szCs w:val="24"/>
        </w:rPr>
        <w:t xml:space="preserve">Active pathogen testing including molecular </w:t>
      </w:r>
      <w:r>
        <w:rPr>
          <w:sz w:val="24"/>
          <w:szCs w:val="24"/>
          <w:lang w:eastAsia="en-AU"/>
        </w:rPr>
        <w:t xml:space="preserve">tests </w:t>
      </w:r>
      <w:r>
        <w:rPr>
          <w:sz w:val="24"/>
          <w:szCs w:val="24"/>
        </w:rPr>
        <w:t xml:space="preserve">for </w:t>
      </w:r>
      <w:r>
        <w:rPr>
          <w:i/>
          <w:iCs/>
          <w:sz w:val="24"/>
          <w:szCs w:val="24"/>
        </w:rPr>
        <w:t>Xylella fastidiosa</w:t>
      </w:r>
      <w:r>
        <w:rPr>
          <w:sz w:val="24"/>
          <w:szCs w:val="24"/>
        </w:rPr>
        <w:t>, in addition to hot water treatment and visual inspection is proposed.</w:t>
      </w:r>
    </w:p>
    <w:p>
      <w:pPr>
        <w:pStyle w:val="AQISNum"/>
        <w:numPr>
          <w:ilvl w:val="0"/>
          <w:numId w:val="9"/>
        </w:numPr>
        <w:spacing w:before="40" w:line="275" w:lineRule="atLeast"/>
        <w:ind w:left="357" w:hanging="357"/>
        <w:jc w:val="left"/>
        <w:rPr>
          <w:sz w:val="24"/>
          <w:szCs w:val="24"/>
        </w:rPr>
      </w:pPr>
      <w:r>
        <w:rPr>
          <w:sz w:val="24"/>
          <w:szCs w:val="24"/>
        </w:rPr>
        <w:t xml:space="preserve">Diagnostic tests, including culturing and microscopy, are proposed for </w:t>
      </w:r>
      <w:r>
        <w:rPr>
          <w:i/>
          <w:iCs/>
          <w:sz w:val="24"/>
          <w:szCs w:val="24"/>
        </w:rPr>
        <w:t xml:space="preserve">Xanthomonas campestris </w:t>
      </w:r>
      <w:r>
        <w:rPr>
          <w:sz w:val="24"/>
          <w:szCs w:val="24"/>
        </w:rPr>
        <w:t>pv.</w:t>
      </w:r>
      <w:r>
        <w:rPr>
          <w:i/>
          <w:iCs/>
          <w:sz w:val="24"/>
          <w:szCs w:val="24"/>
        </w:rPr>
        <w:t xml:space="preserve"> viticola</w:t>
      </w:r>
      <w:r>
        <w:rPr>
          <w:sz w:val="24"/>
          <w:szCs w:val="24"/>
        </w:rPr>
        <w:t xml:space="preserve"> and </w:t>
      </w:r>
      <w:r>
        <w:rPr>
          <w:i/>
          <w:iCs/>
          <w:sz w:val="24"/>
          <w:szCs w:val="24"/>
        </w:rPr>
        <w:t>Xylophilus ampelinus</w:t>
      </w:r>
      <w:r>
        <w:rPr>
          <w:iCs/>
          <w:sz w:val="24"/>
          <w:szCs w:val="24"/>
        </w:rPr>
        <w:t>. However,</w:t>
      </w:r>
      <w:r>
        <w:rPr>
          <w:sz w:val="24"/>
          <w:szCs w:val="24"/>
        </w:rPr>
        <w:t xml:space="preserve"> if symptoms develop during growth in PEQ, molecular testing (including PCR) for </w:t>
      </w:r>
      <w:r>
        <w:rPr>
          <w:i/>
          <w:iCs/>
          <w:sz w:val="24"/>
          <w:szCs w:val="24"/>
        </w:rPr>
        <w:t xml:space="preserve">Xanthomonas campestris </w:t>
      </w:r>
      <w:r>
        <w:rPr>
          <w:sz w:val="24"/>
          <w:szCs w:val="24"/>
        </w:rPr>
        <w:t>pv.</w:t>
      </w:r>
      <w:r>
        <w:rPr>
          <w:i/>
          <w:iCs/>
          <w:sz w:val="24"/>
          <w:szCs w:val="24"/>
        </w:rPr>
        <w:t xml:space="preserve"> viticola</w:t>
      </w:r>
      <w:r>
        <w:rPr>
          <w:sz w:val="24"/>
          <w:szCs w:val="24"/>
        </w:rPr>
        <w:t xml:space="preserve"> (Trindade </w:t>
      </w:r>
      <w:r>
        <w:rPr>
          <w:i/>
          <w:sz w:val="24"/>
          <w:szCs w:val="24"/>
        </w:rPr>
        <w:t>et al</w:t>
      </w:r>
      <w:r>
        <w:rPr>
          <w:sz w:val="24"/>
          <w:szCs w:val="24"/>
        </w:rPr>
        <w:t xml:space="preserve">. 2005) and </w:t>
      </w:r>
      <w:r>
        <w:rPr>
          <w:i/>
          <w:iCs/>
          <w:sz w:val="24"/>
          <w:szCs w:val="24"/>
        </w:rPr>
        <w:t xml:space="preserve">Xylophilus ampelinus </w:t>
      </w:r>
      <w:r>
        <w:rPr>
          <w:iCs/>
          <w:sz w:val="24"/>
          <w:szCs w:val="24"/>
        </w:rPr>
        <w:t xml:space="preserve">(Botha </w:t>
      </w:r>
      <w:r>
        <w:rPr>
          <w:i/>
          <w:iCs/>
          <w:sz w:val="24"/>
          <w:szCs w:val="24"/>
        </w:rPr>
        <w:t>et al</w:t>
      </w:r>
      <w:r>
        <w:rPr>
          <w:iCs/>
          <w:sz w:val="24"/>
          <w:szCs w:val="24"/>
        </w:rPr>
        <w:t xml:space="preserve">. 2001) </w:t>
      </w:r>
      <w:r>
        <w:rPr>
          <w:sz w:val="24"/>
          <w:szCs w:val="24"/>
        </w:rPr>
        <w:t>is proposed.</w:t>
      </w:r>
    </w:p>
    <w:p>
      <w:pPr>
        <w:pStyle w:val="BodyText2"/>
        <w:spacing w:before="120" w:after="80" w:line="280" w:lineRule="atLeast"/>
        <w:jc w:val="left"/>
        <w:rPr>
          <w:rFonts w:ascii="Verdana" w:hAnsi="Verdana" w:cs="Verdana"/>
          <w:b/>
          <w:bCs/>
          <w:iCs/>
          <w:sz w:val="16"/>
          <w:szCs w:val="16"/>
        </w:rPr>
      </w:pPr>
      <w:r>
        <w:rPr>
          <w:rFonts w:ascii="Verdana" w:hAnsi="Verdana" w:cs="Verdana"/>
          <w:b/>
          <w:bCs/>
          <w:iCs/>
          <w:sz w:val="16"/>
          <w:szCs w:val="16"/>
        </w:rPr>
        <w:t>Fungal pathogens</w:t>
      </w:r>
    </w:p>
    <w:p>
      <w:pPr>
        <w:pStyle w:val="AQISNum"/>
        <w:numPr>
          <w:ilvl w:val="0"/>
          <w:numId w:val="9"/>
        </w:numPr>
        <w:spacing w:before="0" w:line="275" w:lineRule="atLeast"/>
        <w:ind w:left="357" w:hanging="357"/>
        <w:jc w:val="left"/>
        <w:rPr>
          <w:sz w:val="24"/>
          <w:szCs w:val="24"/>
        </w:rPr>
      </w:pPr>
      <w:r>
        <w:rPr>
          <w:sz w:val="24"/>
          <w:szCs w:val="24"/>
        </w:rPr>
        <w:t>Newly established plants (from imported propagative material) will be subject to growing season inspection and if symptoms develop during the PEQ period, further diagnostic testing; including culturing, microscopy and molecular tests is proposed.</w:t>
      </w:r>
    </w:p>
    <w:p>
      <w:pPr>
        <w:pStyle w:val="BodyText2"/>
        <w:spacing w:before="120" w:after="80" w:line="280" w:lineRule="atLeast"/>
        <w:jc w:val="left"/>
        <w:rPr>
          <w:rFonts w:ascii="Verdana" w:hAnsi="Verdana" w:cs="Verdana"/>
          <w:b/>
          <w:bCs/>
          <w:iCs/>
          <w:sz w:val="16"/>
          <w:szCs w:val="24"/>
        </w:rPr>
      </w:pPr>
      <w:r>
        <w:rPr>
          <w:rFonts w:ascii="Verdana" w:hAnsi="Verdana" w:cs="Verdana"/>
          <w:b/>
          <w:bCs/>
          <w:iCs/>
          <w:sz w:val="16"/>
          <w:szCs w:val="24"/>
        </w:rPr>
        <w:t>Phytoplasmas</w:t>
      </w:r>
    </w:p>
    <w:p>
      <w:pPr>
        <w:pStyle w:val="AQISNum"/>
        <w:numPr>
          <w:ilvl w:val="0"/>
          <w:numId w:val="9"/>
        </w:numPr>
        <w:spacing w:before="0" w:line="275" w:lineRule="atLeast"/>
        <w:ind w:left="357" w:hanging="357"/>
        <w:jc w:val="left"/>
        <w:rPr>
          <w:sz w:val="24"/>
          <w:szCs w:val="24"/>
        </w:rPr>
      </w:pPr>
      <w:r>
        <w:rPr>
          <w:sz w:val="24"/>
          <w:szCs w:val="24"/>
        </w:rPr>
        <w:t>Newly established plants (from imported propagative material) will be subject to growing season inspection and active pathogen testing, including a generic PCR.</w:t>
      </w:r>
    </w:p>
    <w:p>
      <w:pPr>
        <w:pStyle w:val="AQISText"/>
        <w:spacing w:before="120" w:line="275" w:lineRule="atLeast"/>
        <w:jc w:val="left"/>
        <w:rPr>
          <w:sz w:val="24"/>
          <w:szCs w:val="24"/>
          <w:lang w:eastAsia="en-AU"/>
        </w:rPr>
      </w:pPr>
      <w:r>
        <w:rPr>
          <w:sz w:val="24"/>
          <w:szCs w:val="24"/>
          <w:lang w:eastAsia="en-AU"/>
        </w:rPr>
        <w:t>Proposed pathogen testing procedures are summarised in Table 3.2.</w:t>
      </w:r>
    </w:p>
    <w:p>
      <w:pPr>
        <w:pStyle w:val="AQISTable"/>
        <w:tabs>
          <w:tab w:val="clear" w:pos="360"/>
          <w:tab w:val="num" w:pos="1440"/>
        </w:tabs>
        <w:spacing w:before="120" w:after="80"/>
        <w:ind w:left="0" w:firstLine="0"/>
        <w:jc w:val="left"/>
        <w:rPr>
          <w:sz w:val="20"/>
        </w:rPr>
      </w:pPr>
      <w:bookmarkStart w:id="96" w:name="_Toc338424037"/>
      <w:r>
        <w:rPr>
          <w:sz w:val="20"/>
          <w:szCs w:val="24"/>
        </w:rPr>
        <w:t>Table 3.2</w:t>
      </w:r>
      <w:r>
        <w:rPr>
          <w:sz w:val="20"/>
          <w:szCs w:val="24"/>
        </w:rPr>
        <w:tab/>
        <w:t>Propos</w:t>
      </w:r>
      <w:r>
        <w:rPr>
          <w:sz w:val="20"/>
        </w:rPr>
        <w:t>ed screening procedures for bacteria, fungi and phytoplasma</w:t>
      </w:r>
      <w:bookmarkEnd w:id="96"/>
    </w:p>
    <w:tbl>
      <w:tblPr>
        <w:tblW w:w="9178" w:type="dxa"/>
        <w:tblInd w:w="2" w:type="dxa"/>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ayout w:type="fixed"/>
        <w:tblLook w:val="01E0"/>
      </w:tblPr>
      <w:tblGrid>
        <w:gridCol w:w="3367"/>
        <w:gridCol w:w="850"/>
        <w:gridCol w:w="709"/>
        <w:gridCol w:w="567"/>
        <w:gridCol w:w="1276"/>
        <w:gridCol w:w="2409"/>
      </w:tblGrid>
      <w:tr>
        <w:trPr>
          <w:tblHeader/>
        </w:trPr>
        <w:tc>
          <w:tcPr>
            <w:tcW w:w="3367" w:type="dxa"/>
            <w:vMerge w:val="restart"/>
            <w:tcBorders>
              <w:top w:val="single" w:sz="12" w:space="0" w:color="008000"/>
            </w:tcBorders>
            <w:shd w:val="clear" w:color="auto" w:fill="E0E0E0"/>
          </w:tcPr>
          <w:p>
            <w:pPr>
              <w:spacing w:before="40" w:after="40" w:line="280" w:lineRule="atLeast"/>
              <w:rPr>
                <w:rFonts w:ascii="Arial" w:hAnsi="Arial" w:cs="Arial"/>
                <w:b/>
                <w:bCs/>
                <w:sz w:val="18"/>
                <w:szCs w:val="18"/>
              </w:rPr>
            </w:pPr>
            <w:r>
              <w:rPr>
                <w:rFonts w:ascii="Arial" w:hAnsi="Arial" w:cs="Arial"/>
                <w:b/>
                <w:bCs/>
                <w:sz w:val="18"/>
                <w:szCs w:val="18"/>
              </w:rPr>
              <w:t>Pathogen type</w:t>
            </w:r>
          </w:p>
        </w:tc>
        <w:tc>
          <w:tcPr>
            <w:tcW w:w="2126" w:type="dxa"/>
            <w:gridSpan w:val="3"/>
            <w:tcBorders>
              <w:top w:val="single" w:sz="12" w:space="0" w:color="008000"/>
              <w:bottom w:val="single" w:sz="12" w:space="0" w:color="008000"/>
            </w:tcBorders>
            <w:shd w:val="clear" w:color="auto" w:fill="E0E0E0"/>
          </w:tcPr>
          <w:p>
            <w:pPr>
              <w:spacing w:before="40" w:after="40" w:line="280" w:lineRule="atLeast"/>
              <w:jc w:val="center"/>
              <w:rPr>
                <w:rFonts w:ascii="Arial" w:hAnsi="Arial" w:cs="Arial"/>
                <w:b/>
                <w:bCs/>
                <w:sz w:val="18"/>
                <w:szCs w:val="18"/>
              </w:rPr>
            </w:pPr>
            <w:r>
              <w:rPr>
                <w:rFonts w:ascii="Arial" w:hAnsi="Arial" w:cs="Arial"/>
                <w:b/>
                <w:bCs/>
                <w:sz w:val="18"/>
                <w:szCs w:val="18"/>
              </w:rPr>
              <w:t>Mandatory screening</w:t>
            </w:r>
          </w:p>
        </w:tc>
        <w:tc>
          <w:tcPr>
            <w:tcW w:w="1276" w:type="dxa"/>
            <w:vMerge w:val="restart"/>
            <w:tcBorders>
              <w:top w:val="single" w:sz="12" w:space="0" w:color="008000"/>
            </w:tcBorders>
            <w:shd w:val="clear" w:color="auto" w:fill="E0E0E0"/>
          </w:tcPr>
          <w:p>
            <w:pPr>
              <w:spacing w:before="40" w:after="40" w:line="280" w:lineRule="atLeast"/>
              <w:rPr>
                <w:rFonts w:ascii="Arial" w:hAnsi="Arial" w:cs="Arial"/>
                <w:b/>
                <w:bCs/>
                <w:sz w:val="18"/>
                <w:szCs w:val="18"/>
              </w:rPr>
            </w:pPr>
            <w:r>
              <w:rPr>
                <w:rFonts w:ascii="Arial" w:hAnsi="Arial" w:cs="Arial"/>
                <w:b/>
                <w:bCs/>
                <w:sz w:val="18"/>
                <w:szCs w:val="18"/>
              </w:rPr>
              <w:t>Additional tests</w:t>
            </w:r>
            <w:r>
              <w:rPr>
                <w:rStyle w:val="FootnoteReference"/>
                <w:b/>
                <w:bCs/>
              </w:rPr>
              <w:footnoteReference w:id="4"/>
            </w:r>
            <w:r>
              <w:rPr>
                <w:rFonts w:ascii="Arial" w:hAnsi="Arial" w:cs="Arial"/>
                <w:b/>
                <w:bCs/>
                <w:sz w:val="18"/>
                <w:szCs w:val="18"/>
              </w:rPr>
              <w:t xml:space="preserve"> </w:t>
            </w:r>
          </w:p>
        </w:tc>
        <w:tc>
          <w:tcPr>
            <w:tcW w:w="2409" w:type="dxa"/>
            <w:vMerge w:val="restart"/>
            <w:tcBorders>
              <w:top w:val="single" w:sz="12" w:space="0" w:color="008000"/>
            </w:tcBorders>
            <w:shd w:val="clear" w:color="auto" w:fill="E0E0E0"/>
          </w:tcPr>
          <w:p>
            <w:pPr>
              <w:spacing w:before="40" w:after="40" w:line="280" w:lineRule="atLeast"/>
              <w:rPr>
                <w:rFonts w:ascii="Arial" w:hAnsi="Arial" w:cs="Arial"/>
                <w:b/>
                <w:bCs/>
                <w:sz w:val="18"/>
                <w:szCs w:val="18"/>
              </w:rPr>
            </w:pPr>
            <w:r>
              <w:rPr>
                <w:rFonts w:ascii="Arial" w:hAnsi="Arial" w:cs="Arial"/>
                <w:b/>
                <w:bCs/>
                <w:sz w:val="18"/>
                <w:szCs w:val="18"/>
              </w:rPr>
              <w:t>Reference(s)</w:t>
            </w:r>
          </w:p>
        </w:tc>
      </w:tr>
      <w:tr>
        <w:trPr>
          <w:cantSplit/>
          <w:trHeight w:val="2001"/>
          <w:tblHeader/>
        </w:trPr>
        <w:tc>
          <w:tcPr>
            <w:tcW w:w="3367" w:type="dxa"/>
            <w:vMerge/>
            <w:tcBorders>
              <w:bottom w:val="single" w:sz="12" w:space="0" w:color="008000"/>
            </w:tcBorders>
            <w:shd w:val="clear" w:color="auto" w:fill="E0E0E0"/>
          </w:tcPr>
          <w:p>
            <w:pPr>
              <w:spacing w:before="40" w:after="40" w:line="280" w:lineRule="atLeast"/>
              <w:rPr>
                <w:rFonts w:ascii="Arial" w:hAnsi="Arial" w:cs="Arial"/>
                <w:b/>
                <w:bCs/>
                <w:sz w:val="18"/>
                <w:szCs w:val="18"/>
              </w:rPr>
            </w:pPr>
          </w:p>
        </w:tc>
        <w:tc>
          <w:tcPr>
            <w:tcW w:w="850" w:type="dxa"/>
            <w:tcBorders>
              <w:top w:val="single" w:sz="12" w:space="0" w:color="008000"/>
              <w:bottom w:val="single" w:sz="12" w:space="0" w:color="008000"/>
            </w:tcBorders>
            <w:shd w:val="clear" w:color="auto" w:fill="E0E0E0"/>
            <w:textDirection w:val="btLr"/>
            <w:vAlign w:val="center"/>
          </w:tcPr>
          <w:p>
            <w:pPr>
              <w:spacing w:before="40" w:after="40" w:line="280" w:lineRule="atLeast"/>
              <w:ind w:left="113" w:right="113"/>
              <w:jc w:val="center"/>
              <w:rPr>
                <w:rFonts w:ascii="Arial" w:hAnsi="Arial" w:cs="Arial"/>
                <w:sz w:val="18"/>
                <w:szCs w:val="18"/>
              </w:rPr>
            </w:pPr>
            <w:r>
              <w:rPr>
                <w:rFonts w:ascii="Arial" w:hAnsi="Arial" w:cs="Arial"/>
                <w:sz w:val="18"/>
                <w:szCs w:val="18"/>
              </w:rPr>
              <w:t>Growing season inspection</w:t>
            </w:r>
          </w:p>
        </w:tc>
        <w:tc>
          <w:tcPr>
            <w:tcW w:w="709" w:type="dxa"/>
            <w:tcBorders>
              <w:top w:val="single" w:sz="12" w:space="0" w:color="008000"/>
              <w:bottom w:val="single" w:sz="12" w:space="0" w:color="008000"/>
            </w:tcBorders>
            <w:shd w:val="clear" w:color="auto" w:fill="E0E0E0"/>
            <w:textDirection w:val="btLr"/>
            <w:vAlign w:val="center"/>
          </w:tcPr>
          <w:p>
            <w:pPr>
              <w:spacing w:before="40" w:after="40" w:line="280" w:lineRule="atLeast"/>
              <w:ind w:left="113" w:right="113"/>
              <w:jc w:val="center"/>
              <w:rPr>
                <w:rFonts w:ascii="Arial" w:hAnsi="Arial" w:cs="Arial"/>
                <w:sz w:val="18"/>
                <w:szCs w:val="18"/>
              </w:rPr>
            </w:pPr>
            <w:r>
              <w:rPr>
                <w:rFonts w:ascii="Arial" w:hAnsi="Arial" w:cs="Arial"/>
                <w:sz w:val="18"/>
                <w:szCs w:val="18"/>
              </w:rPr>
              <w:t>Culture &amp; microscopy</w:t>
            </w:r>
          </w:p>
        </w:tc>
        <w:tc>
          <w:tcPr>
            <w:tcW w:w="567" w:type="dxa"/>
            <w:tcBorders>
              <w:top w:val="single" w:sz="12" w:space="0" w:color="008000"/>
              <w:bottom w:val="single" w:sz="12" w:space="0" w:color="008000"/>
            </w:tcBorders>
            <w:shd w:val="clear" w:color="auto" w:fill="E0E0E0"/>
            <w:textDirection w:val="btLr"/>
            <w:vAlign w:val="center"/>
          </w:tcPr>
          <w:p>
            <w:pPr>
              <w:spacing w:before="40" w:after="40" w:line="280" w:lineRule="atLeast"/>
              <w:ind w:left="113" w:right="113"/>
              <w:jc w:val="center"/>
              <w:rPr>
                <w:rFonts w:ascii="Arial" w:hAnsi="Arial" w:cs="Arial"/>
                <w:sz w:val="18"/>
                <w:szCs w:val="18"/>
              </w:rPr>
            </w:pPr>
            <w:r>
              <w:rPr>
                <w:rFonts w:ascii="Arial" w:hAnsi="Arial" w:cs="Arial"/>
                <w:sz w:val="18"/>
                <w:szCs w:val="18"/>
              </w:rPr>
              <w:t xml:space="preserve">PCR </w:t>
            </w:r>
          </w:p>
        </w:tc>
        <w:tc>
          <w:tcPr>
            <w:tcW w:w="1276" w:type="dxa"/>
            <w:vMerge/>
            <w:tcBorders>
              <w:bottom w:val="single" w:sz="12" w:space="0" w:color="008000"/>
            </w:tcBorders>
            <w:shd w:val="clear" w:color="auto" w:fill="E0E0E0"/>
          </w:tcPr>
          <w:p>
            <w:pPr>
              <w:spacing w:before="40" w:after="40" w:line="280" w:lineRule="atLeast"/>
              <w:rPr>
                <w:rFonts w:ascii="Arial" w:hAnsi="Arial" w:cs="Arial"/>
                <w:b/>
                <w:bCs/>
                <w:sz w:val="18"/>
                <w:szCs w:val="18"/>
              </w:rPr>
            </w:pPr>
          </w:p>
        </w:tc>
        <w:tc>
          <w:tcPr>
            <w:tcW w:w="2409" w:type="dxa"/>
            <w:vMerge/>
            <w:tcBorders>
              <w:bottom w:val="single" w:sz="12" w:space="0" w:color="008000"/>
            </w:tcBorders>
            <w:shd w:val="clear" w:color="auto" w:fill="E0E0E0"/>
          </w:tcPr>
          <w:p>
            <w:pPr>
              <w:spacing w:before="40" w:after="40" w:line="280" w:lineRule="atLeast"/>
              <w:rPr>
                <w:rFonts w:ascii="Arial" w:hAnsi="Arial" w:cs="Arial"/>
                <w:b/>
                <w:bCs/>
                <w:sz w:val="18"/>
                <w:szCs w:val="18"/>
              </w:rPr>
            </w:pPr>
          </w:p>
        </w:tc>
      </w:tr>
      <w:tr>
        <w:tc>
          <w:tcPr>
            <w:tcW w:w="9178" w:type="dxa"/>
            <w:gridSpan w:val="6"/>
            <w:tcBorders>
              <w:top w:val="single" w:sz="12" w:space="0" w:color="008000"/>
            </w:tcBorders>
            <w:shd w:val="clear" w:color="auto" w:fill="E6E6E6"/>
          </w:tcPr>
          <w:p>
            <w:pPr>
              <w:spacing w:before="20" w:after="20" w:line="240" w:lineRule="atLeast"/>
              <w:rPr>
                <w:rFonts w:ascii="Verdana" w:hAnsi="Verdana" w:cs="Verdana"/>
                <w:sz w:val="18"/>
                <w:szCs w:val="18"/>
              </w:rPr>
            </w:pPr>
            <w:r>
              <w:rPr>
                <w:rFonts w:ascii="Verdana" w:hAnsi="Verdana" w:cs="Verdana"/>
                <w:b/>
                <w:bCs/>
                <w:sz w:val="18"/>
                <w:szCs w:val="18"/>
              </w:rPr>
              <w:t>BACTERIA</w:t>
            </w: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Xanthomonas campestris</w:t>
            </w:r>
            <w:r>
              <w:rPr>
                <w:rFonts w:ascii="Helvetica" w:hAnsi="Helvetica" w:cs="Helvetica"/>
                <w:sz w:val="16"/>
                <w:szCs w:val="16"/>
              </w:rPr>
              <w:t xml:space="preserve"> pv. </w:t>
            </w:r>
            <w:r>
              <w:rPr>
                <w:rFonts w:ascii="Helvetica" w:hAnsi="Helvetica" w:cs="Helvetica"/>
                <w:i/>
                <w:iCs/>
                <w:sz w:val="16"/>
                <w:szCs w:val="16"/>
              </w:rPr>
              <w:t>viticola</w:t>
            </w:r>
            <w:r>
              <w:rPr>
                <w:rFonts w:ascii="Helvetica" w:hAnsi="Helvetica" w:cs="Helvetica"/>
                <w:sz w:val="16"/>
                <w:szCs w:val="16"/>
              </w:rPr>
              <w:t xml:space="preserve"> </w:t>
            </w:r>
          </w:p>
        </w:tc>
        <w:tc>
          <w:tcPr>
            <w:tcW w:w="850" w:type="dxa"/>
          </w:tcPr>
          <w:p>
            <w:pPr>
              <w:spacing w:before="20" w:line="240" w:lineRule="atLeast"/>
              <w:jc w:val="center"/>
              <w:rPr>
                <w:rFonts w:ascii="Helvetica" w:hAnsi="Helvetica" w:cs="Helvetica"/>
                <w:sz w:val="16"/>
                <w:szCs w:val="16"/>
              </w:rPr>
            </w:pPr>
            <w:r>
              <w:rPr>
                <w:rFonts w:ascii="Arial" w:hAnsi="Arial" w:cs="Arial"/>
                <w:sz w:val="16"/>
                <w:szCs w:val="16"/>
              </w:rPr>
              <w:sym w:font="Wingdings" w:char="F0FC"/>
            </w:r>
          </w:p>
        </w:tc>
        <w:tc>
          <w:tcPr>
            <w:tcW w:w="709" w:type="dxa"/>
          </w:tcPr>
          <w:p>
            <w:pPr>
              <w:spacing w:before="20" w:line="240" w:lineRule="atLeast"/>
              <w:jc w:val="center"/>
              <w:rPr>
                <w:rFonts w:ascii="Helvetica" w:hAnsi="Helvetica" w:cs="Helvetica"/>
                <w:sz w:val="16"/>
                <w:szCs w:val="16"/>
              </w:rPr>
            </w:pPr>
            <w:r>
              <w:rPr>
                <w:rFonts w:ascii="Arial" w:hAnsi="Arial" w:cs="Arial"/>
                <w:sz w:val="16"/>
                <w:szCs w:val="16"/>
              </w:rPr>
              <w:sym w:font="Wingdings" w:char="F0FC"/>
            </w:r>
          </w:p>
        </w:tc>
        <w:tc>
          <w:tcPr>
            <w:tcW w:w="567" w:type="dxa"/>
          </w:tcPr>
          <w:p>
            <w:pPr>
              <w:spacing w:before="20" w:line="240" w:lineRule="atLeast"/>
              <w:jc w:val="center"/>
              <w:rPr>
                <w:rFonts w:ascii="Helvetica" w:hAnsi="Helvetica" w:cs="Helvetica"/>
                <w:sz w:val="18"/>
                <w:szCs w:val="18"/>
              </w:rPr>
            </w:pPr>
          </w:p>
        </w:tc>
        <w:tc>
          <w:tcPr>
            <w:tcW w:w="1276" w:type="dxa"/>
          </w:tcPr>
          <w:p>
            <w:pPr>
              <w:spacing w:before="20" w:line="240" w:lineRule="atLeast"/>
              <w:rPr>
                <w:rFonts w:ascii="Helvetica" w:hAnsi="Helvetica" w:cs="Helvetica"/>
                <w:sz w:val="18"/>
                <w:szCs w:val="18"/>
              </w:rPr>
            </w:pPr>
            <w:r>
              <w:rPr>
                <w:rFonts w:ascii="Helvetica" w:hAnsi="Helvetica" w:cs="Helvetica"/>
                <w:sz w:val="18"/>
                <w:szCs w:val="18"/>
              </w:rPr>
              <w:t>PCR</w:t>
            </w:r>
          </w:p>
        </w:tc>
        <w:tc>
          <w:tcPr>
            <w:tcW w:w="2409" w:type="dxa"/>
          </w:tcPr>
          <w:p>
            <w:pPr>
              <w:spacing w:before="20" w:line="240" w:lineRule="atLeast"/>
              <w:rPr>
                <w:rFonts w:ascii="Helvetica" w:hAnsi="Helvetica" w:cs="Helvetica"/>
                <w:sz w:val="18"/>
                <w:szCs w:val="18"/>
              </w:rPr>
            </w:pPr>
            <w:r>
              <w:rPr>
                <w:rFonts w:ascii="Helvetica" w:hAnsi="Helvetica" w:cs="Helvetica"/>
                <w:sz w:val="18"/>
                <w:szCs w:val="18"/>
              </w:rPr>
              <w:t xml:space="preserve">Trindade </w:t>
            </w:r>
            <w:r>
              <w:rPr>
                <w:rFonts w:ascii="Helvetica" w:hAnsi="Helvetica" w:cs="Helvetica"/>
                <w:i/>
                <w:iCs/>
                <w:sz w:val="18"/>
                <w:szCs w:val="18"/>
              </w:rPr>
              <w:t>et al</w:t>
            </w:r>
            <w:r>
              <w:rPr>
                <w:rFonts w:ascii="Helvetica" w:hAnsi="Helvetica" w:cs="Helvetica"/>
                <w:sz w:val="18"/>
                <w:szCs w:val="18"/>
              </w:rPr>
              <w:t>. 2005</w:t>
            </w: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 xml:space="preserve">Xylella fastidiosa </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p>
        </w:tc>
        <w:tc>
          <w:tcPr>
            <w:tcW w:w="567" w:type="dxa"/>
          </w:tcPr>
          <w:p>
            <w:pPr>
              <w:spacing w:before="20" w:line="240" w:lineRule="atLeast"/>
              <w:jc w:val="center"/>
              <w:rPr>
                <w:rFonts w:ascii="Arial" w:hAnsi="Arial" w:cs="Arial"/>
                <w:sz w:val="18"/>
                <w:szCs w:val="18"/>
              </w:rPr>
            </w:pPr>
            <w:r>
              <w:rPr>
                <w:rFonts w:ascii="Arial" w:hAnsi="Arial" w:cs="Arial"/>
                <w:sz w:val="18"/>
                <w:szCs w:val="18"/>
              </w:rPr>
              <w:sym w:font="Wingdings" w:char="F0FC"/>
            </w: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Helvetica" w:hAnsi="Helvetica" w:cs="Helvetica"/>
                <w:sz w:val="18"/>
                <w:szCs w:val="18"/>
              </w:rPr>
            </w:pPr>
            <w:r>
              <w:rPr>
                <w:rFonts w:ascii="Helvetica" w:hAnsi="Helvetica" w:cs="Helvetica"/>
                <w:sz w:val="18"/>
                <w:szCs w:val="18"/>
              </w:rPr>
              <w:t xml:space="preserve">Luck </w:t>
            </w:r>
            <w:r>
              <w:rPr>
                <w:rFonts w:ascii="Helvetica" w:hAnsi="Helvetica" w:cs="Helvetica"/>
                <w:i/>
                <w:sz w:val="18"/>
                <w:szCs w:val="18"/>
              </w:rPr>
              <w:t>et al</w:t>
            </w:r>
            <w:r>
              <w:rPr>
                <w:rFonts w:ascii="Helvetica" w:hAnsi="Helvetica" w:cs="Helvetica"/>
                <w:sz w:val="18"/>
                <w:szCs w:val="18"/>
              </w:rPr>
              <w:t>. 2012</w:t>
            </w: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 xml:space="preserve">Xylophilus ampelinus </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tcPr>
          <w:p>
            <w:pPr>
              <w:spacing w:before="20" w:line="240" w:lineRule="atLeast"/>
              <w:jc w:val="center"/>
              <w:rPr>
                <w:rFonts w:ascii="Arial" w:hAnsi="Arial" w:cs="Arial"/>
                <w:sz w:val="18"/>
                <w:szCs w:val="18"/>
              </w:rPr>
            </w:pPr>
          </w:p>
        </w:tc>
        <w:tc>
          <w:tcPr>
            <w:tcW w:w="1276" w:type="dxa"/>
          </w:tcPr>
          <w:p>
            <w:pPr>
              <w:spacing w:before="20" w:line="240" w:lineRule="atLeast"/>
              <w:rPr>
                <w:rFonts w:ascii="Arial" w:hAnsi="Arial" w:cs="Arial"/>
                <w:sz w:val="18"/>
                <w:szCs w:val="18"/>
              </w:rPr>
            </w:pPr>
            <w:r>
              <w:rPr>
                <w:rFonts w:ascii="Arial" w:hAnsi="Arial" w:cs="Arial"/>
                <w:sz w:val="18"/>
                <w:szCs w:val="18"/>
              </w:rPr>
              <w:t>PCR</w:t>
            </w:r>
          </w:p>
        </w:tc>
        <w:tc>
          <w:tcPr>
            <w:tcW w:w="2409" w:type="dxa"/>
          </w:tcPr>
          <w:p>
            <w:pPr>
              <w:spacing w:before="20" w:line="240" w:lineRule="atLeast"/>
              <w:rPr>
                <w:rFonts w:ascii="Helvetica" w:hAnsi="Helvetica" w:cs="Helvetica"/>
                <w:sz w:val="18"/>
                <w:szCs w:val="18"/>
              </w:rPr>
            </w:pPr>
            <w:r>
              <w:rPr>
                <w:rFonts w:ascii="Helvetica" w:hAnsi="Helvetica" w:cs="Helvetica"/>
                <w:sz w:val="18"/>
                <w:szCs w:val="18"/>
              </w:rPr>
              <w:t xml:space="preserve">Botha </w:t>
            </w:r>
            <w:r>
              <w:rPr>
                <w:rFonts w:ascii="Helvetica" w:hAnsi="Helvetica" w:cs="Helvetica"/>
                <w:i/>
                <w:iCs/>
                <w:sz w:val="18"/>
                <w:szCs w:val="18"/>
              </w:rPr>
              <w:t>et al</w:t>
            </w:r>
            <w:r>
              <w:rPr>
                <w:rFonts w:ascii="Helvetica" w:hAnsi="Helvetica" w:cs="Helvetica"/>
                <w:sz w:val="18"/>
                <w:szCs w:val="18"/>
              </w:rPr>
              <w:t>. 2001</w:t>
            </w:r>
          </w:p>
        </w:tc>
      </w:tr>
      <w:tr>
        <w:tc>
          <w:tcPr>
            <w:tcW w:w="9178" w:type="dxa"/>
            <w:gridSpan w:val="6"/>
            <w:tcBorders>
              <w:top w:val="single" w:sz="12" w:space="0" w:color="008000"/>
            </w:tcBorders>
            <w:shd w:val="clear" w:color="auto" w:fill="E6E6E6"/>
          </w:tcPr>
          <w:p>
            <w:pPr>
              <w:spacing w:before="20" w:after="20" w:line="240" w:lineRule="atLeast"/>
              <w:rPr>
                <w:rFonts w:ascii="Verdana" w:hAnsi="Verdana" w:cs="Verdana"/>
                <w:sz w:val="18"/>
                <w:szCs w:val="18"/>
              </w:rPr>
            </w:pPr>
            <w:r>
              <w:rPr>
                <w:rFonts w:ascii="Verdana" w:hAnsi="Verdana" w:cs="Verdana"/>
                <w:b/>
                <w:bCs/>
                <w:sz w:val="18"/>
                <w:szCs w:val="18"/>
              </w:rPr>
              <w:lastRenderedPageBreak/>
              <w:t>Fungi</w:t>
            </w: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Alternaria viticola</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val="restart"/>
          </w:tcPr>
          <w:p>
            <w:pPr>
              <w:spacing w:before="20" w:line="240" w:lineRule="atLeast"/>
              <w:jc w:val="center"/>
              <w:rPr>
                <w:rFonts w:ascii="Arial" w:hAnsi="Arial" w:cs="Arial"/>
                <w:sz w:val="18"/>
                <w:szCs w:val="18"/>
              </w:rPr>
            </w:pP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Arial" w:hAnsi="Arial" w:cs="Arial"/>
                <w:sz w:val="18"/>
                <w:szCs w:val="18"/>
                <w:lang w:val="de-DE"/>
              </w:rPr>
            </w:pP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Cadophora luteo-olivacea</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tcPr>
          <w:p>
            <w:pPr>
              <w:spacing w:before="20" w:line="240" w:lineRule="atLeast"/>
              <w:jc w:val="center"/>
              <w:rPr>
                <w:rFonts w:ascii="Arial" w:hAnsi="Arial" w:cs="Arial"/>
                <w:sz w:val="18"/>
                <w:szCs w:val="18"/>
              </w:rPr>
            </w:pP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Arial" w:hAnsi="Arial" w:cs="Arial"/>
                <w:sz w:val="18"/>
                <w:szCs w:val="18"/>
                <w:lang w:val="de-DE"/>
              </w:rPr>
            </w:pP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Cadophora melinii</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tcPr>
          <w:p>
            <w:pPr>
              <w:spacing w:before="20" w:line="240" w:lineRule="atLeast"/>
              <w:jc w:val="center"/>
              <w:rPr>
                <w:rFonts w:ascii="Arial" w:hAnsi="Arial" w:cs="Arial"/>
                <w:sz w:val="18"/>
                <w:szCs w:val="18"/>
              </w:rPr>
            </w:pP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Arial" w:hAnsi="Arial" w:cs="Arial"/>
                <w:sz w:val="18"/>
                <w:szCs w:val="18"/>
                <w:lang w:val="de-DE"/>
              </w:rPr>
            </w:pP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Eutypella</w:t>
            </w:r>
            <w:r>
              <w:rPr>
                <w:rFonts w:ascii="Helvetica" w:hAnsi="Helvetica" w:cs="Helvetica"/>
                <w:sz w:val="16"/>
                <w:szCs w:val="16"/>
              </w:rPr>
              <w:t xml:space="preserve"> </w:t>
            </w:r>
            <w:r>
              <w:rPr>
                <w:rFonts w:ascii="Helvetica" w:hAnsi="Helvetica" w:cs="Helvetica"/>
                <w:i/>
                <w:iCs/>
                <w:sz w:val="16"/>
                <w:szCs w:val="16"/>
              </w:rPr>
              <w:t>leprosa</w:t>
            </w:r>
          </w:p>
        </w:tc>
        <w:tc>
          <w:tcPr>
            <w:tcW w:w="850" w:type="dxa"/>
            <w:vMerge w:val="restart"/>
          </w:tcPr>
          <w:p>
            <w:pPr>
              <w:spacing w:before="20" w:line="240" w:lineRule="atLeast"/>
              <w:jc w:val="center"/>
              <w:rPr>
                <w:rFonts w:ascii="Helvetica" w:hAnsi="Helvetica" w:cs="Helvetica"/>
                <w:sz w:val="16"/>
                <w:szCs w:val="16"/>
              </w:rPr>
            </w:pPr>
            <w:r>
              <w:rPr>
                <w:rFonts w:ascii="Arial" w:hAnsi="Arial" w:cs="Arial"/>
                <w:sz w:val="16"/>
                <w:szCs w:val="16"/>
              </w:rPr>
              <w:sym w:font="Wingdings" w:char="F0FC"/>
            </w:r>
          </w:p>
        </w:tc>
        <w:tc>
          <w:tcPr>
            <w:tcW w:w="709" w:type="dxa"/>
            <w:vMerge w:val="restart"/>
          </w:tcPr>
          <w:p>
            <w:pPr>
              <w:spacing w:before="20" w:line="240" w:lineRule="atLeast"/>
              <w:jc w:val="center"/>
              <w:rPr>
                <w:rFonts w:ascii="Helvetica" w:hAnsi="Helvetica" w:cs="Helvetica"/>
                <w:sz w:val="16"/>
                <w:szCs w:val="16"/>
              </w:rPr>
            </w:pPr>
            <w:r>
              <w:rPr>
                <w:rFonts w:ascii="Arial" w:hAnsi="Arial" w:cs="Arial"/>
                <w:sz w:val="16"/>
                <w:szCs w:val="16"/>
              </w:rPr>
              <w:sym w:font="Wingdings" w:char="F0FC"/>
            </w:r>
          </w:p>
        </w:tc>
        <w:tc>
          <w:tcPr>
            <w:tcW w:w="567" w:type="dxa"/>
            <w:vMerge/>
          </w:tcPr>
          <w:p>
            <w:pPr>
              <w:spacing w:before="20" w:line="240" w:lineRule="atLeast"/>
              <w:rPr>
                <w:rFonts w:ascii="Helvetica" w:hAnsi="Helvetica" w:cs="Helvetica"/>
                <w:sz w:val="18"/>
                <w:szCs w:val="18"/>
              </w:rPr>
            </w:pPr>
          </w:p>
        </w:tc>
        <w:tc>
          <w:tcPr>
            <w:tcW w:w="1276" w:type="dxa"/>
          </w:tcPr>
          <w:p>
            <w:pPr>
              <w:spacing w:before="20" w:line="240" w:lineRule="atLeast"/>
              <w:rPr>
                <w:rFonts w:ascii="Helvetica" w:hAnsi="Helvetica" w:cs="Helvetica"/>
                <w:sz w:val="18"/>
                <w:szCs w:val="18"/>
              </w:rPr>
            </w:pPr>
          </w:p>
        </w:tc>
        <w:tc>
          <w:tcPr>
            <w:tcW w:w="2409" w:type="dxa"/>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lang w:val="de-DE"/>
              </w:rPr>
              <w:t>Eutypella vitis</w:t>
            </w:r>
            <w:r>
              <w:rPr>
                <w:rFonts w:ascii="Helvetica" w:hAnsi="Helvetica" w:cs="Helvetica"/>
                <w:sz w:val="16"/>
                <w:szCs w:val="16"/>
                <w:lang w:val="de-DE"/>
              </w:rPr>
              <w:t xml:space="preserve"> </w:t>
            </w:r>
          </w:p>
        </w:tc>
        <w:tc>
          <w:tcPr>
            <w:tcW w:w="850" w:type="dxa"/>
            <w:vMerge/>
          </w:tcPr>
          <w:p>
            <w:pPr>
              <w:spacing w:before="20" w:line="240" w:lineRule="atLeast"/>
              <w:jc w:val="center"/>
              <w:rPr>
                <w:rFonts w:ascii="Arial" w:hAnsi="Arial" w:cs="Arial"/>
                <w:sz w:val="16"/>
                <w:szCs w:val="16"/>
              </w:rPr>
            </w:pPr>
          </w:p>
        </w:tc>
        <w:tc>
          <w:tcPr>
            <w:tcW w:w="709" w:type="dxa"/>
            <w:vMerge/>
          </w:tcPr>
          <w:p>
            <w:pPr>
              <w:spacing w:before="20" w:line="240" w:lineRule="atLeast"/>
              <w:jc w:val="center"/>
              <w:rPr>
                <w:rFonts w:ascii="Arial" w:hAnsi="Arial" w:cs="Arial"/>
                <w:sz w:val="16"/>
                <w:szCs w:val="16"/>
              </w:rPr>
            </w:pPr>
          </w:p>
        </w:tc>
        <w:tc>
          <w:tcPr>
            <w:tcW w:w="567" w:type="dxa"/>
            <w:vMerge/>
          </w:tcPr>
          <w:p>
            <w:pPr>
              <w:spacing w:before="20" w:line="240" w:lineRule="atLeast"/>
              <w:rPr>
                <w:rFonts w:ascii="Arial" w:hAnsi="Arial" w:cs="Arial"/>
                <w:sz w:val="18"/>
                <w:szCs w:val="18"/>
              </w:rPr>
            </w:pP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Fomitiporia mediterranea</w:t>
            </w:r>
            <w:r>
              <w:rPr>
                <w:rFonts w:ascii="Helvetica" w:hAnsi="Helvetica" w:cs="Helvetica"/>
                <w:sz w:val="16"/>
                <w:szCs w:val="16"/>
              </w:rPr>
              <w:t xml:space="preserve"> </w:t>
            </w:r>
          </w:p>
        </w:tc>
        <w:tc>
          <w:tcPr>
            <w:tcW w:w="850" w:type="dxa"/>
            <w:vMerge w:val="restart"/>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vMerge w:val="restart"/>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tcPr>
          <w:p>
            <w:pPr>
              <w:spacing w:before="20" w:line="240" w:lineRule="atLeast"/>
              <w:rPr>
                <w:rFonts w:ascii="Arial" w:hAnsi="Arial" w:cs="Arial"/>
                <w:sz w:val="18"/>
                <w:szCs w:val="18"/>
              </w:rPr>
            </w:pPr>
          </w:p>
        </w:tc>
        <w:tc>
          <w:tcPr>
            <w:tcW w:w="1276" w:type="dxa"/>
            <w:vMerge w:val="restart"/>
          </w:tcPr>
          <w:p>
            <w:pPr>
              <w:spacing w:before="20" w:line="240" w:lineRule="atLeast"/>
              <w:rPr>
                <w:rFonts w:ascii="Arial" w:hAnsi="Arial" w:cs="Arial"/>
                <w:sz w:val="18"/>
                <w:szCs w:val="18"/>
              </w:rPr>
            </w:pPr>
            <w:r>
              <w:rPr>
                <w:rFonts w:ascii="Helvetica" w:hAnsi="Helvetica" w:cs="Helvetica"/>
                <w:sz w:val="18"/>
                <w:szCs w:val="18"/>
              </w:rPr>
              <w:t>PCR</w:t>
            </w:r>
          </w:p>
        </w:tc>
        <w:tc>
          <w:tcPr>
            <w:tcW w:w="2409" w:type="dxa"/>
            <w:vMerge w:val="restart"/>
          </w:tcPr>
          <w:p>
            <w:pPr>
              <w:spacing w:before="20" w:line="240" w:lineRule="atLeast"/>
              <w:rPr>
                <w:rFonts w:ascii="Helvetica" w:hAnsi="Helvetica" w:cs="Helvetica"/>
                <w:sz w:val="18"/>
                <w:szCs w:val="18"/>
              </w:rPr>
            </w:pPr>
            <w:r>
              <w:rPr>
                <w:rFonts w:ascii="Helvetica" w:hAnsi="Helvetica" w:cs="Helvetica"/>
                <w:sz w:val="18"/>
                <w:szCs w:val="18"/>
              </w:rPr>
              <w:t xml:space="preserve">Pilotti </w:t>
            </w:r>
            <w:r>
              <w:rPr>
                <w:rFonts w:ascii="Helvetica" w:hAnsi="Helvetica" w:cs="Helvetica"/>
                <w:i/>
                <w:iCs/>
                <w:sz w:val="18"/>
                <w:szCs w:val="18"/>
              </w:rPr>
              <w:t>et al</w:t>
            </w:r>
            <w:r>
              <w:rPr>
                <w:rFonts w:ascii="Helvetica" w:hAnsi="Helvetica" w:cs="Helvetica"/>
                <w:sz w:val="18"/>
                <w:szCs w:val="18"/>
              </w:rPr>
              <w:t>. 2010</w:t>
            </w: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Fomitiporia polymorpha</w:t>
            </w:r>
          </w:p>
        </w:tc>
        <w:tc>
          <w:tcPr>
            <w:tcW w:w="850" w:type="dxa"/>
            <w:vMerge/>
          </w:tcPr>
          <w:p>
            <w:pPr>
              <w:spacing w:before="20" w:line="240" w:lineRule="atLeast"/>
              <w:jc w:val="center"/>
              <w:rPr>
                <w:rFonts w:ascii="Arial" w:hAnsi="Arial" w:cs="Arial"/>
                <w:sz w:val="16"/>
                <w:szCs w:val="16"/>
              </w:rPr>
            </w:pPr>
          </w:p>
        </w:tc>
        <w:tc>
          <w:tcPr>
            <w:tcW w:w="709" w:type="dxa"/>
            <w:vMerge/>
          </w:tcPr>
          <w:p>
            <w:pPr>
              <w:spacing w:before="20" w:line="240" w:lineRule="atLeast"/>
              <w:jc w:val="center"/>
              <w:rPr>
                <w:rFonts w:ascii="Arial" w:hAnsi="Arial" w:cs="Arial"/>
                <w:sz w:val="16"/>
                <w:szCs w:val="16"/>
              </w:rPr>
            </w:pPr>
          </w:p>
        </w:tc>
        <w:tc>
          <w:tcPr>
            <w:tcW w:w="567" w:type="dxa"/>
            <w:vMerge/>
          </w:tcPr>
          <w:p>
            <w:pPr>
              <w:spacing w:before="20" w:line="240" w:lineRule="atLeast"/>
              <w:rPr>
                <w:rFonts w:ascii="Arial" w:hAnsi="Arial" w:cs="Arial"/>
                <w:sz w:val="18"/>
                <w:szCs w:val="18"/>
              </w:rPr>
            </w:pPr>
          </w:p>
        </w:tc>
        <w:tc>
          <w:tcPr>
            <w:tcW w:w="1276" w:type="dxa"/>
            <w:vMerge/>
          </w:tcPr>
          <w:p>
            <w:pPr>
              <w:spacing w:before="20" w:line="240" w:lineRule="atLeast"/>
              <w:rPr>
                <w:rFonts w:ascii="Arial" w:hAnsi="Arial" w:cs="Arial"/>
                <w:sz w:val="18"/>
                <w:szCs w:val="18"/>
              </w:rPr>
            </w:pPr>
          </w:p>
        </w:tc>
        <w:tc>
          <w:tcPr>
            <w:tcW w:w="2409" w:type="dxa"/>
            <w:vMerge/>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 xml:space="preserve">Guignardia </w:t>
            </w:r>
            <w:r>
              <w:rPr>
                <w:rFonts w:ascii="Helvetica" w:hAnsi="Helvetica" w:cs="Helvetica"/>
                <w:sz w:val="16"/>
                <w:szCs w:val="16"/>
              </w:rPr>
              <w:t xml:space="preserve">species </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tcPr>
          <w:p>
            <w:pPr>
              <w:spacing w:before="20" w:line="240" w:lineRule="atLeast"/>
              <w:rPr>
                <w:rFonts w:ascii="Arial" w:hAnsi="Arial" w:cs="Arial"/>
                <w:sz w:val="18"/>
                <w:szCs w:val="18"/>
              </w:rPr>
            </w:pP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Inocutis jamaicensis</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tcPr>
          <w:p>
            <w:pPr>
              <w:spacing w:before="20" w:line="240" w:lineRule="atLeast"/>
              <w:rPr>
                <w:rFonts w:ascii="Arial" w:hAnsi="Arial" w:cs="Arial"/>
                <w:sz w:val="18"/>
                <w:szCs w:val="18"/>
              </w:rPr>
            </w:pP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Monilinia fructigena</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tcPr>
          <w:p>
            <w:pPr>
              <w:spacing w:before="20" w:line="240" w:lineRule="atLeast"/>
              <w:rPr>
                <w:rFonts w:ascii="Arial" w:hAnsi="Arial" w:cs="Arial"/>
                <w:sz w:val="18"/>
                <w:szCs w:val="18"/>
              </w:rPr>
            </w:pP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 xml:space="preserve">Phaeoacremonium </w:t>
            </w:r>
            <w:r>
              <w:rPr>
                <w:rFonts w:ascii="Helvetica" w:hAnsi="Helvetica" w:cs="Helvetica"/>
                <w:sz w:val="16"/>
                <w:szCs w:val="16"/>
              </w:rPr>
              <w:t>species</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tcPr>
          <w:p>
            <w:pPr>
              <w:spacing w:before="20" w:line="240" w:lineRule="atLeast"/>
              <w:rPr>
                <w:rFonts w:ascii="Arial" w:hAnsi="Arial" w:cs="Arial"/>
                <w:sz w:val="18"/>
                <w:szCs w:val="18"/>
              </w:rPr>
            </w:pPr>
          </w:p>
        </w:tc>
        <w:tc>
          <w:tcPr>
            <w:tcW w:w="1276" w:type="dxa"/>
          </w:tcPr>
          <w:p>
            <w:pPr>
              <w:spacing w:before="20" w:line="240" w:lineRule="atLeast"/>
              <w:rPr>
                <w:rFonts w:ascii="Arial" w:hAnsi="Arial" w:cs="Arial"/>
                <w:sz w:val="18"/>
                <w:szCs w:val="18"/>
              </w:rPr>
            </w:pPr>
            <w:r>
              <w:rPr>
                <w:rFonts w:ascii="Arial" w:hAnsi="Arial" w:cs="Arial"/>
                <w:sz w:val="18"/>
                <w:szCs w:val="18"/>
              </w:rPr>
              <w:t>PCR</w:t>
            </w:r>
          </w:p>
        </w:tc>
        <w:tc>
          <w:tcPr>
            <w:tcW w:w="2409" w:type="dxa"/>
          </w:tcPr>
          <w:p>
            <w:pPr>
              <w:spacing w:before="20" w:line="240" w:lineRule="atLeast"/>
              <w:jc w:val="left"/>
              <w:rPr>
                <w:rFonts w:ascii="Helvetica" w:hAnsi="Helvetica" w:cs="Helvetica"/>
                <w:sz w:val="18"/>
                <w:szCs w:val="18"/>
              </w:rPr>
            </w:pPr>
            <w:r>
              <w:rPr>
                <w:rFonts w:ascii="Helvetica" w:hAnsi="Helvetica" w:cs="Helvetica"/>
                <w:sz w:val="18"/>
                <w:szCs w:val="18"/>
              </w:rPr>
              <w:t>Aroca and Raposo 2007</w:t>
            </w: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 xml:space="preserve">Phakopsora </w:t>
            </w:r>
            <w:r>
              <w:rPr>
                <w:rFonts w:ascii="Helvetica" w:hAnsi="Helvetica" w:cs="Helvetica"/>
                <w:sz w:val="16"/>
                <w:szCs w:val="16"/>
              </w:rPr>
              <w:t xml:space="preserve">species </w:t>
            </w:r>
          </w:p>
        </w:tc>
        <w:tc>
          <w:tcPr>
            <w:tcW w:w="850"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709" w:type="dxa"/>
          </w:tcPr>
          <w:p>
            <w:pPr>
              <w:spacing w:before="20" w:line="240" w:lineRule="atLeast"/>
              <w:jc w:val="center"/>
              <w:rPr>
                <w:rFonts w:ascii="Arial" w:hAnsi="Arial" w:cs="Arial"/>
                <w:sz w:val="16"/>
                <w:szCs w:val="16"/>
              </w:rPr>
            </w:pPr>
            <w:r>
              <w:rPr>
                <w:rFonts w:ascii="Arial" w:hAnsi="Arial" w:cs="Arial"/>
                <w:sz w:val="16"/>
                <w:szCs w:val="16"/>
              </w:rPr>
              <w:sym w:font="Wingdings" w:char="F0FC"/>
            </w:r>
          </w:p>
        </w:tc>
        <w:tc>
          <w:tcPr>
            <w:tcW w:w="567" w:type="dxa"/>
            <w:vMerge/>
          </w:tcPr>
          <w:p>
            <w:pPr>
              <w:spacing w:before="20" w:line="240" w:lineRule="atLeast"/>
              <w:rPr>
                <w:rFonts w:ascii="Arial" w:hAnsi="Arial" w:cs="Arial"/>
                <w:sz w:val="18"/>
                <w:szCs w:val="18"/>
              </w:rPr>
            </w:pPr>
          </w:p>
        </w:tc>
        <w:tc>
          <w:tcPr>
            <w:tcW w:w="1276" w:type="dxa"/>
          </w:tcPr>
          <w:p>
            <w:pPr>
              <w:spacing w:before="20" w:line="240" w:lineRule="atLeast"/>
              <w:rPr>
                <w:rFonts w:ascii="Arial" w:hAnsi="Arial" w:cs="Arial"/>
                <w:sz w:val="18"/>
                <w:szCs w:val="18"/>
              </w:rPr>
            </w:pPr>
          </w:p>
        </w:tc>
        <w:tc>
          <w:tcPr>
            <w:tcW w:w="2409" w:type="dxa"/>
          </w:tcPr>
          <w:p>
            <w:pPr>
              <w:spacing w:before="20" w:line="240" w:lineRule="atLeast"/>
              <w:rPr>
                <w:rFonts w:ascii="Helvetica" w:hAnsi="Helvetica" w:cs="Helvetica"/>
                <w:sz w:val="18"/>
                <w:szCs w:val="18"/>
              </w:rPr>
            </w:pPr>
          </w:p>
        </w:tc>
      </w:tr>
      <w:tr>
        <w:tc>
          <w:tcPr>
            <w:tcW w:w="9178" w:type="dxa"/>
            <w:gridSpan w:val="6"/>
            <w:tcBorders>
              <w:top w:val="single" w:sz="12" w:space="0" w:color="008000"/>
            </w:tcBorders>
            <w:shd w:val="clear" w:color="auto" w:fill="E6E6E6"/>
          </w:tcPr>
          <w:p>
            <w:pPr>
              <w:spacing w:before="20" w:after="20" w:line="240" w:lineRule="atLeast"/>
              <w:rPr>
                <w:rFonts w:ascii="Verdana" w:hAnsi="Verdana" w:cs="Verdana"/>
                <w:sz w:val="18"/>
                <w:szCs w:val="18"/>
              </w:rPr>
            </w:pPr>
            <w:r>
              <w:rPr>
                <w:rFonts w:ascii="Verdana" w:hAnsi="Verdana" w:cs="Verdana"/>
                <w:b/>
                <w:bCs/>
                <w:sz w:val="18"/>
                <w:szCs w:val="18"/>
              </w:rPr>
              <w:t xml:space="preserve">Phytoplasma </w:t>
            </w: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 xml:space="preserve">Candidatus </w:t>
            </w:r>
            <w:r>
              <w:rPr>
                <w:rFonts w:ascii="Helvetica" w:hAnsi="Helvetica" w:cs="Helvetica"/>
                <w:sz w:val="16"/>
                <w:szCs w:val="16"/>
              </w:rPr>
              <w:t>Phytoplasma asteris</w:t>
            </w:r>
            <w:r>
              <w:rPr>
                <w:rFonts w:ascii="Helvetica" w:hAnsi="Helvetica" w:cs="Helvetica"/>
                <w:i/>
                <w:iCs/>
                <w:sz w:val="16"/>
                <w:szCs w:val="16"/>
              </w:rPr>
              <w:t xml:space="preserve"> </w:t>
            </w:r>
          </w:p>
        </w:tc>
        <w:tc>
          <w:tcPr>
            <w:tcW w:w="850" w:type="dxa"/>
            <w:vMerge w:val="restart"/>
          </w:tcPr>
          <w:p>
            <w:pPr>
              <w:spacing w:before="20" w:line="240" w:lineRule="atLeast"/>
              <w:jc w:val="center"/>
              <w:rPr>
                <w:rFonts w:ascii="Helvetica" w:hAnsi="Helvetica" w:cs="Helvetica"/>
                <w:sz w:val="16"/>
                <w:szCs w:val="16"/>
              </w:rPr>
            </w:pPr>
            <w:r>
              <w:rPr>
                <w:rFonts w:ascii="Arial" w:hAnsi="Arial" w:cs="Arial"/>
                <w:sz w:val="16"/>
                <w:szCs w:val="16"/>
              </w:rPr>
              <w:sym w:font="Wingdings" w:char="F0FC"/>
            </w:r>
          </w:p>
        </w:tc>
        <w:tc>
          <w:tcPr>
            <w:tcW w:w="709" w:type="dxa"/>
            <w:vMerge w:val="restart"/>
          </w:tcPr>
          <w:p>
            <w:pPr>
              <w:spacing w:before="20" w:line="240" w:lineRule="atLeast"/>
              <w:jc w:val="center"/>
              <w:rPr>
                <w:rFonts w:ascii="Helvetica" w:hAnsi="Helvetica" w:cs="Helvetica"/>
                <w:sz w:val="16"/>
                <w:szCs w:val="16"/>
              </w:rPr>
            </w:pPr>
          </w:p>
        </w:tc>
        <w:tc>
          <w:tcPr>
            <w:tcW w:w="567" w:type="dxa"/>
            <w:vMerge w:val="restart"/>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1276" w:type="dxa"/>
            <w:vMerge w:val="restart"/>
          </w:tcPr>
          <w:p>
            <w:pPr>
              <w:spacing w:before="20" w:line="240" w:lineRule="atLeast"/>
              <w:rPr>
                <w:rFonts w:ascii="Helvetica" w:hAnsi="Helvetica" w:cs="Helvetica"/>
                <w:sz w:val="18"/>
                <w:szCs w:val="18"/>
              </w:rPr>
            </w:pPr>
          </w:p>
        </w:tc>
        <w:tc>
          <w:tcPr>
            <w:tcW w:w="2409" w:type="dxa"/>
            <w:vMerge w:val="restart"/>
          </w:tcPr>
          <w:p>
            <w:pPr>
              <w:spacing w:before="20" w:line="240" w:lineRule="atLeast"/>
              <w:jc w:val="left"/>
              <w:rPr>
                <w:sz w:val="18"/>
                <w:szCs w:val="18"/>
                <w:lang w:val="de-DE"/>
              </w:rPr>
            </w:pPr>
            <w:r>
              <w:rPr>
                <w:rFonts w:ascii="Helvetica" w:hAnsi="Helvetica" w:cs="Helvetica"/>
                <w:sz w:val="18"/>
                <w:szCs w:val="18"/>
                <w:lang w:val="de-DE"/>
              </w:rPr>
              <w:t xml:space="preserve">Deng and Hiruki 1991; Lee </w:t>
            </w:r>
            <w:r>
              <w:rPr>
                <w:rFonts w:ascii="Helvetica" w:hAnsi="Helvetica" w:cs="Helvetica"/>
                <w:i/>
                <w:iCs/>
                <w:sz w:val="18"/>
                <w:szCs w:val="18"/>
                <w:lang w:val="de-DE"/>
              </w:rPr>
              <w:t>et al</w:t>
            </w:r>
            <w:r>
              <w:rPr>
                <w:rFonts w:ascii="Helvetica" w:hAnsi="Helvetica" w:cs="Helvetica"/>
                <w:sz w:val="18"/>
                <w:szCs w:val="18"/>
                <w:lang w:val="de-DE"/>
              </w:rPr>
              <w:t xml:space="preserve">. 1995; Schneider </w:t>
            </w:r>
            <w:r>
              <w:rPr>
                <w:rFonts w:ascii="Helvetica" w:hAnsi="Helvetica" w:cs="Helvetica"/>
                <w:i/>
                <w:iCs/>
                <w:sz w:val="18"/>
                <w:szCs w:val="18"/>
                <w:lang w:val="de-DE"/>
              </w:rPr>
              <w:t>et al</w:t>
            </w:r>
            <w:r>
              <w:rPr>
                <w:rFonts w:ascii="Helvetica" w:hAnsi="Helvetica" w:cs="Helvetica"/>
                <w:sz w:val="18"/>
                <w:szCs w:val="18"/>
                <w:lang w:val="de-DE"/>
              </w:rPr>
              <w:t>. 1995</w:t>
            </w: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Candidatus</w:t>
            </w:r>
            <w:r>
              <w:rPr>
                <w:rFonts w:ascii="Helvetica" w:hAnsi="Helvetica" w:cs="Helvetica"/>
                <w:sz w:val="16"/>
                <w:szCs w:val="16"/>
              </w:rPr>
              <w:t xml:space="preserve"> Phytoplasma fraxini </w:t>
            </w:r>
          </w:p>
        </w:tc>
        <w:tc>
          <w:tcPr>
            <w:tcW w:w="850" w:type="dxa"/>
            <w:vMerge/>
          </w:tcPr>
          <w:p>
            <w:pPr>
              <w:spacing w:before="20" w:line="240" w:lineRule="atLeast"/>
              <w:jc w:val="center"/>
              <w:rPr>
                <w:rFonts w:ascii="Arial" w:hAnsi="Arial" w:cs="Arial"/>
                <w:sz w:val="18"/>
                <w:szCs w:val="18"/>
              </w:rPr>
            </w:pPr>
          </w:p>
        </w:tc>
        <w:tc>
          <w:tcPr>
            <w:tcW w:w="709" w:type="dxa"/>
            <w:vMerge/>
          </w:tcPr>
          <w:p>
            <w:pPr>
              <w:spacing w:before="20" w:line="240" w:lineRule="atLeast"/>
              <w:jc w:val="center"/>
              <w:rPr>
                <w:rFonts w:ascii="Helvetica" w:hAnsi="Helvetica" w:cs="Helvetica"/>
                <w:sz w:val="18"/>
                <w:szCs w:val="18"/>
              </w:rPr>
            </w:pPr>
          </w:p>
        </w:tc>
        <w:tc>
          <w:tcPr>
            <w:tcW w:w="567" w:type="dxa"/>
            <w:vMerge/>
          </w:tcPr>
          <w:p>
            <w:pPr>
              <w:spacing w:before="20" w:line="240" w:lineRule="atLeast"/>
              <w:rPr>
                <w:rFonts w:ascii="Arial" w:hAnsi="Arial" w:cs="Arial"/>
                <w:sz w:val="18"/>
                <w:szCs w:val="18"/>
              </w:rPr>
            </w:pPr>
          </w:p>
        </w:tc>
        <w:tc>
          <w:tcPr>
            <w:tcW w:w="1276" w:type="dxa"/>
            <w:vMerge/>
          </w:tcPr>
          <w:p>
            <w:pPr>
              <w:spacing w:before="20" w:line="240" w:lineRule="atLeast"/>
              <w:rPr>
                <w:rFonts w:ascii="Helvetica" w:hAnsi="Helvetica" w:cs="Helvetica"/>
                <w:sz w:val="18"/>
                <w:szCs w:val="18"/>
              </w:rPr>
            </w:pPr>
          </w:p>
        </w:tc>
        <w:tc>
          <w:tcPr>
            <w:tcW w:w="2409" w:type="dxa"/>
            <w:vMerge/>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Candidatus</w:t>
            </w:r>
            <w:r>
              <w:rPr>
                <w:rFonts w:ascii="Helvetica" w:hAnsi="Helvetica" w:cs="Helvetica"/>
                <w:sz w:val="16"/>
                <w:szCs w:val="16"/>
              </w:rPr>
              <w:t xml:space="preserve"> Phytoplasma pruni </w:t>
            </w:r>
          </w:p>
        </w:tc>
        <w:tc>
          <w:tcPr>
            <w:tcW w:w="850" w:type="dxa"/>
            <w:vMerge/>
          </w:tcPr>
          <w:p>
            <w:pPr>
              <w:spacing w:before="20" w:line="240" w:lineRule="atLeast"/>
              <w:jc w:val="center"/>
              <w:rPr>
                <w:rFonts w:ascii="Arial" w:hAnsi="Arial" w:cs="Arial"/>
                <w:sz w:val="18"/>
                <w:szCs w:val="18"/>
              </w:rPr>
            </w:pPr>
          </w:p>
        </w:tc>
        <w:tc>
          <w:tcPr>
            <w:tcW w:w="709" w:type="dxa"/>
            <w:vMerge/>
          </w:tcPr>
          <w:p>
            <w:pPr>
              <w:spacing w:before="20" w:line="240" w:lineRule="atLeast"/>
              <w:jc w:val="center"/>
              <w:rPr>
                <w:rFonts w:ascii="Helvetica" w:hAnsi="Helvetica" w:cs="Helvetica"/>
                <w:sz w:val="18"/>
                <w:szCs w:val="18"/>
              </w:rPr>
            </w:pPr>
          </w:p>
        </w:tc>
        <w:tc>
          <w:tcPr>
            <w:tcW w:w="567" w:type="dxa"/>
            <w:vMerge/>
          </w:tcPr>
          <w:p>
            <w:pPr>
              <w:spacing w:before="20" w:line="240" w:lineRule="atLeast"/>
              <w:rPr>
                <w:rFonts w:ascii="Arial" w:hAnsi="Arial" w:cs="Arial"/>
                <w:sz w:val="18"/>
                <w:szCs w:val="18"/>
              </w:rPr>
            </w:pPr>
          </w:p>
        </w:tc>
        <w:tc>
          <w:tcPr>
            <w:tcW w:w="1276" w:type="dxa"/>
            <w:vMerge/>
          </w:tcPr>
          <w:p>
            <w:pPr>
              <w:spacing w:before="20" w:line="240" w:lineRule="atLeast"/>
              <w:rPr>
                <w:rFonts w:ascii="Helvetica" w:hAnsi="Helvetica" w:cs="Helvetica"/>
                <w:sz w:val="18"/>
                <w:szCs w:val="18"/>
              </w:rPr>
            </w:pPr>
          </w:p>
        </w:tc>
        <w:tc>
          <w:tcPr>
            <w:tcW w:w="2409" w:type="dxa"/>
            <w:vMerge/>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Candidatus</w:t>
            </w:r>
            <w:r>
              <w:rPr>
                <w:rFonts w:ascii="Helvetica" w:hAnsi="Helvetica" w:cs="Helvetica"/>
                <w:sz w:val="16"/>
                <w:szCs w:val="16"/>
              </w:rPr>
              <w:t xml:space="preserve"> Phytoplasma solani </w:t>
            </w:r>
          </w:p>
        </w:tc>
        <w:tc>
          <w:tcPr>
            <w:tcW w:w="850" w:type="dxa"/>
            <w:vMerge/>
          </w:tcPr>
          <w:p>
            <w:pPr>
              <w:spacing w:before="20" w:line="240" w:lineRule="atLeast"/>
              <w:jc w:val="center"/>
              <w:rPr>
                <w:rFonts w:ascii="Arial" w:hAnsi="Arial" w:cs="Arial"/>
                <w:sz w:val="18"/>
                <w:szCs w:val="18"/>
              </w:rPr>
            </w:pPr>
          </w:p>
        </w:tc>
        <w:tc>
          <w:tcPr>
            <w:tcW w:w="709" w:type="dxa"/>
            <w:vMerge/>
          </w:tcPr>
          <w:p>
            <w:pPr>
              <w:spacing w:before="20" w:line="240" w:lineRule="atLeast"/>
              <w:jc w:val="center"/>
              <w:rPr>
                <w:rFonts w:ascii="Helvetica" w:hAnsi="Helvetica" w:cs="Helvetica"/>
                <w:sz w:val="18"/>
                <w:szCs w:val="18"/>
              </w:rPr>
            </w:pPr>
          </w:p>
        </w:tc>
        <w:tc>
          <w:tcPr>
            <w:tcW w:w="567" w:type="dxa"/>
            <w:vMerge/>
          </w:tcPr>
          <w:p>
            <w:pPr>
              <w:spacing w:before="20" w:line="240" w:lineRule="atLeast"/>
              <w:rPr>
                <w:rFonts w:ascii="Arial" w:hAnsi="Arial" w:cs="Arial"/>
                <w:sz w:val="18"/>
                <w:szCs w:val="18"/>
              </w:rPr>
            </w:pPr>
          </w:p>
        </w:tc>
        <w:tc>
          <w:tcPr>
            <w:tcW w:w="1276" w:type="dxa"/>
            <w:vMerge/>
          </w:tcPr>
          <w:p>
            <w:pPr>
              <w:spacing w:before="20" w:line="240" w:lineRule="atLeast"/>
              <w:rPr>
                <w:rFonts w:ascii="Helvetica" w:hAnsi="Helvetica" w:cs="Helvetica"/>
                <w:sz w:val="18"/>
                <w:szCs w:val="18"/>
              </w:rPr>
            </w:pPr>
          </w:p>
        </w:tc>
        <w:tc>
          <w:tcPr>
            <w:tcW w:w="2409" w:type="dxa"/>
            <w:vMerge/>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i/>
                <w:iCs/>
                <w:sz w:val="16"/>
                <w:szCs w:val="16"/>
              </w:rPr>
            </w:pPr>
            <w:r>
              <w:rPr>
                <w:rFonts w:ascii="Helvetica" w:hAnsi="Helvetica" w:cs="Helvetica"/>
                <w:i/>
                <w:iCs/>
                <w:sz w:val="16"/>
                <w:szCs w:val="16"/>
              </w:rPr>
              <w:t>Candidatus</w:t>
            </w:r>
            <w:r>
              <w:rPr>
                <w:rFonts w:ascii="Helvetica" w:hAnsi="Helvetica" w:cs="Helvetica"/>
                <w:sz w:val="16"/>
                <w:szCs w:val="16"/>
              </w:rPr>
              <w:t xml:space="preserve"> Phytoplasma ulmi</w:t>
            </w:r>
          </w:p>
        </w:tc>
        <w:tc>
          <w:tcPr>
            <w:tcW w:w="850" w:type="dxa"/>
            <w:vMerge/>
          </w:tcPr>
          <w:p>
            <w:pPr>
              <w:spacing w:before="20" w:line="240" w:lineRule="atLeast"/>
              <w:jc w:val="center"/>
              <w:rPr>
                <w:rFonts w:ascii="Arial" w:hAnsi="Arial" w:cs="Arial"/>
                <w:sz w:val="18"/>
                <w:szCs w:val="18"/>
              </w:rPr>
            </w:pPr>
          </w:p>
        </w:tc>
        <w:tc>
          <w:tcPr>
            <w:tcW w:w="709" w:type="dxa"/>
            <w:vMerge/>
          </w:tcPr>
          <w:p>
            <w:pPr>
              <w:spacing w:before="20" w:line="240" w:lineRule="atLeast"/>
              <w:jc w:val="center"/>
              <w:rPr>
                <w:rFonts w:ascii="Helvetica" w:hAnsi="Helvetica" w:cs="Helvetica"/>
                <w:sz w:val="18"/>
                <w:szCs w:val="18"/>
              </w:rPr>
            </w:pPr>
          </w:p>
        </w:tc>
        <w:tc>
          <w:tcPr>
            <w:tcW w:w="567" w:type="dxa"/>
            <w:vMerge/>
          </w:tcPr>
          <w:p>
            <w:pPr>
              <w:spacing w:before="20" w:line="240" w:lineRule="atLeast"/>
              <w:rPr>
                <w:rFonts w:ascii="Arial" w:hAnsi="Arial" w:cs="Arial"/>
                <w:sz w:val="18"/>
                <w:szCs w:val="18"/>
              </w:rPr>
            </w:pPr>
          </w:p>
        </w:tc>
        <w:tc>
          <w:tcPr>
            <w:tcW w:w="1276" w:type="dxa"/>
            <w:vMerge/>
          </w:tcPr>
          <w:p>
            <w:pPr>
              <w:spacing w:before="20" w:line="240" w:lineRule="atLeast"/>
              <w:rPr>
                <w:rFonts w:ascii="Helvetica" w:hAnsi="Helvetica" w:cs="Helvetica"/>
                <w:sz w:val="18"/>
                <w:szCs w:val="18"/>
              </w:rPr>
            </w:pPr>
          </w:p>
        </w:tc>
        <w:tc>
          <w:tcPr>
            <w:tcW w:w="2409" w:type="dxa"/>
            <w:vMerge/>
          </w:tcPr>
          <w:p>
            <w:pPr>
              <w:spacing w:before="20" w:line="240" w:lineRule="atLeast"/>
              <w:rPr>
                <w:rFonts w:ascii="Helvetica" w:hAnsi="Helvetica" w:cs="Helvetica"/>
                <w:sz w:val="18"/>
                <w:szCs w:val="18"/>
              </w:rPr>
            </w:pPr>
          </w:p>
        </w:tc>
      </w:tr>
      <w:tr>
        <w:tc>
          <w:tcPr>
            <w:tcW w:w="3367" w:type="dxa"/>
          </w:tcPr>
          <w:p>
            <w:pPr>
              <w:spacing w:before="20" w:line="240" w:lineRule="atLeast"/>
              <w:rPr>
                <w:rFonts w:ascii="Helvetica" w:hAnsi="Helvetica" w:cs="Helvetica"/>
                <w:sz w:val="16"/>
                <w:szCs w:val="16"/>
              </w:rPr>
            </w:pPr>
            <w:r>
              <w:rPr>
                <w:rFonts w:ascii="Helvetica" w:hAnsi="Helvetica" w:cs="Helvetica"/>
                <w:i/>
                <w:iCs/>
                <w:sz w:val="16"/>
                <w:szCs w:val="16"/>
              </w:rPr>
              <w:t>Candidatus</w:t>
            </w:r>
            <w:r>
              <w:rPr>
                <w:rFonts w:ascii="Helvetica" w:hAnsi="Helvetica" w:cs="Helvetica"/>
                <w:sz w:val="16"/>
                <w:szCs w:val="16"/>
              </w:rPr>
              <w:t xml:space="preserve"> Phytoplasma vitis </w:t>
            </w:r>
          </w:p>
        </w:tc>
        <w:tc>
          <w:tcPr>
            <w:tcW w:w="850" w:type="dxa"/>
            <w:vMerge/>
          </w:tcPr>
          <w:p>
            <w:pPr>
              <w:spacing w:before="20" w:line="240" w:lineRule="atLeast"/>
              <w:jc w:val="center"/>
              <w:rPr>
                <w:rFonts w:ascii="Arial" w:hAnsi="Arial" w:cs="Arial"/>
                <w:sz w:val="18"/>
                <w:szCs w:val="18"/>
              </w:rPr>
            </w:pPr>
          </w:p>
        </w:tc>
        <w:tc>
          <w:tcPr>
            <w:tcW w:w="709" w:type="dxa"/>
            <w:vMerge/>
          </w:tcPr>
          <w:p>
            <w:pPr>
              <w:spacing w:before="20" w:line="240" w:lineRule="atLeast"/>
              <w:jc w:val="center"/>
              <w:rPr>
                <w:rFonts w:ascii="Helvetica" w:hAnsi="Helvetica" w:cs="Helvetica"/>
                <w:sz w:val="18"/>
                <w:szCs w:val="18"/>
              </w:rPr>
            </w:pPr>
          </w:p>
        </w:tc>
        <w:tc>
          <w:tcPr>
            <w:tcW w:w="567" w:type="dxa"/>
            <w:vMerge/>
          </w:tcPr>
          <w:p>
            <w:pPr>
              <w:spacing w:before="20" w:line="240" w:lineRule="atLeast"/>
              <w:rPr>
                <w:rFonts w:ascii="Arial" w:hAnsi="Arial" w:cs="Arial"/>
                <w:sz w:val="18"/>
                <w:szCs w:val="18"/>
              </w:rPr>
            </w:pPr>
          </w:p>
        </w:tc>
        <w:tc>
          <w:tcPr>
            <w:tcW w:w="1276" w:type="dxa"/>
            <w:vMerge/>
          </w:tcPr>
          <w:p>
            <w:pPr>
              <w:spacing w:before="20" w:line="240" w:lineRule="atLeast"/>
              <w:rPr>
                <w:rFonts w:ascii="Helvetica" w:hAnsi="Helvetica" w:cs="Helvetica"/>
                <w:sz w:val="18"/>
                <w:szCs w:val="18"/>
              </w:rPr>
            </w:pPr>
          </w:p>
        </w:tc>
        <w:tc>
          <w:tcPr>
            <w:tcW w:w="2409" w:type="dxa"/>
            <w:vMerge/>
          </w:tcPr>
          <w:p>
            <w:pPr>
              <w:spacing w:before="20" w:line="240" w:lineRule="atLeast"/>
              <w:rPr>
                <w:rFonts w:ascii="Helvetica" w:hAnsi="Helvetica" w:cs="Helvetica"/>
                <w:sz w:val="18"/>
                <w:szCs w:val="18"/>
              </w:rPr>
            </w:pPr>
          </w:p>
        </w:tc>
      </w:tr>
      <w:tr>
        <w:tc>
          <w:tcPr>
            <w:tcW w:w="3367" w:type="dxa"/>
          </w:tcPr>
          <w:p>
            <w:pPr>
              <w:spacing w:line="240" w:lineRule="atLeast"/>
              <w:rPr>
                <w:rFonts w:ascii="Helvetica" w:hAnsi="Helvetica" w:cs="Helvetica"/>
                <w:sz w:val="16"/>
                <w:szCs w:val="16"/>
              </w:rPr>
            </w:pPr>
            <w:r>
              <w:rPr>
                <w:rFonts w:ascii="Helvetica" w:hAnsi="Helvetica" w:cs="Helvetica"/>
                <w:sz w:val="16"/>
                <w:szCs w:val="16"/>
              </w:rPr>
              <w:t xml:space="preserve">European stone fruit yellows Phytoplasma </w:t>
            </w:r>
          </w:p>
        </w:tc>
        <w:tc>
          <w:tcPr>
            <w:tcW w:w="850" w:type="dxa"/>
            <w:vMerge/>
          </w:tcPr>
          <w:p>
            <w:pPr>
              <w:spacing w:before="20" w:line="240" w:lineRule="atLeast"/>
              <w:jc w:val="center"/>
              <w:rPr>
                <w:rFonts w:ascii="Arial" w:hAnsi="Arial" w:cs="Arial"/>
                <w:sz w:val="18"/>
                <w:szCs w:val="18"/>
              </w:rPr>
            </w:pPr>
          </w:p>
        </w:tc>
        <w:tc>
          <w:tcPr>
            <w:tcW w:w="709" w:type="dxa"/>
            <w:vMerge/>
          </w:tcPr>
          <w:p>
            <w:pPr>
              <w:spacing w:before="20" w:line="240" w:lineRule="atLeast"/>
              <w:jc w:val="center"/>
              <w:rPr>
                <w:rFonts w:ascii="Helvetica" w:hAnsi="Helvetica" w:cs="Helvetica"/>
                <w:sz w:val="18"/>
                <w:szCs w:val="18"/>
              </w:rPr>
            </w:pPr>
          </w:p>
        </w:tc>
        <w:tc>
          <w:tcPr>
            <w:tcW w:w="567" w:type="dxa"/>
            <w:vMerge/>
          </w:tcPr>
          <w:p>
            <w:pPr>
              <w:spacing w:before="20" w:line="240" w:lineRule="atLeast"/>
              <w:rPr>
                <w:rFonts w:ascii="Arial" w:hAnsi="Arial" w:cs="Arial"/>
                <w:sz w:val="18"/>
                <w:szCs w:val="18"/>
              </w:rPr>
            </w:pPr>
          </w:p>
        </w:tc>
        <w:tc>
          <w:tcPr>
            <w:tcW w:w="1276" w:type="dxa"/>
            <w:vMerge/>
          </w:tcPr>
          <w:p>
            <w:pPr>
              <w:spacing w:before="20" w:line="240" w:lineRule="atLeast"/>
              <w:rPr>
                <w:rFonts w:ascii="Helvetica" w:hAnsi="Helvetica" w:cs="Helvetica"/>
                <w:sz w:val="18"/>
                <w:szCs w:val="18"/>
              </w:rPr>
            </w:pPr>
          </w:p>
        </w:tc>
        <w:tc>
          <w:tcPr>
            <w:tcW w:w="2409" w:type="dxa"/>
            <w:vMerge/>
          </w:tcPr>
          <w:p>
            <w:pPr>
              <w:spacing w:before="20" w:line="240" w:lineRule="atLeast"/>
              <w:rPr>
                <w:rFonts w:ascii="Helvetica" w:hAnsi="Helvetica" w:cs="Helvetica"/>
                <w:sz w:val="18"/>
                <w:szCs w:val="18"/>
              </w:rPr>
            </w:pPr>
          </w:p>
        </w:tc>
      </w:tr>
      <w:tr>
        <w:tc>
          <w:tcPr>
            <w:tcW w:w="3367" w:type="dxa"/>
          </w:tcPr>
          <w:p>
            <w:pPr>
              <w:spacing w:line="240" w:lineRule="atLeast"/>
              <w:rPr>
                <w:rFonts w:ascii="Helvetica" w:hAnsi="Helvetica" w:cs="Helvetica"/>
                <w:sz w:val="16"/>
                <w:szCs w:val="16"/>
              </w:rPr>
            </w:pPr>
            <w:r>
              <w:rPr>
                <w:rFonts w:ascii="Helvetica" w:hAnsi="Helvetica" w:cs="Helvetica"/>
                <w:sz w:val="16"/>
                <w:szCs w:val="16"/>
              </w:rPr>
              <w:t>Phytoplasma 16SrIX</w:t>
            </w:r>
          </w:p>
        </w:tc>
        <w:tc>
          <w:tcPr>
            <w:tcW w:w="850" w:type="dxa"/>
            <w:vMerge/>
          </w:tcPr>
          <w:p>
            <w:pPr>
              <w:spacing w:before="20" w:line="240" w:lineRule="atLeast"/>
              <w:jc w:val="center"/>
              <w:rPr>
                <w:rFonts w:ascii="Arial" w:hAnsi="Arial" w:cs="Arial"/>
                <w:sz w:val="18"/>
                <w:szCs w:val="18"/>
              </w:rPr>
            </w:pPr>
          </w:p>
        </w:tc>
        <w:tc>
          <w:tcPr>
            <w:tcW w:w="709" w:type="dxa"/>
            <w:vMerge/>
          </w:tcPr>
          <w:p>
            <w:pPr>
              <w:spacing w:before="20" w:line="240" w:lineRule="atLeast"/>
              <w:jc w:val="center"/>
              <w:rPr>
                <w:rFonts w:ascii="Helvetica" w:hAnsi="Helvetica" w:cs="Helvetica"/>
                <w:sz w:val="18"/>
                <w:szCs w:val="18"/>
              </w:rPr>
            </w:pPr>
          </w:p>
        </w:tc>
        <w:tc>
          <w:tcPr>
            <w:tcW w:w="567" w:type="dxa"/>
            <w:vMerge/>
          </w:tcPr>
          <w:p>
            <w:pPr>
              <w:spacing w:before="20" w:line="240" w:lineRule="atLeast"/>
              <w:rPr>
                <w:rFonts w:ascii="Arial" w:hAnsi="Arial" w:cs="Arial"/>
                <w:sz w:val="18"/>
                <w:szCs w:val="18"/>
              </w:rPr>
            </w:pPr>
          </w:p>
        </w:tc>
        <w:tc>
          <w:tcPr>
            <w:tcW w:w="1276" w:type="dxa"/>
            <w:vMerge/>
          </w:tcPr>
          <w:p>
            <w:pPr>
              <w:spacing w:before="20" w:line="240" w:lineRule="atLeast"/>
              <w:rPr>
                <w:rFonts w:ascii="Helvetica" w:hAnsi="Helvetica" w:cs="Helvetica"/>
                <w:sz w:val="18"/>
                <w:szCs w:val="18"/>
              </w:rPr>
            </w:pPr>
          </w:p>
        </w:tc>
        <w:tc>
          <w:tcPr>
            <w:tcW w:w="2409" w:type="dxa"/>
            <w:vMerge/>
          </w:tcPr>
          <w:p>
            <w:pPr>
              <w:spacing w:before="20" w:line="240" w:lineRule="atLeast"/>
              <w:rPr>
                <w:rFonts w:ascii="Helvetica" w:hAnsi="Helvetica" w:cs="Helvetica"/>
                <w:sz w:val="18"/>
                <w:szCs w:val="18"/>
              </w:rPr>
            </w:pPr>
          </w:p>
        </w:tc>
      </w:tr>
    </w:tbl>
    <w:p>
      <w:pPr>
        <w:pStyle w:val="BodyText2"/>
        <w:spacing w:before="120" w:after="80" w:line="280" w:lineRule="atLeast"/>
        <w:jc w:val="left"/>
        <w:rPr>
          <w:rFonts w:ascii="Verdana" w:hAnsi="Verdana" w:cs="Verdana"/>
          <w:b/>
          <w:bCs/>
          <w:iCs/>
          <w:sz w:val="16"/>
          <w:szCs w:val="16"/>
        </w:rPr>
      </w:pPr>
      <w:r>
        <w:rPr>
          <w:rFonts w:ascii="Verdana" w:hAnsi="Verdana" w:cs="Verdana"/>
          <w:b/>
          <w:bCs/>
          <w:iCs/>
          <w:sz w:val="16"/>
          <w:szCs w:val="16"/>
        </w:rPr>
        <w:t>Viruses</w:t>
      </w:r>
    </w:p>
    <w:p>
      <w:pPr>
        <w:pStyle w:val="AQISNum"/>
        <w:widowControl/>
        <w:numPr>
          <w:ilvl w:val="0"/>
          <w:numId w:val="0"/>
        </w:numPr>
        <w:adjustRightInd/>
        <w:spacing w:before="20" w:line="240" w:lineRule="atLeast"/>
        <w:jc w:val="left"/>
        <w:textAlignment w:val="auto"/>
        <w:rPr>
          <w:sz w:val="24"/>
          <w:szCs w:val="24"/>
        </w:rPr>
      </w:pPr>
      <w:r>
        <w:rPr>
          <w:sz w:val="24"/>
          <w:szCs w:val="24"/>
        </w:rPr>
        <w:t xml:space="preserve">Grapevine viruses are transmissible entities; they can be detected and identified on herbaceous and woody indicator plants. Herbaceous host indexing assays may be completed in a matter of weeks whereas woody indicator assays require a lengthier incubation period (up to two years) to complete (Rowhani </w:t>
      </w:r>
      <w:r>
        <w:rPr>
          <w:i/>
          <w:sz w:val="24"/>
          <w:szCs w:val="24"/>
        </w:rPr>
        <w:t>et al</w:t>
      </w:r>
      <w:r>
        <w:rPr>
          <w:sz w:val="24"/>
          <w:szCs w:val="24"/>
        </w:rPr>
        <w:t xml:space="preserve">. 2005). Herbaceous hosts are used to test for sap transmissible nepoviruses, whereas woody indicator plants are used to test for phloem limited viruses (Rowhani </w:t>
      </w:r>
      <w:r>
        <w:rPr>
          <w:i/>
          <w:sz w:val="24"/>
          <w:szCs w:val="24"/>
        </w:rPr>
        <w:t>et al</w:t>
      </w:r>
      <w:r>
        <w:rPr>
          <w:sz w:val="24"/>
          <w:szCs w:val="24"/>
        </w:rPr>
        <w:t>. 2005). Laboratory methods; including electron microscopy and molecular tests (PCR); can also be used to detect grape infecting viruses.</w:t>
      </w:r>
    </w:p>
    <w:p>
      <w:pPr>
        <w:pStyle w:val="AQISNum"/>
        <w:numPr>
          <w:ilvl w:val="0"/>
          <w:numId w:val="9"/>
        </w:numPr>
        <w:spacing w:before="40"/>
        <w:ind w:left="357" w:hanging="357"/>
        <w:jc w:val="left"/>
        <w:rPr>
          <w:sz w:val="24"/>
          <w:szCs w:val="24"/>
        </w:rPr>
      </w:pPr>
      <w:r>
        <w:rPr>
          <w:sz w:val="24"/>
          <w:szCs w:val="24"/>
        </w:rPr>
        <w:t>As woody indexing is time consuming, molecular tests are proposed to replace woody indexing, thereby leading to a reduction of the PEQ growth period from a minimum of 24 months to a minimum of 16 months.</w:t>
      </w:r>
    </w:p>
    <w:p>
      <w:pPr>
        <w:pStyle w:val="AQISNum"/>
        <w:numPr>
          <w:ilvl w:val="0"/>
          <w:numId w:val="9"/>
        </w:numPr>
        <w:spacing w:before="40"/>
        <w:ind w:left="357" w:hanging="357"/>
        <w:jc w:val="left"/>
      </w:pPr>
      <w:r>
        <w:rPr>
          <w:sz w:val="24"/>
          <w:szCs w:val="24"/>
        </w:rPr>
        <w:t xml:space="preserve">Molecular tests (PCR, RT-PCR, and qPCR) target the genetic material of plant pathogens and specifically test for molecular sequences that are unique to a particular pathogen. Molecular tests can be used for the detection of grapevine pathogens because each pathogen has its own unique genetic code (Van Guilder </w:t>
      </w:r>
      <w:r>
        <w:rPr>
          <w:i/>
          <w:sz w:val="24"/>
          <w:szCs w:val="24"/>
        </w:rPr>
        <w:t>et al</w:t>
      </w:r>
      <w:r>
        <w:rPr>
          <w:sz w:val="24"/>
          <w:szCs w:val="24"/>
        </w:rPr>
        <w:t>. 2008). However, these molecular tests may not detect different strains or variants of a particular virus. Therefore, a combination of biological indexing and molecular tests is proposed to increase the likelihood of detecting viruses and their variants.</w:t>
      </w:r>
    </w:p>
    <w:p>
      <w:pPr>
        <w:spacing w:before="120" w:line="280" w:lineRule="atLeast"/>
        <w:jc w:val="left"/>
      </w:pPr>
      <w:r>
        <w:lastRenderedPageBreak/>
        <w:t>Effective and robust diagnostic methods based on a well established combination of biological, serological, and/or molecular tests are required to detect viruses. Proposed mandatory general methods for viruses include:</w:t>
      </w:r>
    </w:p>
    <w:p>
      <w:pPr>
        <w:pStyle w:val="AQISNum"/>
        <w:numPr>
          <w:ilvl w:val="0"/>
          <w:numId w:val="9"/>
        </w:numPr>
        <w:ind w:left="357" w:hanging="357"/>
        <w:jc w:val="left"/>
        <w:rPr>
          <w:sz w:val="24"/>
          <w:szCs w:val="24"/>
        </w:rPr>
      </w:pPr>
      <w:r>
        <w:rPr>
          <w:sz w:val="24"/>
          <w:szCs w:val="24"/>
        </w:rPr>
        <w:t>Electron microscopy for the identified viruses.</w:t>
      </w:r>
    </w:p>
    <w:p>
      <w:pPr>
        <w:pStyle w:val="AQISNum"/>
        <w:numPr>
          <w:ilvl w:val="0"/>
          <w:numId w:val="9"/>
        </w:numPr>
        <w:ind w:left="357" w:hanging="357"/>
        <w:jc w:val="left"/>
        <w:rPr>
          <w:sz w:val="24"/>
          <w:szCs w:val="24"/>
        </w:rPr>
      </w:pPr>
      <w:r>
        <w:rPr>
          <w:sz w:val="24"/>
          <w:szCs w:val="24"/>
        </w:rPr>
        <w:t>Herbaceous host indexing for nepoviruses (</w:t>
      </w:r>
      <w:r>
        <w:rPr>
          <w:i/>
          <w:iCs/>
          <w:sz w:val="24"/>
          <w:szCs w:val="24"/>
          <w:lang w:eastAsia="en-AU"/>
        </w:rPr>
        <w:t xml:space="preserve">Chenopodium quinoa, Chenopodium amaranticolor, Cucumis sativus </w:t>
      </w:r>
      <w:r>
        <w:rPr>
          <w:iCs/>
          <w:sz w:val="24"/>
          <w:szCs w:val="24"/>
          <w:lang w:eastAsia="en-AU"/>
        </w:rPr>
        <w:t>and other species may be used as herbaceous indicators).</w:t>
      </w:r>
    </w:p>
    <w:p>
      <w:pPr>
        <w:pStyle w:val="AQISNum"/>
        <w:numPr>
          <w:ilvl w:val="0"/>
          <w:numId w:val="9"/>
        </w:numPr>
        <w:ind w:left="357" w:hanging="357"/>
        <w:jc w:val="left"/>
        <w:rPr>
          <w:sz w:val="24"/>
          <w:szCs w:val="24"/>
        </w:rPr>
      </w:pPr>
      <w:r>
        <w:rPr>
          <w:sz w:val="24"/>
          <w:szCs w:val="24"/>
        </w:rPr>
        <w:t xml:space="preserve">Generic molecular tests for </w:t>
      </w:r>
      <w:r>
        <w:rPr>
          <w:i/>
          <w:sz w:val="24"/>
          <w:szCs w:val="24"/>
        </w:rPr>
        <w:t>Ampelovirus, Ilarvirus, Maculavirus, Nepovirus</w:t>
      </w:r>
      <w:r>
        <w:rPr>
          <w:sz w:val="24"/>
          <w:szCs w:val="24"/>
        </w:rPr>
        <w:t xml:space="preserve"> and </w:t>
      </w:r>
      <w:r>
        <w:rPr>
          <w:i/>
          <w:sz w:val="24"/>
          <w:szCs w:val="24"/>
        </w:rPr>
        <w:t>Vitivirus</w:t>
      </w:r>
      <w:r>
        <w:rPr>
          <w:sz w:val="24"/>
          <w:szCs w:val="24"/>
        </w:rPr>
        <w:t>.</w:t>
      </w:r>
    </w:p>
    <w:p>
      <w:pPr>
        <w:pStyle w:val="AQISNum"/>
        <w:numPr>
          <w:ilvl w:val="0"/>
          <w:numId w:val="9"/>
        </w:numPr>
        <w:ind w:left="357" w:hanging="357"/>
        <w:jc w:val="left"/>
        <w:rPr>
          <w:bCs/>
          <w:iCs/>
          <w:sz w:val="24"/>
          <w:szCs w:val="24"/>
        </w:rPr>
      </w:pPr>
      <w:r>
        <w:rPr>
          <w:bCs/>
          <w:iCs/>
          <w:sz w:val="24"/>
          <w:szCs w:val="24"/>
        </w:rPr>
        <w:t>Specific RT-PCR for GVB (strains associated with corky bark).</w:t>
      </w:r>
    </w:p>
    <w:p>
      <w:pPr>
        <w:pStyle w:val="BodyText2"/>
        <w:spacing w:before="120" w:after="80" w:line="240" w:lineRule="atLeast"/>
        <w:jc w:val="left"/>
        <w:rPr>
          <w:iCs/>
          <w:szCs w:val="24"/>
          <w:lang w:eastAsia="en-AU"/>
        </w:rPr>
      </w:pPr>
      <w:r>
        <w:rPr>
          <w:iCs/>
          <w:szCs w:val="24"/>
          <w:lang w:eastAsia="en-AU"/>
        </w:rPr>
        <w:t>Proposed diagnostic methods for virus groups are as follows:</w:t>
      </w:r>
    </w:p>
    <w:p>
      <w:pPr>
        <w:pStyle w:val="BodyText2"/>
        <w:spacing w:before="120" w:after="80" w:line="240" w:lineRule="atLeast"/>
        <w:jc w:val="left"/>
        <w:rPr>
          <w:iCs/>
          <w:szCs w:val="24"/>
          <w:u w:val="single"/>
          <w:lang w:eastAsia="en-AU"/>
        </w:rPr>
      </w:pPr>
      <w:r>
        <w:rPr>
          <w:iCs/>
          <w:szCs w:val="24"/>
          <w:u w:val="single"/>
          <w:lang w:eastAsia="en-AU"/>
        </w:rPr>
        <w:t>Ampeloviruses</w:t>
      </w:r>
    </w:p>
    <w:p>
      <w:pPr>
        <w:pStyle w:val="AQISNum"/>
        <w:numPr>
          <w:ilvl w:val="0"/>
          <w:numId w:val="9"/>
        </w:numPr>
        <w:jc w:val="left"/>
        <w:rPr>
          <w:iCs/>
          <w:sz w:val="24"/>
          <w:szCs w:val="24"/>
          <w:lang w:eastAsia="en-AU"/>
        </w:rPr>
      </w:pPr>
      <w:r>
        <w:rPr>
          <w:iCs/>
          <w:sz w:val="24"/>
          <w:szCs w:val="24"/>
          <w:lang w:eastAsia="en-AU"/>
        </w:rPr>
        <w:t>Detection of ampeloviruses will include, but will not be limited to, the following tests:</w:t>
      </w:r>
    </w:p>
    <w:p>
      <w:pPr>
        <w:pStyle w:val="AQISNum"/>
        <w:numPr>
          <w:ilvl w:val="0"/>
          <w:numId w:val="32"/>
        </w:numPr>
        <w:spacing w:before="80"/>
        <w:ind w:left="714" w:hanging="357"/>
        <w:jc w:val="left"/>
        <w:rPr>
          <w:iCs/>
          <w:sz w:val="24"/>
          <w:szCs w:val="24"/>
          <w:lang w:eastAsia="en-AU"/>
        </w:rPr>
      </w:pPr>
      <w:r>
        <w:rPr>
          <w:sz w:val="24"/>
          <w:szCs w:val="24"/>
        </w:rPr>
        <w:t>Mandatory</w:t>
      </w:r>
      <w:r>
        <w:rPr>
          <w:iCs/>
          <w:sz w:val="24"/>
          <w:szCs w:val="24"/>
          <w:lang w:eastAsia="en-AU"/>
        </w:rPr>
        <w:t xml:space="preserve"> generic PCR for GLRaV-6, 10, 11 using the </w:t>
      </w:r>
      <w:r>
        <w:rPr>
          <w:sz w:val="24"/>
          <w:szCs w:val="24"/>
          <w:lang w:eastAsia="en-AU"/>
        </w:rPr>
        <w:t xml:space="preserve">dHSP-nest2 / LR5 clusdoL primers (Maliogka </w:t>
      </w:r>
      <w:r>
        <w:rPr>
          <w:i/>
          <w:sz w:val="24"/>
          <w:szCs w:val="24"/>
          <w:lang w:eastAsia="en-AU"/>
        </w:rPr>
        <w:t>et al</w:t>
      </w:r>
      <w:r>
        <w:rPr>
          <w:sz w:val="24"/>
          <w:szCs w:val="24"/>
          <w:lang w:eastAsia="en-AU"/>
        </w:rPr>
        <w:t>. 2008b); and</w:t>
      </w:r>
    </w:p>
    <w:p>
      <w:pPr>
        <w:pStyle w:val="AQISNum"/>
        <w:numPr>
          <w:ilvl w:val="0"/>
          <w:numId w:val="32"/>
        </w:numPr>
        <w:spacing w:before="80"/>
        <w:ind w:left="714" w:hanging="357"/>
        <w:jc w:val="left"/>
        <w:rPr>
          <w:sz w:val="24"/>
          <w:szCs w:val="24"/>
          <w:lang w:eastAsia="en-AU"/>
        </w:rPr>
      </w:pPr>
      <w:r>
        <w:rPr>
          <w:sz w:val="24"/>
          <w:szCs w:val="24"/>
          <w:lang w:eastAsia="en-AU"/>
        </w:rPr>
        <w:t xml:space="preserve">Mandatory specific one step RT-PCR for GLRaV-7 using the primer pair LR7-F/ LR7-R (Engel </w:t>
      </w:r>
      <w:r>
        <w:rPr>
          <w:i/>
          <w:sz w:val="24"/>
          <w:szCs w:val="24"/>
          <w:lang w:eastAsia="en-AU"/>
        </w:rPr>
        <w:t xml:space="preserve">et al. </w:t>
      </w:r>
      <w:r>
        <w:rPr>
          <w:sz w:val="24"/>
          <w:szCs w:val="24"/>
          <w:lang w:eastAsia="en-AU"/>
        </w:rPr>
        <w:t>2008).</w:t>
      </w:r>
    </w:p>
    <w:p>
      <w:pPr>
        <w:pStyle w:val="BodyText2"/>
        <w:spacing w:before="120" w:after="80" w:line="240" w:lineRule="atLeast"/>
        <w:jc w:val="left"/>
        <w:rPr>
          <w:iCs/>
          <w:szCs w:val="24"/>
          <w:u w:val="single"/>
          <w:lang w:eastAsia="en-AU"/>
        </w:rPr>
      </w:pPr>
      <w:r>
        <w:rPr>
          <w:iCs/>
          <w:szCs w:val="24"/>
          <w:u w:val="single"/>
          <w:lang w:eastAsia="en-AU"/>
        </w:rPr>
        <w:t>Ilarviruses</w:t>
      </w:r>
    </w:p>
    <w:p>
      <w:pPr>
        <w:pStyle w:val="AQISNum"/>
        <w:numPr>
          <w:ilvl w:val="0"/>
          <w:numId w:val="9"/>
        </w:numPr>
        <w:spacing w:before="120"/>
        <w:ind w:left="357" w:hanging="357"/>
        <w:jc w:val="left"/>
        <w:rPr>
          <w:sz w:val="24"/>
          <w:szCs w:val="24"/>
        </w:rPr>
      </w:pPr>
      <w:r>
        <w:rPr>
          <w:sz w:val="24"/>
          <w:szCs w:val="24"/>
        </w:rPr>
        <w:t>Detection of ilarviruses will include, but will not be limited to, the following tests:</w:t>
      </w:r>
    </w:p>
    <w:p>
      <w:pPr>
        <w:pStyle w:val="AQISNum"/>
        <w:numPr>
          <w:ilvl w:val="0"/>
          <w:numId w:val="32"/>
        </w:numPr>
        <w:spacing w:before="80"/>
        <w:ind w:left="714" w:hanging="357"/>
        <w:jc w:val="left"/>
        <w:rPr>
          <w:sz w:val="24"/>
          <w:szCs w:val="24"/>
        </w:rPr>
      </w:pPr>
      <w:r>
        <w:rPr>
          <w:sz w:val="24"/>
          <w:szCs w:val="24"/>
        </w:rPr>
        <w:t xml:space="preserve">Herbaceous host indexing, including </w:t>
      </w:r>
      <w:r>
        <w:rPr>
          <w:i/>
          <w:iCs/>
          <w:sz w:val="24"/>
          <w:szCs w:val="24"/>
        </w:rPr>
        <w:t xml:space="preserve">Cucumis sativus </w:t>
      </w:r>
      <w:r>
        <w:rPr>
          <w:iCs/>
          <w:sz w:val="24"/>
          <w:szCs w:val="24"/>
        </w:rPr>
        <w:t xml:space="preserve">or </w:t>
      </w:r>
      <w:r>
        <w:rPr>
          <w:i/>
          <w:iCs/>
          <w:sz w:val="24"/>
          <w:szCs w:val="24"/>
        </w:rPr>
        <w:t xml:space="preserve">Nicotiana glutinosa </w:t>
      </w:r>
      <w:r>
        <w:rPr>
          <w:iCs/>
          <w:sz w:val="24"/>
          <w:szCs w:val="24"/>
        </w:rPr>
        <w:t>(</w:t>
      </w:r>
      <w:r>
        <w:rPr>
          <w:sz w:val="24"/>
          <w:szCs w:val="24"/>
        </w:rPr>
        <w:t xml:space="preserve">grapevine line pattern virus); and </w:t>
      </w:r>
    </w:p>
    <w:p>
      <w:pPr>
        <w:pStyle w:val="AQISNum"/>
        <w:numPr>
          <w:ilvl w:val="0"/>
          <w:numId w:val="32"/>
        </w:numPr>
        <w:spacing w:before="80"/>
        <w:ind w:left="714" w:hanging="357"/>
        <w:jc w:val="left"/>
        <w:rPr>
          <w:sz w:val="24"/>
          <w:szCs w:val="24"/>
        </w:rPr>
      </w:pPr>
      <w:r>
        <w:rPr>
          <w:sz w:val="24"/>
          <w:szCs w:val="24"/>
        </w:rPr>
        <w:t>Mandatory genus specific nested PCR for ilarviruses (GAMV, GLPV) using the Ilar2F5/Ilar2R9 primer pair</w:t>
      </w:r>
      <w:r>
        <w:rPr>
          <w:sz w:val="24"/>
          <w:szCs w:val="24"/>
          <w:lang w:eastAsia="en-AU"/>
        </w:rPr>
        <w:t xml:space="preserve"> (Untiveros </w:t>
      </w:r>
      <w:r>
        <w:rPr>
          <w:i/>
          <w:sz w:val="24"/>
          <w:szCs w:val="24"/>
          <w:lang w:eastAsia="en-AU"/>
        </w:rPr>
        <w:t>et al</w:t>
      </w:r>
      <w:r>
        <w:rPr>
          <w:sz w:val="24"/>
          <w:szCs w:val="24"/>
          <w:lang w:eastAsia="en-AU"/>
        </w:rPr>
        <w:t xml:space="preserve">. 2010). </w:t>
      </w:r>
    </w:p>
    <w:p>
      <w:pPr>
        <w:pStyle w:val="BodyText2"/>
        <w:spacing w:before="120" w:after="80" w:line="240" w:lineRule="atLeast"/>
        <w:jc w:val="left"/>
        <w:rPr>
          <w:iCs/>
          <w:szCs w:val="24"/>
          <w:u w:val="single"/>
          <w:lang w:eastAsia="en-AU"/>
        </w:rPr>
      </w:pPr>
      <w:r>
        <w:rPr>
          <w:iCs/>
          <w:szCs w:val="24"/>
          <w:u w:val="single"/>
          <w:lang w:eastAsia="en-AU"/>
        </w:rPr>
        <w:t>Maculaviruses</w:t>
      </w:r>
    </w:p>
    <w:p>
      <w:pPr>
        <w:pStyle w:val="AQISNum"/>
        <w:numPr>
          <w:ilvl w:val="0"/>
          <w:numId w:val="9"/>
        </w:numPr>
        <w:spacing w:before="120"/>
        <w:ind w:left="357" w:hanging="357"/>
        <w:jc w:val="left"/>
        <w:rPr>
          <w:sz w:val="24"/>
          <w:szCs w:val="24"/>
        </w:rPr>
      </w:pPr>
      <w:r>
        <w:rPr>
          <w:sz w:val="24"/>
          <w:szCs w:val="24"/>
        </w:rPr>
        <w:t>Detection of maculaviruses will include, but will not be limited to, the following test:</w:t>
      </w:r>
    </w:p>
    <w:p>
      <w:pPr>
        <w:pStyle w:val="AQISNum"/>
        <w:numPr>
          <w:ilvl w:val="0"/>
          <w:numId w:val="32"/>
        </w:numPr>
        <w:spacing w:before="80"/>
        <w:ind w:left="714" w:hanging="357"/>
        <w:jc w:val="left"/>
        <w:rPr>
          <w:sz w:val="24"/>
          <w:szCs w:val="24"/>
        </w:rPr>
      </w:pPr>
      <w:r>
        <w:rPr>
          <w:sz w:val="24"/>
          <w:szCs w:val="24"/>
        </w:rPr>
        <w:t xml:space="preserve">Mandatory genus specific nested PCR for maculaviruses (GAMaV, GRGV) using </w:t>
      </w:r>
      <w:r>
        <w:rPr>
          <w:color w:val="000000"/>
          <w:sz w:val="24"/>
          <w:szCs w:val="24"/>
          <w:lang w:eastAsia="en-AU"/>
        </w:rPr>
        <w:t xml:space="preserve">the primer pair RD1/RGAP (Sabanadzovic </w:t>
      </w:r>
      <w:r>
        <w:rPr>
          <w:i/>
          <w:color w:val="000000"/>
          <w:sz w:val="24"/>
          <w:szCs w:val="24"/>
          <w:lang w:eastAsia="en-AU"/>
        </w:rPr>
        <w:t>et al</w:t>
      </w:r>
      <w:r>
        <w:rPr>
          <w:color w:val="000000"/>
          <w:sz w:val="24"/>
          <w:szCs w:val="24"/>
          <w:lang w:eastAsia="en-AU"/>
        </w:rPr>
        <w:t>. 2000).</w:t>
      </w:r>
    </w:p>
    <w:p>
      <w:pPr>
        <w:pStyle w:val="BodyText2"/>
        <w:spacing w:before="120" w:after="80" w:line="240" w:lineRule="atLeast"/>
        <w:jc w:val="left"/>
        <w:rPr>
          <w:iCs/>
          <w:szCs w:val="24"/>
          <w:u w:val="single"/>
          <w:lang w:eastAsia="en-AU"/>
        </w:rPr>
      </w:pPr>
      <w:r>
        <w:rPr>
          <w:iCs/>
          <w:szCs w:val="24"/>
          <w:u w:val="single"/>
          <w:lang w:eastAsia="en-AU"/>
        </w:rPr>
        <w:t>Nepoviruses</w:t>
      </w:r>
    </w:p>
    <w:p>
      <w:pPr>
        <w:pStyle w:val="AQISNum"/>
        <w:numPr>
          <w:ilvl w:val="0"/>
          <w:numId w:val="9"/>
        </w:numPr>
        <w:spacing w:before="120"/>
        <w:ind w:left="357" w:hanging="357"/>
        <w:jc w:val="left"/>
        <w:rPr>
          <w:iCs/>
          <w:sz w:val="24"/>
          <w:szCs w:val="24"/>
        </w:rPr>
      </w:pPr>
      <w:r>
        <w:rPr>
          <w:bCs/>
          <w:sz w:val="24"/>
          <w:szCs w:val="24"/>
        </w:rPr>
        <w:t>Herbaceous host indexing</w:t>
      </w:r>
      <w:r>
        <w:rPr>
          <w:b/>
          <w:bCs/>
          <w:sz w:val="24"/>
          <w:szCs w:val="24"/>
        </w:rPr>
        <w:t xml:space="preserve"> </w:t>
      </w:r>
      <w:r>
        <w:rPr>
          <w:sz w:val="24"/>
          <w:szCs w:val="24"/>
          <w:lang w:eastAsia="en-AU"/>
        </w:rPr>
        <w:t xml:space="preserve">using a range of herbaceous indicators, that include but are not limited to: </w:t>
      </w:r>
    </w:p>
    <w:p>
      <w:pPr>
        <w:pStyle w:val="AQISNum"/>
        <w:numPr>
          <w:ilvl w:val="0"/>
          <w:numId w:val="29"/>
        </w:numPr>
        <w:spacing w:before="40"/>
        <w:ind w:left="714" w:hanging="357"/>
        <w:jc w:val="left"/>
        <w:rPr>
          <w:sz w:val="24"/>
          <w:szCs w:val="24"/>
          <w:lang w:eastAsia="en-AU"/>
        </w:rPr>
      </w:pPr>
      <w:r>
        <w:rPr>
          <w:i/>
          <w:iCs/>
          <w:sz w:val="24"/>
          <w:szCs w:val="24"/>
          <w:lang w:eastAsia="en-AU"/>
        </w:rPr>
        <w:t xml:space="preserve">Chenopodium quinoa </w:t>
      </w:r>
      <w:r>
        <w:rPr>
          <w:sz w:val="24"/>
          <w:szCs w:val="24"/>
          <w:lang w:eastAsia="en-AU"/>
        </w:rPr>
        <w:t>(ArMV, BLMoV, CLRV, GARMV GBLV, GCMV, GDefV, GFLV, GTRSV, PRMV, RpRSV, SLRV, TBRV, ToRSV);</w:t>
      </w:r>
    </w:p>
    <w:p>
      <w:pPr>
        <w:pStyle w:val="AQISNum"/>
        <w:numPr>
          <w:ilvl w:val="0"/>
          <w:numId w:val="29"/>
        </w:numPr>
        <w:spacing w:before="40"/>
        <w:ind w:left="714" w:hanging="357"/>
        <w:jc w:val="left"/>
        <w:rPr>
          <w:sz w:val="24"/>
          <w:szCs w:val="24"/>
          <w:lang w:eastAsia="en-AU"/>
        </w:rPr>
      </w:pPr>
      <w:r>
        <w:rPr>
          <w:i/>
          <w:iCs/>
          <w:sz w:val="24"/>
          <w:szCs w:val="24"/>
          <w:lang w:eastAsia="en-AU"/>
        </w:rPr>
        <w:t xml:space="preserve">Chenopodium amaranticolor </w:t>
      </w:r>
      <w:r>
        <w:rPr>
          <w:sz w:val="24"/>
          <w:szCs w:val="24"/>
          <w:lang w:eastAsia="en-AU"/>
        </w:rPr>
        <w:t>(ArMV, BLMoV, CLRV, GARMV, GBLV, GCMV, GDeF, GFLV, PRMV, RpRSV, SLRV, TBRV, ToRSV);</w:t>
      </w:r>
    </w:p>
    <w:p>
      <w:pPr>
        <w:pStyle w:val="AQISNum"/>
        <w:numPr>
          <w:ilvl w:val="0"/>
          <w:numId w:val="29"/>
        </w:numPr>
        <w:spacing w:before="40"/>
        <w:ind w:left="714" w:hanging="357"/>
        <w:jc w:val="left"/>
        <w:rPr>
          <w:sz w:val="24"/>
          <w:szCs w:val="24"/>
          <w:lang w:eastAsia="en-AU"/>
        </w:rPr>
      </w:pPr>
      <w:r>
        <w:rPr>
          <w:i/>
          <w:iCs/>
          <w:sz w:val="24"/>
          <w:szCs w:val="24"/>
          <w:lang w:eastAsia="en-AU"/>
        </w:rPr>
        <w:t xml:space="preserve">Cucumis sativus </w:t>
      </w:r>
      <w:r>
        <w:rPr>
          <w:sz w:val="24"/>
          <w:szCs w:val="24"/>
          <w:lang w:eastAsia="en-AU"/>
        </w:rPr>
        <w:t>(AILV, SLRV, TBRV, ToRSV); and</w:t>
      </w:r>
    </w:p>
    <w:p>
      <w:pPr>
        <w:pStyle w:val="AQISNum"/>
        <w:numPr>
          <w:ilvl w:val="0"/>
          <w:numId w:val="9"/>
        </w:numPr>
        <w:spacing w:before="120"/>
        <w:ind w:left="357" w:hanging="357"/>
        <w:jc w:val="left"/>
        <w:rPr>
          <w:sz w:val="24"/>
          <w:szCs w:val="24"/>
        </w:rPr>
      </w:pPr>
      <w:r>
        <w:rPr>
          <w:sz w:val="24"/>
          <w:szCs w:val="24"/>
          <w:lang w:val="de-DE"/>
        </w:rPr>
        <w:t xml:space="preserve">Generic PCR testing for nepoviruses (Digiaro </w:t>
      </w:r>
      <w:r>
        <w:rPr>
          <w:i/>
          <w:sz w:val="24"/>
          <w:szCs w:val="24"/>
          <w:lang w:val="de-DE"/>
        </w:rPr>
        <w:t>et al</w:t>
      </w:r>
      <w:r>
        <w:rPr>
          <w:sz w:val="24"/>
          <w:szCs w:val="24"/>
          <w:lang w:val="de-DE"/>
        </w:rPr>
        <w:t xml:space="preserve">. 2007; Wei and Clover 2008). If nepoviruses are detected, </w:t>
      </w:r>
      <w:r>
        <w:rPr>
          <w:sz w:val="24"/>
          <w:szCs w:val="24"/>
          <w:lang w:eastAsia="en-AU"/>
        </w:rPr>
        <w:t>then virus specific tests must be performed. Virus specific tests may include (but are not limited to):</w:t>
      </w:r>
    </w:p>
    <w:p>
      <w:pPr>
        <w:pStyle w:val="AQISNum"/>
        <w:numPr>
          <w:ilvl w:val="0"/>
          <w:numId w:val="29"/>
        </w:numPr>
        <w:ind w:left="714" w:hanging="357"/>
        <w:jc w:val="left"/>
        <w:rPr>
          <w:iCs/>
          <w:sz w:val="24"/>
          <w:szCs w:val="24"/>
          <w:lang w:eastAsia="en-AU"/>
        </w:rPr>
      </w:pPr>
      <w:r>
        <w:rPr>
          <w:iCs/>
          <w:sz w:val="24"/>
          <w:szCs w:val="24"/>
          <w:lang w:eastAsia="en-AU"/>
        </w:rPr>
        <w:t xml:space="preserve">ArMV and GFLV using the primer pair M2/M3 (Wetzel </w:t>
      </w:r>
      <w:r>
        <w:rPr>
          <w:i/>
          <w:iCs/>
          <w:sz w:val="24"/>
          <w:szCs w:val="24"/>
          <w:lang w:eastAsia="en-AU"/>
        </w:rPr>
        <w:t xml:space="preserve">et al. </w:t>
      </w:r>
      <w:r>
        <w:rPr>
          <w:iCs/>
          <w:sz w:val="24"/>
          <w:szCs w:val="24"/>
          <w:lang w:eastAsia="en-AU"/>
        </w:rPr>
        <w:t>2002);</w:t>
      </w:r>
    </w:p>
    <w:p>
      <w:pPr>
        <w:pStyle w:val="AQISNum"/>
        <w:numPr>
          <w:ilvl w:val="0"/>
          <w:numId w:val="29"/>
        </w:numPr>
        <w:ind w:left="714" w:hanging="357"/>
        <w:jc w:val="left"/>
        <w:rPr>
          <w:iCs/>
          <w:sz w:val="24"/>
          <w:szCs w:val="24"/>
          <w:lang w:eastAsia="en-AU"/>
        </w:rPr>
      </w:pPr>
      <w:r>
        <w:rPr>
          <w:iCs/>
          <w:sz w:val="24"/>
          <w:szCs w:val="24"/>
          <w:lang w:eastAsia="en-AU"/>
        </w:rPr>
        <w:t xml:space="preserve">CLRV using the primer pair CLRV-5/CLRV-3 (Werner </w:t>
      </w:r>
      <w:r>
        <w:rPr>
          <w:i/>
          <w:iCs/>
          <w:sz w:val="24"/>
          <w:szCs w:val="24"/>
          <w:lang w:eastAsia="en-AU"/>
        </w:rPr>
        <w:t xml:space="preserve">et al. </w:t>
      </w:r>
      <w:r>
        <w:rPr>
          <w:iCs/>
          <w:sz w:val="24"/>
          <w:szCs w:val="24"/>
          <w:lang w:eastAsia="en-AU"/>
        </w:rPr>
        <w:t>1997);</w:t>
      </w:r>
    </w:p>
    <w:p>
      <w:pPr>
        <w:pStyle w:val="AQISNum"/>
        <w:numPr>
          <w:ilvl w:val="0"/>
          <w:numId w:val="29"/>
        </w:numPr>
        <w:spacing w:before="40"/>
        <w:ind w:left="714" w:hanging="357"/>
        <w:jc w:val="left"/>
        <w:rPr>
          <w:iCs/>
          <w:sz w:val="24"/>
          <w:szCs w:val="24"/>
          <w:lang w:eastAsia="en-AU"/>
        </w:rPr>
      </w:pPr>
      <w:r>
        <w:rPr>
          <w:iCs/>
          <w:sz w:val="24"/>
          <w:szCs w:val="24"/>
          <w:lang w:eastAsia="en-AU"/>
        </w:rPr>
        <w:t xml:space="preserve">GARSV using the primer pair A34-1/ A34-2 (Gokalp </w:t>
      </w:r>
      <w:r>
        <w:rPr>
          <w:i/>
          <w:iCs/>
          <w:sz w:val="24"/>
          <w:szCs w:val="24"/>
          <w:lang w:eastAsia="en-AU"/>
        </w:rPr>
        <w:t xml:space="preserve">et al. </w:t>
      </w:r>
      <w:r>
        <w:rPr>
          <w:iCs/>
          <w:sz w:val="24"/>
          <w:szCs w:val="24"/>
          <w:lang w:eastAsia="en-AU"/>
        </w:rPr>
        <w:t>2003);</w:t>
      </w:r>
    </w:p>
    <w:p>
      <w:pPr>
        <w:pStyle w:val="AQISNum"/>
        <w:numPr>
          <w:ilvl w:val="0"/>
          <w:numId w:val="29"/>
        </w:numPr>
        <w:ind w:left="714" w:hanging="357"/>
        <w:jc w:val="left"/>
        <w:rPr>
          <w:iCs/>
          <w:sz w:val="24"/>
          <w:szCs w:val="24"/>
          <w:lang w:eastAsia="en-AU"/>
        </w:rPr>
      </w:pPr>
      <w:r>
        <w:rPr>
          <w:iCs/>
          <w:sz w:val="24"/>
          <w:szCs w:val="24"/>
          <w:lang w:eastAsia="en-AU"/>
        </w:rPr>
        <w:t>GCMV and TBRV using the primer pair P1/P2 (</w:t>
      </w:r>
      <w:r>
        <w:rPr>
          <w:sz w:val="24"/>
          <w:szCs w:val="24"/>
          <w:lang w:eastAsia="en-AU"/>
        </w:rPr>
        <w:t xml:space="preserve">Le Gall </w:t>
      </w:r>
      <w:r>
        <w:rPr>
          <w:i/>
          <w:sz w:val="24"/>
          <w:szCs w:val="24"/>
          <w:lang w:eastAsia="en-AU"/>
        </w:rPr>
        <w:t>et al.</w:t>
      </w:r>
      <w:r>
        <w:rPr>
          <w:sz w:val="24"/>
          <w:szCs w:val="24"/>
          <w:lang w:eastAsia="en-AU"/>
        </w:rPr>
        <w:t xml:space="preserve"> 1995);</w:t>
      </w:r>
    </w:p>
    <w:p>
      <w:pPr>
        <w:pStyle w:val="AQISNum"/>
        <w:numPr>
          <w:ilvl w:val="0"/>
          <w:numId w:val="29"/>
        </w:numPr>
        <w:ind w:left="714" w:hanging="357"/>
        <w:jc w:val="left"/>
        <w:rPr>
          <w:iCs/>
          <w:sz w:val="24"/>
          <w:szCs w:val="24"/>
          <w:lang w:eastAsia="en-AU"/>
        </w:rPr>
      </w:pPr>
      <w:r>
        <w:rPr>
          <w:iCs/>
          <w:sz w:val="24"/>
          <w:szCs w:val="24"/>
          <w:lang w:eastAsia="en-AU"/>
        </w:rPr>
        <w:t xml:space="preserve">GDefV using the primer pair N66-1/ N66-2 (Cigsar </w:t>
      </w:r>
      <w:r>
        <w:rPr>
          <w:i/>
          <w:iCs/>
          <w:sz w:val="24"/>
          <w:szCs w:val="24"/>
          <w:lang w:eastAsia="en-AU"/>
        </w:rPr>
        <w:t>et al.</w:t>
      </w:r>
      <w:r>
        <w:rPr>
          <w:iCs/>
          <w:sz w:val="24"/>
          <w:szCs w:val="24"/>
          <w:lang w:eastAsia="en-AU"/>
        </w:rPr>
        <w:t xml:space="preserve"> 2003);</w:t>
      </w:r>
    </w:p>
    <w:p>
      <w:pPr>
        <w:pStyle w:val="AQISNum"/>
        <w:numPr>
          <w:ilvl w:val="0"/>
          <w:numId w:val="29"/>
        </w:numPr>
        <w:ind w:left="714" w:hanging="357"/>
        <w:jc w:val="left"/>
        <w:rPr>
          <w:iCs/>
          <w:sz w:val="24"/>
          <w:szCs w:val="24"/>
          <w:lang w:eastAsia="en-AU"/>
        </w:rPr>
      </w:pPr>
      <w:r>
        <w:rPr>
          <w:iCs/>
          <w:sz w:val="24"/>
          <w:szCs w:val="24"/>
          <w:lang w:eastAsia="en-AU"/>
        </w:rPr>
        <w:lastRenderedPageBreak/>
        <w:t xml:space="preserve">PRMV using the primer pair PRMVV1/ PRMVC1 (Kheder </w:t>
      </w:r>
      <w:r>
        <w:rPr>
          <w:i/>
          <w:iCs/>
          <w:sz w:val="24"/>
          <w:szCs w:val="24"/>
          <w:lang w:eastAsia="en-AU"/>
        </w:rPr>
        <w:t xml:space="preserve">et al. </w:t>
      </w:r>
      <w:r>
        <w:rPr>
          <w:iCs/>
          <w:sz w:val="24"/>
          <w:szCs w:val="24"/>
          <w:lang w:eastAsia="en-AU"/>
        </w:rPr>
        <w:t>2004);</w:t>
      </w:r>
    </w:p>
    <w:p>
      <w:pPr>
        <w:pStyle w:val="AQISNum"/>
        <w:numPr>
          <w:ilvl w:val="0"/>
          <w:numId w:val="29"/>
        </w:numPr>
        <w:ind w:left="714" w:hanging="357"/>
        <w:jc w:val="left"/>
        <w:rPr>
          <w:iCs/>
          <w:sz w:val="24"/>
          <w:szCs w:val="24"/>
          <w:lang w:eastAsia="en-AU"/>
        </w:rPr>
      </w:pPr>
      <w:r>
        <w:rPr>
          <w:iCs/>
          <w:sz w:val="24"/>
          <w:szCs w:val="24"/>
          <w:lang w:eastAsia="en-AU"/>
        </w:rPr>
        <w:t xml:space="preserve">RpRSV using the primer pair RpRSVF1/ RpRSVR1 (Ochoa-Corona </w:t>
      </w:r>
      <w:r>
        <w:rPr>
          <w:i/>
          <w:iCs/>
          <w:sz w:val="24"/>
          <w:szCs w:val="24"/>
          <w:lang w:eastAsia="en-AU"/>
        </w:rPr>
        <w:t xml:space="preserve">et al. </w:t>
      </w:r>
      <w:r>
        <w:rPr>
          <w:iCs/>
          <w:sz w:val="24"/>
          <w:szCs w:val="24"/>
          <w:lang w:eastAsia="en-AU"/>
        </w:rPr>
        <w:t xml:space="preserve">2006); </w:t>
      </w:r>
    </w:p>
    <w:p>
      <w:pPr>
        <w:pStyle w:val="AQISNum"/>
        <w:numPr>
          <w:ilvl w:val="0"/>
          <w:numId w:val="29"/>
        </w:numPr>
        <w:ind w:left="714" w:hanging="357"/>
        <w:jc w:val="left"/>
        <w:rPr>
          <w:iCs/>
          <w:sz w:val="24"/>
          <w:szCs w:val="24"/>
          <w:lang w:eastAsia="en-AU"/>
        </w:rPr>
      </w:pPr>
      <w:r>
        <w:rPr>
          <w:iCs/>
          <w:sz w:val="24"/>
          <w:szCs w:val="24"/>
          <w:lang w:eastAsia="en-AU"/>
        </w:rPr>
        <w:t xml:space="preserve">SLRSV using the primer pair SLRSV-5D / SLRSV-3D (Faggioli </w:t>
      </w:r>
      <w:r>
        <w:rPr>
          <w:i/>
          <w:iCs/>
          <w:sz w:val="24"/>
          <w:szCs w:val="24"/>
          <w:lang w:eastAsia="en-AU"/>
        </w:rPr>
        <w:t xml:space="preserve">et al. </w:t>
      </w:r>
      <w:r>
        <w:rPr>
          <w:iCs/>
          <w:sz w:val="24"/>
          <w:szCs w:val="24"/>
          <w:lang w:eastAsia="en-AU"/>
        </w:rPr>
        <w:t xml:space="preserve">2002); and </w:t>
      </w:r>
    </w:p>
    <w:p>
      <w:pPr>
        <w:pStyle w:val="AQISNum"/>
        <w:numPr>
          <w:ilvl w:val="0"/>
          <w:numId w:val="29"/>
        </w:numPr>
        <w:ind w:left="714" w:hanging="357"/>
        <w:jc w:val="left"/>
        <w:rPr>
          <w:iCs/>
          <w:sz w:val="24"/>
          <w:szCs w:val="24"/>
          <w:lang w:eastAsia="en-AU"/>
        </w:rPr>
      </w:pPr>
      <w:r>
        <w:rPr>
          <w:iCs/>
          <w:sz w:val="24"/>
          <w:szCs w:val="24"/>
          <w:lang w:eastAsia="en-AU"/>
        </w:rPr>
        <w:t>ToRSV using the primer pair D1/U1 (Griesbach 1995).</w:t>
      </w:r>
    </w:p>
    <w:p>
      <w:pPr>
        <w:pStyle w:val="BodyText2"/>
        <w:spacing w:before="120" w:after="80" w:line="240" w:lineRule="atLeast"/>
        <w:jc w:val="left"/>
        <w:rPr>
          <w:iCs/>
          <w:szCs w:val="24"/>
          <w:u w:val="single"/>
          <w:lang w:eastAsia="en-AU"/>
        </w:rPr>
      </w:pPr>
      <w:r>
        <w:rPr>
          <w:iCs/>
          <w:szCs w:val="24"/>
          <w:u w:val="single"/>
          <w:lang w:eastAsia="en-AU"/>
        </w:rPr>
        <w:t>Vitiviruses</w:t>
      </w:r>
    </w:p>
    <w:p>
      <w:pPr>
        <w:pStyle w:val="AQISNum"/>
        <w:numPr>
          <w:ilvl w:val="0"/>
          <w:numId w:val="9"/>
        </w:numPr>
        <w:spacing w:before="40"/>
        <w:ind w:left="357" w:hanging="357"/>
        <w:jc w:val="left"/>
        <w:rPr>
          <w:sz w:val="24"/>
          <w:szCs w:val="24"/>
          <w:lang w:eastAsia="en-AU"/>
        </w:rPr>
      </w:pPr>
      <w:r>
        <w:rPr>
          <w:sz w:val="24"/>
          <w:szCs w:val="24"/>
          <w:lang w:eastAsia="en-AU"/>
        </w:rPr>
        <w:t>Detection of vitiviruses will include, but will not be limited to, the following tests:</w:t>
      </w:r>
    </w:p>
    <w:p>
      <w:pPr>
        <w:pStyle w:val="AQISNum"/>
        <w:numPr>
          <w:ilvl w:val="0"/>
          <w:numId w:val="31"/>
        </w:numPr>
        <w:spacing w:before="40"/>
        <w:jc w:val="left"/>
        <w:rPr>
          <w:bCs/>
          <w:iCs/>
          <w:sz w:val="24"/>
          <w:szCs w:val="24"/>
        </w:rPr>
      </w:pPr>
      <w:r>
        <w:rPr>
          <w:bCs/>
          <w:iCs/>
          <w:sz w:val="24"/>
          <w:szCs w:val="24"/>
        </w:rPr>
        <w:t>Mandatory specific RT-PCR for GVB (strains associated with corky bark) (Minafra and Hadidi 1994); and</w:t>
      </w:r>
    </w:p>
    <w:p>
      <w:pPr>
        <w:pStyle w:val="BodyText2"/>
        <w:spacing w:before="120" w:after="80" w:line="240" w:lineRule="atLeast"/>
        <w:jc w:val="left"/>
        <w:rPr>
          <w:iCs/>
          <w:szCs w:val="24"/>
          <w:u w:val="single"/>
          <w:lang w:eastAsia="en-AU"/>
        </w:rPr>
      </w:pPr>
      <w:r>
        <w:rPr>
          <w:iCs/>
          <w:szCs w:val="24"/>
          <w:u w:val="single"/>
          <w:lang w:eastAsia="en-AU"/>
        </w:rPr>
        <w:t>Tombusviruses</w:t>
      </w:r>
    </w:p>
    <w:p>
      <w:pPr>
        <w:pStyle w:val="AQISNum"/>
        <w:numPr>
          <w:ilvl w:val="0"/>
          <w:numId w:val="9"/>
        </w:numPr>
        <w:spacing w:before="120"/>
        <w:ind w:left="357" w:hanging="357"/>
        <w:jc w:val="left"/>
        <w:rPr>
          <w:sz w:val="24"/>
          <w:szCs w:val="24"/>
        </w:rPr>
      </w:pPr>
      <w:r>
        <w:rPr>
          <w:sz w:val="24"/>
          <w:szCs w:val="24"/>
        </w:rPr>
        <w:t xml:space="preserve">Detection of </w:t>
      </w:r>
      <w:r>
        <w:rPr>
          <w:bCs/>
          <w:sz w:val="24"/>
          <w:szCs w:val="24"/>
        </w:rPr>
        <w:t>tombusviruses</w:t>
      </w:r>
      <w:r>
        <w:rPr>
          <w:sz w:val="24"/>
          <w:szCs w:val="24"/>
        </w:rPr>
        <w:t xml:space="preserve"> will include, but will not be limited to, the following tests:</w:t>
      </w:r>
    </w:p>
    <w:p>
      <w:pPr>
        <w:pStyle w:val="AQISNum"/>
        <w:numPr>
          <w:ilvl w:val="0"/>
          <w:numId w:val="33"/>
        </w:numPr>
        <w:spacing w:before="120"/>
        <w:jc w:val="left"/>
        <w:rPr>
          <w:sz w:val="24"/>
          <w:szCs w:val="24"/>
        </w:rPr>
      </w:pPr>
      <w:r>
        <w:rPr>
          <w:sz w:val="24"/>
          <w:szCs w:val="24"/>
        </w:rPr>
        <w:t xml:space="preserve">Mandatory genus specific nested PCR for </w:t>
      </w:r>
      <w:r>
        <w:rPr>
          <w:bCs/>
          <w:i/>
          <w:sz w:val="24"/>
          <w:szCs w:val="24"/>
        </w:rPr>
        <w:t>Tombusvirus</w:t>
      </w:r>
      <w:r>
        <w:rPr>
          <w:sz w:val="24"/>
          <w:szCs w:val="24"/>
        </w:rPr>
        <w:t xml:space="preserve"> (PetAMV) using the pairs TomCPR/TomCPR (Russo </w:t>
      </w:r>
      <w:r>
        <w:rPr>
          <w:i/>
          <w:sz w:val="24"/>
          <w:szCs w:val="24"/>
        </w:rPr>
        <w:t>et al</w:t>
      </w:r>
      <w:r>
        <w:rPr>
          <w:sz w:val="24"/>
          <w:szCs w:val="24"/>
        </w:rPr>
        <w:t xml:space="preserve">. 2002) or TBSVGralF1/ TBSVGralR1 (Harris </w:t>
      </w:r>
      <w:r>
        <w:rPr>
          <w:i/>
          <w:sz w:val="24"/>
          <w:szCs w:val="24"/>
        </w:rPr>
        <w:t>et al</w:t>
      </w:r>
      <w:r>
        <w:rPr>
          <w:sz w:val="24"/>
          <w:szCs w:val="24"/>
        </w:rPr>
        <w:t>. 2006).</w:t>
      </w:r>
    </w:p>
    <w:p>
      <w:pPr>
        <w:pStyle w:val="Heading3"/>
        <w:widowControl/>
        <w:tabs>
          <w:tab w:val="left" w:pos="1320"/>
        </w:tabs>
        <w:overflowPunct w:val="0"/>
        <w:autoSpaceDE w:val="0"/>
        <w:autoSpaceDN w:val="0"/>
        <w:spacing w:line="280" w:lineRule="atLeast"/>
        <w:rPr>
          <w:rFonts w:ascii="Verdana" w:hAnsi="Verdana" w:cs="Arial"/>
          <w:bCs/>
          <w:sz w:val="26"/>
          <w:szCs w:val="26"/>
        </w:rPr>
      </w:pPr>
      <w:bookmarkStart w:id="97" w:name="_Toc345423523"/>
      <w:r>
        <w:rPr>
          <w:rFonts w:ascii="Verdana" w:hAnsi="Verdana" w:cs="Arial"/>
          <w:bCs/>
          <w:sz w:val="26"/>
          <w:szCs w:val="26"/>
        </w:rPr>
        <w:t>3.3.2</w:t>
      </w:r>
      <w:r>
        <w:rPr>
          <w:rFonts w:ascii="Verdana" w:hAnsi="Verdana" w:cs="Arial"/>
          <w:bCs/>
          <w:sz w:val="26"/>
          <w:szCs w:val="26"/>
        </w:rPr>
        <w:tab/>
        <w:t>Tissue cultures (microplantlets)</w:t>
      </w:r>
      <w:bookmarkEnd w:id="97"/>
    </w:p>
    <w:p>
      <w:pPr>
        <w:spacing w:line="280" w:lineRule="atLeast"/>
        <w:jc w:val="left"/>
      </w:pPr>
      <w:r>
        <w:t>It is proposed that imported tissue cultures (microplantlets) should be well rooted prior to arrival as this helps in their establishment out of agar into the growth media.</w:t>
      </w:r>
    </w:p>
    <w:p>
      <w:pPr>
        <w:pStyle w:val="Heading4"/>
        <w:numPr>
          <w:ilvl w:val="0"/>
          <w:numId w:val="0"/>
        </w:numPr>
        <w:spacing w:before="180" w:after="120"/>
        <w:jc w:val="left"/>
        <w:rPr>
          <w:rFonts w:ascii="Verdana" w:hAnsi="Verdana" w:cs="Verdana"/>
          <w:sz w:val="22"/>
          <w:szCs w:val="22"/>
        </w:rPr>
      </w:pPr>
      <w:r>
        <w:rPr>
          <w:rFonts w:ascii="Verdana" w:hAnsi="Verdana" w:cs="Verdana"/>
          <w:sz w:val="22"/>
          <w:szCs w:val="22"/>
        </w:rPr>
        <w:t>Mandatory on-arrival inspection</w:t>
      </w:r>
    </w:p>
    <w:p>
      <w:pPr>
        <w:pStyle w:val="AQISText"/>
        <w:spacing w:before="0"/>
        <w:jc w:val="left"/>
        <w:rPr>
          <w:sz w:val="24"/>
          <w:szCs w:val="24"/>
        </w:rPr>
      </w:pPr>
      <w:r>
        <w:rPr>
          <w:sz w:val="24"/>
          <w:szCs w:val="24"/>
        </w:rPr>
        <w:t>The existing requirement for mandatory on-arrival inspection of tissue culture (microplantlets) to verify freedom from bacterial and fungal infection, disease symptoms, live insects and other extraneous contamination of quarantine concern is proposed to continue.</w:t>
      </w:r>
    </w:p>
    <w:p>
      <w:pPr>
        <w:pStyle w:val="Heading4"/>
        <w:numPr>
          <w:ilvl w:val="0"/>
          <w:numId w:val="0"/>
        </w:numPr>
        <w:spacing w:before="180" w:after="120"/>
        <w:jc w:val="left"/>
        <w:rPr>
          <w:rFonts w:ascii="Verdana" w:hAnsi="Verdana" w:cs="Verdana"/>
          <w:sz w:val="22"/>
          <w:szCs w:val="22"/>
        </w:rPr>
      </w:pPr>
      <w:r>
        <w:rPr>
          <w:rFonts w:ascii="Verdana" w:hAnsi="Verdana" w:cs="Verdana"/>
          <w:sz w:val="22"/>
          <w:szCs w:val="22"/>
        </w:rPr>
        <w:t>Mandatory culturing</w:t>
      </w:r>
    </w:p>
    <w:p>
      <w:pPr>
        <w:pStyle w:val="AQISText"/>
        <w:spacing w:before="0"/>
        <w:jc w:val="left"/>
        <w:rPr>
          <w:sz w:val="24"/>
          <w:szCs w:val="24"/>
        </w:rPr>
      </w:pPr>
      <w:r>
        <w:rPr>
          <w:sz w:val="24"/>
          <w:szCs w:val="24"/>
        </w:rPr>
        <w:t>It is proposed that direct culturing be undertaken to screen imported tissue cultures (microplantlets) for bacterial pathogens.</w:t>
      </w:r>
    </w:p>
    <w:p>
      <w:pPr>
        <w:pStyle w:val="Heading4"/>
        <w:numPr>
          <w:ilvl w:val="0"/>
          <w:numId w:val="0"/>
        </w:numPr>
        <w:spacing w:before="180" w:after="120"/>
        <w:jc w:val="left"/>
        <w:rPr>
          <w:rFonts w:ascii="Verdana" w:hAnsi="Verdana" w:cs="Verdana"/>
          <w:sz w:val="22"/>
          <w:szCs w:val="22"/>
        </w:rPr>
      </w:pPr>
      <w:r>
        <w:rPr>
          <w:rFonts w:ascii="Verdana" w:hAnsi="Verdana" w:cs="Verdana"/>
          <w:sz w:val="22"/>
          <w:szCs w:val="22"/>
        </w:rPr>
        <w:t>Mandatory growth in PEQ facilities and pathogen screening</w:t>
      </w:r>
    </w:p>
    <w:p>
      <w:pPr>
        <w:pStyle w:val="AQISText"/>
        <w:spacing w:before="0"/>
        <w:jc w:val="left"/>
        <w:rPr>
          <w:sz w:val="24"/>
          <w:szCs w:val="24"/>
        </w:rPr>
      </w:pPr>
      <w:r>
        <w:rPr>
          <w:sz w:val="24"/>
          <w:szCs w:val="24"/>
        </w:rPr>
        <w:t>The existing requirements for imported tissue culture (microplantlets) to be grown in a closed government PEQ facility is proposed to continue.</w:t>
      </w:r>
    </w:p>
    <w:p>
      <w:pPr>
        <w:pStyle w:val="AQISText"/>
        <w:jc w:val="left"/>
        <w:rPr>
          <w:sz w:val="24"/>
          <w:szCs w:val="24"/>
        </w:rPr>
      </w:pPr>
      <w:r>
        <w:rPr>
          <w:sz w:val="24"/>
          <w:szCs w:val="24"/>
        </w:rPr>
        <w:t xml:space="preserve">It is proposed that mandatory hot water treatment of plants established from tissue cultures (that requires two years) be replaced by mandatory PCR for detecting </w:t>
      </w:r>
      <w:r>
        <w:rPr>
          <w:i/>
          <w:sz w:val="24"/>
          <w:szCs w:val="24"/>
        </w:rPr>
        <w:t>Xylella fastidiosa</w:t>
      </w:r>
      <w:r>
        <w:rPr>
          <w:sz w:val="24"/>
          <w:szCs w:val="24"/>
        </w:rPr>
        <w:t>. Additionally, mandatory indexing for corky bark associated virus using LN 33 is replaced by a mandatory PCR.</w:t>
      </w:r>
    </w:p>
    <w:p>
      <w:pPr>
        <w:pStyle w:val="AQISText"/>
        <w:jc w:val="left"/>
        <w:rPr>
          <w:sz w:val="24"/>
          <w:szCs w:val="24"/>
        </w:rPr>
      </w:pPr>
      <w:r>
        <w:rPr>
          <w:sz w:val="24"/>
          <w:szCs w:val="24"/>
        </w:rPr>
        <w:t>The introduction of mandatory molecular testing leads to a reduction of the PEQ period. Therefore, it is proposed tissue cultures (microplantlets) be grown in a PEQ facility for a minimum of 12 months for pathogen screening, including biological indexing and molecular tests (Table 3.2 [bacteria and phytoplasma] and 3.3 [virus indexing]).</w:t>
      </w:r>
    </w:p>
    <w:p>
      <w:pPr>
        <w:pStyle w:val="AQISText"/>
        <w:jc w:val="left"/>
        <w:rPr>
          <w:sz w:val="24"/>
          <w:szCs w:val="24"/>
        </w:rPr>
      </w:pPr>
      <w:r>
        <w:rPr>
          <w:sz w:val="24"/>
          <w:szCs w:val="24"/>
        </w:rPr>
        <w:t>A summary of proposed grapevine virus indexing procedures is provided in Table 3.3.</w:t>
      </w:r>
    </w:p>
    <w:p>
      <w:pPr>
        <w:pStyle w:val="AQISTable"/>
        <w:keepNext/>
        <w:tabs>
          <w:tab w:val="clear" w:pos="360"/>
          <w:tab w:val="num" w:pos="1440"/>
        </w:tabs>
        <w:spacing w:before="160" w:after="120"/>
        <w:ind w:left="1440" w:hanging="1440"/>
        <w:jc w:val="left"/>
        <w:rPr>
          <w:sz w:val="20"/>
        </w:rPr>
      </w:pPr>
      <w:bookmarkStart w:id="98" w:name="_Toc338424038"/>
      <w:r>
        <w:rPr>
          <w:sz w:val="20"/>
        </w:rPr>
        <w:lastRenderedPageBreak/>
        <w:t>Table 3.3</w:t>
      </w:r>
      <w:r>
        <w:rPr>
          <w:sz w:val="20"/>
        </w:rPr>
        <w:tab/>
        <w:t>Proposed grapevine virus indexing procedures</w:t>
      </w:r>
      <w:bookmarkEnd w:id="98"/>
    </w:p>
    <w:tbl>
      <w:tblPr>
        <w:tblW w:w="9462" w:type="dxa"/>
        <w:tblInd w:w="2" w:type="dxa"/>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ayout w:type="fixed"/>
        <w:tblLook w:val="01E0"/>
      </w:tblPr>
      <w:tblGrid>
        <w:gridCol w:w="4784"/>
        <w:gridCol w:w="425"/>
        <w:gridCol w:w="426"/>
        <w:gridCol w:w="425"/>
        <w:gridCol w:w="1134"/>
        <w:gridCol w:w="2268"/>
      </w:tblGrid>
      <w:tr>
        <w:trPr>
          <w:tblHeader/>
        </w:trPr>
        <w:tc>
          <w:tcPr>
            <w:tcW w:w="4784" w:type="dxa"/>
            <w:vMerge w:val="restart"/>
            <w:tcBorders>
              <w:top w:val="single" w:sz="12" w:space="0" w:color="008000"/>
            </w:tcBorders>
            <w:shd w:val="clear" w:color="auto" w:fill="E0E0E0"/>
          </w:tcPr>
          <w:p>
            <w:pPr>
              <w:spacing w:before="40" w:after="40" w:line="280" w:lineRule="atLeast"/>
              <w:rPr>
                <w:rFonts w:ascii="Arial" w:hAnsi="Arial" w:cs="Arial"/>
                <w:b/>
                <w:bCs/>
                <w:sz w:val="16"/>
                <w:szCs w:val="16"/>
              </w:rPr>
            </w:pPr>
            <w:r>
              <w:rPr>
                <w:rFonts w:ascii="Arial" w:hAnsi="Arial" w:cs="Arial"/>
                <w:b/>
                <w:bCs/>
                <w:sz w:val="16"/>
                <w:szCs w:val="16"/>
              </w:rPr>
              <w:t>Pathogen type</w:t>
            </w:r>
          </w:p>
        </w:tc>
        <w:tc>
          <w:tcPr>
            <w:tcW w:w="1276" w:type="dxa"/>
            <w:gridSpan w:val="3"/>
            <w:tcBorders>
              <w:top w:val="single" w:sz="12" w:space="0" w:color="008000"/>
              <w:bottom w:val="single" w:sz="12" w:space="0" w:color="008000"/>
            </w:tcBorders>
            <w:shd w:val="clear" w:color="auto" w:fill="E0E0E0"/>
          </w:tcPr>
          <w:p>
            <w:pPr>
              <w:spacing w:before="40" w:after="40" w:line="280" w:lineRule="atLeast"/>
              <w:jc w:val="center"/>
              <w:rPr>
                <w:rFonts w:ascii="Arial" w:hAnsi="Arial" w:cs="Arial"/>
                <w:b/>
                <w:bCs/>
                <w:sz w:val="16"/>
                <w:szCs w:val="16"/>
              </w:rPr>
            </w:pPr>
            <w:r>
              <w:rPr>
                <w:rFonts w:ascii="Arial" w:hAnsi="Arial" w:cs="Arial"/>
                <w:b/>
                <w:bCs/>
                <w:sz w:val="16"/>
                <w:szCs w:val="16"/>
              </w:rPr>
              <w:t>Mandatory tests</w:t>
            </w:r>
          </w:p>
        </w:tc>
        <w:tc>
          <w:tcPr>
            <w:tcW w:w="1134" w:type="dxa"/>
            <w:vMerge w:val="restart"/>
            <w:tcBorders>
              <w:top w:val="single" w:sz="12" w:space="0" w:color="008000"/>
            </w:tcBorders>
            <w:shd w:val="clear" w:color="auto" w:fill="E0E0E0"/>
          </w:tcPr>
          <w:p>
            <w:pPr>
              <w:spacing w:before="40" w:after="40" w:line="280" w:lineRule="atLeast"/>
              <w:rPr>
                <w:rFonts w:ascii="Arial" w:hAnsi="Arial" w:cs="Arial"/>
                <w:b/>
                <w:bCs/>
                <w:sz w:val="16"/>
                <w:szCs w:val="16"/>
              </w:rPr>
            </w:pPr>
            <w:r>
              <w:rPr>
                <w:rFonts w:ascii="Arial" w:hAnsi="Arial" w:cs="Arial"/>
                <w:b/>
                <w:bCs/>
                <w:sz w:val="16"/>
                <w:szCs w:val="16"/>
              </w:rPr>
              <w:t>Additional tests</w:t>
            </w:r>
            <w:r>
              <w:rPr>
                <w:rStyle w:val="FootnoteReference"/>
                <w:b/>
                <w:bCs/>
                <w:sz w:val="16"/>
                <w:szCs w:val="16"/>
              </w:rPr>
              <w:footnoteReference w:id="5"/>
            </w:r>
            <w:r>
              <w:rPr>
                <w:rFonts w:ascii="Arial" w:hAnsi="Arial" w:cs="Arial"/>
                <w:b/>
                <w:bCs/>
                <w:sz w:val="16"/>
                <w:szCs w:val="16"/>
              </w:rPr>
              <w:t xml:space="preserve"> </w:t>
            </w:r>
          </w:p>
        </w:tc>
        <w:tc>
          <w:tcPr>
            <w:tcW w:w="2268" w:type="dxa"/>
            <w:vMerge w:val="restart"/>
            <w:tcBorders>
              <w:top w:val="single" w:sz="12" w:space="0" w:color="008000"/>
            </w:tcBorders>
            <w:shd w:val="clear" w:color="auto" w:fill="E0E0E0"/>
          </w:tcPr>
          <w:p>
            <w:pPr>
              <w:spacing w:before="40" w:after="40" w:line="280" w:lineRule="atLeast"/>
              <w:rPr>
                <w:rFonts w:ascii="Arial" w:hAnsi="Arial" w:cs="Arial"/>
                <w:b/>
                <w:bCs/>
                <w:sz w:val="16"/>
                <w:szCs w:val="16"/>
              </w:rPr>
            </w:pPr>
            <w:r>
              <w:rPr>
                <w:rFonts w:ascii="Arial" w:hAnsi="Arial" w:cs="Arial"/>
                <w:b/>
                <w:bCs/>
                <w:sz w:val="16"/>
                <w:szCs w:val="16"/>
              </w:rPr>
              <w:t>Reference(s)</w:t>
            </w:r>
          </w:p>
        </w:tc>
      </w:tr>
      <w:tr>
        <w:trPr>
          <w:cantSplit/>
          <w:trHeight w:val="2001"/>
          <w:tblHeader/>
        </w:trPr>
        <w:tc>
          <w:tcPr>
            <w:tcW w:w="4784" w:type="dxa"/>
            <w:vMerge/>
            <w:tcBorders>
              <w:bottom w:val="single" w:sz="12" w:space="0" w:color="008000"/>
            </w:tcBorders>
            <w:shd w:val="clear" w:color="auto" w:fill="E0E0E0"/>
          </w:tcPr>
          <w:p>
            <w:pPr>
              <w:spacing w:before="40" w:after="40" w:line="280" w:lineRule="atLeast"/>
              <w:rPr>
                <w:rFonts w:ascii="Arial" w:hAnsi="Arial" w:cs="Arial"/>
                <w:b/>
                <w:bCs/>
                <w:sz w:val="18"/>
                <w:szCs w:val="18"/>
              </w:rPr>
            </w:pPr>
          </w:p>
        </w:tc>
        <w:tc>
          <w:tcPr>
            <w:tcW w:w="425" w:type="dxa"/>
            <w:tcBorders>
              <w:top w:val="single" w:sz="12" w:space="0" w:color="008000"/>
              <w:bottom w:val="single" w:sz="12" w:space="0" w:color="008000"/>
            </w:tcBorders>
            <w:shd w:val="clear" w:color="auto" w:fill="E0E0E0"/>
            <w:textDirection w:val="btLr"/>
          </w:tcPr>
          <w:p>
            <w:pPr>
              <w:spacing w:before="40" w:after="40" w:line="280" w:lineRule="atLeast"/>
              <w:ind w:left="113" w:right="113"/>
              <w:jc w:val="center"/>
              <w:rPr>
                <w:rFonts w:ascii="Arial" w:hAnsi="Arial" w:cs="Arial"/>
                <w:sz w:val="18"/>
                <w:szCs w:val="18"/>
              </w:rPr>
            </w:pPr>
            <w:r>
              <w:rPr>
                <w:rFonts w:ascii="Arial" w:hAnsi="Arial" w:cs="Arial"/>
                <w:sz w:val="18"/>
                <w:szCs w:val="18"/>
              </w:rPr>
              <w:t>Electron microscopy</w:t>
            </w:r>
          </w:p>
        </w:tc>
        <w:tc>
          <w:tcPr>
            <w:tcW w:w="426" w:type="dxa"/>
            <w:tcBorders>
              <w:top w:val="single" w:sz="12" w:space="0" w:color="008000"/>
              <w:bottom w:val="single" w:sz="12" w:space="0" w:color="008000"/>
            </w:tcBorders>
            <w:shd w:val="clear" w:color="auto" w:fill="E0E0E0"/>
            <w:textDirection w:val="btLr"/>
            <w:vAlign w:val="center"/>
          </w:tcPr>
          <w:p>
            <w:pPr>
              <w:spacing w:before="40" w:after="40" w:line="280" w:lineRule="atLeast"/>
              <w:ind w:left="113" w:right="113"/>
              <w:jc w:val="center"/>
              <w:rPr>
                <w:rFonts w:ascii="Arial" w:hAnsi="Arial" w:cs="Arial"/>
                <w:sz w:val="18"/>
                <w:szCs w:val="18"/>
              </w:rPr>
            </w:pPr>
            <w:r>
              <w:rPr>
                <w:rFonts w:ascii="Arial" w:hAnsi="Arial" w:cs="Arial"/>
                <w:sz w:val="18"/>
                <w:szCs w:val="18"/>
              </w:rPr>
              <w:t>Herbaceous indexing</w:t>
            </w:r>
          </w:p>
        </w:tc>
        <w:tc>
          <w:tcPr>
            <w:tcW w:w="425" w:type="dxa"/>
            <w:tcBorders>
              <w:top w:val="single" w:sz="12" w:space="0" w:color="008000"/>
              <w:bottom w:val="single" w:sz="12" w:space="0" w:color="008000"/>
            </w:tcBorders>
            <w:shd w:val="clear" w:color="auto" w:fill="E0E0E0"/>
            <w:textDirection w:val="btLr"/>
            <w:vAlign w:val="center"/>
          </w:tcPr>
          <w:p>
            <w:pPr>
              <w:spacing w:before="40" w:after="40" w:line="280" w:lineRule="atLeast"/>
              <w:ind w:left="113" w:right="113"/>
              <w:jc w:val="center"/>
              <w:rPr>
                <w:rFonts w:ascii="Arial" w:hAnsi="Arial" w:cs="Arial"/>
                <w:sz w:val="18"/>
                <w:szCs w:val="18"/>
              </w:rPr>
            </w:pPr>
            <w:r>
              <w:rPr>
                <w:rFonts w:ascii="Arial" w:hAnsi="Arial" w:cs="Arial"/>
                <w:sz w:val="18"/>
                <w:szCs w:val="18"/>
              </w:rPr>
              <w:t xml:space="preserve">PCR or RT-PCR </w:t>
            </w:r>
          </w:p>
        </w:tc>
        <w:tc>
          <w:tcPr>
            <w:tcW w:w="1134" w:type="dxa"/>
            <w:vMerge/>
            <w:tcBorders>
              <w:bottom w:val="single" w:sz="12" w:space="0" w:color="008000"/>
            </w:tcBorders>
            <w:shd w:val="clear" w:color="auto" w:fill="E0E0E0"/>
          </w:tcPr>
          <w:p>
            <w:pPr>
              <w:spacing w:before="40" w:after="40" w:line="280" w:lineRule="atLeast"/>
              <w:rPr>
                <w:rFonts w:ascii="Arial" w:hAnsi="Arial" w:cs="Arial"/>
                <w:b/>
                <w:bCs/>
                <w:sz w:val="18"/>
                <w:szCs w:val="18"/>
              </w:rPr>
            </w:pPr>
          </w:p>
        </w:tc>
        <w:tc>
          <w:tcPr>
            <w:tcW w:w="2268" w:type="dxa"/>
            <w:vMerge/>
            <w:tcBorders>
              <w:bottom w:val="single" w:sz="12" w:space="0" w:color="008000"/>
            </w:tcBorders>
            <w:shd w:val="clear" w:color="auto" w:fill="E0E0E0"/>
          </w:tcPr>
          <w:p>
            <w:pPr>
              <w:spacing w:before="40" w:after="40" w:line="280" w:lineRule="atLeast"/>
              <w:rPr>
                <w:rFonts w:ascii="Arial" w:hAnsi="Arial" w:cs="Arial"/>
                <w:b/>
                <w:bCs/>
                <w:sz w:val="18"/>
                <w:szCs w:val="18"/>
              </w:rPr>
            </w:pP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Arabis mosaic virus</w:t>
            </w:r>
            <w:r>
              <w:rPr>
                <w:rFonts w:ascii="Helvetica" w:hAnsi="Helvetica" w:cs="Helvetica"/>
                <w:sz w:val="18"/>
                <w:szCs w:val="18"/>
              </w:rPr>
              <w:t xml:space="preserve"> (ArMV) – grape strain</w:t>
            </w:r>
          </w:p>
        </w:tc>
        <w:tc>
          <w:tcPr>
            <w:tcW w:w="425" w:type="dxa"/>
            <w:vMerge w:val="restart"/>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r>
              <w:rPr>
                <w:rFonts w:ascii="Helvetica" w:hAnsi="Helvetica" w:cs="Helvetica"/>
                <w:sz w:val="18"/>
                <w:szCs w:val="18"/>
              </w:rPr>
              <w:t>RT-PCR</w:t>
            </w: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Wetzel </w:t>
            </w:r>
            <w:r>
              <w:rPr>
                <w:rFonts w:ascii="Helvetica" w:hAnsi="Helvetica" w:cs="Helvetica"/>
                <w:i/>
                <w:sz w:val="18"/>
                <w:szCs w:val="18"/>
              </w:rPr>
              <w:t>et al</w:t>
            </w:r>
            <w:r>
              <w:rPr>
                <w:rFonts w:ascii="Helvetica" w:hAnsi="Helvetica" w:cs="Helvetica"/>
                <w:sz w:val="18"/>
                <w:szCs w:val="18"/>
              </w:rPr>
              <w:t>. 2002</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Artichoke Italian latent virus </w:t>
            </w:r>
            <w:r>
              <w:rPr>
                <w:rFonts w:ascii="Helvetica" w:hAnsi="Helvetica" w:cs="Helvetica"/>
                <w:sz w:val="18"/>
                <w:szCs w:val="18"/>
              </w:rPr>
              <w:t>(AILV)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r>
              <w:rPr>
                <w:rFonts w:ascii="Helvetica" w:hAnsi="Helvetica" w:cs="Helvetica"/>
                <w:sz w:val="18"/>
                <w:szCs w:val="18"/>
              </w:rPr>
              <w:t>RT-PCR</w:t>
            </w: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Minafra </w:t>
            </w:r>
            <w:r>
              <w:rPr>
                <w:rFonts w:ascii="Helvetica" w:hAnsi="Helvetica" w:cs="Helvetica"/>
                <w:i/>
                <w:sz w:val="18"/>
                <w:szCs w:val="18"/>
              </w:rPr>
              <w:t>et al</w:t>
            </w:r>
            <w:r>
              <w:rPr>
                <w:rFonts w:ascii="Helvetica" w:hAnsi="Helvetica" w:cs="Helvetica"/>
                <w:sz w:val="18"/>
                <w:szCs w:val="18"/>
              </w:rPr>
              <w:t>. 1994</w:t>
            </w:r>
          </w:p>
        </w:tc>
      </w:tr>
      <w:tr>
        <w:tc>
          <w:tcPr>
            <w:tcW w:w="4784" w:type="dxa"/>
          </w:tcPr>
          <w:p>
            <w:pPr>
              <w:spacing w:before="20" w:line="240" w:lineRule="atLeast"/>
              <w:jc w:val="left"/>
              <w:rPr>
                <w:rFonts w:ascii="Helvetica" w:hAnsi="Helvetica" w:cs="Helvetica"/>
                <w:sz w:val="18"/>
                <w:szCs w:val="18"/>
              </w:rPr>
            </w:pPr>
            <w:r>
              <w:rPr>
                <w:rFonts w:ascii="Helvetica" w:hAnsi="Helvetica" w:cs="Helvetica"/>
                <w:i/>
                <w:sz w:val="18"/>
                <w:szCs w:val="18"/>
              </w:rPr>
              <w:t>Blueberry leaf mottle virus</w:t>
            </w:r>
            <w:r>
              <w:rPr>
                <w:rFonts w:ascii="Helvetica" w:hAnsi="Helvetica" w:cs="Helvetica"/>
                <w:sz w:val="18"/>
                <w:szCs w:val="18"/>
              </w:rPr>
              <w:t xml:space="preserve"> (BLMoV) New York strain</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Cherry leafroll virus</w:t>
            </w:r>
            <w:r>
              <w:rPr>
                <w:rFonts w:ascii="Helvetica" w:hAnsi="Helvetica" w:cs="Helvetica"/>
                <w:sz w:val="18"/>
                <w:szCs w:val="18"/>
              </w:rPr>
              <w:t xml:space="preserve"> (CLRV) – grape isolate</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r>
              <w:rPr>
                <w:rFonts w:ascii="Helvetica" w:hAnsi="Helvetica" w:cs="Helvetica"/>
                <w:sz w:val="18"/>
                <w:szCs w:val="18"/>
              </w:rPr>
              <w:t>RT-PCR</w:t>
            </w: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Werner </w:t>
            </w:r>
            <w:r>
              <w:rPr>
                <w:rFonts w:ascii="Helvetica" w:hAnsi="Helvetica" w:cs="Helvetica"/>
                <w:i/>
                <w:sz w:val="18"/>
                <w:szCs w:val="18"/>
              </w:rPr>
              <w:t>et al</w:t>
            </w:r>
            <w:r>
              <w:rPr>
                <w:rFonts w:ascii="Helvetica" w:hAnsi="Helvetica" w:cs="Helvetica"/>
                <w:sz w:val="18"/>
                <w:szCs w:val="18"/>
              </w:rPr>
              <w:t>. 1997</w:t>
            </w:r>
          </w:p>
        </w:tc>
      </w:tr>
      <w:tr>
        <w:tc>
          <w:tcPr>
            <w:tcW w:w="4784" w:type="dxa"/>
          </w:tcPr>
          <w:p>
            <w:pPr>
              <w:spacing w:before="20" w:line="240" w:lineRule="atLeast"/>
              <w:rPr>
                <w:rFonts w:ascii="Arial" w:hAnsi="Arial" w:cs="Arial"/>
                <w:sz w:val="18"/>
                <w:szCs w:val="18"/>
              </w:rPr>
            </w:pPr>
            <w:r>
              <w:rPr>
                <w:rFonts w:ascii="Helvetica" w:hAnsi="Helvetica" w:cs="Helvetica"/>
                <w:i/>
                <w:sz w:val="18"/>
                <w:szCs w:val="18"/>
              </w:rPr>
              <w:t>Grapevine ajinashika virus</w:t>
            </w:r>
            <w:r>
              <w:rPr>
                <w:rFonts w:ascii="Helvetica" w:hAnsi="Helvetica" w:cs="Helvetica"/>
                <w:sz w:val="18"/>
                <w:szCs w:val="18"/>
              </w:rPr>
              <w:t xml:space="preserve"> (GAgV)</w:t>
            </w:r>
            <w:r>
              <w:rPr>
                <w:rStyle w:val="FootnoteReference"/>
                <w:rFonts w:cs="Helvetica"/>
                <w:szCs w:val="18"/>
              </w:rPr>
              <w:footnoteReference w:id="6"/>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Helvetica" w:hAnsi="Helvetica" w:cs="Helvetica"/>
                <w:sz w:val="18"/>
                <w:szCs w:val="18"/>
              </w:rPr>
            </w:pP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p>
        </w:tc>
      </w:tr>
      <w:tr>
        <w:tc>
          <w:tcPr>
            <w:tcW w:w="4784" w:type="dxa"/>
          </w:tcPr>
          <w:p>
            <w:pPr>
              <w:spacing w:before="20" w:line="240" w:lineRule="atLeast"/>
              <w:rPr>
                <w:sz w:val="18"/>
                <w:szCs w:val="18"/>
              </w:rPr>
            </w:pPr>
            <w:r>
              <w:rPr>
                <w:rFonts w:ascii="Helvetica" w:hAnsi="Helvetica" w:cs="Helvetica"/>
                <w:i/>
                <w:sz w:val="18"/>
                <w:szCs w:val="18"/>
              </w:rPr>
              <w:t>Grapevine Anatolian ringspot virus</w:t>
            </w:r>
            <w:r>
              <w:rPr>
                <w:rFonts w:ascii="Helvetica" w:hAnsi="Helvetica" w:cs="Helvetica"/>
                <w:sz w:val="18"/>
                <w:szCs w:val="18"/>
              </w:rPr>
              <w:t xml:space="preserve"> (GARSV) </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r>
              <w:rPr>
                <w:rFonts w:ascii="Helvetica" w:hAnsi="Helvetica" w:cs="Helvetica"/>
                <w:sz w:val="18"/>
                <w:szCs w:val="18"/>
              </w:rPr>
              <w:t>RT-PCR</w:t>
            </w:r>
          </w:p>
        </w:tc>
        <w:tc>
          <w:tcPr>
            <w:tcW w:w="2268" w:type="dxa"/>
          </w:tcPr>
          <w:p>
            <w:pPr>
              <w:spacing w:before="20" w:line="240" w:lineRule="atLeast"/>
              <w:rPr>
                <w:rFonts w:ascii="Helvetica" w:hAnsi="Helvetica" w:cs="Helvetica"/>
                <w:sz w:val="18"/>
                <w:szCs w:val="18"/>
              </w:rPr>
            </w:pPr>
            <w:r>
              <w:rPr>
                <w:rFonts w:ascii="Helvetica" w:hAnsi="Helvetica" w:cs="Helvetica"/>
                <w:sz w:val="18"/>
                <w:szCs w:val="18"/>
                <w:lang w:eastAsia="en-AU"/>
              </w:rPr>
              <w:t xml:space="preserve">Gokalp </w:t>
            </w:r>
            <w:r>
              <w:rPr>
                <w:rFonts w:ascii="Helvetica" w:hAnsi="Helvetica" w:cs="Helvetica"/>
                <w:i/>
                <w:sz w:val="18"/>
                <w:szCs w:val="18"/>
                <w:lang w:eastAsia="en-AU"/>
              </w:rPr>
              <w:t>et al</w:t>
            </w:r>
            <w:r>
              <w:rPr>
                <w:rFonts w:ascii="Helvetica" w:hAnsi="Helvetica" w:cs="Helvetica"/>
                <w:sz w:val="18"/>
                <w:szCs w:val="18"/>
                <w:lang w:eastAsia="en-AU"/>
              </w:rPr>
              <w:t>. 2003</w:t>
            </w:r>
          </w:p>
        </w:tc>
      </w:tr>
      <w:tr>
        <w:tc>
          <w:tcPr>
            <w:tcW w:w="4784" w:type="dxa"/>
          </w:tcPr>
          <w:p>
            <w:pPr>
              <w:spacing w:before="20" w:line="240" w:lineRule="atLeast"/>
              <w:rPr>
                <w:rFonts w:ascii="Arial" w:hAnsi="Arial" w:cs="Arial"/>
                <w:sz w:val="18"/>
                <w:szCs w:val="18"/>
              </w:rPr>
            </w:pPr>
            <w:r>
              <w:rPr>
                <w:rFonts w:ascii="Helvetica" w:hAnsi="Helvetica" w:cs="Helvetica"/>
                <w:i/>
                <w:sz w:val="18"/>
                <w:szCs w:val="18"/>
              </w:rPr>
              <w:t xml:space="preserve">Grapevine angular mosaic-associated virus </w:t>
            </w:r>
            <w:r>
              <w:rPr>
                <w:rFonts w:ascii="Helvetica" w:hAnsi="Helvetica" w:cs="Helvetica"/>
                <w:sz w:val="18"/>
                <w:szCs w:val="18"/>
              </w:rPr>
              <w:t>(GAMaV)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Verdana" w:hAnsi="Verdana" w:cs="Verdana"/>
                <w:bCs/>
                <w:sz w:val="18"/>
                <w:szCs w:val="18"/>
              </w:rPr>
            </w:pPr>
            <w:r>
              <w:rPr>
                <w:rFonts w:ascii="Verdana" w:hAnsi="Verdana" w:cs="Verdana"/>
                <w:b/>
                <w:bCs/>
                <w:sz w:val="18"/>
                <w:szCs w:val="18"/>
              </w:rPr>
              <w:sym w:font="Wingdings" w:char="F059"/>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Sabanadzovic </w:t>
            </w:r>
            <w:r>
              <w:rPr>
                <w:rFonts w:ascii="Helvetica" w:hAnsi="Helvetica" w:cs="Helvetica"/>
                <w:i/>
                <w:sz w:val="18"/>
                <w:szCs w:val="18"/>
              </w:rPr>
              <w:t>et al</w:t>
            </w:r>
            <w:r>
              <w:rPr>
                <w:rFonts w:ascii="Helvetica" w:hAnsi="Helvetica" w:cs="Helvetica"/>
                <w:sz w:val="18"/>
                <w:szCs w:val="18"/>
              </w:rPr>
              <w:t>. 2000</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Grapevine asteroid mosaic associated virus</w:t>
            </w:r>
            <w:r>
              <w:rPr>
                <w:rFonts w:ascii="Helvetica" w:hAnsi="Helvetica" w:cs="Helvetica"/>
                <w:sz w:val="18"/>
                <w:szCs w:val="18"/>
              </w:rPr>
              <w:t xml:space="preserve"> (GAMV)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Helvetica" w:hAnsi="Helvetica" w:cs="Helvetica"/>
                <w:sz w:val="18"/>
                <w:szCs w:val="18"/>
              </w:rPr>
            </w:pPr>
            <w:r>
              <w:rPr>
                <w:rFonts w:ascii="Arial" w:hAnsi="Arial" w:cs="Arial"/>
                <w:sz w:val="22"/>
                <w:szCs w:val="22"/>
              </w:rPr>
              <w:sym w:font="Wingdings" w:char="F0AB"/>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lang w:eastAsia="en-AU"/>
              </w:rPr>
            </w:pPr>
            <w:r>
              <w:rPr>
                <w:rFonts w:ascii="Helvetica" w:hAnsi="Helvetica" w:cs="Helvetica"/>
                <w:bCs/>
                <w:sz w:val="18"/>
                <w:szCs w:val="18"/>
              </w:rPr>
              <w:t xml:space="preserve">Untiveros </w:t>
            </w:r>
            <w:r>
              <w:rPr>
                <w:rFonts w:ascii="Helvetica" w:hAnsi="Helvetica" w:cs="Helvetica"/>
                <w:bCs/>
                <w:i/>
                <w:sz w:val="18"/>
                <w:szCs w:val="18"/>
              </w:rPr>
              <w:t>et al</w:t>
            </w:r>
            <w:r>
              <w:rPr>
                <w:rFonts w:ascii="Helvetica" w:hAnsi="Helvetica" w:cs="Helvetica"/>
                <w:bCs/>
                <w:sz w:val="18"/>
                <w:szCs w:val="18"/>
              </w:rPr>
              <w:t>. 2010</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Grapevine berry inner necrosis virus</w:t>
            </w:r>
            <w:r>
              <w:rPr>
                <w:rFonts w:ascii="Helvetica" w:hAnsi="Helvetica" w:cs="Helvetica"/>
                <w:sz w:val="18"/>
                <w:szCs w:val="18"/>
              </w:rPr>
              <w:t xml:space="preserve"> (GINV)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r>
              <w:rPr>
                <w:rFonts w:ascii="Arial" w:hAnsi="Arial" w:cs="Arial"/>
                <w:b/>
                <w:bCs/>
                <w:sz w:val="16"/>
                <w:szCs w:val="16"/>
              </w:rPr>
              <w:sym w:font="Wingdings" w:char="F070"/>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Yoshikawa </w:t>
            </w:r>
            <w:r>
              <w:rPr>
                <w:rFonts w:ascii="Helvetica" w:hAnsi="Helvetica" w:cs="Helvetica"/>
                <w:i/>
                <w:sz w:val="18"/>
                <w:szCs w:val="18"/>
              </w:rPr>
              <w:t>et al</w:t>
            </w:r>
            <w:r>
              <w:rPr>
                <w:rFonts w:ascii="Helvetica" w:hAnsi="Helvetica" w:cs="Helvetica"/>
                <w:sz w:val="18"/>
                <w:szCs w:val="18"/>
              </w:rPr>
              <w:t>. 1997</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Grapevine Bulgarian latent virus</w:t>
            </w:r>
            <w:r>
              <w:rPr>
                <w:rFonts w:ascii="Helvetica" w:hAnsi="Helvetica" w:cs="Helvetica"/>
                <w:sz w:val="18"/>
                <w:szCs w:val="18"/>
              </w:rPr>
              <w:t xml:space="preserve"> (GBLV)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Grapevine chrome mosaic virus </w:t>
            </w:r>
            <w:r>
              <w:rPr>
                <w:rFonts w:ascii="Helvetica" w:hAnsi="Helvetica" w:cs="Helvetica"/>
                <w:sz w:val="18"/>
                <w:szCs w:val="18"/>
              </w:rPr>
              <w:t>(GCMV)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lang w:eastAsia="en-AU"/>
              </w:rPr>
            </w:pPr>
            <w:r>
              <w:rPr>
                <w:rFonts w:ascii="Helvetica" w:hAnsi="Helvetica" w:cs="Helvetica"/>
                <w:sz w:val="18"/>
                <w:szCs w:val="18"/>
                <w:lang w:eastAsia="en-AU"/>
              </w:rPr>
              <w:t xml:space="preserve">Le Gall </w:t>
            </w:r>
            <w:r>
              <w:rPr>
                <w:rFonts w:ascii="Helvetica" w:hAnsi="Helvetica" w:cs="Helvetica"/>
                <w:i/>
                <w:sz w:val="18"/>
                <w:szCs w:val="18"/>
                <w:lang w:eastAsia="en-AU"/>
              </w:rPr>
              <w:t>et al</w:t>
            </w:r>
            <w:r>
              <w:rPr>
                <w:rFonts w:ascii="Helvetica" w:hAnsi="Helvetica" w:cs="Helvetica"/>
                <w:sz w:val="18"/>
                <w:szCs w:val="18"/>
                <w:lang w:eastAsia="en-AU"/>
              </w:rPr>
              <w:t>. 1995</w:t>
            </w:r>
          </w:p>
        </w:tc>
      </w:tr>
      <w:tr>
        <w:tc>
          <w:tcPr>
            <w:tcW w:w="4784" w:type="dxa"/>
          </w:tcPr>
          <w:p>
            <w:pPr>
              <w:spacing w:before="20" w:line="240" w:lineRule="atLeast"/>
              <w:rPr>
                <w:rFonts w:ascii="Arial" w:hAnsi="Arial" w:cs="Arial"/>
                <w:sz w:val="18"/>
                <w:szCs w:val="18"/>
              </w:rPr>
            </w:pPr>
            <w:r>
              <w:rPr>
                <w:rFonts w:ascii="Helvetica" w:hAnsi="Helvetica" w:cs="Helvetica"/>
                <w:i/>
                <w:sz w:val="18"/>
                <w:szCs w:val="18"/>
              </w:rPr>
              <w:t>Grapevine deformation virus</w:t>
            </w:r>
            <w:r>
              <w:rPr>
                <w:rFonts w:ascii="Helvetica" w:hAnsi="Helvetica" w:cs="Helvetica"/>
                <w:sz w:val="18"/>
                <w:szCs w:val="18"/>
              </w:rPr>
              <w:t xml:space="preserve"> (GDefV)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r>
              <w:rPr>
                <w:rFonts w:ascii="Helvetica" w:hAnsi="Helvetica" w:cs="Helvetica"/>
                <w:sz w:val="18"/>
                <w:szCs w:val="18"/>
              </w:rPr>
              <w:t>RT-PCR</w:t>
            </w: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Cigsar </w:t>
            </w:r>
            <w:r>
              <w:rPr>
                <w:rFonts w:ascii="Helvetica" w:hAnsi="Helvetica" w:cs="Helvetica"/>
                <w:i/>
                <w:sz w:val="18"/>
                <w:szCs w:val="18"/>
              </w:rPr>
              <w:t>et al</w:t>
            </w:r>
            <w:r>
              <w:rPr>
                <w:rFonts w:ascii="Helvetica" w:hAnsi="Helvetica" w:cs="Helvetica"/>
                <w:sz w:val="18"/>
                <w:szCs w:val="18"/>
              </w:rPr>
              <w:t>. 2003</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Grapevine fanleaf virus </w:t>
            </w:r>
            <w:r>
              <w:rPr>
                <w:rFonts w:ascii="Helvetica" w:hAnsi="Helvetica" w:cs="Helvetica"/>
                <w:sz w:val="18"/>
                <w:szCs w:val="18"/>
              </w:rPr>
              <w:t>(GFLV)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r>
              <w:rPr>
                <w:rFonts w:ascii="Helvetica" w:hAnsi="Helvetica" w:cs="Helvetica"/>
                <w:sz w:val="18"/>
                <w:szCs w:val="18"/>
              </w:rPr>
              <w:t>RT-PCR</w:t>
            </w: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Wetzel </w:t>
            </w:r>
            <w:r>
              <w:rPr>
                <w:rFonts w:ascii="Helvetica" w:hAnsi="Helvetica" w:cs="Helvetica"/>
                <w:i/>
                <w:sz w:val="18"/>
                <w:szCs w:val="18"/>
              </w:rPr>
              <w:t>et al</w:t>
            </w:r>
            <w:r>
              <w:rPr>
                <w:rFonts w:ascii="Helvetica" w:hAnsi="Helvetica" w:cs="Helvetica"/>
                <w:sz w:val="18"/>
                <w:szCs w:val="18"/>
              </w:rPr>
              <w:t>. 2002</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(GLRaV–6,10, 11)</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Helvetica" w:hAnsi="Helvetica" w:cs="Helvetica"/>
                <w:sz w:val="18"/>
                <w:szCs w:val="18"/>
              </w:rPr>
            </w:pPr>
            <w:r>
              <w:rPr>
                <w:rFonts w:ascii="Verdana" w:hAnsi="Verdana" w:cs="Verdana"/>
                <w:sz w:val="18"/>
                <w:szCs w:val="18"/>
                <w:lang w:val="de-DE"/>
              </w:rPr>
              <w:t>●</w:t>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Maliogka </w:t>
            </w:r>
            <w:r>
              <w:rPr>
                <w:rFonts w:ascii="Helvetica" w:hAnsi="Helvetica" w:cs="Helvetica"/>
                <w:i/>
                <w:sz w:val="18"/>
                <w:szCs w:val="18"/>
              </w:rPr>
              <w:t>et al</w:t>
            </w:r>
            <w:r>
              <w:rPr>
                <w:rFonts w:ascii="Helvetica" w:hAnsi="Helvetica" w:cs="Helvetica"/>
                <w:sz w:val="18"/>
                <w:szCs w:val="18"/>
              </w:rPr>
              <w:t>. 2008b</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Grapevine leafroll associated virus</w:t>
            </w:r>
            <w:r>
              <w:rPr>
                <w:rFonts w:ascii="Helvetica" w:hAnsi="Helvetica" w:cs="Helvetica"/>
                <w:sz w:val="18"/>
                <w:szCs w:val="18"/>
              </w:rPr>
              <w:t xml:space="preserve"> (GLRaV–7)</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Helvetica" w:hAnsi="Helvetica" w:cs="Helvetica"/>
                <w:sz w:val="18"/>
                <w:szCs w:val="18"/>
              </w:rPr>
            </w:pPr>
            <w:r>
              <w:rPr>
                <w:rFonts w:ascii="Arial" w:hAnsi="Arial" w:cs="Arial"/>
                <w:b/>
                <w:bCs/>
                <w:sz w:val="16"/>
                <w:szCs w:val="16"/>
              </w:rPr>
              <w:sym w:font="Wingdings" w:char="F070"/>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Engel </w:t>
            </w:r>
            <w:r>
              <w:rPr>
                <w:rFonts w:ascii="Helvetica" w:hAnsi="Helvetica" w:cs="Helvetica"/>
                <w:i/>
                <w:sz w:val="18"/>
                <w:szCs w:val="18"/>
              </w:rPr>
              <w:t>et al</w:t>
            </w:r>
            <w:r>
              <w:rPr>
                <w:rFonts w:ascii="Helvetica" w:hAnsi="Helvetica" w:cs="Helvetica"/>
                <w:sz w:val="18"/>
                <w:szCs w:val="18"/>
              </w:rPr>
              <w:t>. 2008</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Grapevine line pattern virus </w:t>
            </w:r>
            <w:r>
              <w:rPr>
                <w:rFonts w:ascii="Helvetica" w:hAnsi="Helvetica" w:cs="Helvetica"/>
                <w:sz w:val="18"/>
                <w:szCs w:val="18"/>
              </w:rPr>
              <w:t>(GLPV)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r>
              <w:rPr>
                <w:rFonts w:ascii="Arial" w:hAnsi="Arial" w:cs="Arial"/>
                <w:sz w:val="22"/>
                <w:szCs w:val="22"/>
              </w:rPr>
              <w:sym w:font="Wingdings" w:char="F0AB"/>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lang w:eastAsia="en-AU"/>
              </w:rPr>
            </w:pPr>
            <w:r>
              <w:rPr>
                <w:rFonts w:ascii="Helvetica" w:hAnsi="Helvetica" w:cs="Helvetica"/>
                <w:bCs/>
                <w:sz w:val="18"/>
                <w:szCs w:val="18"/>
              </w:rPr>
              <w:t xml:space="preserve">Untiveros </w:t>
            </w:r>
            <w:r>
              <w:rPr>
                <w:rFonts w:ascii="Helvetica" w:hAnsi="Helvetica" w:cs="Helvetica"/>
                <w:bCs/>
                <w:i/>
                <w:sz w:val="18"/>
                <w:szCs w:val="18"/>
              </w:rPr>
              <w:t>et al</w:t>
            </w:r>
            <w:r>
              <w:rPr>
                <w:rFonts w:ascii="Helvetica" w:hAnsi="Helvetica" w:cs="Helvetica"/>
                <w:bCs/>
                <w:sz w:val="18"/>
                <w:szCs w:val="18"/>
              </w:rPr>
              <w:t>. 2010</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Grapevine red globe virus </w:t>
            </w:r>
            <w:r>
              <w:rPr>
                <w:rFonts w:ascii="Helvetica" w:hAnsi="Helvetica" w:cs="Helvetica"/>
                <w:sz w:val="18"/>
                <w:szCs w:val="18"/>
              </w:rPr>
              <w:t>(GRGV)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Verdana" w:hAnsi="Verdana" w:cs="Verdana"/>
                <w:bCs/>
                <w:sz w:val="18"/>
                <w:szCs w:val="18"/>
              </w:rPr>
            </w:pPr>
            <w:r>
              <w:rPr>
                <w:rFonts w:ascii="Verdana" w:hAnsi="Verdana" w:cs="Verdana"/>
                <w:b/>
                <w:bCs/>
                <w:sz w:val="18"/>
                <w:szCs w:val="18"/>
              </w:rPr>
              <w:sym w:font="Wingdings" w:char="F059"/>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Sabanadzovic </w:t>
            </w:r>
            <w:r>
              <w:rPr>
                <w:rFonts w:ascii="Helvetica" w:hAnsi="Helvetica" w:cs="Helvetica"/>
                <w:i/>
                <w:sz w:val="18"/>
                <w:szCs w:val="18"/>
              </w:rPr>
              <w:t>et al</w:t>
            </w:r>
            <w:r>
              <w:rPr>
                <w:rFonts w:ascii="Helvetica" w:hAnsi="Helvetica" w:cs="Helvetica"/>
                <w:sz w:val="18"/>
                <w:szCs w:val="18"/>
              </w:rPr>
              <w:t>. 2000</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Grapevine rupestris vein feathering virus</w:t>
            </w:r>
            <w:r>
              <w:rPr>
                <w:rFonts w:ascii="Helvetica" w:hAnsi="Helvetica" w:cs="Helvetica"/>
                <w:sz w:val="18"/>
                <w:szCs w:val="18"/>
              </w:rPr>
              <w:t xml:space="preserve"> (GRVFV)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Verdana" w:hAnsi="Verdana" w:cs="Verdana"/>
                <w:b/>
                <w:bCs/>
                <w:sz w:val="18"/>
                <w:szCs w:val="18"/>
              </w:rPr>
            </w:pPr>
            <w:r>
              <w:rPr>
                <w:rFonts w:ascii="Arial" w:hAnsi="Arial" w:cs="Arial"/>
                <w:b/>
                <w:bCs/>
                <w:sz w:val="16"/>
                <w:szCs w:val="16"/>
              </w:rPr>
              <w:sym w:font="Wingdings" w:char="F070"/>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jc w:val="left"/>
              <w:rPr>
                <w:rFonts w:ascii="Helvetica" w:hAnsi="Helvetica" w:cs="Helvetica"/>
                <w:sz w:val="18"/>
                <w:szCs w:val="18"/>
              </w:rPr>
            </w:pPr>
            <w:r>
              <w:rPr>
                <w:rFonts w:ascii="Helvetica" w:hAnsi="Helvetica" w:cs="Helvetica"/>
                <w:sz w:val="18"/>
                <w:szCs w:val="18"/>
              </w:rPr>
              <w:t xml:space="preserve">Abou Ghanem-Sabanadazovic </w:t>
            </w:r>
            <w:r>
              <w:rPr>
                <w:rFonts w:ascii="Helvetica" w:hAnsi="Helvetica" w:cs="Helvetica"/>
                <w:i/>
                <w:sz w:val="18"/>
                <w:szCs w:val="18"/>
              </w:rPr>
              <w:t>et al</w:t>
            </w:r>
            <w:r>
              <w:rPr>
                <w:rFonts w:ascii="Helvetica" w:hAnsi="Helvetica" w:cs="Helvetica"/>
                <w:sz w:val="18"/>
                <w:szCs w:val="18"/>
              </w:rPr>
              <w:t>. 2003</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Grapevine syrah virus-I</w:t>
            </w:r>
            <w:r>
              <w:rPr>
                <w:rFonts w:ascii="Helvetica" w:hAnsi="Helvetica" w:cs="Helvetica"/>
                <w:sz w:val="18"/>
                <w:szCs w:val="18"/>
              </w:rPr>
              <w:t xml:space="preserve"> (GSyV-I)</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Verdana" w:hAnsi="Verdana" w:cs="Verdana"/>
                <w:bCs/>
                <w:sz w:val="18"/>
                <w:szCs w:val="18"/>
              </w:rPr>
            </w:pPr>
            <w:r>
              <w:rPr>
                <w:rFonts w:ascii="Verdana" w:hAnsi="Verdana" w:cs="Verdana"/>
                <w:b/>
                <w:bCs/>
                <w:sz w:val="18"/>
                <w:szCs w:val="18"/>
              </w:rPr>
              <w:sym w:font="Wingdings" w:char="F059"/>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Sabanadzovic </w:t>
            </w:r>
            <w:r>
              <w:rPr>
                <w:rFonts w:ascii="Helvetica" w:hAnsi="Helvetica" w:cs="Helvetica"/>
                <w:i/>
                <w:sz w:val="18"/>
                <w:szCs w:val="18"/>
              </w:rPr>
              <w:t>et al</w:t>
            </w:r>
            <w:r>
              <w:rPr>
                <w:rFonts w:ascii="Helvetica" w:hAnsi="Helvetica" w:cs="Helvetica"/>
                <w:sz w:val="18"/>
                <w:szCs w:val="18"/>
              </w:rPr>
              <w:t>. 2000</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Grapevine Tunisian ringspot virus </w:t>
            </w:r>
            <w:r>
              <w:rPr>
                <w:rFonts w:ascii="Helvetica" w:hAnsi="Helvetica" w:cs="Helvetica"/>
                <w:sz w:val="18"/>
                <w:szCs w:val="18"/>
              </w:rPr>
              <w:t>(GTRSV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Grapevine virus B </w:t>
            </w:r>
            <w:r>
              <w:rPr>
                <w:rFonts w:ascii="Helvetica" w:hAnsi="Helvetica" w:cs="Helvetica"/>
                <w:sz w:val="18"/>
                <w:szCs w:val="18"/>
              </w:rPr>
              <w:t>(corky bark strains) (GVB)</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Arial" w:hAnsi="Arial" w:cs="Arial"/>
                <w:sz w:val="18"/>
                <w:szCs w:val="18"/>
              </w:rPr>
            </w:pPr>
            <w:r>
              <w:rPr>
                <w:rFonts w:ascii="Verdana" w:hAnsi="Verdana" w:cs="Verdana"/>
                <w:bCs/>
                <w:sz w:val="18"/>
                <w:szCs w:val="18"/>
              </w:rPr>
              <w:t>Δ</w:t>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Minafra and Hadidi 1994</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Grapevine virus E </w:t>
            </w:r>
            <w:r>
              <w:rPr>
                <w:rFonts w:ascii="Helvetica" w:hAnsi="Helvetica" w:cs="Helvetica"/>
                <w:sz w:val="18"/>
                <w:szCs w:val="18"/>
              </w:rPr>
              <w:t>(GVE)</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Arial" w:hAnsi="Arial" w:cs="Arial"/>
                <w:b/>
                <w:sz w:val="20"/>
                <w:szCs w:val="20"/>
              </w:rPr>
            </w:pPr>
            <w:r>
              <w:rPr>
                <w:rFonts w:ascii="Arial" w:hAnsi="Arial" w:cs="Arial"/>
                <w:b/>
                <w:sz w:val="20"/>
                <w:szCs w:val="20"/>
                <w:rtl/>
              </w:rPr>
              <w:t>۩</w:t>
            </w:r>
          </w:p>
        </w:tc>
        <w:tc>
          <w:tcPr>
            <w:tcW w:w="1134" w:type="dxa"/>
          </w:tcPr>
          <w:p>
            <w:pPr>
              <w:spacing w:before="20" w:line="240" w:lineRule="atLeast"/>
              <w:rPr>
                <w:rFonts w:ascii="Arial" w:hAnsi="Arial" w:cs="Arial"/>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lang w:eastAsia="en-AU"/>
              </w:rPr>
              <w:t>Dovas and Katis 2003</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Peach rosette mosaic virus </w:t>
            </w:r>
            <w:r>
              <w:rPr>
                <w:rFonts w:ascii="Helvetica" w:hAnsi="Helvetica" w:cs="Helvetica"/>
                <w:sz w:val="18"/>
                <w:szCs w:val="18"/>
              </w:rPr>
              <w:t>(PRMV)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Kheder </w:t>
            </w:r>
            <w:r>
              <w:rPr>
                <w:rFonts w:ascii="Helvetica" w:hAnsi="Helvetica" w:cs="Helvetica"/>
                <w:i/>
                <w:sz w:val="18"/>
                <w:szCs w:val="18"/>
              </w:rPr>
              <w:t>et al</w:t>
            </w:r>
            <w:r>
              <w:rPr>
                <w:rFonts w:ascii="Helvetica" w:hAnsi="Helvetica" w:cs="Helvetica"/>
                <w:sz w:val="18"/>
                <w:szCs w:val="18"/>
              </w:rPr>
              <w:t>. 2004</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Petunia asteroid mosaic virus </w:t>
            </w:r>
            <w:r>
              <w:rPr>
                <w:rFonts w:ascii="Helvetica" w:hAnsi="Helvetica" w:cs="Helvetica"/>
                <w:sz w:val="18"/>
                <w:szCs w:val="18"/>
              </w:rPr>
              <w:t>(PeAMV)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p>
        </w:tc>
        <w:tc>
          <w:tcPr>
            <w:tcW w:w="425" w:type="dxa"/>
          </w:tcPr>
          <w:p>
            <w:pPr>
              <w:spacing w:before="20" w:line="240" w:lineRule="atLeast"/>
              <w:jc w:val="center"/>
              <w:rPr>
                <w:rFonts w:ascii="Verdana" w:hAnsi="Verdana" w:cs="Verdana"/>
                <w:sz w:val="18"/>
                <w:szCs w:val="18"/>
              </w:rPr>
            </w:pPr>
            <w:r>
              <w:rPr>
                <w:rFonts w:ascii="Verdana" w:hAnsi="Verdana" w:cs="Verdana"/>
                <w:b/>
                <w:bCs/>
                <w:sz w:val="18"/>
                <w:szCs w:val="18"/>
              </w:rPr>
              <w:sym w:font="Wingdings" w:char="F078"/>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Russo </w:t>
            </w:r>
            <w:r>
              <w:rPr>
                <w:rFonts w:ascii="Helvetica" w:hAnsi="Helvetica" w:cs="Helvetica"/>
                <w:i/>
                <w:sz w:val="18"/>
                <w:szCs w:val="18"/>
              </w:rPr>
              <w:t>et al</w:t>
            </w:r>
            <w:r>
              <w:rPr>
                <w:rFonts w:ascii="Helvetica" w:hAnsi="Helvetica" w:cs="Helvetica"/>
                <w:sz w:val="18"/>
                <w:szCs w:val="18"/>
              </w:rPr>
              <w:t xml:space="preserve">. 2002; Harris </w:t>
            </w:r>
            <w:r>
              <w:rPr>
                <w:rFonts w:ascii="Helvetica" w:hAnsi="Helvetica" w:cs="Helvetica"/>
                <w:i/>
                <w:sz w:val="18"/>
                <w:szCs w:val="18"/>
              </w:rPr>
              <w:t>et al</w:t>
            </w:r>
            <w:r>
              <w:rPr>
                <w:rFonts w:ascii="Helvetica" w:hAnsi="Helvetica" w:cs="Helvetica"/>
                <w:sz w:val="18"/>
                <w:szCs w:val="18"/>
              </w:rPr>
              <w:t>. 2006</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Raspberry ringspot virus</w:t>
            </w:r>
            <w:r>
              <w:rPr>
                <w:rFonts w:ascii="Helvetica" w:hAnsi="Helvetica" w:cs="Helvetica"/>
                <w:sz w:val="18"/>
                <w:szCs w:val="18"/>
              </w:rPr>
              <w:t xml:space="preserve"> (RpRSV) – grapevine strain</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Arial" w:hAnsi="Arial" w:cs="Arial"/>
                <w:sz w:val="18"/>
                <w:szCs w:val="18"/>
              </w:rPr>
            </w:pPr>
          </w:p>
        </w:tc>
        <w:tc>
          <w:tcPr>
            <w:tcW w:w="2268" w:type="dxa"/>
          </w:tcPr>
          <w:p>
            <w:pPr>
              <w:spacing w:before="20" w:line="240" w:lineRule="atLeast"/>
              <w:jc w:val="left"/>
              <w:rPr>
                <w:rFonts w:ascii="Helvetica" w:hAnsi="Helvetica" w:cs="Helvetica"/>
                <w:sz w:val="18"/>
                <w:szCs w:val="18"/>
              </w:rPr>
            </w:pPr>
            <w:r>
              <w:rPr>
                <w:rFonts w:ascii="Helvetica" w:hAnsi="Helvetica" w:cs="Helvetica"/>
                <w:sz w:val="18"/>
                <w:szCs w:val="18"/>
              </w:rPr>
              <w:t xml:space="preserve">Ochoa-Corona </w:t>
            </w:r>
            <w:r>
              <w:rPr>
                <w:rFonts w:ascii="Helvetica" w:hAnsi="Helvetica" w:cs="Helvetica"/>
                <w:i/>
                <w:sz w:val="18"/>
                <w:szCs w:val="18"/>
              </w:rPr>
              <w:t>et al</w:t>
            </w:r>
            <w:r>
              <w:rPr>
                <w:rFonts w:ascii="Helvetica" w:hAnsi="Helvetica" w:cs="Helvetica"/>
                <w:sz w:val="18"/>
                <w:szCs w:val="18"/>
              </w:rPr>
              <w:t>. 2006</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Sowbane mosaic virus</w:t>
            </w:r>
            <w:r>
              <w:rPr>
                <w:rFonts w:ascii="Helvetica" w:hAnsi="Helvetica" w:cs="Helvetica"/>
                <w:sz w:val="18"/>
                <w:szCs w:val="18"/>
              </w:rPr>
              <w:t xml:space="preserve"> (SoMV) – grape infecting strain</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p>
        </w:tc>
        <w:tc>
          <w:tcPr>
            <w:tcW w:w="1134" w:type="dxa"/>
          </w:tcPr>
          <w:p>
            <w:pPr>
              <w:spacing w:before="20" w:line="240" w:lineRule="atLeast"/>
              <w:rPr>
                <w:rFonts w:ascii="Arial" w:hAnsi="Arial" w:cs="Arial"/>
                <w:sz w:val="18"/>
                <w:szCs w:val="18"/>
              </w:rPr>
            </w:pPr>
          </w:p>
        </w:tc>
        <w:tc>
          <w:tcPr>
            <w:tcW w:w="2268" w:type="dxa"/>
          </w:tcPr>
          <w:p>
            <w:pPr>
              <w:spacing w:before="20" w:line="240" w:lineRule="atLeast"/>
              <w:rPr>
                <w:rFonts w:ascii="Helvetica" w:hAnsi="Helvetica" w:cs="Helvetica"/>
                <w:sz w:val="18"/>
                <w:szCs w:val="18"/>
              </w:rPr>
            </w:pP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Strawberry latent ringspot virus </w:t>
            </w:r>
            <w:r>
              <w:rPr>
                <w:rFonts w:ascii="Helvetica" w:hAnsi="Helvetica" w:cs="Helvetica"/>
                <w:sz w:val="18"/>
                <w:szCs w:val="18"/>
              </w:rPr>
              <w:t>(SLRSV)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rPr>
              <w:t xml:space="preserve">Faggioli </w:t>
            </w:r>
            <w:r>
              <w:rPr>
                <w:rFonts w:ascii="Helvetica" w:hAnsi="Helvetica" w:cs="Helvetica"/>
                <w:i/>
                <w:sz w:val="18"/>
                <w:szCs w:val="18"/>
              </w:rPr>
              <w:t>et al</w:t>
            </w:r>
            <w:r>
              <w:rPr>
                <w:rFonts w:ascii="Helvetica" w:hAnsi="Helvetica" w:cs="Helvetica"/>
                <w:sz w:val="18"/>
                <w:szCs w:val="18"/>
              </w:rPr>
              <w:t>. 2002</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 xml:space="preserve">Tobacco necrosis virus </w:t>
            </w:r>
            <w:r>
              <w:rPr>
                <w:rFonts w:ascii="Helvetica" w:hAnsi="Helvetica" w:cs="Helvetica"/>
                <w:sz w:val="18"/>
                <w:szCs w:val="18"/>
              </w:rPr>
              <w:t>(TNV) – grape strain</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Helvetica" w:hAnsi="Helvetica" w:cs="Helvetica"/>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rPr>
            </w:pPr>
            <w:r>
              <w:rPr>
                <w:rFonts w:ascii="Helvetica" w:hAnsi="Helvetica" w:cs="Helvetica"/>
                <w:sz w:val="18"/>
                <w:szCs w:val="18"/>
                <w:lang w:val="de-DE"/>
              </w:rPr>
              <w:t xml:space="preserve">Digiaro </w:t>
            </w:r>
            <w:r>
              <w:rPr>
                <w:rFonts w:ascii="Helvetica" w:hAnsi="Helvetica" w:cs="Helvetica"/>
                <w:i/>
                <w:iCs/>
                <w:sz w:val="18"/>
                <w:szCs w:val="18"/>
                <w:lang w:val="de-DE"/>
              </w:rPr>
              <w:t>et al</w:t>
            </w:r>
            <w:r>
              <w:rPr>
                <w:rFonts w:ascii="Helvetica" w:hAnsi="Helvetica" w:cs="Helvetica"/>
                <w:sz w:val="18"/>
                <w:szCs w:val="18"/>
                <w:lang w:val="de-DE"/>
              </w:rPr>
              <w:t>. 2007</w:t>
            </w:r>
          </w:p>
        </w:tc>
      </w:tr>
      <w:tr>
        <w:tc>
          <w:tcPr>
            <w:tcW w:w="4784" w:type="dxa"/>
          </w:tcPr>
          <w:p>
            <w:pPr>
              <w:spacing w:before="20" w:line="240" w:lineRule="atLeast"/>
              <w:rPr>
                <w:rFonts w:ascii="Helvetica" w:hAnsi="Helvetica" w:cs="Helvetica"/>
                <w:sz w:val="18"/>
                <w:szCs w:val="18"/>
              </w:rPr>
            </w:pPr>
            <w:r>
              <w:rPr>
                <w:rFonts w:ascii="Helvetica" w:hAnsi="Helvetica" w:cs="Helvetica"/>
                <w:i/>
                <w:sz w:val="18"/>
                <w:szCs w:val="18"/>
              </w:rPr>
              <w:t>Tomato black ring virus</w:t>
            </w:r>
            <w:r>
              <w:rPr>
                <w:rFonts w:ascii="Helvetica" w:hAnsi="Helvetica" w:cs="Helvetica"/>
                <w:sz w:val="18"/>
                <w:szCs w:val="18"/>
              </w:rPr>
              <w:t xml:space="preserve"> (TBRV)</w:t>
            </w:r>
          </w:p>
        </w:tc>
        <w:tc>
          <w:tcPr>
            <w:tcW w:w="425" w:type="dxa"/>
            <w:vMerge/>
          </w:tcPr>
          <w:p>
            <w:pPr>
              <w:spacing w:before="20" w:line="240" w:lineRule="atLeast"/>
              <w:jc w:val="center"/>
              <w:rPr>
                <w:rFonts w:ascii="Helvetica" w:hAnsi="Helvetica" w:cs="Helvetica"/>
                <w:sz w:val="18"/>
                <w:szCs w:val="18"/>
              </w:rPr>
            </w:pPr>
          </w:p>
        </w:tc>
        <w:tc>
          <w:tcPr>
            <w:tcW w:w="426" w:type="dxa"/>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Pr>
          <w:p>
            <w:pPr>
              <w:spacing w:before="20" w:line="240" w:lineRule="atLeast"/>
              <w:rPr>
                <w:rFonts w:ascii="Helvetica" w:hAnsi="Helvetica" w:cs="Helvetica"/>
                <w:sz w:val="18"/>
                <w:szCs w:val="18"/>
              </w:rPr>
            </w:pPr>
          </w:p>
        </w:tc>
        <w:tc>
          <w:tcPr>
            <w:tcW w:w="2268" w:type="dxa"/>
          </w:tcPr>
          <w:p>
            <w:pPr>
              <w:spacing w:before="20" w:line="240" w:lineRule="atLeast"/>
              <w:rPr>
                <w:rFonts w:ascii="Helvetica" w:hAnsi="Helvetica" w:cs="Helvetica"/>
                <w:sz w:val="18"/>
                <w:szCs w:val="18"/>
                <w:lang w:eastAsia="en-AU"/>
              </w:rPr>
            </w:pPr>
            <w:r>
              <w:rPr>
                <w:rFonts w:ascii="Helvetica" w:hAnsi="Helvetica" w:cs="Helvetica"/>
                <w:sz w:val="18"/>
                <w:szCs w:val="18"/>
                <w:lang w:eastAsia="en-AU"/>
              </w:rPr>
              <w:t xml:space="preserve">Le Gall </w:t>
            </w:r>
            <w:r>
              <w:rPr>
                <w:rFonts w:ascii="Helvetica" w:hAnsi="Helvetica" w:cs="Helvetica"/>
                <w:i/>
                <w:sz w:val="18"/>
                <w:szCs w:val="18"/>
                <w:lang w:eastAsia="en-AU"/>
              </w:rPr>
              <w:t>et al</w:t>
            </w:r>
            <w:r>
              <w:rPr>
                <w:rFonts w:ascii="Helvetica" w:hAnsi="Helvetica" w:cs="Helvetica"/>
                <w:sz w:val="18"/>
                <w:szCs w:val="18"/>
                <w:lang w:eastAsia="en-AU"/>
              </w:rPr>
              <w:t>. 1995</w:t>
            </w:r>
          </w:p>
        </w:tc>
      </w:tr>
      <w:tr>
        <w:tc>
          <w:tcPr>
            <w:tcW w:w="4784" w:type="dxa"/>
            <w:tcBorders>
              <w:bottom w:val="single" w:sz="12" w:space="0" w:color="008000"/>
            </w:tcBorders>
          </w:tcPr>
          <w:p>
            <w:pPr>
              <w:spacing w:before="20" w:line="240" w:lineRule="atLeast"/>
              <w:rPr>
                <w:rFonts w:ascii="Helvetica" w:hAnsi="Helvetica" w:cs="Helvetica"/>
                <w:sz w:val="18"/>
                <w:szCs w:val="18"/>
              </w:rPr>
            </w:pPr>
            <w:r>
              <w:rPr>
                <w:rFonts w:ascii="Helvetica" w:hAnsi="Helvetica" w:cs="Helvetica"/>
                <w:i/>
                <w:sz w:val="18"/>
                <w:szCs w:val="18"/>
              </w:rPr>
              <w:t>Tomato ringspot virus</w:t>
            </w:r>
            <w:r>
              <w:rPr>
                <w:rFonts w:ascii="Helvetica" w:hAnsi="Helvetica" w:cs="Helvetica"/>
                <w:sz w:val="18"/>
                <w:szCs w:val="18"/>
              </w:rPr>
              <w:t xml:space="preserve"> (ToRSV)</w:t>
            </w:r>
          </w:p>
        </w:tc>
        <w:tc>
          <w:tcPr>
            <w:tcW w:w="425" w:type="dxa"/>
            <w:vMerge/>
            <w:tcBorders>
              <w:bottom w:val="single" w:sz="12" w:space="0" w:color="008000"/>
            </w:tcBorders>
          </w:tcPr>
          <w:p>
            <w:pPr>
              <w:spacing w:before="20" w:line="240" w:lineRule="atLeast"/>
              <w:jc w:val="center"/>
              <w:rPr>
                <w:rFonts w:ascii="Helvetica" w:hAnsi="Helvetica" w:cs="Helvetica"/>
                <w:sz w:val="18"/>
                <w:szCs w:val="18"/>
              </w:rPr>
            </w:pPr>
          </w:p>
        </w:tc>
        <w:tc>
          <w:tcPr>
            <w:tcW w:w="426" w:type="dxa"/>
            <w:tcBorders>
              <w:bottom w:val="single" w:sz="12" w:space="0" w:color="008000"/>
            </w:tcBorders>
          </w:tcPr>
          <w:p>
            <w:pPr>
              <w:spacing w:before="20" w:line="240" w:lineRule="atLeast"/>
              <w:jc w:val="center"/>
              <w:rPr>
                <w:rFonts w:ascii="Helvetica" w:hAnsi="Helvetica" w:cs="Helvetica"/>
                <w:sz w:val="18"/>
                <w:szCs w:val="18"/>
              </w:rPr>
            </w:pPr>
            <w:r>
              <w:rPr>
                <w:rFonts w:ascii="Arial" w:hAnsi="Arial" w:cs="Arial"/>
                <w:sz w:val="18"/>
                <w:szCs w:val="18"/>
              </w:rPr>
              <w:sym w:font="Wingdings" w:char="F0FC"/>
            </w:r>
          </w:p>
        </w:tc>
        <w:tc>
          <w:tcPr>
            <w:tcW w:w="425" w:type="dxa"/>
            <w:tcBorders>
              <w:bottom w:val="single" w:sz="12" w:space="0" w:color="008000"/>
            </w:tcBorders>
          </w:tcPr>
          <w:p>
            <w:pPr>
              <w:spacing w:before="20" w:line="240" w:lineRule="atLeast"/>
              <w:jc w:val="center"/>
              <w:rPr>
                <w:rFonts w:ascii="Arial" w:hAnsi="Arial" w:cs="Arial"/>
                <w:sz w:val="18"/>
                <w:szCs w:val="18"/>
              </w:rPr>
            </w:pPr>
            <w:r>
              <w:rPr>
                <w:rFonts w:ascii="Arial" w:hAnsi="Arial" w:cs="Arial"/>
                <w:sz w:val="16"/>
                <w:szCs w:val="16"/>
              </w:rPr>
              <w:sym w:font="Wingdings" w:char="F075"/>
            </w:r>
          </w:p>
        </w:tc>
        <w:tc>
          <w:tcPr>
            <w:tcW w:w="1134" w:type="dxa"/>
            <w:tcBorders>
              <w:bottom w:val="single" w:sz="12" w:space="0" w:color="008000"/>
            </w:tcBorders>
          </w:tcPr>
          <w:p>
            <w:pPr>
              <w:spacing w:before="20" w:line="240" w:lineRule="atLeast"/>
              <w:rPr>
                <w:rFonts w:ascii="Arial" w:hAnsi="Arial" w:cs="Arial"/>
                <w:sz w:val="18"/>
                <w:szCs w:val="18"/>
              </w:rPr>
            </w:pPr>
          </w:p>
        </w:tc>
        <w:tc>
          <w:tcPr>
            <w:tcW w:w="2268" w:type="dxa"/>
            <w:tcBorders>
              <w:bottom w:val="single" w:sz="12" w:space="0" w:color="008000"/>
            </w:tcBorders>
          </w:tcPr>
          <w:p>
            <w:pPr>
              <w:spacing w:before="20" w:line="240" w:lineRule="atLeast"/>
              <w:rPr>
                <w:rFonts w:ascii="Helvetica" w:hAnsi="Helvetica" w:cs="Helvetica"/>
                <w:sz w:val="18"/>
                <w:szCs w:val="18"/>
              </w:rPr>
            </w:pPr>
            <w:r>
              <w:rPr>
                <w:rFonts w:ascii="Helvetica" w:hAnsi="Helvetica" w:cs="Helvetica"/>
                <w:sz w:val="18"/>
                <w:szCs w:val="18"/>
              </w:rPr>
              <w:t>Griesbach 1995</w:t>
            </w:r>
          </w:p>
        </w:tc>
      </w:tr>
    </w:tbl>
    <w:p>
      <w:pPr>
        <w:spacing w:before="60" w:line="280" w:lineRule="atLeast"/>
        <w:rPr>
          <w:rFonts w:ascii="Verdana" w:hAnsi="Verdana" w:cs="Verdana"/>
          <w:sz w:val="18"/>
          <w:szCs w:val="18"/>
          <w:lang w:val="de-DE"/>
        </w:rPr>
      </w:pPr>
      <w:r>
        <w:rPr>
          <w:rFonts w:ascii="Arial" w:hAnsi="Arial" w:cs="Arial"/>
          <w:sz w:val="16"/>
          <w:szCs w:val="16"/>
        </w:rPr>
        <w:sym w:font="Wingdings" w:char="F075"/>
      </w:r>
      <w:r>
        <w:rPr>
          <w:rFonts w:ascii="Arial" w:hAnsi="Arial" w:cs="Arial"/>
          <w:sz w:val="16"/>
          <w:szCs w:val="16"/>
          <w:lang w:val="de-DE"/>
        </w:rPr>
        <w:tab/>
      </w:r>
      <w:r>
        <w:rPr>
          <w:rFonts w:ascii="Verdana" w:hAnsi="Verdana" w:cs="Verdana"/>
          <w:bCs/>
          <w:sz w:val="18"/>
          <w:szCs w:val="18"/>
          <w:lang w:val="de-DE"/>
        </w:rPr>
        <w:t xml:space="preserve">Generic </w:t>
      </w:r>
      <w:r>
        <w:rPr>
          <w:rFonts w:ascii="Verdana" w:hAnsi="Verdana" w:cs="Verdana"/>
          <w:bCs/>
          <w:i/>
          <w:sz w:val="18"/>
          <w:szCs w:val="18"/>
          <w:lang w:val="de-DE"/>
        </w:rPr>
        <w:t>Nepovirus</w:t>
      </w:r>
      <w:r>
        <w:rPr>
          <w:rFonts w:ascii="Verdana" w:hAnsi="Verdana" w:cs="Verdana"/>
          <w:bCs/>
          <w:sz w:val="18"/>
          <w:szCs w:val="18"/>
          <w:lang w:val="de-DE"/>
        </w:rPr>
        <w:t xml:space="preserve"> PCR</w:t>
      </w:r>
      <w:r>
        <w:rPr>
          <w:rFonts w:ascii="Arial" w:hAnsi="Arial" w:cs="Arial"/>
          <w:bCs/>
          <w:sz w:val="16"/>
          <w:szCs w:val="16"/>
          <w:lang w:val="de-DE"/>
        </w:rPr>
        <w:t xml:space="preserve"> </w:t>
      </w:r>
      <w:r>
        <w:rPr>
          <w:rFonts w:ascii="Verdana" w:hAnsi="Verdana" w:cs="Verdana"/>
          <w:sz w:val="18"/>
          <w:szCs w:val="18"/>
          <w:lang w:val="de-DE"/>
        </w:rPr>
        <w:t xml:space="preserve">(Digiaro </w:t>
      </w:r>
      <w:r>
        <w:rPr>
          <w:rFonts w:ascii="Verdana" w:hAnsi="Verdana" w:cs="Verdana"/>
          <w:i/>
          <w:iCs/>
          <w:sz w:val="18"/>
          <w:szCs w:val="18"/>
          <w:lang w:val="de-DE"/>
        </w:rPr>
        <w:t>et al</w:t>
      </w:r>
      <w:r>
        <w:rPr>
          <w:rFonts w:ascii="Verdana" w:hAnsi="Verdana" w:cs="Verdana"/>
          <w:sz w:val="18"/>
          <w:szCs w:val="18"/>
          <w:lang w:val="de-DE"/>
        </w:rPr>
        <w:t>. 2007)</w:t>
      </w:r>
    </w:p>
    <w:p>
      <w:pPr>
        <w:spacing w:before="20" w:line="240" w:lineRule="atLeast"/>
        <w:rPr>
          <w:rFonts w:ascii="Verdana" w:hAnsi="Verdana" w:cs="Helvetica"/>
          <w:sz w:val="18"/>
          <w:szCs w:val="18"/>
        </w:rPr>
      </w:pPr>
      <w:r>
        <w:rPr>
          <w:rFonts w:ascii="Verdana" w:hAnsi="Verdana" w:cs="Verdana"/>
          <w:bCs/>
          <w:sz w:val="18"/>
          <w:szCs w:val="18"/>
        </w:rPr>
        <w:sym w:font="Wingdings" w:char="F078"/>
      </w:r>
      <w:r>
        <w:rPr>
          <w:rFonts w:ascii="Verdana" w:hAnsi="Verdana" w:cs="Verdana"/>
          <w:bCs/>
          <w:sz w:val="18"/>
          <w:szCs w:val="18"/>
        </w:rPr>
        <w:tab/>
        <w:t xml:space="preserve">Genus specific nested PCR for </w:t>
      </w:r>
      <w:r>
        <w:rPr>
          <w:rFonts w:ascii="Verdana" w:hAnsi="Verdana"/>
          <w:bCs/>
          <w:i/>
          <w:sz w:val="18"/>
          <w:szCs w:val="18"/>
        </w:rPr>
        <w:t>Tombusvirus</w:t>
      </w:r>
      <w:r>
        <w:t xml:space="preserve"> </w:t>
      </w:r>
      <w:r>
        <w:rPr>
          <w:rFonts w:ascii="Verdana" w:hAnsi="Verdana" w:cs="Verdana"/>
          <w:bCs/>
          <w:sz w:val="18"/>
          <w:szCs w:val="18"/>
        </w:rPr>
        <w:t>(</w:t>
      </w:r>
      <w:r>
        <w:rPr>
          <w:rFonts w:ascii="Verdana" w:hAnsi="Verdana" w:cs="Helvetica"/>
          <w:sz w:val="18"/>
          <w:szCs w:val="18"/>
        </w:rPr>
        <w:t xml:space="preserve">Russo </w:t>
      </w:r>
      <w:r>
        <w:rPr>
          <w:rFonts w:ascii="Verdana" w:hAnsi="Verdana" w:cs="Helvetica"/>
          <w:i/>
          <w:sz w:val="18"/>
          <w:szCs w:val="18"/>
        </w:rPr>
        <w:t>et al</w:t>
      </w:r>
      <w:r>
        <w:rPr>
          <w:rFonts w:ascii="Verdana" w:hAnsi="Verdana" w:cs="Helvetica"/>
          <w:sz w:val="18"/>
          <w:szCs w:val="18"/>
        </w:rPr>
        <w:t xml:space="preserve">. 2002 or Harris </w:t>
      </w:r>
      <w:r>
        <w:rPr>
          <w:rFonts w:ascii="Verdana" w:hAnsi="Verdana" w:cs="Helvetica"/>
          <w:i/>
          <w:sz w:val="18"/>
          <w:szCs w:val="18"/>
        </w:rPr>
        <w:t>et al</w:t>
      </w:r>
      <w:r>
        <w:rPr>
          <w:rFonts w:ascii="Verdana" w:hAnsi="Verdana" w:cs="Helvetica"/>
          <w:sz w:val="18"/>
          <w:szCs w:val="18"/>
        </w:rPr>
        <w:t>. 2006)</w:t>
      </w:r>
    </w:p>
    <w:p>
      <w:pPr>
        <w:spacing w:before="20" w:line="240" w:lineRule="atLeast"/>
        <w:ind w:left="720" w:hanging="720"/>
        <w:rPr>
          <w:rFonts w:ascii="Verdana" w:hAnsi="Verdana" w:cs="Helvetica"/>
          <w:i/>
          <w:sz w:val="18"/>
          <w:szCs w:val="18"/>
        </w:rPr>
      </w:pPr>
      <w:r>
        <w:rPr>
          <w:rFonts w:ascii="Arial" w:hAnsi="Arial" w:cs="Arial"/>
          <w:bCs/>
          <w:sz w:val="16"/>
          <w:szCs w:val="16"/>
        </w:rPr>
        <w:lastRenderedPageBreak/>
        <w:sym w:font="Wingdings" w:char="F070"/>
      </w:r>
      <w:r>
        <w:rPr>
          <w:rFonts w:ascii="Verdana" w:hAnsi="Verdana" w:cs="Verdana"/>
          <w:bCs/>
          <w:sz w:val="22"/>
          <w:szCs w:val="22"/>
        </w:rPr>
        <w:tab/>
      </w:r>
      <w:r>
        <w:rPr>
          <w:rFonts w:ascii="Verdana" w:hAnsi="Verdana" w:cs="Helvetica"/>
          <w:sz w:val="18"/>
          <w:szCs w:val="18"/>
        </w:rPr>
        <w:t xml:space="preserve">Specific RT-PCR test (Yoshikawa </w:t>
      </w:r>
      <w:r>
        <w:rPr>
          <w:rFonts w:ascii="Verdana" w:hAnsi="Verdana" w:cs="Helvetica"/>
          <w:i/>
          <w:sz w:val="18"/>
          <w:szCs w:val="18"/>
        </w:rPr>
        <w:t>et al</w:t>
      </w:r>
      <w:r>
        <w:rPr>
          <w:rFonts w:ascii="Verdana" w:hAnsi="Verdana" w:cs="Helvetica"/>
          <w:sz w:val="18"/>
          <w:szCs w:val="18"/>
        </w:rPr>
        <w:t>. 1997;</w:t>
      </w:r>
      <w:r>
        <w:rPr>
          <w:rFonts w:ascii="Verdana" w:hAnsi="Verdana" w:cs="Helvetica"/>
          <w:i/>
          <w:sz w:val="18"/>
          <w:szCs w:val="18"/>
        </w:rPr>
        <w:t xml:space="preserve"> </w:t>
      </w:r>
      <w:r>
        <w:rPr>
          <w:rFonts w:ascii="Verdana" w:hAnsi="Verdana" w:cs="Helvetica"/>
          <w:sz w:val="18"/>
          <w:szCs w:val="18"/>
        </w:rPr>
        <w:t xml:space="preserve">Abou Ghanem-Sabanadazovic </w:t>
      </w:r>
      <w:r>
        <w:rPr>
          <w:rFonts w:ascii="Verdana" w:hAnsi="Verdana" w:cs="Helvetica"/>
          <w:i/>
          <w:sz w:val="18"/>
          <w:szCs w:val="18"/>
        </w:rPr>
        <w:t>et al</w:t>
      </w:r>
      <w:r>
        <w:rPr>
          <w:rFonts w:ascii="Verdana" w:hAnsi="Verdana" w:cs="Helvetica"/>
          <w:sz w:val="18"/>
          <w:szCs w:val="18"/>
        </w:rPr>
        <w:t xml:space="preserve">. 2003; or Engel </w:t>
      </w:r>
      <w:r>
        <w:rPr>
          <w:rFonts w:ascii="Verdana" w:hAnsi="Verdana" w:cs="Helvetica"/>
          <w:i/>
          <w:sz w:val="18"/>
          <w:szCs w:val="18"/>
        </w:rPr>
        <w:t>et al</w:t>
      </w:r>
      <w:r>
        <w:rPr>
          <w:rFonts w:ascii="Verdana" w:hAnsi="Verdana" w:cs="Helvetica"/>
          <w:sz w:val="18"/>
          <w:szCs w:val="18"/>
        </w:rPr>
        <w:t>. 2008)</w:t>
      </w:r>
    </w:p>
    <w:p>
      <w:pPr>
        <w:spacing w:before="20" w:line="240" w:lineRule="atLeast"/>
        <w:rPr>
          <w:rFonts w:ascii="Verdana" w:hAnsi="Verdana" w:cs="Verdana"/>
          <w:sz w:val="18"/>
          <w:szCs w:val="18"/>
        </w:rPr>
      </w:pPr>
      <w:r>
        <w:rPr>
          <w:rFonts w:ascii="Verdana" w:hAnsi="Verdana" w:cs="Verdana"/>
          <w:sz w:val="18"/>
          <w:szCs w:val="18"/>
        </w:rPr>
        <w:t>●</w:t>
      </w:r>
      <w:r>
        <w:rPr>
          <w:rFonts w:ascii="Verdana" w:hAnsi="Verdana" w:cs="Verdana"/>
          <w:sz w:val="18"/>
          <w:szCs w:val="18"/>
        </w:rPr>
        <w:tab/>
      </w:r>
      <w:r>
        <w:rPr>
          <w:rFonts w:ascii="Verdana" w:hAnsi="Verdana" w:cs="Verdana"/>
          <w:bCs/>
          <w:sz w:val="18"/>
          <w:szCs w:val="18"/>
        </w:rPr>
        <w:t xml:space="preserve">Genus specific PCR for </w:t>
      </w:r>
      <w:r>
        <w:rPr>
          <w:rFonts w:ascii="Verdana" w:hAnsi="Verdana" w:cs="Verdana"/>
          <w:bCs/>
          <w:i/>
          <w:sz w:val="18"/>
          <w:szCs w:val="18"/>
        </w:rPr>
        <w:t>Ampelovirus</w:t>
      </w:r>
      <w:r>
        <w:rPr>
          <w:rFonts w:ascii="Verdana" w:hAnsi="Verdana" w:cs="Verdana"/>
          <w:sz w:val="18"/>
          <w:szCs w:val="18"/>
        </w:rPr>
        <w:t xml:space="preserve"> (Maliogka </w:t>
      </w:r>
      <w:r>
        <w:rPr>
          <w:rFonts w:ascii="Verdana" w:hAnsi="Verdana" w:cs="Verdana"/>
          <w:i/>
          <w:iCs/>
          <w:sz w:val="18"/>
          <w:szCs w:val="18"/>
        </w:rPr>
        <w:t>et al</w:t>
      </w:r>
      <w:r>
        <w:rPr>
          <w:rFonts w:ascii="Verdana" w:hAnsi="Verdana" w:cs="Verdana"/>
          <w:sz w:val="18"/>
          <w:szCs w:val="18"/>
        </w:rPr>
        <w:t>. 2008b)</w:t>
      </w:r>
    </w:p>
    <w:p>
      <w:pPr>
        <w:spacing w:before="20" w:line="240" w:lineRule="atLeast"/>
        <w:jc w:val="left"/>
        <w:rPr>
          <w:rFonts w:ascii="Verdana" w:hAnsi="Verdana" w:cs="Verdana"/>
          <w:bCs/>
          <w:sz w:val="18"/>
          <w:szCs w:val="18"/>
        </w:rPr>
      </w:pPr>
      <w:r>
        <w:rPr>
          <w:rFonts w:ascii="Verdana" w:hAnsi="Verdana" w:cs="Verdana"/>
          <w:bCs/>
          <w:sz w:val="18"/>
          <w:szCs w:val="18"/>
        </w:rPr>
        <w:sym w:font="Wingdings" w:char="F0AB"/>
      </w:r>
      <w:r>
        <w:rPr>
          <w:rFonts w:ascii="Verdana" w:hAnsi="Verdana" w:cs="Verdana"/>
          <w:bCs/>
          <w:sz w:val="18"/>
          <w:szCs w:val="18"/>
        </w:rPr>
        <w:tab/>
        <w:t xml:space="preserve">Genus specific nested PCR for ilarviruses (Untiveros </w:t>
      </w:r>
      <w:r>
        <w:rPr>
          <w:rFonts w:ascii="Verdana" w:hAnsi="Verdana" w:cs="Verdana"/>
          <w:bCs/>
          <w:i/>
          <w:sz w:val="18"/>
          <w:szCs w:val="18"/>
        </w:rPr>
        <w:t>et al</w:t>
      </w:r>
      <w:r>
        <w:rPr>
          <w:rFonts w:ascii="Verdana" w:hAnsi="Verdana" w:cs="Verdana"/>
          <w:bCs/>
          <w:sz w:val="18"/>
          <w:szCs w:val="18"/>
        </w:rPr>
        <w:t>. 2010)</w:t>
      </w:r>
    </w:p>
    <w:p>
      <w:pPr>
        <w:spacing w:before="20" w:line="240" w:lineRule="atLeast"/>
        <w:rPr>
          <w:rFonts w:ascii="Verdana" w:hAnsi="Verdana" w:cs="Verdana"/>
          <w:bCs/>
          <w:sz w:val="18"/>
          <w:szCs w:val="18"/>
        </w:rPr>
      </w:pPr>
      <w:r>
        <w:rPr>
          <w:rFonts w:ascii="Verdana" w:hAnsi="Verdana" w:cs="Verdana"/>
          <w:b/>
          <w:bCs/>
          <w:sz w:val="18"/>
          <w:szCs w:val="18"/>
        </w:rPr>
        <w:sym w:font="Wingdings" w:char="F059"/>
      </w:r>
      <w:r>
        <w:rPr>
          <w:rFonts w:ascii="Verdana" w:hAnsi="Verdana" w:cs="Verdana"/>
          <w:b/>
          <w:bCs/>
          <w:sz w:val="18"/>
          <w:szCs w:val="18"/>
        </w:rPr>
        <w:tab/>
      </w:r>
      <w:r>
        <w:rPr>
          <w:rFonts w:ascii="Verdana" w:hAnsi="Verdana" w:cs="Verdana"/>
          <w:bCs/>
          <w:sz w:val="18"/>
          <w:szCs w:val="18"/>
        </w:rPr>
        <w:t xml:space="preserve">Genus specific nested PCR for maculaviruses (Sabanadzovic </w:t>
      </w:r>
      <w:r>
        <w:rPr>
          <w:rFonts w:ascii="Verdana" w:hAnsi="Verdana" w:cs="Verdana"/>
          <w:bCs/>
          <w:i/>
          <w:sz w:val="18"/>
          <w:szCs w:val="18"/>
        </w:rPr>
        <w:t>et al</w:t>
      </w:r>
      <w:r>
        <w:rPr>
          <w:rFonts w:ascii="Verdana" w:hAnsi="Verdana" w:cs="Verdana"/>
          <w:bCs/>
          <w:sz w:val="18"/>
          <w:szCs w:val="18"/>
        </w:rPr>
        <w:t>. 2000)</w:t>
      </w:r>
    </w:p>
    <w:p>
      <w:pPr>
        <w:spacing w:before="20" w:line="240" w:lineRule="atLeast"/>
        <w:rPr>
          <w:rFonts w:ascii="Verdana" w:hAnsi="Verdana" w:cs="Verdana"/>
          <w:bCs/>
          <w:sz w:val="18"/>
          <w:szCs w:val="18"/>
        </w:rPr>
      </w:pPr>
      <w:r>
        <w:rPr>
          <w:rFonts w:ascii="Verdana" w:hAnsi="Verdana" w:cs="Verdana"/>
          <w:bCs/>
          <w:sz w:val="18"/>
          <w:szCs w:val="18"/>
        </w:rPr>
        <w:t>Δ</w:t>
      </w:r>
      <w:r>
        <w:rPr>
          <w:rFonts w:ascii="Verdana" w:hAnsi="Verdana" w:cs="Verdana"/>
          <w:bCs/>
          <w:sz w:val="18"/>
          <w:szCs w:val="18"/>
        </w:rPr>
        <w:tab/>
        <w:t>Strain specific PCR (Minfra and Hadidi 1994)</w:t>
      </w:r>
    </w:p>
    <w:p>
      <w:pPr>
        <w:spacing w:before="20" w:line="240" w:lineRule="atLeast"/>
        <w:rPr>
          <w:rFonts w:ascii="Verdana" w:hAnsi="Verdana" w:cs="Arial"/>
          <w:sz w:val="18"/>
          <w:szCs w:val="18"/>
          <w:lang w:eastAsia="en-AU"/>
        </w:rPr>
      </w:pPr>
      <w:r>
        <w:rPr>
          <w:rFonts w:ascii="Arial" w:hAnsi="Arial" w:cs="Arial"/>
          <w:b/>
          <w:sz w:val="20"/>
          <w:szCs w:val="20"/>
          <w:rtl/>
        </w:rPr>
        <w:t>۩</w:t>
      </w:r>
      <w:r>
        <w:rPr>
          <w:rFonts w:ascii="Arial" w:hAnsi="Arial" w:cs="Arial"/>
          <w:b/>
          <w:sz w:val="20"/>
          <w:szCs w:val="20"/>
          <w:rtl/>
        </w:rPr>
        <w:tab/>
      </w:r>
      <w:r>
        <w:rPr>
          <w:rFonts w:ascii="Verdana" w:hAnsi="Verdana" w:cs="Verdana"/>
          <w:bCs/>
          <w:sz w:val="18"/>
          <w:szCs w:val="18"/>
        </w:rPr>
        <w:t xml:space="preserve">Generic PCR test for </w:t>
      </w:r>
      <w:r>
        <w:rPr>
          <w:rFonts w:ascii="Verdana" w:hAnsi="Verdana" w:cs="Verdana"/>
          <w:bCs/>
          <w:i/>
          <w:sz w:val="18"/>
          <w:szCs w:val="18"/>
        </w:rPr>
        <w:t>Vitivirus</w:t>
      </w:r>
      <w:r>
        <w:rPr>
          <w:rFonts w:ascii="Verdana" w:hAnsi="Verdana" w:cs="Verdana"/>
          <w:bCs/>
          <w:sz w:val="18"/>
          <w:szCs w:val="18"/>
        </w:rPr>
        <w:t xml:space="preserve"> (</w:t>
      </w:r>
      <w:r>
        <w:rPr>
          <w:rFonts w:ascii="Verdana" w:hAnsi="Verdana" w:cs="Arial"/>
          <w:sz w:val="18"/>
          <w:szCs w:val="18"/>
          <w:lang w:eastAsia="en-AU"/>
        </w:rPr>
        <w:t>Dovas and Katis 2003)</w:t>
      </w:r>
    </w:p>
    <w:p>
      <w:pPr>
        <w:spacing w:before="180" w:line="280" w:lineRule="atLeast"/>
      </w:pPr>
      <w:r>
        <w:t>Plant Biosecurity acknowledges that advances in serological or molecular techniques is an on-going process and therefore the proposed PCR tests can be replaced when more up-to-date testing procedures are validated.</w:t>
      </w:r>
    </w:p>
    <w:p>
      <w:pPr>
        <w:pStyle w:val="Heading3"/>
        <w:widowControl/>
        <w:tabs>
          <w:tab w:val="left" w:pos="1320"/>
        </w:tabs>
        <w:overflowPunct w:val="0"/>
        <w:autoSpaceDE w:val="0"/>
        <w:autoSpaceDN w:val="0"/>
        <w:spacing w:line="280" w:lineRule="atLeast"/>
        <w:rPr>
          <w:rFonts w:ascii="Verdana" w:hAnsi="Verdana" w:cs="Arial"/>
          <w:bCs/>
          <w:sz w:val="26"/>
          <w:szCs w:val="26"/>
        </w:rPr>
      </w:pPr>
      <w:bookmarkStart w:id="99" w:name="_Toc345423524"/>
      <w:r>
        <w:rPr>
          <w:rFonts w:ascii="Verdana" w:hAnsi="Verdana" w:cs="Arial"/>
          <w:bCs/>
          <w:sz w:val="26"/>
          <w:szCs w:val="26"/>
        </w:rPr>
        <w:t>3.3.3</w:t>
      </w:r>
      <w:r>
        <w:rPr>
          <w:rFonts w:ascii="Verdana" w:hAnsi="Verdana" w:cs="Arial"/>
          <w:bCs/>
          <w:sz w:val="26"/>
          <w:szCs w:val="26"/>
        </w:rPr>
        <w:tab/>
        <w:t>Seed for sowing (non-approved sources)</w:t>
      </w:r>
      <w:bookmarkEnd w:id="99"/>
    </w:p>
    <w:p>
      <w:pPr>
        <w:pStyle w:val="AQISText"/>
        <w:spacing w:before="0" w:line="260" w:lineRule="atLeast"/>
        <w:jc w:val="left"/>
        <w:rPr>
          <w:sz w:val="24"/>
          <w:szCs w:val="24"/>
        </w:rPr>
      </w:pPr>
      <w:r>
        <w:rPr>
          <w:sz w:val="24"/>
          <w:szCs w:val="24"/>
        </w:rPr>
        <w:t>Although several nepoviruses are recorded on grapevines, not all of them are seed-borne (</w:t>
      </w:r>
      <w:smartTag w:uri="urn:schemas-microsoft-com:office:smarttags" w:element="City">
        <w:smartTag w:uri="urn:schemas-microsoft-com:office:smarttags" w:element="place">
          <w:r>
            <w:rPr>
              <w:sz w:val="24"/>
              <w:szCs w:val="24"/>
            </w:rPr>
            <w:t>Richardson</w:t>
          </w:r>
        </w:smartTag>
      </w:smartTag>
      <w:r>
        <w:rPr>
          <w:sz w:val="24"/>
          <w:szCs w:val="24"/>
        </w:rPr>
        <w:t xml:space="preserve"> 1990). Seed-borne viruses of grapevine include ArMV, BLMoV-NY, GAMaV, GCMV, GBLV, GFLV,</w:t>
      </w:r>
      <w:r>
        <w:rPr>
          <w:i/>
          <w:iCs/>
          <w:sz w:val="24"/>
          <w:szCs w:val="24"/>
        </w:rPr>
        <w:t xml:space="preserve"> </w:t>
      </w:r>
      <w:r>
        <w:rPr>
          <w:sz w:val="24"/>
          <w:szCs w:val="24"/>
        </w:rPr>
        <w:t xml:space="preserve">GLPV, GRSPaV, PRMV, TBRV and ToRSV (Uyemoto 1975; Uyemoto </w:t>
      </w:r>
      <w:r>
        <w:rPr>
          <w:i/>
          <w:iCs/>
          <w:sz w:val="24"/>
          <w:szCs w:val="24"/>
        </w:rPr>
        <w:t>et al</w:t>
      </w:r>
      <w:r>
        <w:rPr>
          <w:sz w:val="24"/>
          <w:szCs w:val="24"/>
        </w:rPr>
        <w:t xml:space="preserve">. 1977; Martelli 1978; Lazar </w:t>
      </w:r>
      <w:r>
        <w:rPr>
          <w:i/>
          <w:iCs/>
          <w:sz w:val="24"/>
          <w:szCs w:val="24"/>
        </w:rPr>
        <w:t>et al</w:t>
      </w:r>
      <w:r>
        <w:rPr>
          <w:sz w:val="24"/>
          <w:szCs w:val="24"/>
        </w:rPr>
        <w:t xml:space="preserve">. 1990; Richardson 1990; Lehoczky </w:t>
      </w:r>
      <w:r>
        <w:rPr>
          <w:i/>
          <w:iCs/>
          <w:sz w:val="24"/>
          <w:szCs w:val="24"/>
        </w:rPr>
        <w:t>et al</w:t>
      </w:r>
      <w:r>
        <w:rPr>
          <w:sz w:val="24"/>
          <w:szCs w:val="24"/>
        </w:rPr>
        <w:t xml:space="preserve">. 1992; Girgis </w:t>
      </w:r>
      <w:r>
        <w:rPr>
          <w:i/>
          <w:iCs/>
          <w:sz w:val="24"/>
          <w:szCs w:val="24"/>
        </w:rPr>
        <w:t>et al</w:t>
      </w:r>
      <w:r>
        <w:rPr>
          <w:sz w:val="24"/>
          <w:szCs w:val="24"/>
        </w:rPr>
        <w:t>. 2009). Therefore during growth in PEQ, seedlings must be visually inspected for symptoms of viruses.</w:t>
      </w:r>
    </w:p>
    <w:p>
      <w:pPr>
        <w:pStyle w:val="Heading4"/>
        <w:numPr>
          <w:ilvl w:val="0"/>
          <w:numId w:val="0"/>
        </w:numPr>
        <w:spacing w:before="160" w:after="80"/>
        <w:jc w:val="left"/>
        <w:rPr>
          <w:rFonts w:ascii="Verdana" w:hAnsi="Verdana" w:cs="Verdana"/>
          <w:sz w:val="22"/>
          <w:szCs w:val="22"/>
        </w:rPr>
      </w:pPr>
      <w:r>
        <w:rPr>
          <w:rFonts w:ascii="Verdana" w:hAnsi="Verdana" w:cs="Verdana"/>
          <w:sz w:val="22"/>
          <w:szCs w:val="22"/>
        </w:rPr>
        <w:t>Mandatory on arrival inspection</w:t>
      </w:r>
    </w:p>
    <w:p>
      <w:pPr>
        <w:pStyle w:val="AQISText"/>
        <w:spacing w:before="0"/>
        <w:jc w:val="left"/>
        <w:rPr>
          <w:sz w:val="24"/>
          <w:szCs w:val="24"/>
        </w:rPr>
      </w:pPr>
      <w:r>
        <w:rPr>
          <w:sz w:val="24"/>
          <w:szCs w:val="24"/>
        </w:rPr>
        <w:t>The existing requirement for mandatory on-arrival inspection of grapevine seed to verify freedom from live insects, soil, disease symptoms, prohibited seeds, other plant material (e.g. leaf, stem material, fruit pulp, pod material etc.), animal material (e.g. animal faeces, feathers etc.) and any other extraneous contamination of quarantine concern is proposed to continue.</w:t>
      </w:r>
    </w:p>
    <w:p>
      <w:pPr>
        <w:pStyle w:val="Heading4"/>
        <w:numPr>
          <w:ilvl w:val="0"/>
          <w:numId w:val="0"/>
        </w:numPr>
        <w:spacing w:before="160" w:after="80"/>
        <w:jc w:val="left"/>
        <w:rPr>
          <w:rFonts w:ascii="Verdana" w:hAnsi="Verdana" w:cs="Verdana"/>
          <w:sz w:val="22"/>
          <w:szCs w:val="22"/>
        </w:rPr>
      </w:pPr>
      <w:r>
        <w:rPr>
          <w:rFonts w:ascii="Verdana" w:hAnsi="Verdana" w:cs="Verdana"/>
          <w:sz w:val="22"/>
          <w:szCs w:val="22"/>
        </w:rPr>
        <w:t>Mandatory sodium hypochlorite treatment</w:t>
      </w:r>
    </w:p>
    <w:p>
      <w:pPr>
        <w:pStyle w:val="AQISText"/>
        <w:spacing w:before="0"/>
        <w:jc w:val="left"/>
        <w:rPr>
          <w:sz w:val="24"/>
          <w:szCs w:val="24"/>
        </w:rPr>
      </w:pPr>
      <w:r>
        <w:rPr>
          <w:sz w:val="24"/>
          <w:szCs w:val="24"/>
        </w:rPr>
        <w:t xml:space="preserve">The existing requirement for mandatory surface sterilisation with sodium hypochlorite treatment (1% NaOCl for 10 minutes) of imported grape seed is proposed to continue. </w:t>
      </w:r>
    </w:p>
    <w:p>
      <w:pPr>
        <w:pStyle w:val="Heading4"/>
        <w:numPr>
          <w:ilvl w:val="0"/>
          <w:numId w:val="0"/>
        </w:numPr>
        <w:spacing w:before="160" w:after="80"/>
        <w:jc w:val="left"/>
        <w:rPr>
          <w:rFonts w:ascii="Verdana" w:hAnsi="Verdana" w:cs="Verdana"/>
          <w:sz w:val="22"/>
          <w:szCs w:val="22"/>
        </w:rPr>
      </w:pPr>
      <w:r>
        <w:rPr>
          <w:rFonts w:ascii="Verdana" w:hAnsi="Verdana" w:cs="Verdana"/>
          <w:sz w:val="22"/>
          <w:szCs w:val="22"/>
        </w:rPr>
        <w:t>Mandatory seed fungicide treatment</w:t>
      </w:r>
    </w:p>
    <w:p>
      <w:pPr>
        <w:pStyle w:val="AQISText"/>
        <w:spacing w:before="0"/>
        <w:jc w:val="left"/>
        <w:rPr>
          <w:sz w:val="24"/>
          <w:szCs w:val="24"/>
        </w:rPr>
      </w:pPr>
      <w:r>
        <w:rPr>
          <w:sz w:val="24"/>
          <w:szCs w:val="24"/>
        </w:rPr>
        <w:t>The existing requirement for mandatory fungicide treatment of imported grape seed with Thiram fungicide prior to sowing is proposed to continue.</w:t>
      </w:r>
    </w:p>
    <w:p>
      <w:pPr>
        <w:pStyle w:val="Heading4"/>
        <w:numPr>
          <w:ilvl w:val="0"/>
          <w:numId w:val="0"/>
        </w:numPr>
        <w:spacing w:before="160" w:after="80"/>
        <w:jc w:val="left"/>
        <w:rPr>
          <w:rFonts w:ascii="Verdana" w:hAnsi="Verdana" w:cs="Verdana"/>
          <w:sz w:val="22"/>
          <w:szCs w:val="22"/>
        </w:rPr>
      </w:pPr>
      <w:r>
        <w:rPr>
          <w:rFonts w:ascii="Verdana" w:hAnsi="Verdana" w:cs="Verdana"/>
          <w:sz w:val="22"/>
          <w:szCs w:val="22"/>
        </w:rPr>
        <w:t>Mandatory growth in PEQ facilities</w:t>
      </w:r>
    </w:p>
    <w:p>
      <w:pPr>
        <w:pStyle w:val="AQISText"/>
        <w:spacing w:before="0"/>
        <w:jc w:val="left"/>
        <w:rPr>
          <w:sz w:val="24"/>
          <w:szCs w:val="24"/>
        </w:rPr>
      </w:pPr>
      <w:r>
        <w:rPr>
          <w:sz w:val="24"/>
          <w:szCs w:val="24"/>
        </w:rPr>
        <w:t>Mandatory propagation and growth of imported grape seeds in a closed government PEQ facility is proposed to continue. However growth in the PEQ facility for three months may not be sufficient for establishment of plant from seed and to complete pathogen screening. Therefore a change in the PEQ growth period is proposed—from three months to nine months.</w:t>
      </w:r>
    </w:p>
    <w:p>
      <w:pPr>
        <w:pStyle w:val="Heading4"/>
        <w:numPr>
          <w:ilvl w:val="0"/>
          <w:numId w:val="0"/>
        </w:numPr>
        <w:spacing w:before="160" w:after="80"/>
        <w:jc w:val="left"/>
        <w:rPr>
          <w:rFonts w:ascii="Verdana" w:hAnsi="Verdana" w:cs="Verdana"/>
          <w:sz w:val="22"/>
          <w:szCs w:val="22"/>
        </w:rPr>
      </w:pPr>
      <w:r>
        <w:rPr>
          <w:rFonts w:ascii="Verdana" w:hAnsi="Verdana" w:cs="Verdana"/>
          <w:sz w:val="22"/>
          <w:szCs w:val="22"/>
        </w:rPr>
        <w:t>Mandatory virus testing</w:t>
      </w:r>
    </w:p>
    <w:p>
      <w:pPr>
        <w:spacing w:line="280" w:lineRule="atLeast"/>
        <w:jc w:val="left"/>
      </w:pPr>
      <w:r>
        <w:t>It is proposed that in addition to visual inspection for symptoms during growth in PEQ facility, the following procedures are required to detect viruses:</w:t>
      </w:r>
    </w:p>
    <w:p>
      <w:pPr>
        <w:pStyle w:val="AQISNum"/>
        <w:numPr>
          <w:ilvl w:val="0"/>
          <w:numId w:val="9"/>
        </w:numPr>
        <w:spacing w:before="0"/>
        <w:ind w:left="357" w:hanging="357"/>
        <w:jc w:val="left"/>
        <w:rPr>
          <w:sz w:val="24"/>
          <w:szCs w:val="24"/>
        </w:rPr>
      </w:pPr>
      <w:r>
        <w:rPr>
          <w:sz w:val="24"/>
          <w:szCs w:val="24"/>
        </w:rPr>
        <w:t>Electron microscopy is mandatory for the identified seed-borne viruses.</w:t>
      </w:r>
    </w:p>
    <w:p>
      <w:pPr>
        <w:pStyle w:val="AQISNum"/>
        <w:numPr>
          <w:ilvl w:val="0"/>
          <w:numId w:val="9"/>
        </w:numPr>
        <w:spacing w:before="0"/>
        <w:ind w:left="357" w:hanging="357"/>
        <w:jc w:val="left"/>
        <w:rPr>
          <w:sz w:val="24"/>
          <w:szCs w:val="24"/>
        </w:rPr>
      </w:pPr>
      <w:r>
        <w:rPr>
          <w:sz w:val="24"/>
          <w:szCs w:val="24"/>
        </w:rPr>
        <w:t xml:space="preserve">Herbaceous host indexing and generic PCR for nepoviruses is mandatory. </w:t>
      </w:r>
      <w:r>
        <w:rPr>
          <w:sz w:val="24"/>
          <w:szCs w:val="24"/>
          <w:lang w:eastAsia="en-AU"/>
        </w:rPr>
        <w:t xml:space="preserve">Detection of nepoviruses on indicator plants will require further testing, including virus specific PCR, </w:t>
      </w:r>
      <w:r>
        <w:rPr>
          <w:sz w:val="24"/>
          <w:szCs w:val="24"/>
        </w:rPr>
        <w:t>RT-PCR, or qPCR (Table 3.3).</w:t>
      </w:r>
    </w:p>
    <w:p>
      <w:pPr>
        <w:pStyle w:val="AQISNum"/>
        <w:numPr>
          <w:ilvl w:val="0"/>
          <w:numId w:val="9"/>
        </w:numPr>
        <w:spacing w:before="0"/>
        <w:ind w:left="357" w:hanging="357"/>
        <w:jc w:val="left"/>
        <w:rPr>
          <w:sz w:val="24"/>
          <w:szCs w:val="24"/>
        </w:rPr>
      </w:pPr>
      <w:r>
        <w:rPr>
          <w:sz w:val="24"/>
          <w:szCs w:val="24"/>
        </w:rPr>
        <w:t>Detection of ilarviruses will include, but will not be limited to, the following tests:</w:t>
      </w:r>
    </w:p>
    <w:p>
      <w:pPr>
        <w:pStyle w:val="AQISNum"/>
        <w:numPr>
          <w:ilvl w:val="0"/>
          <w:numId w:val="31"/>
        </w:numPr>
        <w:spacing w:before="40" w:line="275" w:lineRule="atLeast"/>
        <w:ind w:left="714" w:hanging="357"/>
        <w:jc w:val="left"/>
        <w:rPr>
          <w:bCs/>
          <w:iCs/>
          <w:sz w:val="24"/>
          <w:szCs w:val="24"/>
        </w:rPr>
      </w:pPr>
      <w:r>
        <w:rPr>
          <w:bCs/>
          <w:iCs/>
          <w:sz w:val="24"/>
          <w:szCs w:val="24"/>
        </w:rPr>
        <w:t xml:space="preserve">Herbaceous host indexing; and </w:t>
      </w:r>
    </w:p>
    <w:p>
      <w:pPr>
        <w:pStyle w:val="AQISNum"/>
        <w:numPr>
          <w:ilvl w:val="0"/>
          <w:numId w:val="31"/>
        </w:numPr>
        <w:spacing w:before="40" w:line="275" w:lineRule="atLeast"/>
        <w:ind w:left="714" w:hanging="357"/>
        <w:jc w:val="left"/>
        <w:rPr>
          <w:bCs/>
          <w:iCs/>
          <w:sz w:val="24"/>
          <w:szCs w:val="24"/>
        </w:rPr>
      </w:pPr>
      <w:r>
        <w:rPr>
          <w:bCs/>
          <w:iCs/>
          <w:sz w:val="24"/>
          <w:szCs w:val="24"/>
        </w:rPr>
        <w:t>Mandatory molecular testing PCR (Table 3.3).</w:t>
      </w:r>
    </w:p>
    <w:p>
      <w:pPr>
        <w:pStyle w:val="BAHeader2"/>
        <w:numPr>
          <w:ilvl w:val="0"/>
          <w:numId w:val="0"/>
        </w:numPr>
        <w:tabs>
          <w:tab w:val="left" w:pos="1260"/>
        </w:tabs>
        <w:spacing w:before="300" w:line="300" w:lineRule="atLeast"/>
        <w:ind w:left="1259" w:hanging="1259"/>
        <w:jc w:val="left"/>
      </w:pPr>
      <w:bookmarkStart w:id="100" w:name="_Toc345423525"/>
      <w:r>
        <w:rPr>
          <w:rFonts w:ascii="Verdana" w:hAnsi="Verdana" w:cs="Verdana"/>
        </w:rPr>
        <w:lastRenderedPageBreak/>
        <w:t>3.4</w:t>
      </w:r>
      <w:r>
        <w:rPr>
          <w:rFonts w:ascii="Verdana" w:hAnsi="Verdana" w:cs="Verdana"/>
        </w:rPr>
        <w:tab/>
        <w:t>Proposed measures for grapevine propagative material from approved sources</w:t>
      </w:r>
      <w:bookmarkEnd w:id="100"/>
    </w:p>
    <w:p>
      <w:pPr>
        <w:spacing w:before="180" w:line="275" w:lineRule="atLeast"/>
        <w:jc w:val="left"/>
      </w:pPr>
      <w:r>
        <w:t xml:space="preserve">Existing measures for grapevine propagative material from approved sources are proposed to continue and additional requirements are not proposed. However, proposed changes to import requirements for material from non-approved sources will also apply to material from approved sources (e.g. the PEQ period will be reduced from 24 months to 16 months for dormant cuttings and 12 months for tissue cultures). </w:t>
      </w:r>
    </w:p>
    <w:p>
      <w:pPr>
        <w:spacing w:before="180" w:line="275" w:lineRule="atLeast"/>
        <w:jc w:val="left"/>
      </w:pPr>
      <w:r>
        <w:t>If the required pathogen screening is completed at an overseas approved source then Plant Biosecurity may reduce further the proposed PEQ growth requirement.</w:t>
      </w:r>
    </w:p>
    <w:p>
      <w:pPr>
        <w:pStyle w:val="Heading3"/>
        <w:widowControl/>
        <w:tabs>
          <w:tab w:val="left" w:pos="1320"/>
        </w:tabs>
        <w:overflowPunct w:val="0"/>
        <w:autoSpaceDE w:val="0"/>
        <w:autoSpaceDN w:val="0"/>
        <w:spacing w:line="280" w:lineRule="atLeast"/>
        <w:rPr>
          <w:rFonts w:ascii="Verdana" w:hAnsi="Verdana" w:cs="Arial"/>
          <w:bCs/>
          <w:sz w:val="26"/>
          <w:szCs w:val="26"/>
        </w:rPr>
      </w:pPr>
      <w:bookmarkStart w:id="101" w:name="_Toc345423526"/>
      <w:r>
        <w:rPr>
          <w:rFonts w:ascii="Verdana" w:hAnsi="Verdana" w:cs="Arial"/>
          <w:bCs/>
          <w:sz w:val="26"/>
          <w:szCs w:val="26"/>
        </w:rPr>
        <w:t>3.4.1</w:t>
      </w:r>
      <w:r>
        <w:rPr>
          <w:rFonts w:ascii="Verdana" w:hAnsi="Verdana" w:cs="Arial"/>
          <w:bCs/>
          <w:sz w:val="26"/>
          <w:szCs w:val="26"/>
        </w:rPr>
        <w:tab/>
        <w:t>Seed for sowing (approved sources)</w:t>
      </w:r>
      <w:bookmarkEnd w:id="101"/>
    </w:p>
    <w:p>
      <w:pPr>
        <w:pStyle w:val="AQISText"/>
        <w:spacing w:before="0"/>
        <w:jc w:val="left"/>
        <w:rPr>
          <w:sz w:val="24"/>
          <w:szCs w:val="24"/>
        </w:rPr>
      </w:pPr>
      <w:r>
        <w:rPr>
          <w:sz w:val="24"/>
          <w:szCs w:val="24"/>
        </w:rPr>
        <w:t xml:space="preserve">Curently seeds sourced from approved sources (Foundation Plant Services, University of California, USA) are permitted entry into Australia. The existing policy requires certification that the seeds were sourced from mother plants grown in the USA which were tested and found to be free of </w:t>
      </w:r>
      <w:r>
        <w:rPr>
          <w:i/>
          <w:sz w:val="24"/>
          <w:szCs w:val="24"/>
        </w:rPr>
        <w:t xml:space="preserve">Arabis mosaic </w:t>
      </w:r>
      <w:r>
        <w:rPr>
          <w:i/>
          <w:iCs/>
          <w:sz w:val="24"/>
          <w:szCs w:val="24"/>
        </w:rPr>
        <w:t>nepovirus</w:t>
      </w:r>
      <w:r>
        <w:rPr>
          <w:sz w:val="24"/>
          <w:szCs w:val="24"/>
        </w:rPr>
        <w:t xml:space="preserve"> (ArMV), </w:t>
      </w:r>
      <w:r>
        <w:rPr>
          <w:i/>
          <w:sz w:val="24"/>
          <w:szCs w:val="24"/>
        </w:rPr>
        <w:t>Blueberry leaf mottle</w:t>
      </w:r>
      <w:r>
        <w:rPr>
          <w:sz w:val="24"/>
          <w:szCs w:val="24"/>
        </w:rPr>
        <w:t xml:space="preserve"> </w:t>
      </w:r>
      <w:r>
        <w:rPr>
          <w:i/>
          <w:iCs/>
          <w:sz w:val="24"/>
          <w:szCs w:val="24"/>
        </w:rPr>
        <w:t xml:space="preserve">nepovirus </w:t>
      </w:r>
      <w:r>
        <w:rPr>
          <w:sz w:val="24"/>
          <w:szCs w:val="24"/>
        </w:rPr>
        <w:t xml:space="preserve">(BLMV), </w:t>
      </w:r>
      <w:r>
        <w:rPr>
          <w:i/>
          <w:sz w:val="24"/>
          <w:szCs w:val="24"/>
        </w:rPr>
        <w:t xml:space="preserve">Grapevine Bulgarian latent </w:t>
      </w:r>
      <w:r>
        <w:rPr>
          <w:i/>
          <w:iCs/>
          <w:sz w:val="24"/>
          <w:szCs w:val="24"/>
        </w:rPr>
        <w:t xml:space="preserve">nepovirus </w:t>
      </w:r>
      <w:r>
        <w:rPr>
          <w:sz w:val="24"/>
          <w:szCs w:val="24"/>
        </w:rPr>
        <w:t xml:space="preserve">(GBLN), </w:t>
      </w:r>
      <w:r>
        <w:rPr>
          <w:i/>
          <w:sz w:val="24"/>
          <w:szCs w:val="24"/>
        </w:rPr>
        <w:t xml:space="preserve">Peach rosette mosaic </w:t>
      </w:r>
      <w:r>
        <w:rPr>
          <w:i/>
          <w:iCs/>
          <w:sz w:val="24"/>
          <w:szCs w:val="24"/>
        </w:rPr>
        <w:t xml:space="preserve">nepovirus </w:t>
      </w:r>
      <w:r>
        <w:rPr>
          <w:sz w:val="24"/>
          <w:szCs w:val="24"/>
        </w:rPr>
        <w:t xml:space="preserve">(PRMN), </w:t>
      </w:r>
      <w:r>
        <w:rPr>
          <w:i/>
          <w:sz w:val="24"/>
          <w:szCs w:val="24"/>
        </w:rPr>
        <w:t xml:space="preserve">Raspberry ringspot </w:t>
      </w:r>
      <w:r>
        <w:rPr>
          <w:i/>
          <w:iCs/>
          <w:sz w:val="24"/>
          <w:szCs w:val="24"/>
        </w:rPr>
        <w:t xml:space="preserve">nepovirus </w:t>
      </w:r>
      <w:r>
        <w:rPr>
          <w:sz w:val="24"/>
          <w:szCs w:val="24"/>
        </w:rPr>
        <w:t xml:space="preserve">(RpRSV), </w:t>
      </w:r>
      <w:r>
        <w:rPr>
          <w:i/>
          <w:sz w:val="24"/>
          <w:szCs w:val="24"/>
        </w:rPr>
        <w:t xml:space="preserve">Strawberry latent ringspot </w:t>
      </w:r>
      <w:r>
        <w:rPr>
          <w:i/>
          <w:iCs/>
          <w:sz w:val="24"/>
          <w:szCs w:val="24"/>
        </w:rPr>
        <w:t xml:space="preserve">nepovirus </w:t>
      </w:r>
      <w:r>
        <w:rPr>
          <w:sz w:val="24"/>
          <w:szCs w:val="24"/>
        </w:rPr>
        <w:t xml:space="preserve">(SLRSV), </w:t>
      </w:r>
      <w:r>
        <w:rPr>
          <w:i/>
          <w:sz w:val="24"/>
          <w:szCs w:val="24"/>
        </w:rPr>
        <w:t xml:space="preserve">Tomato blackring </w:t>
      </w:r>
      <w:r>
        <w:rPr>
          <w:i/>
          <w:iCs/>
          <w:sz w:val="24"/>
          <w:szCs w:val="24"/>
        </w:rPr>
        <w:t xml:space="preserve">nepovirus </w:t>
      </w:r>
      <w:r>
        <w:rPr>
          <w:sz w:val="24"/>
          <w:szCs w:val="24"/>
        </w:rPr>
        <w:t xml:space="preserve">(TBRV) and </w:t>
      </w:r>
      <w:r>
        <w:rPr>
          <w:i/>
          <w:sz w:val="24"/>
          <w:szCs w:val="24"/>
        </w:rPr>
        <w:t xml:space="preserve">Tomato ringspot </w:t>
      </w:r>
      <w:r>
        <w:rPr>
          <w:i/>
          <w:iCs/>
          <w:sz w:val="24"/>
          <w:szCs w:val="24"/>
        </w:rPr>
        <w:t>nepovirus</w:t>
      </w:r>
      <w:r>
        <w:rPr>
          <w:sz w:val="24"/>
          <w:szCs w:val="24"/>
        </w:rPr>
        <w:t xml:space="preserve"> (ToRSV).</w:t>
      </w:r>
    </w:p>
    <w:p>
      <w:pPr>
        <w:pStyle w:val="AQISText"/>
        <w:jc w:val="left"/>
        <w:rPr>
          <w:sz w:val="24"/>
          <w:szCs w:val="24"/>
        </w:rPr>
      </w:pPr>
      <w:r>
        <w:rPr>
          <w:sz w:val="24"/>
          <w:szCs w:val="24"/>
        </w:rPr>
        <w:t xml:space="preserve">As part of the review of policy, the current seed-borne list of visuses associated with grapevine seed was revised and updated. </w:t>
      </w:r>
    </w:p>
    <w:p>
      <w:pPr>
        <w:numPr>
          <w:ilvl w:val="0"/>
          <w:numId w:val="12"/>
        </w:numPr>
        <w:tabs>
          <w:tab w:val="num" w:pos="66"/>
        </w:tabs>
        <w:spacing w:before="40" w:line="275" w:lineRule="atLeast"/>
        <w:ind w:left="357" w:hanging="357"/>
        <w:jc w:val="left"/>
      </w:pPr>
      <w:r>
        <w:rPr>
          <w:bCs/>
          <w:i/>
        </w:rPr>
        <w:t xml:space="preserve">Grapevine angular mosaic-associated virus </w:t>
      </w:r>
      <w:r>
        <w:rPr>
          <w:bCs/>
        </w:rPr>
        <w:t xml:space="preserve">(GAMaV) </w:t>
      </w:r>
      <w:r>
        <w:t xml:space="preserve">and </w:t>
      </w:r>
      <w:r>
        <w:rPr>
          <w:i/>
        </w:rPr>
        <w:t>Grapevine fanleaf virus</w:t>
      </w:r>
      <w:r>
        <w:t xml:space="preserve"> (GFLV)</w:t>
      </w:r>
      <w:r>
        <w:rPr>
          <w:bCs/>
        </w:rPr>
        <w:t xml:space="preserve"> were added to the list as these seed-borne viruses are present in the USA;</w:t>
      </w:r>
    </w:p>
    <w:p>
      <w:pPr>
        <w:numPr>
          <w:ilvl w:val="0"/>
          <w:numId w:val="12"/>
        </w:numPr>
        <w:tabs>
          <w:tab w:val="num" w:pos="66"/>
        </w:tabs>
        <w:spacing w:before="40" w:line="275" w:lineRule="atLeast"/>
        <w:ind w:left="357" w:hanging="357"/>
        <w:jc w:val="left"/>
      </w:pPr>
      <w:r>
        <w:rPr>
          <w:i/>
        </w:rPr>
        <w:t xml:space="preserve">Raspberry ringspot </w:t>
      </w:r>
      <w:r>
        <w:rPr>
          <w:i/>
          <w:iCs/>
        </w:rPr>
        <w:t>nepovirus</w:t>
      </w:r>
      <w:r>
        <w:t xml:space="preserve"> (RpRSV) and </w:t>
      </w:r>
      <w:r>
        <w:rPr>
          <w:i/>
        </w:rPr>
        <w:t xml:space="preserve">Strawberry latent ringspot </w:t>
      </w:r>
      <w:r>
        <w:rPr>
          <w:i/>
          <w:iCs/>
        </w:rPr>
        <w:t xml:space="preserve">nepovirus </w:t>
      </w:r>
      <w:r>
        <w:t>(SLRSV)</w:t>
      </w:r>
      <w:r>
        <w:rPr>
          <w:bCs/>
        </w:rPr>
        <w:t xml:space="preserve"> </w:t>
      </w:r>
      <w:r>
        <w:t xml:space="preserve">were removed from the list as there is no published evidence that these viruses are seed-borne in grapevine; and </w:t>
      </w:r>
    </w:p>
    <w:p>
      <w:pPr>
        <w:numPr>
          <w:ilvl w:val="0"/>
          <w:numId w:val="12"/>
        </w:numPr>
        <w:tabs>
          <w:tab w:val="num" w:pos="66"/>
        </w:tabs>
        <w:spacing w:before="40" w:line="275" w:lineRule="atLeast"/>
        <w:ind w:left="357" w:hanging="357"/>
        <w:jc w:val="left"/>
      </w:pPr>
      <w:r>
        <w:rPr>
          <w:i/>
        </w:rPr>
        <w:t xml:space="preserve">Tobacco ringspot </w:t>
      </w:r>
      <w:r>
        <w:rPr>
          <w:i/>
          <w:iCs/>
        </w:rPr>
        <w:t>nepovirus’</w:t>
      </w:r>
      <w:r>
        <w:t xml:space="preserve"> (TRSV) was removed from the list as it is present in Australia. </w:t>
      </w:r>
    </w:p>
    <w:p>
      <w:pPr>
        <w:spacing w:before="160" w:line="275" w:lineRule="atLeast"/>
        <w:jc w:val="left"/>
      </w:pPr>
      <w:r>
        <w:t>Based on this review, the new proposed conditions for grapevine seeds from Foundation Plant Services, University of California, USA includes:</w:t>
      </w:r>
    </w:p>
    <w:p>
      <w:pPr>
        <w:numPr>
          <w:ilvl w:val="0"/>
          <w:numId w:val="12"/>
        </w:numPr>
        <w:tabs>
          <w:tab w:val="num" w:pos="66"/>
        </w:tabs>
        <w:spacing w:before="40" w:line="275" w:lineRule="atLeast"/>
        <w:ind w:left="357" w:hanging="357"/>
        <w:jc w:val="left"/>
      </w:pPr>
      <w:r>
        <w:t xml:space="preserve">an </w:t>
      </w:r>
      <w:r>
        <w:rPr>
          <w:bCs/>
        </w:rPr>
        <w:t>import</w:t>
      </w:r>
      <w:r>
        <w:t xml:space="preserve"> permit;</w:t>
      </w:r>
    </w:p>
    <w:p>
      <w:pPr>
        <w:numPr>
          <w:ilvl w:val="0"/>
          <w:numId w:val="12"/>
        </w:numPr>
        <w:tabs>
          <w:tab w:val="num" w:pos="66"/>
        </w:tabs>
        <w:spacing w:before="40" w:line="275" w:lineRule="atLeast"/>
        <w:ind w:left="357" w:hanging="357"/>
        <w:jc w:val="left"/>
      </w:pPr>
      <w:r>
        <w:t>a Phytosanitary Certificate (seed was sourced from virus tested mother plants free of ‘</w:t>
      </w:r>
      <w:r>
        <w:rPr>
          <w:i/>
        </w:rPr>
        <w:t xml:space="preserve">Arabis mosaic </w:t>
      </w:r>
      <w:r>
        <w:rPr>
          <w:i/>
          <w:iCs/>
        </w:rPr>
        <w:t>nepovirus</w:t>
      </w:r>
      <w:r>
        <w:t xml:space="preserve">(ArMV), </w:t>
      </w:r>
      <w:r>
        <w:rPr>
          <w:i/>
        </w:rPr>
        <w:t>Blueberry leaf mottle</w:t>
      </w:r>
      <w:r>
        <w:t xml:space="preserve"> </w:t>
      </w:r>
      <w:r>
        <w:rPr>
          <w:i/>
          <w:iCs/>
        </w:rPr>
        <w:t xml:space="preserve">nepovirus </w:t>
      </w:r>
      <w:r>
        <w:t xml:space="preserve">(BLMV), </w:t>
      </w:r>
      <w:r>
        <w:rPr>
          <w:bCs/>
          <w:i/>
        </w:rPr>
        <w:t xml:space="preserve">Grapevine angular mosaic-associated virus </w:t>
      </w:r>
      <w:r>
        <w:rPr>
          <w:bCs/>
        </w:rPr>
        <w:t xml:space="preserve">(GAMaV), </w:t>
      </w:r>
      <w:r>
        <w:rPr>
          <w:i/>
        </w:rPr>
        <w:t xml:space="preserve">Grapevine Bulgarian latent </w:t>
      </w:r>
      <w:r>
        <w:rPr>
          <w:i/>
          <w:iCs/>
        </w:rPr>
        <w:t xml:space="preserve">nepovirus </w:t>
      </w:r>
      <w:r>
        <w:t xml:space="preserve">(GBLN), </w:t>
      </w:r>
      <w:r>
        <w:rPr>
          <w:i/>
        </w:rPr>
        <w:t>Grapevine fanleaf virus</w:t>
      </w:r>
      <w:r>
        <w:t xml:space="preserve"> (GFLV),</w:t>
      </w:r>
      <w:r>
        <w:rPr>
          <w:bCs/>
        </w:rPr>
        <w:t xml:space="preserve"> </w:t>
      </w:r>
      <w:r>
        <w:rPr>
          <w:i/>
        </w:rPr>
        <w:t xml:space="preserve">Peach rosette mosaic </w:t>
      </w:r>
      <w:r>
        <w:rPr>
          <w:i/>
          <w:iCs/>
        </w:rPr>
        <w:t xml:space="preserve">nepovirus </w:t>
      </w:r>
      <w:r>
        <w:t xml:space="preserve">(PRMN), </w:t>
      </w:r>
      <w:r>
        <w:rPr>
          <w:i/>
        </w:rPr>
        <w:t xml:space="preserve">Tomato blackring </w:t>
      </w:r>
      <w:r>
        <w:rPr>
          <w:i/>
          <w:iCs/>
        </w:rPr>
        <w:t xml:space="preserve">nepovirus </w:t>
      </w:r>
      <w:r>
        <w:t xml:space="preserve">(TBRV) and </w:t>
      </w:r>
      <w:r>
        <w:rPr>
          <w:i/>
        </w:rPr>
        <w:t xml:space="preserve">Tomato ringspot </w:t>
      </w:r>
      <w:r>
        <w:rPr>
          <w:i/>
          <w:iCs/>
        </w:rPr>
        <w:t>nepovirus</w:t>
      </w:r>
      <w:r>
        <w:t xml:space="preserve"> (ToRSV)’; and</w:t>
      </w:r>
    </w:p>
    <w:p>
      <w:pPr>
        <w:numPr>
          <w:ilvl w:val="0"/>
          <w:numId w:val="12"/>
        </w:numPr>
        <w:tabs>
          <w:tab w:val="num" w:pos="66"/>
        </w:tabs>
        <w:spacing w:before="40" w:line="275" w:lineRule="atLeast"/>
        <w:ind w:left="357" w:hanging="357"/>
        <w:jc w:val="left"/>
      </w:pPr>
      <w:r>
        <w:t>on-arrival inspection of seed to verify freedom from soil, disease symptoms and other extraneous contamination of quarantine concern.</w:t>
      </w:r>
    </w:p>
    <w:p>
      <w:pPr>
        <w:spacing w:before="160" w:line="275" w:lineRule="atLeast"/>
        <w:jc w:val="left"/>
      </w:pPr>
      <w:r>
        <w:t>Specific conditions including surface sterilization (T9371), fungicidal treatment (T9420) and release from quarantine is supported to continue.</w:t>
      </w:r>
    </w:p>
    <w:p>
      <w:pPr>
        <w:spacing w:before="160" w:line="275" w:lineRule="atLeast"/>
        <w:jc w:val="left"/>
      </w:pPr>
      <w:bookmarkStart w:id="102" w:name="_Toc321986409"/>
      <w:bookmarkEnd w:id="85"/>
    </w:p>
    <w:bookmarkEnd w:id="102"/>
    <w:p>
      <w:pPr>
        <w:pStyle w:val="AQISText"/>
        <w:spacing w:before="0" w:line="275" w:lineRule="atLeast"/>
        <w:rPr>
          <w:sz w:val="24"/>
          <w:szCs w:val="24"/>
        </w:rPr>
        <w:sectPr>
          <w:headerReference w:type="even" r:id="rId32"/>
          <w:headerReference w:type="default" r:id="rId33"/>
          <w:footerReference w:type="default" r:id="rId34"/>
          <w:headerReference w:type="first" r:id="rId35"/>
          <w:footerReference w:type="first" r:id="rId36"/>
          <w:pgSz w:w="11906" w:h="16838" w:code="9"/>
          <w:pgMar w:top="1412" w:right="1412" w:bottom="1412" w:left="1412" w:header="709" w:footer="709" w:gutter="0"/>
          <w:cols w:space="708"/>
          <w:docGrid w:linePitch="360"/>
        </w:sectPr>
      </w:pPr>
    </w:p>
    <w:p>
      <w:pPr>
        <w:pStyle w:val="BAHeader1"/>
        <w:numPr>
          <w:ilvl w:val="0"/>
          <w:numId w:val="0"/>
        </w:numPr>
        <w:tabs>
          <w:tab w:val="left" w:pos="1260"/>
        </w:tabs>
        <w:spacing w:after="240" w:line="300" w:lineRule="atLeast"/>
        <w:ind w:left="1259" w:hanging="1259"/>
        <w:jc w:val="left"/>
        <w:rPr>
          <w:rFonts w:ascii="Verdana" w:hAnsi="Verdana" w:cs="Arial"/>
          <w:sz w:val="32"/>
          <w:szCs w:val="32"/>
        </w:rPr>
      </w:pPr>
      <w:bookmarkStart w:id="103" w:name="_Toc345423527"/>
      <w:bookmarkStart w:id="104" w:name="_Toc293412977"/>
      <w:r>
        <w:rPr>
          <w:rFonts w:ascii="Verdana" w:hAnsi="Verdana" w:cs="Arial"/>
          <w:sz w:val="32"/>
          <w:szCs w:val="32"/>
        </w:rPr>
        <w:lastRenderedPageBreak/>
        <w:t>4</w:t>
      </w:r>
      <w:r>
        <w:rPr>
          <w:rFonts w:ascii="Verdana" w:hAnsi="Verdana" w:cs="Arial"/>
          <w:sz w:val="32"/>
          <w:szCs w:val="32"/>
        </w:rPr>
        <w:tab/>
        <w:t>Framework for approval of high health sources and production requirements</w:t>
      </w:r>
      <w:bookmarkEnd w:id="103"/>
    </w:p>
    <w:p>
      <w:pPr>
        <w:pStyle w:val="BAHeader2"/>
        <w:numPr>
          <w:ilvl w:val="0"/>
          <w:numId w:val="0"/>
        </w:numPr>
        <w:tabs>
          <w:tab w:val="left" w:pos="1260"/>
        </w:tabs>
        <w:spacing w:before="300" w:line="300" w:lineRule="atLeast"/>
        <w:ind w:left="1259" w:hanging="1259"/>
        <w:jc w:val="left"/>
        <w:rPr>
          <w:rFonts w:ascii="Verdana" w:hAnsi="Verdana"/>
        </w:rPr>
      </w:pPr>
      <w:bookmarkStart w:id="105" w:name="_Toc320606145"/>
      <w:bookmarkStart w:id="106" w:name="_Toc345423528"/>
      <w:r>
        <w:rPr>
          <w:rFonts w:ascii="Verdana" w:hAnsi="Verdana"/>
        </w:rPr>
        <w:t>4.1</w:t>
      </w:r>
      <w:r>
        <w:rPr>
          <w:rFonts w:ascii="Verdana" w:hAnsi="Verdana"/>
        </w:rPr>
        <w:tab/>
        <w:t>Framework for approval of high health sources</w:t>
      </w:r>
      <w:bookmarkEnd w:id="105"/>
      <w:bookmarkEnd w:id="106"/>
    </w:p>
    <w:p>
      <w:pPr>
        <w:pStyle w:val="AQISText"/>
        <w:spacing w:before="0"/>
        <w:jc w:val="left"/>
        <w:rPr>
          <w:sz w:val="24"/>
          <w:szCs w:val="24"/>
        </w:rPr>
      </w:pPr>
      <w:r>
        <w:rPr>
          <w:sz w:val="24"/>
          <w:szCs w:val="24"/>
        </w:rPr>
        <w:t xml:space="preserve">Foundation Plant Services, </w:t>
      </w:r>
      <w:smartTag w:uri="urn:schemas-microsoft-com:office:smarttags" w:element="State">
        <w:r>
          <w:rPr>
            <w:sz w:val="24"/>
            <w:szCs w:val="24"/>
          </w:rPr>
          <w:t>California</w:t>
        </w:r>
      </w:smartTag>
      <w:r>
        <w:rPr>
          <w:sz w:val="24"/>
          <w:szCs w:val="24"/>
        </w:rPr>
        <w:t xml:space="preserve">, </w:t>
      </w:r>
      <w:smartTag w:uri="urn:schemas-microsoft-com:office:smarttags" w:element="country-region">
        <w:r>
          <w:rPr>
            <w:sz w:val="24"/>
            <w:szCs w:val="24"/>
          </w:rPr>
          <w:t>USA</w:t>
        </w:r>
      </w:smartTag>
      <w:r>
        <w:rPr>
          <w:sz w:val="24"/>
          <w:szCs w:val="24"/>
        </w:rPr>
        <w:t xml:space="preserve"> is currently the only source approved to supply pathogen tested grapevine propagative material to </w:t>
      </w:r>
      <w:smartTag w:uri="urn:schemas-microsoft-com:office:smarttags" w:element="country-region">
        <w:smartTag w:uri="urn:schemas-microsoft-com:office:smarttags" w:element="place">
          <w:r>
            <w:rPr>
              <w:sz w:val="24"/>
              <w:szCs w:val="24"/>
            </w:rPr>
            <w:t>Australia</w:t>
          </w:r>
        </w:smartTag>
      </w:smartTag>
      <w:r>
        <w:rPr>
          <w:sz w:val="24"/>
          <w:szCs w:val="24"/>
        </w:rPr>
        <w:t>. However, Plant Biosecurity will consider requests for approval of other overseas sources (e.g. institutions, NPPOs) based on the compliance with international standards and a rigorous examination of the proposed facilities. The key factors for approval of high health sources include:</w:t>
      </w:r>
    </w:p>
    <w:p>
      <w:pPr>
        <w:pStyle w:val="AQISNum"/>
        <w:spacing w:before="120"/>
        <w:ind w:left="357" w:hanging="357"/>
        <w:jc w:val="left"/>
        <w:rPr>
          <w:sz w:val="24"/>
          <w:szCs w:val="24"/>
        </w:rPr>
      </w:pPr>
      <w:r>
        <w:rPr>
          <w:b/>
          <w:sz w:val="24"/>
          <w:szCs w:val="24"/>
        </w:rPr>
        <w:t>Capacity for National Authority oversight—</w:t>
      </w:r>
      <w:r>
        <w:rPr>
          <w:sz w:val="24"/>
          <w:szCs w:val="24"/>
        </w:rPr>
        <w:t>facilities producing pathogen tested propagative material must be authorized/approved or operated directly by the National Plant Protection Organization (NPPO), as import conditions routinely require phytosanitary certification to be provided by the NPPO.</w:t>
      </w:r>
    </w:p>
    <w:p>
      <w:pPr>
        <w:pStyle w:val="AQISNum"/>
        <w:spacing w:before="120"/>
        <w:ind w:left="357" w:hanging="357"/>
        <w:jc w:val="left"/>
        <w:rPr>
          <w:sz w:val="24"/>
          <w:szCs w:val="24"/>
        </w:rPr>
      </w:pPr>
      <w:r>
        <w:rPr>
          <w:b/>
          <w:sz w:val="24"/>
          <w:szCs w:val="24"/>
        </w:rPr>
        <w:t>Capacity to produce pathogen tested propagative material—</w:t>
      </w:r>
      <w:r>
        <w:rPr>
          <w:sz w:val="24"/>
          <w:szCs w:val="24"/>
        </w:rPr>
        <w:t>facilities must demonstrate their capacity to produce and maintain high health plant material through appropriate disease screening/testing and monitoring.</w:t>
      </w:r>
    </w:p>
    <w:p>
      <w:pPr>
        <w:pStyle w:val="AQISNum"/>
        <w:spacing w:before="120"/>
        <w:ind w:left="357" w:hanging="357"/>
        <w:jc w:val="left"/>
        <w:rPr>
          <w:sz w:val="24"/>
          <w:szCs w:val="24"/>
        </w:rPr>
      </w:pPr>
      <w:r>
        <w:rPr>
          <w:b/>
          <w:sz w:val="24"/>
          <w:szCs w:val="24"/>
        </w:rPr>
        <w:t>Capacity to meet containment and security requirements—</w:t>
      </w:r>
      <w:r>
        <w:rPr>
          <w:sz w:val="24"/>
          <w:szCs w:val="24"/>
        </w:rPr>
        <w:t>facilities for the establishment of pest-free propagative material and testing for pest freedom must be subject to strict physical containment and operational requirements to prevent contamination or infestation of material.</w:t>
      </w:r>
    </w:p>
    <w:p>
      <w:pPr>
        <w:pStyle w:val="AQISNum"/>
        <w:spacing w:before="120"/>
        <w:ind w:left="357" w:hanging="357"/>
        <w:jc w:val="left"/>
        <w:rPr>
          <w:sz w:val="24"/>
          <w:szCs w:val="24"/>
        </w:rPr>
      </w:pPr>
      <w:r>
        <w:rPr>
          <w:b/>
          <w:sz w:val="24"/>
          <w:szCs w:val="24"/>
        </w:rPr>
        <w:t>Audits and inspections</w:t>
      </w:r>
      <w:r>
        <w:rPr>
          <w:sz w:val="24"/>
          <w:szCs w:val="24"/>
        </w:rPr>
        <w:t xml:space="preserve">—all facilities producing pathogen tested propagative material should be officially audited by DAFF to ensure that they continue to meet </w:t>
      </w:r>
      <w:smartTag w:uri="urn:schemas-microsoft-com:office:smarttags" w:element="country-region">
        <w:smartTag w:uri="urn:schemas-microsoft-com:office:smarttags" w:element="place">
          <w:r>
            <w:rPr>
              <w:sz w:val="24"/>
              <w:szCs w:val="24"/>
            </w:rPr>
            <w:t>Australia</w:t>
          </w:r>
        </w:smartTag>
      </w:smartTag>
      <w:r>
        <w:rPr>
          <w:sz w:val="24"/>
          <w:szCs w:val="24"/>
        </w:rPr>
        <w:t>’s requirements.</w:t>
      </w:r>
    </w:p>
    <w:p>
      <w:pPr>
        <w:pStyle w:val="AQISNum"/>
        <w:spacing w:before="120"/>
        <w:ind w:left="357" w:hanging="357"/>
        <w:jc w:val="left"/>
      </w:pPr>
      <w:r>
        <w:rPr>
          <w:b/>
          <w:sz w:val="24"/>
          <w:szCs w:val="24"/>
        </w:rPr>
        <w:t>Identity preservation systems—</w:t>
      </w:r>
      <w:r>
        <w:rPr>
          <w:sz w:val="24"/>
          <w:szCs w:val="24"/>
        </w:rPr>
        <w:t>all facilities must be able to demonstrate their ability to maintain adequate and verifiable safeguards to ensure that propagative material undergoing post-entry quarantine procedures are not diverted, contaminated or intermingled with other material during and following completion of the quarantine measures.</w:t>
      </w:r>
    </w:p>
    <w:p>
      <w:pPr>
        <w:pStyle w:val="AQISNum"/>
        <w:spacing w:before="120"/>
        <w:ind w:left="357" w:hanging="357"/>
        <w:jc w:val="left"/>
        <w:rPr>
          <w:sz w:val="24"/>
          <w:szCs w:val="24"/>
        </w:rPr>
      </w:pPr>
      <w:r>
        <w:rPr>
          <w:b/>
          <w:sz w:val="24"/>
          <w:szCs w:val="24"/>
        </w:rPr>
        <w:t>On arrival verification—</w:t>
      </w:r>
      <w:r>
        <w:rPr>
          <w:sz w:val="24"/>
          <w:szCs w:val="24"/>
        </w:rPr>
        <w:t>the requirement for the health status of all consignments of high health propagative material to be verified on-arrival through supporting documentation (e.g. Phytosanitary Certificate, NPPO reports, audit report etc.) and testing as required.</w:t>
      </w:r>
    </w:p>
    <w:p>
      <w:pPr>
        <w:pStyle w:val="AQISText"/>
        <w:jc w:val="left"/>
        <w:rPr>
          <w:sz w:val="24"/>
          <w:szCs w:val="24"/>
        </w:rPr>
      </w:pPr>
      <w:r>
        <w:rPr>
          <w:sz w:val="24"/>
          <w:szCs w:val="24"/>
        </w:rPr>
        <w:t xml:space="preserve">Based on this framework, </w:t>
      </w:r>
      <w:smartTag w:uri="urn:schemas-microsoft-com:office:smarttags" w:element="country-region">
        <w:smartTag w:uri="urn:schemas-microsoft-com:office:smarttags" w:element="place">
          <w:r>
            <w:rPr>
              <w:sz w:val="24"/>
              <w:szCs w:val="24"/>
            </w:rPr>
            <w:t>Australia</w:t>
          </w:r>
        </w:smartTag>
      </w:smartTag>
      <w:r>
        <w:rPr>
          <w:sz w:val="24"/>
          <w:szCs w:val="24"/>
        </w:rPr>
        <w:t xml:space="preserve"> will consider replacing the conditions for on-arrival pathogen screening with an equivalent set of conditions for approved sources. The key elements of material produced in approved sources are:</w:t>
      </w:r>
    </w:p>
    <w:p>
      <w:pPr>
        <w:numPr>
          <w:ilvl w:val="0"/>
          <w:numId w:val="12"/>
        </w:numPr>
        <w:tabs>
          <w:tab w:val="num" w:pos="-360"/>
        </w:tabs>
        <w:spacing w:before="40" w:line="280" w:lineRule="atLeast"/>
        <w:ind w:left="357" w:hanging="357"/>
        <w:jc w:val="left"/>
      </w:pPr>
      <w:r>
        <w:t xml:space="preserve">Pathogen screening/testing must be equivalent to </w:t>
      </w:r>
      <w:smartTag w:uri="urn:schemas-microsoft-com:office:smarttags" w:element="country-region">
        <w:smartTag w:uri="urn:schemas-microsoft-com:office:smarttags" w:element="place">
          <w:r>
            <w:t>Australia</w:t>
          </w:r>
        </w:smartTag>
      </w:smartTag>
      <w:r>
        <w:t xml:space="preserve">’s post-entry quarantine screening/testing; </w:t>
      </w:r>
    </w:p>
    <w:p>
      <w:pPr>
        <w:numPr>
          <w:ilvl w:val="0"/>
          <w:numId w:val="12"/>
        </w:numPr>
        <w:tabs>
          <w:tab w:val="num" w:pos="-360"/>
        </w:tabs>
        <w:spacing w:before="40" w:line="280" w:lineRule="atLeast"/>
        <w:ind w:left="357" w:hanging="357"/>
        <w:jc w:val="left"/>
      </w:pPr>
      <w:r>
        <w:t>Each consignment must have a certificate of testing with results, dates and details of the testing methods used issued by the approved source and certified by the NPPO of the exporting country;</w:t>
      </w:r>
    </w:p>
    <w:p>
      <w:pPr>
        <w:numPr>
          <w:ilvl w:val="0"/>
          <w:numId w:val="12"/>
        </w:numPr>
        <w:tabs>
          <w:tab w:val="num" w:pos="-360"/>
        </w:tabs>
        <w:spacing w:before="40" w:line="280" w:lineRule="atLeast"/>
        <w:ind w:left="357" w:hanging="357"/>
        <w:jc w:val="left"/>
      </w:pPr>
      <w:r>
        <w:t>Imported propagative material may be subjected to verification testing for a range of pathogens during growth in a closed government PEQ facility; and</w:t>
      </w:r>
    </w:p>
    <w:p>
      <w:pPr>
        <w:numPr>
          <w:ilvl w:val="0"/>
          <w:numId w:val="12"/>
        </w:numPr>
        <w:tabs>
          <w:tab w:val="num" w:pos="-360"/>
        </w:tabs>
        <w:spacing w:line="280" w:lineRule="atLeast"/>
        <w:ind w:left="357" w:hanging="357"/>
        <w:jc w:val="left"/>
      </w:pPr>
      <w:r>
        <w:t>Where any accredited source does not undertake the complete range of pathogen screening/testing required, those missing tests will be performed during growth in a closed government PEQ facility in Australia.</w:t>
      </w:r>
    </w:p>
    <w:p>
      <w:pPr>
        <w:pStyle w:val="AQISText"/>
        <w:jc w:val="center"/>
        <w:rPr>
          <w:color w:val="FF0000"/>
          <w:sz w:val="24"/>
          <w:szCs w:val="24"/>
        </w:rPr>
        <w:sectPr>
          <w:pgSz w:w="11906" w:h="16838" w:code="9"/>
          <w:pgMar w:top="1412" w:right="1412" w:bottom="1412" w:left="1412" w:header="709" w:footer="709" w:gutter="0"/>
          <w:cols w:space="708"/>
          <w:docGrid w:linePitch="360"/>
        </w:sectPr>
      </w:pPr>
    </w:p>
    <w:p>
      <w:pPr>
        <w:pStyle w:val="BAHeader1"/>
        <w:numPr>
          <w:ilvl w:val="0"/>
          <w:numId w:val="0"/>
        </w:numPr>
        <w:tabs>
          <w:tab w:val="left" w:pos="1260"/>
        </w:tabs>
        <w:ind w:left="1260" w:hanging="1260"/>
        <w:rPr>
          <w:rFonts w:ascii="Verdana" w:hAnsi="Verdana" w:cs="Arial"/>
          <w:sz w:val="32"/>
          <w:szCs w:val="32"/>
        </w:rPr>
      </w:pPr>
      <w:bookmarkStart w:id="107" w:name="_Toc270426729"/>
      <w:bookmarkStart w:id="108" w:name="_Toc345423529"/>
      <w:bookmarkEnd w:id="104"/>
      <w:r>
        <w:rPr>
          <w:rFonts w:ascii="Verdana" w:hAnsi="Verdana" w:cs="Arial"/>
          <w:sz w:val="32"/>
          <w:szCs w:val="32"/>
        </w:rPr>
        <w:lastRenderedPageBreak/>
        <w:t>5</w:t>
      </w:r>
      <w:r>
        <w:rPr>
          <w:rFonts w:ascii="Verdana" w:hAnsi="Verdana" w:cs="Arial"/>
          <w:sz w:val="32"/>
          <w:szCs w:val="32"/>
        </w:rPr>
        <w:tab/>
        <w:t>Conclusion</w:t>
      </w:r>
      <w:bookmarkEnd w:id="107"/>
      <w:bookmarkEnd w:id="108"/>
    </w:p>
    <w:p>
      <w:pPr>
        <w:pStyle w:val="AQISText"/>
        <w:spacing w:before="0" w:line="275" w:lineRule="atLeast"/>
        <w:jc w:val="left"/>
        <w:rPr>
          <w:sz w:val="24"/>
          <w:szCs w:val="24"/>
        </w:rPr>
      </w:pPr>
      <w:r>
        <w:rPr>
          <w:sz w:val="24"/>
          <w:szCs w:val="24"/>
          <w:lang w:eastAsia="en-AU"/>
        </w:rPr>
        <w:t xml:space="preserve">The findings of this draft review of policy are based on a comprehensive analysis of the scientific literature. </w:t>
      </w:r>
      <w:r>
        <w:rPr>
          <w:sz w:val="24"/>
          <w:szCs w:val="24"/>
        </w:rPr>
        <w:t xml:space="preserve">As part of this revision, the quarantine status of grapevine pathogens was reviewed and several new pests of quarantine concern were identified. Consequently, Plant Biosecurity evaluated the appropriateness of existing risk management measures for the identified risks and proposed additional measures where required. </w:t>
      </w:r>
    </w:p>
    <w:p>
      <w:pPr>
        <w:spacing w:before="120" w:after="80" w:line="280" w:lineRule="atLeast"/>
        <w:jc w:val="left"/>
        <w:rPr>
          <w:rFonts w:ascii="Verdana" w:hAnsi="Verdana"/>
          <w:b/>
          <w:sz w:val="20"/>
          <w:szCs w:val="20"/>
        </w:rPr>
      </w:pPr>
      <w:r>
        <w:rPr>
          <w:rFonts w:ascii="Verdana" w:hAnsi="Verdana"/>
          <w:b/>
          <w:sz w:val="20"/>
          <w:szCs w:val="20"/>
        </w:rPr>
        <w:t xml:space="preserve">Proposed significant changes </w:t>
      </w:r>
    </w:p>
    <w:p>
      <w:pPr>
        <w:pStyle w:val="AQISText"/>
        <w:tabs>
          <w:tab w:val="left" w:pos="3420"/>
        </w:tabs>
        <w:spacing w:before="0" w:line="275" w:lineRule="atLeast"/>
        <w:jc w:val="left"/>
        <w:rPr>
          <w:sz w:val="24"/>
          <w:szCs w:val="24"/>
        </w:rPr>
      </w:pPr>
      <w:r>
        <w:rPr>
          <w:sz w:val="24"/>
          <w:szCs w:val="24"/>
        </w:rPr>
        <w:t>The current review proposes several changes to the existing policy that will protect plant health while reducing the amount of time required for grapevine dormant cuttings and tissue culture to be grown in PEQ facilities.</w:t>
      </w:r>
      <w:r>
        <w:rPr>
          <w:snapToGrid w:val="0"/>
          <w:sz w:val="24"/>
          <w:szCs w:val="24"/>
        </w:rPr>
        <w:t xml:space="preserve"> </w:t>
      </w:r>
      <w:r>
        <w:rPr>
          <w:sz w:val="24"/>
          <w:szCs w:val="24"/>
        </w:rPr>
        <w:t xml:space="preserve">Major proposed changes are: </w:t>
      </w:r>
    </w:p>
    <w:p>
      <w:pPr>
        <w:numPr>
          <w:ilvl w:val="0"/>
          <w:numId w:val="12"/>
        </w:numPr>
        <w:spacing w:before="60" w:line="280" w:lineRule="atLeast"/>
        <w:jc w:val="left"/>
        <w:rPr>
          <w:b/>
        </w:rPr>
      </w:pPr>
      <w:r>
        <w:rPr>
          <w:b/>
        </w:rPr>
        <w:t>All grapevine propagative material:</w:t>
      </w:r>
    </w:p>
    <w:p>
      <w:pPr>
        <w:numPr>
          <w:ilvl w:val="1"/>
          <w:numId w:val="12"/>
        </w:numPr>
        <w:spacing w:before="60" w:line="280" w:lineRule="atLeast"/>
        <w:ind w:left="709" w:hanging="283"/>
        <w:jc w:val="left"/>
      </w:pPr>
      <w:r>
        <w:t>Replacing woody indexing for grapevine virus B (corky bark strains) with mandatory molecular testing; and</w:t>
      </w:r>
    </w:p>
    <w:p>
      <w:pPr>
        <w:numPr>
          <w:ilvl w:val="1"/>
          <w:numId w:val="12"/>
        </w:numPr>
        <w:spacing w:before="60" w:line="280" w:lineRule="atLeast"/>
        <w:ind w:left="709" w:hanging="283"/>
        <w:jc w:val="left"/>
      </w:pPr>
      <w:r>
        <w:t>Introducing mandatory electron microscopy for detection of viruses.</w:t>
      </w:r>
    </w:p>
    <w:p>
      <w:pPr>
        <w:numPr>
          <w:ilvl w:val="0"/>
          <w:numId w:val="12"/>
        </w:numPr>
        <w:spacing w:before="60" w:line="280" w:lineRule="atLeast"/>
        <w:jc w:val="left"/>
        <w:rPr>
          <w:b/>
        </w:rPr>
      </w:pPr>
      <w:r>
        <w:rPr>
          <w:b/>
        </w:rPr>
        <w:t>Dormant cuttings:</w:t>
      </w:r>
    </w:p>
    <w:p>
      <w:pPr>
        <w:numPr>
          <w:ilvl w:val="1"/>
          <w:numId w:val="12"/>
        </w:numPr>
        <w:spacing w:before="60" w:line="280" w:lineRule="atLeast"/>
        <w:ind w:left="709" w:hanging="283"/>
        <w:jc w:val="left"/>
      </w:pPr>
      <w:r>
        <w:t>Introducing mandatory surface sterilisation (1% sodium hypochlorite solution for 5 minutes);</w:t>
      </w:r>
    </w:p>
    <w:p>
      <w:pPr>
        <w:numPr>
          <w:ilvl w:val="1"/>
          <w:numId w:val="12"/>
        </w:numPr>
        <w:spacing w:before="60" w:line="280" w:lineRule="atLeast"/>
        <w:ind w:left="709" w:hanging="283"/>
        <w:jc w:val="left"/>
      </w:pPr>
      <w:r>
        <w:t>Increasing hot water treatment time from 20 to 30 minutes at 50 °C; and</w:t>
      </w:r>
    </w:p>
    <w:p>
      <w:pPr>
        <w:numPr>
          <w:ilvl w:val="1"/>
          <w:numId w:val="12"/>
        </w:numPr>
        <w:spacing w:before="60" w:line="280" w:lineRule="atLeast"/>
        <w:ind w:left="709" w:hanging="283"/>
        <w:jc w:val="left"/>
      </w:pPr>
      <w:r>
        <w:t>Reducing the PEQ period from 24 months to a minimum of 16 months.</w:t>
      </w:r>
    </w:p>
    <w:p>
      <w:pPr>
        <w:numPr>
          <w:ilvl w:val="0"/>
          <w:numId w:val="12"/>
        </w:numPr>
        <w:spacing w:before="60" w:line="280" w:lineRule="atLeast"/>
        <w:jc w:val="left"/>
        <w:rPr>
          <w:b/>
        </w:rPr>
      </w:pPr>
      <w:r>
        <w:rPr>
          <w:b/>
        </w:rPr>
        <w:t>Tissue culture:</w:t>
      </w:r>
    </w:p>
    <w:p>
      <w:pPr>
        <w:numPr>
          <w:ilvl w:val="1"/>
          <w:numId w:val="12"/>
        </w:numPr>
        <w:spacing w:before="60" w:line="280" w:lineRule="atLeast"/>
        <w:ind w:left="709" w:hanging="283"/>
        <w:jc w:val="left"/>
      </w:pPr>
      <w:r>
        <w:t>Reducing the PEQ period from 24 months to a minimum of 12 months; and</w:t>
      </w:r>
    </w:p>
    <w:p>
      <w:pPr>
        <w:numPr>
          <w:ilvl w:val="1"/>
          <w:numId w:val="12"/>
        </w:numPr>
        <w:spacing w:before="60" w:line="280" w:lineRule="atLeast"/>
        <w:ind w:left="709" w:hanging="283"/>
        <w:jc w:val="left"/>
      </w:pPr>
      <w:r>
        <w:t xml:space="preserve">Replacing hot water treatment with mandatory PCR for detecting </w:t>
      </w:r>
      <w:r>
        <w:rPr>
          <w:i/>
        </w:rPr>
        <w:t>Xylella fastidiosa.</w:t>
      </w:r>
    </w:p>
    <w:p>
      <w:pPr>
        <w:numPr>
          <w:ilvl w:val="0"/>
          <w:numId w:val="12"/>
        </w:numPr>
        <w:spacing w:before="60" w:line="280" w:lineRule="atLeast"/>
        <w:jc w:val="left"/>
        <w:rPr>
          <w:b/>
        </w:rPr>
      </w:pPr>
      <w:r>
        <w:rPr>
          <w:b/>
        </w:rPr>
        <w:t>Seed for sowing:</w:t>
      </w:r>
    </w:p>
    <w:p>
      <w:pPr>
        <w:numPr>
          <w:ilvl w:val="1"/>
          <w:numId w:val="12"/>
        </w:numPr>
        <w:spacing w:before="60" w:line="280" w:lineRule="atLeast"/>
        <w:ind w:left="709" w:hanging="283"/>
        <w:jc w:val="left"/>
      </w:pPr>
      <w:r>
        <w:t>Increasing the PEQ period from 3 months to 9 months.</w:t>
      </w:r>
    </w:p>
    <w:p>
      <w:pPr>
        <w:spacing w:before="120" w:after="80" w:line="280" w:lineRule="atLeast"/>
        <w:jc w:val="left"/>
        <w:rPr>
          <w:rFonts w:ascii="Verdana" w:hAnsi="Verdana"/>
          <w:b/>
          <w:sz w:val="20"/>
          <w:szCs w:val="20"/>
        </w:rPr>
      </w:pPr>
      <w:r>
        <w:rPr>
          <w:rFonts w:ascii="Verdana" w:hAnsi="Verdana"/>
          <w:b/>
          <w:sz w:val="20"/>
          <w:szCs w:val="20"/>
        </w:rPr>
        <w:t>Proposed risk management measures</w:t>
      </w:r>
    </w:p>
    <w:p>
      <w:pPr>
        <w:pStyle w:val="AQISText"/>
        <w:tabs>
          <w:tab w:val="left" w:pos="3420"/>
        </w:tabs>
        <w:spacing w:before="0" w:line="275" w:lineRule="atLeast"/>
        <w:jc w:val="left"/>
        <w:rPr>
          <w:sz w:val="24"/>
          <w:szCs w:val="24"/>
        </w:rPr>
      </w:pPr>
      <w:r>
        <w:rPr>
          <w:sz w:val="24"/>
          <w:szCs w:val="24"/>
        </w:rPr>
        <w:t xml:space="preserve">The ultimate goal of phytosanitary measures is to protect plant health and prevent the introduction of identified quarantine pests associated with grapevine propagative material. Plant Biosecurity considers the risk management measures proposed in this draft review of policy will be adequate to mitigate the risks posed by the identified quarantine pests and pathogens. </w:t>
      </w:r>
    </w:p>
    <w:p>
      <w:pPr>
        <w:pStyle w:val="AQISText"/>
        <w:tabs>
          <w:tab w:val="left" w:pos="3420"/>
        </w:tabs>
        <w:spacing w:before="120" w:line="275" w:lineRule="atLeast"/>
        <w:jc w:val="left"/>
        <w:rPr>
          <w:sz w:val="24"/>
          <w:szCs w:val="24"/>
        </w:rPr>
      </w:pPr>
      <w:r>
        <w:rPr>
          <w:sz w:val="24"/>
          <w:szCs w:val="24"/>
        </w:rPr>
        <w:t>The proposed risk management measures for propagative material are detailed below.</w:t>
      </w:r>
    </w:p>
    <w:p>
      <w:pPr>
        <w:spacing w:before="120" w:line="280" w:lineRule="atLeast"/>
        <w:jc w:val="left"/>
        <w:rPr>
          <w:rFonts w:ascii="Verdana" w:hAnsi="Verdana"/>
          <w:b/>
          <w:sz w:val="20"/>
          <w:szCs w:val="20"/>
        </w:rPr>
      </w:pPr>
      <w:r>
        <w:rPr>
          <w:rFonts w:ascii="Verdana" w:hAnsi="Verdana"/>
          <w:b/>
          <w:sz w:val="20"/>
          <w:szCs w:val="20"/>
        </w:rPr>
        <w:t>All sources (unknown health status)</w:t>
      </w:r>
    </w:p>
    <w:p>
      <w:pPr>
        <w:spacing w:before="120" w:line="280" w:lineRule="atLeast"/>
        <w:jc w:val="left"/>
        <w:rPr>
          <w:rFonts w:ascii="Verdana" w:hAnsi="Verdana"/>
          <w:b/>
          <w:sz w:val="20"/>
          <w:szCs w:val="20"/>
        </w:rPr>
      </w:pPr>
      <w:r>
        <w:rPr>
          <w:rFonts w:ascii="Verdana" w:hAnsi="Verdana"/>
          <w:b/>
          <w:sz w:val="20"/>
          <w:szCs w:val="20"/>
        </w:rPr>
        <w:t>Dormant cuttings</w:t>
      </w:r>
    </w:p>
    <w:p>
      <w:pPr>
        <w:numPr>
          <w:ilvl w:val="0"/>
          <w:numId w:val="12"/>
        </w:numPr>
        <w:spacing w:before="60" w:line="280" w:lineRule="atLeast"/>
        <w:jc w:val="left"/>
      </w:pPr>
      <w:r>
        <w:t xml:space="preserve">Mandatory on-arrival inspection fumigation; hot water treatment; and surface sterilisation; </w:t>
      </w:r>
    </w:p>
    <w:p>
      <w:pPr>
        <w:numPr>
          <w:ilvl w:val="0"/>
          <w:numId w:val="12"/>
        </w:numPr>
        <w:spacing w:before="60" w:line="280" w:lineRule="atLeast"/>
        <w:jc w:val="left"/>
      </w:pPr>
      <w:r>
        <w:t xml:space="preserve">Mandatory growth in a closed government PEQ facility </w:t>
      </w:r>
      <w:r>
        <w:rPr>
          <w:lang w:eastAsia="en-AU"/>
        </w:rPr>
        <w:t xml:space="preserve">for </w:t>
      </w:r>
      <w:r>
        <w:t>a minimum period of 16 months for pathogen screening (visual observation; culturing; and electron microscopy); and</w:t>
      </w:r>
      <w:r>
        <w:rPr>
          <w:lang w:eastAsia="en-AU"/>
        </w:rPr>
        <w:t xml:space="preserve"> </w:t>
      </w:r>
    </w:p>
    <w:p>
      <w:pPr>
        <w:numPr>
          <w:ilvl w:val="0"/>
          <w:numId w:val="12"/>
        </w:numPr>
        <w:spacing w:before="60" w:line="280" w:lineRule="atLeast"/>
        <w:jc w:val="left"/>
      </w:pPr>
      <w:r>
        <w:t>Active pathogen testing through herbaceous host indexing and molecular tests including, but not limited to, PCR or ELISA.</w:t>
      </w:r>
    </w:p>
    <w:p>
      <w:pPr>
        <w:spacing w:before="120" w:line="280" w:lineRule="atLeast"/>
        <w:jc w:val="left"/>
      </w:pPr>
      <w:r>
        <w:rPr>
          <w:rFonts w:ascii="Verdana" w:hAnsi="Verdana"/>
          <w:b/>
          <w:sz w:val="20"/>
          <w:szCs w:val="20"/>
        </w:rPr>
        <w:t>Tissue cultures (microplantlets)</w:t>
      </w:r>
    </w:p>
    <w:p>
      <w:pPr>
        <w:numPr>
          <w:ilvl w:val="0"/>
          <w:numId w:val="12"/>
        </w:numPr>
        <w:spacing w:before="60" w:line="280" w:lineRule="atLeast"/>
        <w:jc w:val="left"/>
      </w:pPr>
      <w:r>
        <w:t xml:space="preserve">Mandatory on-arrival inspection; </w:t>
      </w:r>
    </w:p>
    <w:p>
      <w:pPr>
        <w:numPr>
          <w:ilvl w:val="0"/>
          <w:numId w:val="12"/>
        </w:numPr>
        <w:spacing w:before="60" w:line="280" w:lineRule="atLeast"/>
        <w:jc w:val="left"/>
      </w:pPr>
      <w:r>
        <w:lastRenderedPageBreak/>
        <w:t xml:space="preserve">Mandatory growth in a closed government PEQ facility </w:t>
      </w:r>
      <w:r>
        <w:rPr>
          <w:lang w:eastAsia="en-AU"/>
        </w:rPr>
        <w:t xml:space="preserve">for </w:t>
      </w:r>
      <w:r>
        <w:t>a minimum period of 12 months for pathogen screening (visual observation; culturing; and electron microscopy); and</w:t>
      </w:r>
      <w:r>
        <w:rPr>
          <w:lang w:eastAsia="en-AU"/>
        </w:rPr>
        <w:t xml:space="preserve"> </w:t>
      </w:r>
    </w:p>
    <w:p>
      <w:pPr>
        <w:numPr>
          <w:ilvl w:val="0"/>
          <w:numId w:val="12"/>
        </w:numPr>
        <w:spacing w:before="60" w:line="280" w:lineRule="atLeast"/>
        <w:jc w:val="left"/>
      </w:pPr>
      <w:r>
        <w:t>Active pathogen testing through herbaceous host indexing and molecular tests including, but not limited to, PCR or ELISA.</w:t>
      </w:r>
    </w:p>
    <w:p>
      <w:pPr>
        <w:spacing w:before="120" w:line="280" w:lineRule="atLeast"/>
        <w:jc w:val="left"/>
      </w:pPr>
      <w:r>
        <w:rPr>
          <w:rFonts w:ascii="Verdana" w:hAnsi="Verdana"/>
          <w:b/>
          <w:sz w:val="20"/>
          <w:szCs w:val="20"/>
        </w:rPr>
        <w:t>Seed</w:t>
      </w:r>
    </w:p>
    <w:p>
      <w:pPr>
        <w:numPr>
          <w:ilvl w:val="0"/>
          <w:numId w:val="12"/>
        </w:numPr>
        <w:spacing w:before="60" w:line="280" w:lineRule="atLeast"/>
        <w:jc w:val="left"/>
      </w:pPr>
      <w:r>
        <w:t xml:space="preserve">Mandatory on-arrival inspection, surface sterilisation; fungicidal treatment; and growth in a closed government PEQ facility </w:t>
      </w:r>
      <w:r>
        <w:rPr>
          <w:lang w:eastAsia="en-AU"/>
        </w:rPr>
        <w:t xml:space="preserve">for </w:t>
      </w:r>
      <w:r>
        <w:t>a minimum period of nine months for pathogen screening (visual observation and electron microscopy); and</w:t>
      </w:r>
      <w:r>
        <w:rPr>
          <w:lang w:eastAsia="en-AU"/>
        </w:rPr>
        <w:t xml:space="preserve"> </w:t>
      </w:r>
    </w:p>
    <w:p>
      <w:pPr>
        <w:numPr>
          <w:ilvl w:val="0"/>
          <w:numId w:val="12"/>
        </w:numPr>
        <w:spacing w:before="60" w:line="280" w:lineRule="atLeast"/>
        <w:jc w:val="left"/>
      </w:pPr>
      <w:r>
        <w:t>Active pathogen testing through herbaceous host indexing and molecular tests including, but not limited to, PCR.</w:t>
      </w:r>
    </w:p>
    <w:p>
      <w:pPr>
        <w:spacing w:before="120" w:after="80" w:line="280" w:lineRule="atLeast"/>
        <w:jc w:val="left"/>
        <w:rPr>
          <w:rFonts w:ascii="Verdana" w:hAnsi="Verdana"/>
          <w:b/>
          <w:sz w:val="20"/>
          <w:szCs w:val="20"/>
        </w:rPr>
      </w:pPr>
      <w:r>
        <w:rPr>
          <w:rFonts w:ascii="Verdana" w:hAnsi="Verdana"/>
          <w:b/>
          <w:sz w:val="20"/>
          <w:szCs w:val="20"/>
        </w:rPr>
        <w:t>Approved sources (high health sources)</w:t>
      </w:r>
    </w:p>
    <w:p>
      <w:pPr>
        <w:pStyle w:val="AQISText"/>
        <w:tabs>
          <w:tab w:val="left" w:pos="3420"/>
        </w:tabs>
        <w:spacing w:before="0"/>
        <w:jc w:val="left"/>
        <w:rPr>
          <w:sz w:val="24"/>
          <w:szCs w:val="24"/>
        </w:rPr>
      </w:pPr>
      <w:r>
        <w:rPr>
          <w:sz w:val="24"/>
          <w:szCs w:val="24"/>
        </w:rPr>
        <w:t>Foundation Plant Services, California, USA is currently the only source approved to supply pathogen tested grapevine propagative material to Australia. However, Plant Biosecurity will consider requests for approval of other overseas sources (e.g. institutions, NPPOs etc), based on the framework proposed in this review. If the requirements of the framework are met, Plant Biosecurity will consider replacing the existing conditions with an alternative set of conditions for approved sources.</w:t>
      </w:r>
    </w:p>
    <w:p>
      <w:pPr>
        <w:spacing w:before="180" w:line="275" w:lineRule="atLeast"/>
        <w:jc w:val="left"/>
      </w:pPr>
      <w:r>
        <w:t>The proposed changes to import requirements for dormant cuttings and tissue cultures from non-approved sources will also apply to material from approved sources (e.g. the PEQ period will be reduced to 16 months for dormant cuttings and 12 months for tissue cultures). Seed for sowing from approved sources is currently not subject to PEQ and this is recommended to continue.</w:t>
      </w:r>
    </w:p>
    <w:p>
      <w:pPr>
        <w:spacing w:before="40" w:line="280" w:lineRule="atLeast"/>
        <w:jc w:val="left"/>
      </w:pPr>
    </w:p>
    <w:p>
      <w:pPr>
        <w:spacing w:before="120" w:line="280" w:lineRule="atLeast"/>
        <w:ind w:left="357"/>
        <w:jc w:val="left"/>
        <w:rPr>
          <w:color w:val="FF0000"/>
        </w:rPr>
        <w:sectPr>
          <w:headerReference w:type="default" r:id="rId37"/>
          <w:pgSz w:w="11906" w:h="16838" w:code="9"/>
          <w:pgMar w:top="1412" w:right="1412" w:bottom="1412" w:left="1412" w:header="709" w:footer="709" w:gutter="0"/>
          <w:cols w:space="708"/>
          <w:docGrid w:linePitch="360"/>
        </w:sectPr>
      </w:pPr>
    </w:p>
    <w:bookmarkEnd w:id="86"/>
    <w:p>
      <w:pPr>
        <w:pStyle w:val="Title"/>
        <w:spacing w:before="480" w:after="240"/>
      </w:pPr>
    </w:p>
    <w:p>
      <w:pPr>
        <w:pStyle w:val="Title"/>
        <w:spacing w:before="480" w:after="240"/>
      </w:pPr>
    </w:p>
    <w:p>
      <w:pPr>
        <w:pStyle w:val="Title"/>
        <w:spacing w:before="480" w:after="240"/>
      </w:pPr>
    </w:p>
    <w:p>
      <w:pPr>
        <w:pStyle w:val="Title"/>
        <w:spacing w:before="480" w:after="240"/>
      </w:pPr>
    </w:p>
    <w:p>
      <w:pPr>
        <w:pStyle w:val="Title"/>
        <w:spacing w:before="480" w:after="240"/>
      </w:pPr>
    </w:p>
    <w:p>
      <w:pPr>
        <w:pStyle w:val="Title"/>
        <w:spacing w:before="480" w:after="240"/>
      </w:pPr>
    </w:p>
    <w:p>
      <w:pPr>
        <w:pStyle w:val="Title"/>
        <w:spacing w:before="480" w:after="240"/>
      </w:pPr>
      <w:r>
        <w:t>Appendices</w:t>
      </w:r>
    </w:p>
    <w:p>
      <w:pPr>
        <w:pStyle w:val="AQISText"/>
        <w:spacing w:before="240" w:line="300" w:lineRule="atLeast"/>
        <w:rPr>
          <w:rFonts w:ascii="Helvetica" w:hAnsi="Helvetica"/>
          <w:b/>
          <w:bCs/>
          <w:sz w:val="32"/>
        </w:rPr>
      </w:pPr>
    </w:p>
    <w:p>
      <w:pPr>
        <w:pStyle w:val="AQISText"/>
        <w:spacing w:before="240" w:line="300" w:lineRule="atLeast"/>
        <w:rPr>
          <w:rFonts w:ascii="Helvetica" w:hAnsi="Helvetica"/>
          <w:b/>
          <w:bCs/>
          <w:sz w:val="32"/>
        </w:rPr>
        <w:sectPr>
          <w:headerReference w:type="default" r:id="rId38"/>
          <w:type w:val="nextColumn"/>
          <w:pgSz w:w="11906" w:h="16838" w:code="9"/>
          <w:pgMar w:top="1412" w:right="1412" w:bottom="1412" w:left="1412" w:header="709" w:footer="709" w:gutter="0"/>
          <w:cols w:space="708"/>
          <w:docGrid w:linePitch="360"/>
        </w:sectPr>
      </w:pPr>
    </w:p>
    <w:p>
      <w:pPr>
        <w:pStyle w:val="BAAppend1"/>
        <w:tabs>
          <w:tab w:val="num" w:pos="643"/>
        </w:tabs>
        <w:ind w:left="2160" w:hanging="2160"/>
      </w:pPr>
      <w:bookmarkStart w:id="109" w:name="_Toc85958823"/>
      <w:bookmarkStart w:id="110" w:name="_Toc275422537"/>
      <w:bookmarkStart w:id="111" w:name="_Toc275502608"/>
      <w:bookmarkStart w:id="112" w:name="_Toc345423530"/>
      <w:bookmarkStart w:id="113" w:name="_Toc85958826"/>
      <w:bookmarkStart w:id="114" w:name="Abbott1985"/>
      <w:r>
        <w:lastRenderedPageBreak/>
        <w:t>Appendix A:</w:t>
      </w:r>
      <w:bookmarkEnd w:id="109"/>
      <w:r>
        <w:tab/>
        <w:t xml:space="preserve">Initiation and pest categorisation of pests associated with </w:t>
      </w:r>
      <w:r>
        <w:rPr>
          <w:i/>
          <w:iCs/>
        </w:rPr>
        <w:t xml:space="preserve">Vitis </w:t>
      </w:r>
      <w:r>
        <w:t>species worldwide</w:t>
      </w:r>
      <w:bookmarkEnd w:id="110"/>
      <w:bookmarkEnd w:id="111"/>
      <w:bookmarkEnd w:id="112"/>
    </w:p>
    <w:p>
      <w:pPr>
        <w:spacing w:after="120" w:line="260" w:lineRule="atLeast"/>
        <w:jc w:val="left"/>
        <w:rPr>
          <w:rFonts w:ascii="Helvetica" w:hAnsi="Helvetica"/>
          <w:sz w:val="18"/>
          <w:szCs w:val="18"/>
        </w:rPr>
      </w:pPr>
      <w:r>
        <w:rPr>
          <w:rFonts w:ascii="Helvetica" w:hAnsi="Helvetica"/>
          <w:sz w:val="18"/>
          <w:szCs w:val="18"/>
        </w:rPr>
        <w:t xml:space="preserve">Initiation identifies the pests that occur on </w:t>
      </w:r>
      <w:r>
        <w:rPr>
          <w:rFonts w:ascii="Helvetica" w:hAnsi="Helvetica" w:cs="Helvetica"/>
          <w:i/>
          <w:iCs/>
          <w:sz w:val="18"/>
          <w:szCs w:val="18"/>
        </w:rPr>
        <w:t>Vitis</w:t>
      </w:r>
      <w:r>
        <w:rPr>
          <w:rFonts w:ascii="Helvetica" w:hAnsi="Helvetica"/>
          <w:i/>
          <w:sz w:val="18"/>
          <w:szCs w:val="18"/>
        </w:rPr>
        <w:t xml:space="preserve"> </w:t>
      </w:r>
      <w:r>
        <w:rPr>
          <w:rFonts w:ascii="Helvetica" w:hAnsi="Helvetica"/>
          <w:sz w:val="18"/>
          <w:szCs w:val="18"/>
        </w:rPr>
        <w:t xml:space="preserve">species, their status in Australia and their pathway association. In this assessment, </w:t>
      </w:r>
      <w:r>
        <w:rPr>
          <w:rFonts w:ascii="Helvetica" w:hAnsi="Helvetica"/>
          <w:b/>
          <w:sz w:val="18"/>
          <w:szCs w:val="18"/>
        </w:rPr>
        <w:t>pathway</w:t>
      </w:r>
      <w:r>
        <w:rPr>
          <w:rFonts w:ascii="Helvetica" w:hAnsi="Helvetica"/>
          <w:sz w:val="18"/>
          <w:szCs w:val="18"/>
        </w:rPr>
        <w:t xml:space="preserve"> is defined as </w:t>
      </w:r>
      <w:r>
        <w:rPr>
          <w:rFonts w:ascii="Helvetica" w:hAnsi="Helvetica"/>
          <w:i/>
          <w:sz w:val="18"/>
          <w:szCs w:val="18"/>
        </w:rPr>
        <w:t>Vitis</w:t>
      </w:r>
      <w:r>
        <w:rPr>
          <w:rFonts w:ascii="Helvetica" w:hAnsi="Helvetica"/>
          <w:sz w:val="18"/>
          <w:szCs w:val="18"/>
        </w:rPr>
        <w:t xml:space="preserve"> propagative material (one-year-old dormant cuttings, seed and tissue culture). Restricting budwood to one-year-old material reduces the risk of opportunistic wound pathogens and wood rots. In addition, dormant cuttings are semi-hardwood and have not developed mature bark. Therefore, pests associated with the hardwood and mature bark of older grapevines is not considered to be on the pathway. As grapevine cuttings are harvested when they are dormant, pests associated with new plant growth (e.g. developing buds, new shoots, tendrils and fruit) do not occur on the pathway. Dormant grapevine cuttings are also free of roots and leaves, consequently pests associated with roots and leaves are not considered to be on the pathway. Please note that the ’Potential to be on pathway’ column usually specifies the association of pests with dormant cuttings. Bacteria, phytoplasmas and viruses occurring on tissue culture are considered to be the same as those occurring on dormant cuttings. Seeds are only referred to in the pathway column if the pest is known to be associated with seeds. </w:t>
      </w:r>
    </w:p>
    <w:p>
      <w:pPr>
        <w:spacing w:after="120" w:line="260" w:lineRule="atLeast"/>
        <w:jc w:val="left"/>
        <w:rPr>
          <w:rFonts w:ascii="Helvetica" w:hAnsi="Helvetica"/>
          <w:sz w:val="18"/>
          <w:szCs w:val="18"/>
        </w:rPr>
      </w:pPr>
      <w:r>
        <w:rPr>
          <w:rFonts w:ascii="Helvetica" w:hAnsi="Helvetica"/>
          <w:sz w:val="18"/>
          <w:szCs w:val="18"/>
        </w:rPr>
        <w:t>Pest categorisation identifies the potential for pests associated with grapevine propagative material to enter, establish, spread and cause economic consequences in Australia, to determine if they qualify as quarantine pests.</w:t>
      </w:r>
    </w:p>
    <w:tbl>
      <w:tblPr>
        <w:tblW w:w="14508" w:type="dxa"/>
        <w:tblBorders>
          <w:top w:val="single" w:sz="12" w:space="0" w:color="008000"/>
          <w:left w:val="single" w:sz="12" w:space="0" w:color="008000"/>
          <w:bottom w:val="single" w:sz="12" w:space="0" w:color="008000"/>
          <w:right w:val="single" w:sz="12" w:space="0" w:color="008000"/>
          <w:insideH w:val="single" w:sz="4" w:space="0" w:color="auto"/>
          <w:insideV w:val="single" w:sz="4" w:space="0" w:color="auto"/>
        </w:tblBorders>
        <w:tblLayout w:type="fixed"/>
        <w:tblLook w:val="01E0"/>
      </w:tblPr>
      <w:tblGrid>
        <w:gridCol w:w="3468"/>
        <w:gridCol w:w="1680"/>
        <w:gridCol w:w="2640"/>
        <w:gridCol w:w="2640"/>
        <w:gridCol w:w="2863"/>
        <w:gridCol w:w="17"/>
        <w:gridCol w:w="1200"/>
      </w:tblGrid>
      <w:tr>
        <w:trPr>
          <w:tblHeader/>
        </w:trPr>
        <w:tc>
          <w:tcPr>
            <w:tcW w:w="3468" w:type="dxa"/>
            <w:tcBorders>
              <w:top w:val="single" w:sz="12" w:space="0" w:color="008000"/>
              <w:left w:val="single" w:sz="12" w:space="0" w:color="008000"/>
              <w:bottom w:val="single" w:sz="12" w:space="0" w:color="008000"/>
              <w:right w:val="single" w:sz="4" w:space="0" w:color="auto"/>
            </w:tcBorders>
            <w:shd w:val="clear" w:color="auto" w:fill="E0E0E0"/>
          </w:tcPr>
          <w:p>
            <w:pPr>
              <w:spacing w:before="40" w:after="40" w:line="280" w:lineRule="atLeast"/>
              <w:jc w:val="left"/>
              <w:rPr>
                <w:rFonts w:ascii="Helvetica" w:hAnsi="Helvetica" w:cs="Helvetica"/>
                <w:b/>
                <w:bCs/>
                <w:sz w:val="18"/>
                <w:szCs w:val="18"/>
              </w:rPr>
            </w:pPr>
            <w:r>
              <w:rPr>
                <w:rFonts w:ascii="Helvetica" w:hAnsi="Helvetica" w:cs="Helvetica"/>
                <w:b/>
                <w:bCs/>
                <w:sz w:val="18"/>
                <w:szCs w:val="18"/>
              </w:rPr>
              <w:t>Pest</w:t>
            </w:r>
          </w:p>
        </w:tc>
        <w:tc>
          <w:tcPr>
            <w:tcW w:w="1680" w:type="dxa"/>
            <w:tcBorders>
              <w:top w:val="single" w:sz="12" w:space="0" w:color="008000"/>
              <w:left w:val="single" w:sz="4" w:space="0" w:color="auto"/>
              <w:bottom w:val="single" w:sz="12" w:space="0" w:color="008000"/>
              <w:right w:val="single" w:sz="4" w:space="0" w:color="auto"/>
            </w:tcBorders>
            <w:shd w:val="clear" w:color="auto" w:fill="E0E0E0"/>
          </w:tcPr>
          <w:p>
            <w:pPr>
              <w:spacing w:before="40" w:after="40" w:line="280" w:lineRule="atLeast"/>
              <w:jc w:val="left"/>
              <w:rPr>
                <w:rFonts w:ascii="Helvetica" w:hAnsi="Helvetica" w:cs="Helvetica"/>
                <w:b/>
                <w:bCs/>
                <w:sz w:val="18"/>
                <w:szCs w:val="18"/>
              </w:rPr>
            </w:pPr>
            <w:r>
              <w:rPr>
                <w:rFonts w:ascii="Helvetica" w:hAnsi="Helvetica" w:cs="Helvetica"/>
                <w:b/>
                <w:bCs/>
                <w:sz w:val="18"/>
                <w:szCs w:val="18"/>
              </w:rPr>
              <w:t>Present within Australia</w:t>
            </w:r>
          </w:p>
        </w:tc>
        <w:tc>
          <w:tcPr>
            <w:tcW w:w="2640" w:type="dxa"/>
            <w:tcBorders>
              <w:top w:val="single" w:sz="12" w:space="0" w:color="008000"/>
              <w:left w:val="single" w:sz="4" w:space="0" w:color="auto"/>
              <w:bottom w:val="single" w:sz="12" w:space="0" w:color="008000"/>
              <w:right w:val="single" w:sz="4" w:space="0" w:color="auto"/>
            </w:tcBorders>
            <w:shd w:val="clear" w:color="auto" w:fill="E0E0E0"/>
          </w:tcPr>
          <w:p>
            <w:pPr>
              <w:spacing w:before="40" w:after="40" w:line="280" w:lineRule="atLeast"/>
              <w:jc w:val="left"/>
              <w:rPr>
                <w:rFonts w:ascii="Helvetica" w:hAnsi="Helvetica" w:cs="Helvetica"/>
                <w:b/>
                <w:bCs/>
                <w:sz w:val="18"/>
                <w:szCs w:val="18"/>
              </w:rPr>
            </w:pPr>
            <w:r>
              <w:rPr>
                <w:rFonts w:ascii="Helvetica" w:hAnsi="Helvetica" w:cs="Helvetica"/>
                <w:b/>
                <w:bCs/>
                <w:sz w:val="18"/>
                <w:szCs w:val="18"/>
              </w:rPr>
              <w:t xml:space="preserve">Potential to be on pathway </w:t>
            </w:r>
          </w:p>
        </w:tc>
        <w:tc>
          <w:tcPr>
            <w:tcW w:w="2640" w:type="dxa"/>
            <w:tcBorders>
              <w:top w:val="single" w:sz="12" w:space="0" w:color="008000"/>
              <w:left w:val="single" w:sz="4" w:space="0" w:color="auto"/>
              <w:bottom w:val="single" w:sz="12" w:space="0" w:color="008000"/>
              <w:right w:val="single" w:sz="4" w:space="0" w:color="auto"/>
            </w:tcBorders>
            <w:shd w:val="clear" w:color="auto" w:fill="E0E0E0"/>
          </w:tcPr>
          <w:p>
            <w:pPr>
              <w:spacing w:before="40" w:after="40" w:line="280" w:lineRule="atLeast"/>
              <w:jc w:val="left"/>
              <w:rPr>
                <w:rFonts w:ascii="Helvetica" w:hAnsi="Helvetica" w:cs="Helvetica"/>
                <w:b/>
                <w:bCs/>
                <w:sz w:val="18"/>
                <w:szCs w:val="18"/>
              </w:rPr>
            </w:pPr>
            <w:r>
              <w:rPr>
                <w:rFonts w:ascii="Helvetica" w:hAnsi="Helvetica" w:cs="Helvetica"/>
                <w:b/>
                <w:bCs/>
                <w:sz w:val="18"/>
                <w:szCs w:val="18"/>
              </w:rPr>
              <w:t>Potential for establishment and spread</w:t>
            </w:r>
          </w:p>
        </w:tc>
        <w:tc>
          <w:tcPr>
            <w:tcW w:w="2880" w:type="dxa"/>
            <w:gridSpan w:val="2"/>
            <w:tcBorders>
              <w:top w:val="single" w:sz="12" w:space="0" w:color="008000"/>
              <w:left w:val="single" w:sz="4" w:space="0" w:color="auto"/>
              <w:bottom w:val="single" w:sz="12" w:space="0" w:color="008000"/>
              <w:right w:val="single" w:sz="4" w:space="0" w:color="auto"/>
            </w:tcBorders>
            <w:shd w:val="clear" w:color="auto" w:fill="E0E0E0"/>
          </w:tcPr>
          <w:p>
            <w:pPr>
              <w:spacing w:before="40" w:after="40" w:line="280" w:lineRule="atLeast"/>
              <w:jc w:val="left"/>
              <w:rPr>
                <w:rFonts w:ascii="Helvetica" w:hAnsi="Helvetica" w:cs="Helvetica"/>
                <w:b/>
                <w:bCs/>
                <w:sz w:val="18"/>
                <w:szCs w:val="18"/>
              </w:rPr>
            </w:pPr>
            <w:r>
              <w:rPr>
                <w:rFonts w:ascii="Helvetica" w:hAnsi="Helvetica" w:cs="Helvetica"/>
                <w:b/>
                <w:bCs/>
                <w:sz w:val="18"/>
                <w:szCs w:val="18"/>
              </w:rPr>
              <w:t>Potential for economic consequences</w:t>
            </w:r>
          </w:p>
        </w:tc>
        <w:tc>
          <w:tcPr>
            <w:tcW w:w="1200" w:type="dxa"/>
            <w:tcBorders>
              <w:top w:val="single" w:sz="12" w:space="0" w:color="008000"/>
              <w:left w:val="single" w:sz="4" w:space="0" w:color="auto"/>
              <w:bottom w:val="single" w:sz="12" w:space="0" w:color="008000"/>
              <w:right w:val="single" w:sz="12" w:space="0" w:color="008000"/>
            </w:tcBorders>
            <w:shd w:val="clear" w:color="auto" w:fill="E0E0E0"/>
          </w:tcPr>
          <w:p>
            <w:pPr>
              <w:spacing w:before="40" w:after="40" w:line="280" w:lineRule="atLeast"/>
              <w:jc w:val="left"/>
              <w:rPr>
                <w:rFonts w:ascii="Helvetica" w:hAnsi="Helvetica" w:cs="Helvetica"/>
                <w:b/>
                <w:bCs/>
                <w:sz w:val="18"/>
                <w:szCs w:val="18"/>
              </w:rPr>
            </w:pPr>
            <w:r>
              <w:rPr>
                <w:rFonts w:ascii="Helvetica" w:hAnsi="Helvetica" w:cs="Helvetica"/>
                <w:b/>
                <w:bCs/>
                <w:sz w:val="18"/>
                <w:szCs w:val="18"/>
              </w:rPr>
              <w:t>Quarantine pest</w:t>
            </w:r>
          </w:p>
        </w:tc>
      </w:tr>
      <w:tr>
        <w:tc>
          <w:tcPr>
            <w:tcW w:w="14508" w:type="dxa"/>
            <w:gridSpan w:val="7"/>
            <w:tcBorders>
              <w:top w:val="single" w:sz="4" w:space="0" w:color="auto"/>
              <w:left w:val="single" w:sz="12" w:space="0" w:color="008000"/>
              <w:bottom w:val="single" w:sz="4" w:space="0" w:color="auto"/>
              <w:right w:val="single" w:sz="12" w:space="0" w:color="008000"/>
            </w:tcBorders>
            <w:shd w:val="clear" w:color="auto" w:fill="E6E6E6"/>
          </w:tcPr>
          <w:p>
            <w:pPr>
              <w:spacing w:before="40" w:after="40" w:line="240" w:lineRule="atLeast"/>
              <w:rPr>
                <w:rFonts w:ascii="Verdana" w:hAnsi="Verdana" w:cs="Helvetica"/>
                <w:b/>
                <w:bCs/>
                <w:sz w:val="18"/>
                <w:szCs w:val="18"/>
              </w:rPr>
            </w:pPr>
            <w:r>
              <w:rPr>
                <w:rFonts w:ascii="Verdana" w:hAnsi="Verdana" w:cs="Helvetica"/>
                <w:b/>
                <w:bCs/>
                <w:sz w:val="18"/>
                <w:szCs w:val="18"/>
              </w:rPr>
              <w:t>ARTHROPODS</w:t>
            </w:r>
          </w:p>
        </w:tc>
      </w:tr>
      <w:tr>
        <w:tc>
          <w:tcPr>
            <w:tcW w:w="14508" w:type="dxa"/>
            <w:gridSpan w:val="7"/>
            <w:tcBorders>
              <w:top w:val="single" w:sz="4" w:space="0" w:color="auto"/>
              <w:left w:val="single" w:sz="12" w:space="0" w:color="008000"/>
              <w:bottom w:val="single" w:sz="4" w:space="0" w:color="auto"/>
              <w:right w:val="single" w:sz="12" w:space="0" w:color="008000"/>
            </w:tcBorders>
            <w:shd w:val="clear" w:color="auto" w:fill="E6E6E6"/>
          </w:tcPr>
          <w:p>
            <w:pPr>
              <w:spacing w:before="40" w:after="40" w:line="240" w:lineRule="atLeast"/>
              <w:rPr>
                <w:rFonts w:ascii="Verdana" w:hAnsi="Verdana" w:cs="Helvetica"/>
                <w:b/>
                <w:bCs/>
                <w:sz w:val="18"/>
                <w:szCs w:val="18"/>
              </w:rPr>
            </w:pPr>
            <w:r>
              <w:rPr>
                <w:rFonts w:ascii="Verdana" w:hAnsi="Verdana" w:cs="Helvetica"/>
                <w:b/>
                <w:bCs/>
                <w:sz w:val="18"/>
                <w:szCs w:val="18"/>
              </w:rPr>
              <w:t>ACARI (mites)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Brevipalpus californicus</w:t>
            </w:r>
            <w:r>
              <w:rPr>
                <w:rFonts w:ascii="Helvetica" w:hAnsi="Helvetica" w:cs="Helvetica"/>
                <w:sz w:val="18"/>
                <w:szCs w:val="18"/>
              </w:rPr>
              <w:t xml:space="preserve"> Banks 1904 [Acari: Tenuipalpidae]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Style w:val="genera1"/>
                <w:rFonts w:ascii="Helvetica" w:hAnsi="Helvetica" w:cs="Helvetica"/>
                <w:i w:val="0"/>
                <w:iCs w:val="0"/>
                <w:sz w:val="18"/>
                <w:szCs w:val="18"/>
              </w:rPr>
            </w:pPr>
            <w:r>
              <w:rPr>
                <w:rFonts w:ascii="Helvetica" w:hAnsi="Helvetica" w:cs="Helvetica"/>
                <w:i/>
                <w:iCs/>
                <w:sz w:val="18"/>
                <w:szCs w:val="18"/>
              </w:rPr>
              <w:t>Brevipalpus chilensis</w:t>
            </w:r>
            <w:r>
              <w:rPr>
                <w:rFonts w:ascii="Helvetica" w:hAnsi="Helvetica" w:cs="Helvetica"/>
                <w:sz w:val="18"/>
                <w:szCs w:val="18"/>
              </w:rPr>
              <w:t xml:space="preserve"> Baker 1949 [Acari: Tenuipalpidae]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sz w:val="18"/>
                <w:szCs w:val="18"/>
              </w:rPr>
              <w:t xml:space="preserve">: Mites lay eggs on the young shoots and leaves or in the unopened buds of grapevines (González 1968, 1983). This mite overwinters as fertilised females, usually in colonies under the bark crevices of host plants (Jeppson </w:t>
            </w:r>
            <w:r>
              <w:rPr>
                <w:rFonts w:ascii="Helvetica" w:hAnsi="Helvetica" w:cs="Helvetica"/>
                <w:i/>
                <w:sz w:val="18"/>
                <w:szCs w:val="18"/>
              </w:rPr>
              <w:t>et al</w:t>
            </w:r>
            <w:r>
              <w:rPr>
                <w:rFonts w:ascii="Helvetica" w:hAnsi="Helvetica" w:cs="Helvetica"/>
                <w:sz w:val="18"/>
                <w:szCs w:val="18"/>
              </w:rPr>
              <w:t>. 1975). Therefore, semi-hardwood dormant cuttings provide a pathway for this mite.</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b/>
                <w:bCs/>
                <w:sz w:val="18"/>
                <w:szCs w:val="18"/>
              </w:rPr>
              <w:t xml:space="preserve">Yes: </w:t>
            </w:r>
            <w:r>
              <w:rPr>
                <w:rFonts w:ascii="Helvetica" w:hAnsi="Helvetica" w:cs="Helvetica"/>
                <w:sz w:val="18"/>
                <w:szCs w:val="18"/>
              </w:rPr>
              <w:t>This mite has established in areas with a wide range of climatic conditions (Waterhouse and Sands 2001). It has a wide host range (Waterhouse and Sands 2001), has four to five generations per year (González 1968) and can spread naturally in infested propagative material. Therefore, this mite has the potential for establishment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sz w:val="18"/>
                <w:szCs w:val="18"/>
              </w:rPr>
              <w:t>: This mite is recognised as a significant pest of grapes in Chile and causes as much as 30% crop loss (González 1983). This mite is regarded as a quarantine pest by trading partners. Therefore, this mite may potentially increase production costs by triggering trading partners to issue specific control measures. As such, this mite has the potential for significant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after="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lastRenderedPageBreak/>
              <w:t>Brevipalpus lewisi</w:t>
            </w:r>
            <w:r>
              <w:rPr>
                <w:rFonts w:ascii="Helvetica" w:hAnsi="Helvetica" w:cs="Helvetica"/>
                <w:sz w:val="18"/>
                <w:szCs w:val="18"/>
              </w:rPr>
              <w:t xml:space="preserve"> McGregor 1949 [Acari: Tenuipalpidae]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Brevipalpus obovatus</w:t>
            </w:r>
            <w:r>
              <w:rPr>
                <w:rFonts w:ascii="Helvetica" w:hAnsi="Helvetica" w:cs="Helvetica"/>
                <w:sz w:val="18"/>
                <w:szCs w:val="18"/>
              </w:rPr>
              <w:t xml:space="preserve"> Donnadi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1875 [Acari: Tenuipalpidae]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Brevipalpus phoenicis</w:t>
            </w:r>
            <w:r>
              <w:rPr>
                <w:rFonts w:ascii="Helvetica" w:hAnsi="Helvetica" w:cs="Helvetica"/>
                <w:sz w:val="18"/>
                <w:szCs w:val="18"/>
              </w:rPr>
              <w:t xml:space="preserve"> Geijskes 1936 [Acari: Tenuipalpidae]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Calepitrimerus vitis</w:t>
            </w:r>
            <w:r>
              <w:rPr>
                <w:rFonts w:ascii="Helvetica" w:hAnsi="Helvetica" w:cs="Helvetica"/>
                <w:sz w:val="18"/>
                <w:szCs w:val="18"/>
              </w:rPr>
              <w:t xml:space="preserve"> Nalepa 1905 [Acari: Eriophyidae]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Colomerus vitis</w:t>
            </w:r>
            <w:r>
              <w:rPr>
                <w:rFonts w:ascii="Helvetica" w:hAnsi="Helvetica" w:cs="Helvetica"/>
                <w:sz w:val="18"/>
                <w:szCs w:val="18"/>
              </w:rPr>
              <w:t xml:space="preserve"> Pagenstecher 1857 strain a [Acari: Eriophyidae]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(James and Whiteney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lang w:val="de-DE"/>
              </w:rPr>
            </w:pPr>
            <w:r>
              <w:rPr>
                <w:rFonts w:ascii="Helvetica" w:hAnsi="Helvetica" w:cs="Helvetica"/>
                <w:i/>
                <w:iCs/>
                <w:sz w:val="18"/>
                <w:szCs w:val="18"/>
                <w:lang w:val="de-DE"/>
              </w:rPr>
              <w:t>Colomerus vitis</w:t>
            </w:r>
            <w:r>
              <w:rPr>
                <w:rFonts w:ascii="Helvetica" w:hAnsi="Helvetica" w:cs="Helvetica"/>
                <w:sz w:val="18"/>
                <w:szCs w:val="18"/>
                <w:lang w:val="de-DE"/>
              </w:rPr>
              <w:t xml:space="preserve"> Pagenstecher 1857 strain b [Acari: Eriophyidae]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(James and Whiteney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lang w:val="de-DE"/>
              </w:rPr>
            </w:pPr>
            <w:r>
              <w:rPr>
                <w:rFonts w:ascii="Helvetica" w:hAnsi="Helvetica" w:cs="Helvetica"/>
                <w:i/>
                <w:iCs/>
                <w:sz w:val="18"/>
                <w:szCs w:val="18"/>
                <w:lang w:val="de-DE"/>
              </w:rPr>
              <w:t>Colomerus vitis</w:t>
            </w:r>
            <w:r>
              <w:rPr>
                <w:rFonts w:ascii="Helvetica" w:hAnsi="Helvetica" w:cs="Helvetica"/>
                <w:sz w:val="18"/>
                <w:szCs w:val="18"/>
                <w:lang w:val="de-DE"/>
              </w:rPr>
              <w:t xml:space="preserve"> Pagenstecher 1857 strain c [Acari: Eriophyidae]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sz w:val="18"/>
                <w:szCs w:val="18"/>
              </w:rPr>
              <w:t xml:space="preserve">: Mites lay eggs on dormant buds (Carew </w:t>
            </w:r>
            <w:r>
              <w:rPr>
                <w:rFonts w:ascii="Helvetica" w:hAnsi="Helvetica" w:cs="Helvetica"/>
                <w:i/>
                <w:sz w:val="18"/>
                <w:szCs w:val="18"/>
              </w:rPr>
              <w:t>et al</w:t>
            </w:r>
            <w:r>
              <w:rPr>
                <w:rFonts w:ascii="Helvetica" w:hAnsi="Helvetica" w:cs="Helvetica"/>
                <w:sz w:val="18"/>
                <w:szCs w:val="18"/>
              </w:rPr>
              <w:t xml:space="preserve">. 2004) and overwinter as adults inside grapevine buds (Jeppson </w:t>
            </w:r>
            <w:r>
              <w:rPr>
                <w:rFonts w:ascii="Helvetica" w:hAnsi="Helvetica" w:cs="Helvetica"/>
                <w:i/>
                <w:sz w:val="18"/>
                <w:szCs w:val="18"/>
              </w:rPr>
              <w:t>et al.</w:t>
            </w:r>
            <w:r>
              <w:rPr>
                <w:rFonts w:ascii="Helvetica" w:hAnsi="Helvetica" w:cs="Helvetica"/>
                <w:sz w:val="18"/>
                <w:szCs w:val="18"/>
              </w:rPr>
              <w:t xml:space="preserve"> 1975). Therefore, dormant cuttings may provide a pathway for this mite.</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sz w:val="18"/>
                <w:szCs w:val="18"/>
              </w:rPr>
              <w:t xml:space="preserve"> This mite has established in areas with a wide range of climatic conditions (Afonin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xml:space="preserve">. 2008). It has several generations per year (Jepson </w:t>
            </w:r>
            <w:r>
              <w:rPr>
                <w:rFonts w:ascii="Helvetica" w:hAnsi="Helvetica" w:cs="Helvetica"/>
                <w:i/>
                <w:sz w:val="18"/>
                <w:szCs w:val="18"/>
              </w:rPr>
              <w:t>et al.</w:t>
            </w:r>
            <w:r>
              <w:rPr>
                <w:rFonts w:ascii="Helvetica" w:hAnsi="Helvetica" w:cs="Helvetica"/>
                <w:sz w:val="18"/>
                <w:szCs w:val="18"/>
              </w:rPr>
              <w:t xml:space="preserve"> 1975; Carew </w:t>
            </w:r>
            <w:r>
              <w:rPr>
                <w:rFonts w:ascii="Helvetica" w:hAnsi="Helvetica" w:cs="Helvetica"/>
                <w:i/>
                <w:sz w:val="18"/>
                <w:szCs w:val="18"/>
              </w:rPr>
              <w:t>et al</w:t>
            </w:r>
            <w:r>
              <w:rPr>
                <w:rFonts w:ascii="Helvetica" w:hAnsi="Helvetica" w:cs="Helvetica"/>
                <w:sz w:val="18"/>
                <w:szCs w:val="18"/>
              </w:rPr>
              <w:t xml:space="preserve">. 2004) and can independently spread in infested plant material and by human activities (Jeppson </w:t>
            </w:r>
            <w:r>
              <w:rPr>
                <w:rFonts w:ascii="Helvetica" w:hAnsi="Helvetica" w:cs="Helvetica"/>
                <w:i/>
                <w:iCs/>
                <w:sz w:val="18"/>
                <w:szCs w:val="18"/>
              </w:rPr>
              <w:t>et al</w:t>
            </w:r>
            <w:r>
              <w:rPr>
                <w:rFonts w:ascii="Helvetica" w:hAnsi="Helvetica" w:cs="Helvetica"/>
                <w:sz w:val="18"/>
                <w:szCs w:val="18"/>
              </w:rPr>
              <w:t>. 1975; Gonzalez 1983). Therefore, this mite has the potential for establishment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sz w:val="18"/>
                <w:szCs w:val="18"/>
              </w:rPr>
              <w:t xml:space="preserve"> </w:t>
            </w:r>
            <w:r>
              <w:rPr>
                <w:rFonts w:ascii="Helvetica" w:hAnsi="Helvetica" w:cs="Helvetica"/>
                <w:i/>
                <w:sz w:val="18"/>
                <w:szCs w:val="18"/>
              </w:rPr>
              <w:t>Colomerus vitis</w:t>
            </w:r>
            <w:r>
              <w:rPr>
                <w:rFonts w:ascii="Helvetica" w:hAnsi="Helvetica" w:cs="Helvetica"/>
                <w:sz w:val="18"/>
                <w:szCs w:val="18"/>
              </w:rPr>
              <w:t xml:space="preserve"> is associated with short shoot syndrome of grape vines (Bernard </w:t>
            </w:r>
            <w:r>
              <w:rPr>
                <w:rFonts w:ascii="Helvetica" w:hAnsi="Helvetica" w:cs="Helvetica"/>
                <w:i/>
                <w:sz w:val="18"/>
                <w:szCs w:val="18"/>
              </w:rPr>
              <w:t>et al</w:t>
            </w:r>
            <w:r>
              <w:rPr>
                <w:rFonts w:ascii="Helvetica" w:hAnsi="Helvetica" w:cs="Helvetica"/>
                <w:sz w:val="18"/>
                <w:szCs w:val="18"/>
              </w:rPr>
              <w:t xml:space="preserve">. 2005). This mite causes deformation of the primordial bud cluster, distortion of the basal leaves, stunting of the main growing point of the buds and often death of the overwintering buds (Pfeiffer and Schultz 1986). Bud burst failure and high yield losses have been attributed to this mite (Walton </w:t>
            </w:r>
            <w:r>
              <w:rPr>
                <w:rFonts w:ascii="Helvetica" w:hAnsi="Helvetica" w:cs="Helvetica"/>
                <w:i/>
                <w:sz w:val="18"/>
                <w:szCs w:val="18"/>
              </w:rPr>
              <w:t>et al</w:t>
            </w:r>
            <w:r>
              <w:rPr>
                <w:rFonts w:ascii="Helvetica" w:hAnsi="Helvetica" w:cs="Helvetica"/>
                <w:sz w:val="18"/>
                <w:szCs w:val="18"/>
              </w:rPr>
              <w:t>.</w:t>
            </w:r>
            <w:r>
              <w:rPr>
                <w:rFonts w:ascii="Helvetica" w:hAnsi="Helvetica" w:cs="Helvetica"/>
                <w:i/>
                <w:sz w:val="18"/>
                <w:szCs w:val="18"/>
              </w:rPr>
              <w:t xml:space="preserve"> </w:t>
            </w:r>
            <w:r>
              <w:rPr>
                <w:rFonts w:ascii="Helvetica" w:hAnsi="Helvetica" w:cs="Helvetica"/>
                <w:sz w:val="18"/>
                <w:szCs w:val="18"/>
              </w:rPr>
              <w:t>2007). This mite may cause yield losses of up to 56% when uncontrolled (Dennill 1991). Therefore, this mite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after="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Bryobia praetiosa</w:t>
            </w:r>
            <w:r>
              <w:rPr>
                <w:rFonts w:ascii="Helvetica" w:hAnsi="Helvetica" w:cs="Helvetica"/>
                <w:sz w:val="18"/>
                <w:szCs w:val="18"/>
              </w:rPr>
              <w:t xml:space="preserve"> Koch 1836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lastRenderedPageBreak/>
              <w:t>Bryobia rubrioculus</w:t>
            </w:r>
            <w:r>
              <w:rPr>
                <w:rFonts w:ascii="Helvetica" w:hAnsi="Helvetica" w:cs="Helvetica"/>
                <w:sz w:val="18"/>
                <w:szCs w:val="18"/>
              </w:rPr>
              <w:t xml:space="preserve"> Sch</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ten 1857 [Acari: Tetranychidae]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Eotetranychus carpini</w:t>
            </w:r>
            <w:r>
              <w:rPr>
                <w:rFonts w:ascii="Helvetica" w:hAnsi="Helvetica" w:cs="Helvetica"/>
                <w:sz w:val="18"/>
                <w:szCs w:val="18"/>
              </w:rPr>
              <w:t xml:space="preserve"> Oudemans 1905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Tetranychid mites belonging to the genus </w:t>
            </w:r>
            <w:r>
              <w:rPr>
                <w:rFonts w:ascii="Helvetica" w:hAnsi="Helvetica" w:cs="Helvetica"/>
                <w:i/>
                <w:iCs/>
                <w:sz w:val="18"/>
                <w:szCs w:val="18"/>
              </w:rPr>
              <w:t>Eotetranychus</w:t>
            </w:r>
            <w:r>
              <w:rPr>
                <w:rFonts w:ascii="Helvetica" w:hAnsi="Helvetica" w:cs="Helvetica"/>
                <w:sz w:val="18"/>
                <w:szCs w:val="18"/>
              </w:rPr>
              <w:t xml:space="preserve"> are foliage feeders and lay eggs on leaves (Jeppson </w:t>
            </w:r>
            <w:r>
              <w:rPr>
                <w:rFonts w:ascii="Helvetica" w:hAnsi="Helvetica" w:cs="Helvetica"/>
                <w:i/>
                <w:iCs/>
                <w:sz w:val="18"/>
                <w:szCs w:val="18"/>
              </w:rPr>
              <w:t>et al</w:t>
            </w:r>
            <w:r>
              <w:rPr>
                <w:rFonts w:ascii="Helvetica" w:hAnsi="Helvetica" w:cs="Helvetica"/>
                <w:sz w:val="18"/>
                <w:szCs w:val="18"/>
              </w:rPr>
              <w:t xml:space="preserve">. 1975); Karban </w:t>
            </w:r>
            <w:r>
              <w:rPr>
                <w:rFonts w:ascii="Helvetica" w:hAnsi="Helvetica" w:cs="Helvetica"/>
                <w:i/>
                <w:iCs/>
                <w:sz w:val="18"/>
                <w:szCs w:val="18"/>
              </w:rPr>
              <w:t>et</w:t>
            </w:r>
            <w:r>
              <w:rPr>
                <w:rFonts w:ascii="Helvetica" w:hAnsi="Helvetica" w:cs="Helvetica"/>
                <w:sz w:val="18"/>
                <w:szCs w:val="18"/>
              </w:rPr>
              <w:t xml:space="preserve"> </w:t>
            </w:r>
            <w:r>
              <w:rPr>
                <w:rFonts w:ascii="Helvetica" w:hAnsi="Helvetica" w:cs="Helvetica"/>
                <w:i/>
                <w:iCs/>
                <w:sz w:val="18"/>
                <w:szCs w:val="18"/>
              </w:rPr>
              <w:t>al</w:t>
            </w:r>
            <w:r>
              <w:rPr>
                <w:rFonts w:ascii="Helvetica" w:hAnsi="Helvetica" w:cs="Helvetica"/>
                <w:iCs/>
                <w:sz w:val="18"/>
                <w:szCs w:val="18"/>
              </w:rPr>
              <w:t>.</w:t>
            </w:r>
            <w:r>
              <w:rPr>
                <w:rFonts w:ascii="Helvetica" w:hAnsi="Helvetica" w:cs="Helvetica"/>
                <w:sz w:val="18"/>
                <w:szCs w:val="18"/>
              </w:rPr>
              <w:t xml:space="preserve"> 1991; EPPO 2006). These mites overwinter as females under the bark and become active with the new plant growth (HYPPZ 1998). Therefore, foliage free, semi-hardwood dormant cuttings do not provide a pathway for these mites.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Eotetranychus lewisi</w:t>
            </w:r>
            <w:r>
              <w:rPr>
                <w:rFonts w:ascii="Helvetica" w:hAnsi="Helvetica" w:cs="Helvetica"/>
                <w:sz w:val="18"/>
                <w:szCs w:val="18"/>
              </w:rPr>
              <w:t xml:space="preserve"> (McGregor 1943)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i/>
                <w:iCs/>
                <w:sz w:val="18"/>
                <w:szCs w:val="18"/>
              </w:rPr>
            </w:pPr>
            <w:r>
              <w:rPr>
                <w:rFonts w:ascii="Helvetica" w:hAnsi="Helvetica" w:cs="Helvetica"/>
                <w:i/>
                <w:sz w:val="18"/>
                <w:szCs w:val="18"/>
              </w:rPr>
              <w:t>Eotetranychus sexmaculatus</w:t>
            </w:r>
            <w:r>
              <w:rPr>
                <w:rFonts w:ascii="Helvetica" w:hAnsi="Helvetica" w:cs="Helvetica"/>
                <w:sz w:val="18"/>
                <w:szCs w:val="18"/>
              </w:rPr>
              <w:t xml:space="preserve"> Riley (1890)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vMerge/>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Eotetranychus willametti</w:t>
            </w:r>
            <w:r>
              <w:rPr>
                <w:rFonts w:ascii="Helvetica" w:hAnsi="Helvetica" w:cs="Helvetica"/>
                <w:sz w:val="18"/>
                <w:szCs w:val="18"/>
              </w:rPr>
              <w:t xml:space="preserve"> McGregor 1917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i/>
                <w:sz w:val="18"/>
                <w:szCs w:val="18"/>
                <w:lang w:val="de-DE"/>
              </w:rPr>
            </w:pPr>
            <w:r>
              <w:rPr>
                <w:rFonts w:ascii="Helvetica" w:hAnsi="Helvetica" w:cs="Helvetica"/>
                <w:i/>
                <w:iCs/>
                <w:sz w:val="18"/>
                <w:szCs w:val="18"/>
                <w:lang w:val="de-DE"/>
              </w:rPr>
              <w:t xml:space="preserve">Eutetranychus orientalis </w:t>
            </w:r>
            <w:r>
              <w:rPr>
                <w:rFonts w:ascii="Helvetica" w:hAnsi="Helvetica" w:cs="Helvetica"/>
                <w:sz w:val="18"/>
                <w:szCs w:val="18"/>
                <w:lang w:val="de-DE"/>
              </w:rPr>
              <w:t>Klein (1936)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Oligonychus coffeae</w:t>
            </w:r>
            <w:r>
              <w:rPr>
                <w:rFonts w:ascii="Helvetica" w:hAnsi="Helvetica" w:cs="Helvetica"/>
                <w:sz w:val="18"/>
                <w:szCs w:val="18"/>
              </w:rPr>
              <w:t xml:space="preserve"> Nietner 1861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Oligonychus mangiferus</w:t>
            </w:r>
            <w:r>
              <w:rPr>
                <w:rFonts w:ascii="Helvetica" w:hAnsi="Helvetica" w:cs="Helvetica"/>
                <w:sz w:val="18"/>
                <w:szCs w:val="18"/>
              </w:rPr>
              <w:t xml:space="preserve"> Rahman &amp; Sapra 1940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Oligonychus punicae</w:t>
            </w:r>
            <w:r>
              <w:rPr>
                <w:rFonts w:ascii="Helvetica" w:hAnsi="Helvetica" w:cs="Helvetica"/>
                <w:sz w:val="18"/>
                <w:szCs w:val="18"/>
              </w:rPr>
              <w:t xml:space="preserve"> Hirst 1926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Oligonychus vitis</w:t>
            </w:r>
            <w:r>
              <w:rPr>
                <w:rFonts w:ascii="Helvetica" w:hAnsi="Helvetica" w:cs="Helvetica"/>
                <w:sz w:val="18"/>
                <w:szCs w:val="18"/>
              </w:rPr>
              <w:t xml:space="preserve"> Zaher &amp; Shehata 1965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Tetranychid mites belonging to </w:t>
            </w:r>
            <w:r>
              <w:rPr>
                <w:rFonts w:ascii="Helvetica" w:hAnsi="Helvetica" w:cs="Helvetica"/>
                <w:i/>
                <w:sz w:val="18"/>
                <w:szCs w:val="18"/>
              </w:rPr>
              <w:t>Oligonychus</w:t>
            </w:r>
            <w:r>
              <w:rPr>
                <w:rFonts w:ascii="Helvetica" w:hAnsi="Helvetica" w:cs="Helvetica"/>
                <w:sz w:val="18"/>
                <w:szCs w:val="18"/>
              </w:rPr>
              <w:t xml:space="preserve"> genus are foliage feeders (Jeppson </w:t>
            </w:r>
            <w:r>
              <w:rPr>
                <w:rFonts w:ascii="Helvetica" w:hAnsi="Helvetica" w:cs="Helvetica"/>
                <w:i/>
                <w:iCs/>
                <w:sz w:val="18"/>
                <w:szCs w:val="18"/>
              </w:rPr>
              <w:t>et al</w:t>
            </w:r>
            <w:r>
              <w:rPr>
                <w:rFonts w:ascii="Helvetica" w:hAnsi="Helvetica" w:cs="Helvetica"/>
                <w:sz w:val="18"/>
                <w:szCs w:val="18"/>
              </w:rPr>
              <w:t>. 1975; Gonzalez 1983; Gutierrez and Schicha 1983). Therefore, foliage free dormant cuttings do not provide a pathway for these mites.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Oligonychus yothersi</w:t>
            </w:r>
            <w:r>
              <w:rPr>
                <w:rFonts w:ascii="Helvetica" w:hAnsi="Helvetica" w:cs="Helvetica"/>
                <w:sz w:val="18"/>
                <w:szCs w:val="18"/>
              </w:rPr>
              <w:t xml:space="preserve"> McGregor 1914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lastRenderedPageBreak/>
              <w:t>Panonychus citri</w:t>
            </w:r>
            <w:r>
              <w:rPr>
                <w:rFonts w:ascii="Helvetica" w:hAnsi="Helvetica" w:cs="Helvetica"/>
                <w:sz w:val="18"/>
                <w:szCs w:val="18"/>
              </w:rPr>
              <w:t xml:space="preserve"> McGregor 1916 [Acari: Tetranychidae]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Panonychus ulmi</w:t>
            </w:r>
            <w:r>
              <w:rPr>
                <w:rFonts w:ascii="Helvetica" w:hAnsi="Helvetica" w:cs="Helvetica"/>
                <w:sz w:val="18"/>
                <w:szCs w:val="18"/>
              </w:rPr>
              <w:t xml:space="preserve"> Koch 1836 [Acari: Tetranychidae]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lang w:val="de-DE"/>
              </w:rPr>
            </w:pPr>
            <w:r>
              <w:rPr>
                <w:rFonts w:ascii="Helvetica" w:hAnsi="Helvetica" w:cs="Helvetica"/>
                <w:i/>
                <w:iCs/>
                <w:sz w:val="18"/>
                <w:szCs w:val="18"/>
                <w:lang w:val="de-DE"/>
              </w:rPr>
              <w:t>Petrobia latens</w:t>
            </w:r>
            <w:r>
              <w:rPr>
                <w:rFonts w:ascii="Helvetica" w:hAnsi="Helvetica" w:cs="Helvetica"/>
                <w:sz w:val="18"/>
                <w:szCs w:val="18"/>
                <w:lang w:val="de-DE"/>
              </w:rPr>
              <w:t xml:space="preserve"> Müller 1776 [Acari: Tetranychidae]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Polyphagotarsonemus latus</w:t>
            </w:r>
            <w:r>
              <w:rPr>
                <w:rFonts w:ascii="Helvetica" w:hAnsi="Helvetica" w:cs="Helvetica"/>
                <w:sz w:val="18"/>
                <w:szCs w:val="18"/>
              </w:rPr>
              <w:t xml:space="preserve"> Banks 1904 [Acari: Tarsonemidae]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Tetranychus cinnabarinus</w:t>
            </w:r>
            <w:r>
              <w:rPr>
                <w:rFonts w:ascii="Helvetica" w:hAnsi="Helvetica" w:cs="Helvetica"/>
                <w:sz w:val="18"/>
                <w:szCs w:val="18"/>
              </w:rPr>
              <w:t xml:space="preserve"> (Boisduval) Boudreaux 1956 [Acari: Tetranychidae]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Tetranychus desertorum</w:t>
            </w:r>
            <w:r>
              <w:rPr>
                <w:rFonts w:ascii="Helvetica" w:hAnsi="Helvetica" w:cs="Helvetica"/>
                <w:sz w:val="18"/>
                <w:szCs w:val="18"/>
              </w:rPr>
              <w:t xml:space="preserve"> Banks 1900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lang w:val="de-DE"/>
              </w:rPr>
            </w:pPr>
            <w:r>
              <w:rPr>
                <w:rFonts w:ascii="Helvetica" w:hAnsi="Helvetica" w:cs="Helvetica"/>
                <w:i/>
                <w:iCs/>
                <w:sz w:val="18"/>
                <w:szCs w:val="18"/>
                <w:lang w:val="de-DE"/>
              </w:rPr>
              <w:t>Tetranychus kanzawai</w:t>
            </w:r>
            <w:r>
              <w:rPr>
                <w:rFonts w:ascii="Helvetica" w:hAnsi="Helvetica" w:cs="Helvetica"/>
                <w:sz w:val="18"/>
                <w:szCs w:val="18"/>
                <w:lang w:val="de-DE"/>
              </w:rPr>
              <w:t xml:space="preserve"> Kishida 1927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Tetranychus ludeni</w:t>
            </w:r>
            <w:r>
              <w:rPr>
                <w:rFonts w:ascii="Helvetica" w:hAnsi="Helvetica" w:cs="Helvetica"/>
                <w:sz w:val="18"/>
                <w:szCs w:val="18"/>
              </w:rPr>
              <w:t xml:space="preserve"> Zacher 1913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Tetranychus pacificus</w:t>
            </w:r>
            <w:r>
              <w:rPr>
                <w:rFonts w:ascii="Helvetica" w:hAnsi="Helvetica" w:cs="Helvetica"/>
                <w:sz w:val="18"/>
                <w:szCs w:val="18"/>
              </w:rPr>
              <w:t xml:space="preserve"> McGregor 1919 [Acari: Tetranychidae]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 xml:space="preserve">No: These species feed and oviposit on the under surface of leaves (Jeppson </w:t>
            </w:r>
            <w:r>
              <w:rPr>
                <w:rFonts w:ascii="Helvetica" w:hAnsi="Helvetica" w:cs="Helvetica"/>
                <w:i/>
                <w:iCs/>
                <w:sz w:val="18"/>
                <w:szCs w:val="18"/>
              </w:rPr>
              <w:t>et al</w:t>
            </w:r>
            <w:r>
              <w:rPr>
                <w:rFonts w:ascii="Helvetica" w:hAnsi="Helvetica" w:cs="Helvetica"/>
                <w:sz w:val="18"/>
                <w:szCs w:val="18"/>
              </w:rPr>
              <w:t xml:space="preserve">. 1975; McLaren </w:t>
            </w:r>
            <w:r>
              <w:rPr>
                <w:rFonts w:ascii="Helvetica" w:hAnsi="Helvetica" w:cs="Helvetica"/>
                <w:i/>
                <w:iCs/>
                <w:sz w:val="18"/>
                <w:szCs w:val="18"/>
              </w:rPr>
              <w:t>et al</w:t>
            </w:r>
            <w:r>
              <w:rPr>
                <w:rFonts w:ascii="Helvetica" w:hAnsi="Helvetica" w:cs="Helvetica"/>
                <w:sz w:val="18"/>
                <w:szCs w:val="18"/>
              </w:rPr>
              <w:t>. 1999; Rieger 2005). Therefore, foliage free dormant cuttings do not provide a pathway for this mite.</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i/>
                <w:iCs/>
                <w:sz w:val="18"/>
                <w:szCs w:val="18"/>
              </w:rPr>
            </w:pPr>
            <w:r>
              <w:rPr>
                <w:rFonts w:ascii="Helvetica" w:hAnsi="Helvetica" w:cs="Helvetica"/>
                <w:i/>
                <w:sz w:val="18"/>
                <w:szCs w:val="18"/>
              </w:rPr>
              <w:t xml:space="preserve">Tetranychus telarius </w:t>
            </w:r>
            <w:r>
              <w:rPr>
                <w:rFonts w:ascii="Helvetica" w:hAnsi="Helvetica" w:cs="Helvetica"/>
                <w:sz w:val="18"/>
                <w:szCs w:val="18"/>
              </w:rPr>
              <w:t>(Linnaeus 1758) [Acari: Tetranychidae]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Tetranychus urticae</w:t>
            </w:r>
            <w:r>
              <w:rPr>
                <w:rFonts w:ascii="Helvetica" w:hAnsi="Helvetica" w:cs="Helvetica"/>
                <w:sz w:val="18"/>
                <w:szCs w:val="18"/>
              </w:rPr>
              <w:t xml:space="preserve"> Koch 1836 [Acari: Tetranychidae]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Verdana" w:hAnsi="Verdana" w:cs="Helvetica"/>
                <w:b/>
                <w:bCs/>
                <w:sz w:val="18"/>
                <w:szCs w:val="18"/>
              </w:rPr>
            </w:pPr>
            <w:r>
              <w:rPr>
                <w:rFonts w:ascii="Verdana" w:hAnsi="Verdana" w:cs="Helvetica"/>
                <w:b/>
                <w:bCs/>
                <w:sz w:val="18"/>
                <w:szCs w:val="18"/>
              </w:rPr>
              <w:t>COLEOPTERA (beetles, weevils)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Acalolepta vastator</w:t>
            </w:r>
            <w:r>
              <w:rPr>
                <w:rFonts w:ascii="Helvetica" w:hAnsi="Helvetica" w:cs="Helvetica"/>
                <w:sz w:val="18"/>
                <w:szCs w:val="18"/>
              </w:rPr>
              <w:t xml:space="preserve"> Newman 1847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lastRenderedPageBreak/>
              <w:t>Acrothinium gaschkevitschii</w:t>
            </w:r>
            <w:r>
              <w:rPr>
                <w:rFonts w:ascii="Helvetica" w:hAnsi="Helvetica" w:cs="Helvetica"/>
                <w:sz w:val="18"/>
                <w:szCs w:val="18"/>
              </w:rPr>
              <w:t xml:space="preserve"> (Motschulsky 1860)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This species feeds externally on the buds, leaves and flowers of grapevines (Zhang 2005).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Adoretus sinicus</w:t>
            </w:r>
            <w:r>
              <w:rPr>
                <w:rFonts w:ascii="Helvetica" w:hAnsi="Helvetica" w:cs="Helvetica"/>
                <w:sz w:val="18"/>
                <w:szCs w:val="18"/>
              </w:rPr>
              <w:t xml:space="preserve"> Burmeister 1855 [Coleoptera: Scarabaeidae]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These scarabaeid beetles lay eggs in the soil, larvae feed on roots and adults feed on the leaves of grapevines (NIIR 2004; Zhang 2005). Therefore, root free and foliage free dormant cuttings do not provide a pathway for these species.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Adoretus versutus</w:t>
            </w:r>
            <w:r>
              <w:rPr>
                <w:rFonts w:ascii="Helvetica" w:hAnsi="Helvetica" w:cs="Helvetica"/>
                <w:sz w:val="18"/>
                <w:szCs w:val="18"/>
              </w:rPr>
              <w:t xml:space="preserve"> Harold 1869 [Coleoptera: Scarabaeidae]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Agriotes lineatus</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1767 [Coleoptera: Elateridae]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This species lays eggs on or in the soil and larvae feed on roots (Bournier 1976). Therefore, root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Anomala corpulenta</w:t>
            </w:r>
            <w:r>
              <w:rPr>
                <w:rFonts w:ascii="Helvetica" w:hAnsi="Helvetica" w:cs="Helvetica"/>
                <w:sz w:val="18"/>
                <w:szCs w:val="18"/>
              </w:rPr>
              <w:t xml:space="preserve"> Motschulsky 1854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These scarabaeid beetles lay eggs in the soil, larvae feed on the roots and adults feed on leaves and flowers (Bhuiyan and Nishigaki 1997; Larsson </w:t>
            </w:r>
            <w:r>
              <w:rPr>
                <w:rFonts w:ascii="Helvetica" w:hAnsi="Helvetica" w:cs="Helvetica"/>
                <w:i/>
                <w:iCs/>
                <w:sz w:val="18"/>
                <w:szCs w:val="18"/>
              </w:rPr>
              <w:t>et al</w:t>
            </w:r>
            <w:r>
              <w:rPr>
                <w:rFonts w:ascii="Helvetica" w:hAnsi="Helvetica" w:cs="Helvetica"/>
                <w:sz w:val="18"/>
                <w:szCs w:val="18"/>
              </w:rPr>
              <w:t>. 2001; Zhang 2005). Therefore, foliage free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0"/>
              <w:keepNext w:val="0"/>
              <w:spacing w:before="20" w:after="0" w:line="240" w:lineRule="atLeast"/>
              <w:jc w:val="left"/>
              <w:rPr>
                <w:rFonts w:ascii="Helvetica" w:hAnsi="Helvetica" w:cs="Helvetica"/>
                <w:szCs w:val="18"/>
                <w:lang w:val="es-ES_tradnl"/>
              </w:rPr>
            </w:pPr>
            <w:r>
              <w:rPr>
                <w:rFonts w:ascii="Helvetica" w:hAnsi="Helvetica" w:cs="Helvetica"/>
                <w:i/>
                <w:iCs/>
                <w:szCs w:val="18"/>
              </w:rPr>
              <w:t>Anomala cuprea</w:t>
            </w:r>
            <w:r>
              <w:rPr>
                <w:rFonts w:ascii="Helvetica" w:hAnsi="Helvetica" w:cs="Helvetica"/>
                <w:szCs w:val="18"/>
              </w:rPr>
              <w:t xml:space="preserve"> Hope 1839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b/>
                <w:bCs/>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Altica gravida</w:t>
            </w:r>
            <w:r>
              <w:rPr>
                <w:rFonts w:ascii="Helvetica" w:hAnsi="Helvetica" w:cs="Helvetica"/>
                <w:sz w:val="18"/>
                <w:szCs w:val="18"/>
              </w:rPr>
              <w:t xml:space="preserve"> Blackburn 1896 [Coleoptera: Chrysomelidae]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(AFD 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Altica ampelophaga</w:t>
            </w:r>
            <w:r>
              <w:rPr>
                <w:rFonts w:ascii="Helvetica" w:hAnsi="Helvetica" w:cs="Helvetica"/>
                <w:sz w:val="18"/>
                <w:szCs w:val="18"/>
              </w:rPr>
              <w:t xml:space="preserve"> Guérin-Meneville-Menevil 1858 [Coleoptera: Chrysomelidae]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Grape flea beetles overwinter as adults under the soil surface, in wood crevices, under stones, sticks or logs and in or around vineyards (Galvan </w:t>
            </w:r>
            <w:r>
              <w:rPr>
                <w:rFonts w:ascii="Helvetica" w:hAnsi="Helvetica" w:cs="Helvetica"/>
                <w:i/>
                <w:iCs/>
                <w:sz w:val="18"/>
                <w:szCs w:val="18"/>
              </w:rPr>
              <w:t xml:space="preserve">et al. </w:t>
            </w:r>
            <w:r>
              <w:rPr>
                <w:rFonts w:ascii="Helvetica" w:hAnsi="Helvetica" w:cs="Helvetica"/>
                <w:sz w:val="18"/>
                <w:szCs w:val="18"/>
              </w:rPr>
              <w:t xml:space="preserve">2007). These beetles emerge in early spring when grapevine buds begin to swell and lay eggs either at the base of the buds, on the buds and bark crevices of grapevines (Benvenuti and Lucchi 2005; Galvan </w:t>
            </w:r>
            <w:r>
              <w:rPr>
                <w:rFonts w:ascii="Helvetica" w:hAnsi="Helvetica" w:cs="Helvetica"/>
                <w:i/>
                <w:iCs/>
                <w:sz w:val="18"/>
                <w:szCs w:val="18"/>
              </w:rPr>
              <w:t xml:space="preserve">et al. </w:t>
            </w:r>
            <w:r>
              <w:rPr>
                <w:rFonts w:ascii="Helvetica" w:hAnsi="Helvetica" w:cs="Helvetica"/>
                <w:sz w:val="18"/>
                <w:szCs w:val="18"/>
              </w:rPr>
              <w:t>2007), or on the underside of leaves (Alford 2007). Therefore, foliage free, semi-hardwood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Altica chalybea</w:t>
            </w:r>
            <w:r>
              <w:rPr>
                <w:rFonts w:ascii="Helvetica" w:hAnsi="Helvetica" w:cs="Helvetica"/>
                <w:sz w:val="18"/>
                <w:szCs w:val="18"/>
              </w:rPr>
              <w:t xml:space="preserve"> Illiger 1807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Altica torquata</w:t>
            </w:r>
            <w:r>
              <w:rPr>
                <w:rFonts w:ascii="Helvetica" w:hAnsi="Helvetica" w:cs="Helvetica"/>
                <w:sz w:val="18"/>
                <w:szCs w:val="18"/>
              </w:rPr>
              <w:t xml:space="preserve"> (LeConte 1859)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Altica woodsi </w:t>
            </w:r>
            <w:r>
              <w:rPr>
                <w:rFonts w:ascii="Helvetica" w:hAnsi="Helvetica" w:cs="Helvetica"/>
                <w:sz w:val="18"/>
                <w:szCs w:val="18"/>
              </w:rPr>
              <w:t>Isely 1920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Ampeloglypter ampelopsis</w:t>
            </w:r>
            <w:r>
              <w:rPr>
                <w:rFonts w:ascii="Helvetica" w:hAnsi="Helvetica" w:cs="Helvetica"/>
                <w:sz w:val="18"/>
                <w:szCs w:val="18"/>
              </w:rPr>
              <w:t xml:space="preserve"> Riley 1869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Grape cane gallmakers overwinter as adults in the debris on the ground (Riedl and Taschenberg 2008). Grape cane gallmakers lay eggs in new canes in spring and adults start emerging in midsummer (Riedl and Taschenberg 2008). No life stage is associated with dormant cuttings. Therefore, these species are not on the pathway.</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Ampeloglypter ater</w:t>
            </w:r>
            <w:r>
              <w:rPr>
                <w:rFonts w:ascii="Helvetica" w:hAnsi="Helvetica" w:cs="Helvetica"/>
                <w:sz w:val="18"/>
                <w:szCs w:val="18"/>
              </w:rPr>
              <w:t xml:space="preserve"> LeConte 1876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right w:val="single" w:sz="4" w:space="0" w:color="auto"/>
            </w:tcBorders>
          </w:tcPr>
          <w:p>
            <w:pPr>
              <w:spacing w:before="20" w:line="240" w:lineRule="atLeast"/>
              <w:jc w:val="left"/>
              <w:rPr>
                <w:rFonts w:ascii="Helvetica" w:hAnsi="Helvetica" w:cs="Helvetica"/>
                <w:b/>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Ampeloglypter sesostris</w:t>
            </w:r>
            <w:r>
              <w:rPr>
                <w:rFonts w:ascii="Helvetica" w:hAnsi="Helvetica" w:cs="Helvetica"/>
                <w:sz w:val="18"/>
                <w:szCs w:val="18"/>
              </w:rPr>
              <w:t xml:space="preserve"> LeConte 1876 [Coleoptera: Curculionidae]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top w:val="single" w:sz="4" w:space="0" w:color="auto"/>
              <w:left w:val="single" w:sz="4" w:space="0" w:color="auto"/>
              <w:right w:val="single" w:sz="4" w:space="0" w:color="auto"/>
            </w:tcBorders>
          </w:tcPr>
          <w:p>
            <w:pPr>
              <w:spacing w:before="20" w:line="240" w:lineRule="atLeast"/>
              <w:jc w:val="left"/>
              <w:rPr>
                <w:rFonts w:ascii="Helvetica" w:hAnsi="Helvetica" w:cs="Helvetica"/>
                <w:b/>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Anoplistes halodendri</w:t>
            </w:r>
            <w:r>
              <w:rPr>
                <w:rFonts w:ascii="Helvetica" w:hAnsi="Helvetica" w:cs="Helvetica"/>
                <w:sz w:val="18"/>
                <w:szCs w:val="18"/>
              </w:rPr>
              <w:t xml:space="preserve"> Kozlovi (Semenov &amp; Znojdo 1934)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wood-boring larvae of this beetle damage grapevines and other woody plants (Luo </w:t>
            </w:r>
            <w:r>
              <w:rPr>
                <w:rFonts w:ascii="Helvetica" w:hAnsi="Helvetica" w:cs="Helvetica"/>
                <w:i/>
                <w:sz w:val="18"/>
                <w:szCs w:val="18"/>
              </w:rPr>
              <w:t>et al</w:t>
            </w:r>
            <w:r>
              <w:rPr>
                <w:rFonts w:ascii="Helvetica" w:hAnsi="Helvetica" w:cs="Helvetica"/>
                <w:sz w:val="18"/>
                <w:szCs w:val="18"/>
              </w:rPr>
              <w:t>. 2005). However, semi-hardwood dormant cuttings are not preferred sites for egg laying for this species. Therefore, dormant cuttings do not provide a pathway for this species.</w:t>
            </w:r>
          </w:p>
        </w:tc>
        <w:tc>
          <w:tcPr>
            <w:tcW w:w="2640" w:type="dxa"/>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Anoplophora glabripennis</w:t>
            </w:r>
            <w:r>
              <w:rPr>
                <w:rFonts w:ascii="Helvetica" w:hAnsi="Helvetica" w:cs="Helvetica"/>
                <w:sz w:val="18"/>
                <w:szCs w:val="18"/>
              </w:rPr>
              <w:t xml:space="preserve"> Motschulsky 1853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wood-boring larvae of this beetle damage grapevines and other woody plants (Lingafelter and Hoebeke 2002). Adults also feed on the leaves, stems and bark of many woody plant species (Yang </w:t>
            </w:r>
            <w:r>
              <w:rPr>
                <w:rFonts w:ascii="Helvetica" w:hAnsi="Helvetica" w:cs="Helvetica"/>
                <w:i/>
                <w:sz w:val="18"/>
                <w:szCs w:val="18"/>
              </w:rPr>
              <w:t>et al</w:t>
            </w:r>
            <w:r>
              <w:rPr>
                <w:rFonts w:ascii="Helvetica" w:hAnsi="Helvetica" w:cs="Helvetica"/>
                <w:sz w:val="18"/>
                <w:szCs w:val="18"/>
              </w:rPr>
              <w:t>. 1995). Semi-hardwood dormant cuttings are not preferred sites for egg laying. Therefore, foliage free, semi-hardwood dormant cuttings do not provide a pathway for this species.</w:t>
            </w:r>
          </w:p>
        </w:tc>
        <w:tc>
          <w:tcPr>
            <w:tcW w:w="2640" w:type="dxa"/>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Asynonychus cervinus</w:t>
            </w:r>
            <w:r>
              <w:rPr>
                <w:rFonts w:ascii="Helvetica" w:hAnsi="Helvetica" w:cs="Helvetica"/>
                <w:sz w:val="18"/>
                <w:szCs w:val="18"/>
              </w:rPr>
              <w:t xml:space="preserve"> Boheman (1840)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rPr>
            </w:pPr>
            <w:r>
              <w:rPr>
                <w:rFonts w:ascii="Helvetica" w:hAnsi="Helvetica" w:cs="Helvetica"/>
                <w:sz w:val="18"/>
                <w:szCs w:val="18"/>
              </w:rPr>
              <w:t>Assessment not required</w:t>
            </w:r>
          </w:p>
        </w:tc>
        <w:tc>
          <w:tcPr>
            <w:tcW w:w="2640" w:type="dxa"/>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Athlia rustica</w:t>
            </w:r>
            <w:r>
              <w:rPr>
                <w:rFonts w:ascii="Helvetica" w:hAnsi="Helvetica" w:cs="Helvetica"/>
                <w:sz w:val="18"/>
                <w:szCs w:val="18"/>
              </w:rPr>
              <w:t xml:space="preserve"> Erichson 1835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feeds externally on leaves, buds and flowers of host plants (Gonzalez 1983).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keepNext/>
              <w:spacing w:before="20" w:line="240" w:lineRule="atLeast"/>
              <w:jc w:val="left"/>
              <w:rPr>
                <w:rFonts w:ascii="Helvetica" w:hAnsi="Helvetica" w:cs="Helvetica"/>
                <w:i/>
                <w:iCs/>
                <w:sz w:val="18"/>
                <w:szCs w:val="18"/>
              </w:rPr>
            </w:pPr>
            <w:r>
              <w:rPr>
                <w:rFonts w:ascii="Helvetica" w:hAnsi="Helvetica" w:cs="Helvetica"/>
                <w:i/>
                <w:sz w:val="18"/>
                <w:szCs w:val="18"/>
              </w:rPr>
              <w:t>Atrichonotus taeniatulus</w:t>
            </w:r>
            <w:r>
              <w:rPr>
                <w:rFonts w:ascii="Helvetica" w:hAnsi="Helvetica" w:cs="Helvetica"/>
                <w:sz w:val="18"/>
                <w:szCs w:val="18"/>
              </w:rPr>
              <w:t xml:space="preserve"> Berg (1881)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Aulacophora femoralis chinensis</w:t>
            </w:r>
            <w:r>
              <w:rPr>
                <w:rFonts w:ascii="Helvetica" w:hAnsi="Helvetica" w:cs="Helvetica"/>
                <w:sz w:val="18"/>
                <w:szCs w:val="18"/>
              </w:rPr>
              <w:t xml:space="preserve"> Weise 1923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Adults feed on the leaves of grapes, pears, apples and leaf vegetables while the larvae live in the soil and feed on young plant roots (Li 2004). Therefore, foliage and root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Bostrychopsis jesuita</w:t>
            </w:r>
            <w:r>
              <w:rPr>
                <w:rFonts w:ascii="Helvetica" w:hAnsi="Helvetica" w:cs="Helvetica"/>
                <w:sz w:val="18"/>
                <w:szCs w:val="18"/>
              </w:rPr>
              <w:t xml:space="preserve"> Fabricius 1775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Bromius obscurus</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of this species feed on grapevine roots while adults feed on leaves, green bark of canes and cut shallow grooves in berries (Peacock 1992). Eggs are laid in clusters on old loose bark in crevices (BCMAL 2010). Therefore, semi-hardwood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Byctiscus betulae</w:t>
            </w:r>
            <w:r>
              <w:rPr>
                <w:rFonts w:ascii="Helvetica" w:hAnsi="Helvetica" w:cs="Helvetica"/>
                <w:sz w:val="18"/>
                <w:szCs w:val="18"/>
              </w:rPr>
              <w:t xml:space="preserve"> (Linnaeus, 1758) [Coleoptera: Rhynchitidae]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These weevils mostly feed on leaves (Bournier 1976; Zhang 2005) and lay eggs inside of rolled leaves (Trdani and Valič 2004).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Byctiscus lacunipennis</w:t>
            </w:r>
            <w:r>
              <w:rPr>
                <w:rFonts w:ascii="Helvetica" w:hAnsi="Helvetica" w:cs="Helvetica"/>
                <w:sz w:val="18"/>
                <w:szCs w:val="18"/>
              </w:rPr>
              <w:t xml:space="preserve"> (Jekel 1860) [Coleoptera: Rhynchitidae]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Callideriphus laetus</w:t>
            </w:r>
            <w:r>
              <w:rPr>
                <w:rFonts w:ascii="Helvetica" w:hAnsi="Helvetica" w:cs="Helvetica"/>
                <w:sz w:val="18"/>
                <w:szCs w:val="18"/>
              </w:rPr>
              <w:t xml:space="preserve"> Blanchard 1851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primarily feeds on downed logs, stumps and dead or dying branches (Klein-Koch and Waterhouse 2000).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Carpophilus dimidiatus</w:t>
            </w:r>
            <w:r>
              <w:rPr>
                <w:rFonts w:ascii="Helvetica" w:hAnsi="Helvetica" w:cs="Helvetica"/>
                <w:sz w:val="18"/>
                <w:szCs w:val="18"/>
              </w:rPr>
              <w:t xml:space="preserve"> Fabricius 1992 [Coleoptera: Nitidulidae]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Carpophilus hemipterus</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[Coleoptera: Nitidulidae]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Carpophilus humeralis</w:t>
            </w:r>
            <w:r>
              <w:rPr>
                <w:rFonts w:ascii="Helvetica" w:hAnsi="Helvetica" w:cs="Helvetica"/>
                <w:sz w:val="18"/>
                <w:szCs w:val="18"/>
              </w:rPr>
              <w:t xml:space="preserve"> Fabricius 1758 [Coleoptera: Nitidulidae]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(Hossain and Williams 2003)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Cerasphorus albofasciatus</w:t>
            </w:r>
            <w:r>
              <w:rPr>
                <w:rFonts w:ascii="Helvetica" w:hAnsi="Helvetica" w:cs="Helvetica"/>
                <w:sz w:val="18"/>
                <w:szCs w:val="18"/>
              </w:rPr>
              <w:t xml:space="preserve"> (Laporte and Gory 1835) [Coleoptera: Cerambycidae]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is a trunk borer (MAF 2009). Borers generally require thick wood for egg laying and development (Goodwin 2005).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0"/>
              <w:keepNext w:val="0"/>
              <w:spacing w:before="20" w:after="0" w:line="240" w:lineRule="atLeast"/>
              <w:jc w:val="left"/>
              <w:rPr>
                <w:rFonts w:ascii="Helvetica" w:hAnsi="Helvetica" w:cs="Helvetica"/>
                <w:szCs w:val="18"/>
                <w:lang w:val="it-IT"/>
              </w:rPr>
            </w:pPr>
            <w:r>
              <w:rPr>
                <w:rFonts w:ascii="Helvetica" w:hAnsi="Helvetica" w:cs="Helvetica"/>
                <w:i/>
                <w:szCs w:val="18"/>
                <w:lang w:val="it-IT"/>
              </w:rPr>
              <w:t>Ceresium sinicum</w:t>
            </w:r>
            <w:r>
              <w:rPr>
                <w:rFonts w:ascii="Helvetica" w:hAnsi="Helvetica" w:cs="Helvetica"/>
                <w:szCs w:val="18"/>
                <w:lang w:val="it-IT"/>
              </w:rPr>
              <w:t xml:space="preserve"> ornaticolle Pic 1907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Larvae of this species attack woody parts of grapevines as internal feeders (Luo </w:t>
            </w:r>
            <w:r>
              <w:rPr>
                <w:rFonts w:ascii="Helvetica" w:hAnsi="Helvetica" w:cs="Helvetica"/>
                <w:i/>
                <w:sz w:val="18"/>
                <w:szCs w:val="18"/>
              </w:rPr>
              <w:t>et al</w:t>
            </w:r>
            <w:r>
              <w:rPr>
                <w:rFonts w:ascii="Helvetica" w:hAnsi="Helvetica" w:cs="Helvetica"/>
                <w:sz w:val="18"/>
                <w:szCs w:val="18"/>
              </w:rPr>
              <w:t>. 2005). Borers generally require thick wood for egg laying and development (Goodwin 2005).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Cerosterna scabrator</w:t>
            </w:r>
            <w:r>
              <w:rPr>
                <w:rFonts w:ascii="Helvetica" w:hAnsi="Helvetica" w:cs="Helvetica"/>
                <w:sz w:val="18"/>
                <w:szCs w:val="18"/>
              </w:rPr>
              <w:t xml:space="preserve"> Fabricius 1781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longicorn beetle attacks the main stem and branches of host plants. The female oviposits in the stem and larvae feed inside the stems (Ranga Rao </w:t>
            </w:r>
            <w:r>
              <w:rPr>
                <w:rFonts w:ascii="Helvetica" w:hAnsi="Helvetica" w:cs="Helvetica"/>
                <w:i/>
                <w:sz w:val="18"/>
                <w:szCs w:val="18"/>
              </w:rPr>
              <w:t>et al</w:t>
            </w:r>
            <w:r>
              <w:rPr>
                <w:rFonts w:ascii="Helvetica" w:hAnsi="Helvetica" w:cs="Helvetica"/>
                <w:sz w:val="18"/>
                <w:szCs w:val="18"/>
              </w:rPr>
              <w:t>. 1979). Borers generally require thick wood for egg laying and development (Goodwin 2005).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Chlorophorus annularis</w:t>
            </w:r>
            <w:r>
              <w:rPr>
                <w:rFonts w:ascii="Helvetica" w:hAnsi="Helvetica" w:cs="Helvetica"/>
                <w:sz w:val="18"/>
                <w:szCs w:val="18"/>
              </w:rPr>
              <w:t xml:space="preserve"> Fabricius 1787 [Coleoptera: Cerambycidae]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0"/>
              <w:keepNext w:val="0"/>
              <w:spacing w:before="20" w:after="0" w:line="240" w:lineRule="atLeast"/>
              <w:jc w:val="left"/>
              <w:rPr>
                <w:rFonts w:ascii="Helvetica" w:hAnsi="Helvetica" w:cs="Helvetica"/>
                <w:szCs w:val="18"/>
                <w:lang w:val="en-US"/>
              </w:rPr>
            </w:pPr>
            <w:r>
              <w:rPr>
                <w:rFonts w:ascii="Helvetica" w:hAnsi="Helvetica" w:cs="Helvetica"/>
                <w:i/>
                <w:szCs w:val="18"/>
                <w:lang w:val="fr-FR"/>
              </w:rPr>
              <w:t>Chlorophorus quatuordecimmaculatus</w:t>
            </w:r>
            <w:r>
              <w:rPr>
                <w:rFonts w:ascii="Helvetica" w:hAnsi="Helvetica" w:cs="Helvetica"/>
                <w:szCs w:val="18"/>
                <w:lang w:val="fr-FR"/>
              </w:rPr>
              <w:t xml:space="preserve"> (Chevrolat 1863) </w:t>
            </w:r>
            <w:r>
              <w:rPr>
                <w:rFonts w:ascii="Helvetica" w:hAnsi="Helvetica" w:cs="Helvetica"/>
                <w:szCs w:val="18"/>
                <w:lang w:val="en-US"/>
              </w:rPr>
              <w:t>[Coleoptera: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Larvae bore through larger stems of grapevines while adults eat the flowers (Zhang 2005). Borers generally require thick wood for egg laying and development (Goodwin 2005).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Colaspis brunnea</w:t>
            </w:r>
            <w:r>
              <w:rPr>
                <w:rFonts w:ascii="Helvetica" w:hAnsi="Helvetica" w:cs="Helvetica"/>
                <w:sz w:val="18"/>
                <w:szCs w:val="18"/>
              </w:rPr>
              <w:t xml:space="preserve"> Fabricius 1798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of this beetle feed on roots and the adults feed on foliage (Pfeiffer and Schultz 1986). Eggs are laid in the soil (Eaton 1978).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Colaspoides foveiventris</w:t>
            </w:r>
            <w:r>
              <w:rPr>
                <w:rFonts w:ascii="Helvetica" w:hAnsi="Helvetica" w:cs="Helvetica"/>
                <w:sz w:val="18"/>
                <w:szCs w:val="18"/>
              </w:rPr>
              <w:t xml:space="preserve"> Lea 1926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Colaspoides heroni</w:t>
            </w:r>
            <w:r>
              <w:rPr>
                <w:rFonts w:ascii="Helvetica" w:hAnsi="Helvetica" w:cs="Helvetica"/>
                <w:sz w:val="18"/>
                <w:szCs w:val="18"/>
              </w:rPr>
              <w:t xml:space="preserve"> Lea 1915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(AFD 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Colaspoides picticornis</w:t>
            </w:r>
            <w:r>
              <w:rPr>
                <w:rFonts w:ascii="Helvetica" w:hAnsi="Helvetica" w:cs="Helvetica"/>
                <w:sz w:val="18"/>
                <w:szCs w:val="18"/>
              </w:rPr>
              <w:t xml:space="preserve"> Lea 1915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Coniontis parviceps</w:t>
            </w:r>
            <w:r>
              <w:rPr>
                <w:rFonts w:ascii="Helvetica" w:hAnsi="Helvetica" w:cs="Helvetica"/>
                <w:sz w:val="18"/>
                <w:szCs w:val="18"/>
              </w:rPr>
              <w:t xml:space="preserve"> Casey 1890 [Coleoptera: Tenebrionidae]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larvae of soil-dwelling tenebrionid are root feeders (Allsopp 1980) and adults are bud and foliage feeders (Flaherty </w:t>
            </w:r>
            <w:r>
              <w:rPr>
                <w:rFonts w:ascii="Helvetica" w:hAnsi="Helvetica" w:cs="Helvetica"/>
                <w:i/>
                <w:sz w:val="18"/>
                <w:szCs w:val="18"/>
              </w:rPr>
              <w:t>et al</w:t>
            </w:r>
            <w:r>
              <w:rPr>
                <w:rFonts w:ascii="Helvetica" w:hAnsi="Helvetica" w:cs="Helvetica"/>
                <w:sz w:val="18"/>
                <w:szCs w:val="18"/>
              </w:rPr>
              <w:t>.</w:t>
            </w:r>
            <w:r>
              <w:rPr>
                <w:rFonts w:ascii="Helvetica" w:hAnsi="Helvetica" w:cs="Helvetica"/>
                <w:i/>
                <w:sz w:val="18"/>
                <w:szCs w:val="18"/>
              </w:rPr>
              <w:t xml:space="preserve"> </w:t>
            </w:r>
            <w:r>
              <w:rPr>
                <w:rFonts w:ascii="Helvetica" w:hAnsi="Helvetica" w:cs="Helvetica"/>
                <w:sz w:val="18"/>
                <w:szCs w:val="18"/>
              </w:rPr>
              <w:t>1992). Therefore, foliage and root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Corticaria japonica</w:t>
            </w:r>
            <w:r>
              <w:rPr>
                <w:rFonts w:ascii="Helvetica" w:hAnsi="Helvetica" w:cs="Helvetica"/>
                <w:sz w:val="18"/>
                <w:szCs w:val="18"/>
              </w:rPr>
              <w:t xml:space="preserve"> Reitter (1877) [Coleoptera: Latridiidae]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Cotinis nitida</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1764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Adults of this species feed on grape fruits (Brown and Hudson 2005). Eggs are laid in the soil, where the hatching larvae then feed on decaying organic matter (OSU 2010).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Craponius inaequalis</w:t>
            </w:r>
            <w:r>
              <w:rPr>
                <w:rFonts w:ascii="Helvetica" w:hAnsi="Helvetica" w:cs="Helvetica"/>
                <w:sz w:val="18"/>
                <w:szCs w:val="18"/>
              </w:rPr>
              <w:t xml:space="preserve"> Say 1831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The grape curculionid lays eggs in the fruit and developing larvae feed on seed and pulp (Bournier 1976). Therefore, dormant cuttings do not provide a pathway for this species. Larvae are not reported to feed internally in seeds; therefore seeds also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Didymocantha obliqua</w:t>
            </w:r>
            <w:r>
              <w:rPr>
                <w:rFonts w:ascii="Helvetica" w:hAnsi="Helvetica" w:cs="Helvetica"/>
                <w:sz w:val="18"/>
                <w:szCs w:val="18"/>
              </w:rPr>
              <w:t xml:space="preserve"> Newman (1840)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Dilochrosis atripennis</w:t>
            </w:r>
            <w:r>
              <w:rPr>
                <w:rFonts w:ascii="Helvetica" w:hAnsi="Helvetica" w:cs="Helvetica"/>
                <w:sz w:val="18"/>
                <w:szCs w:val="18"/>
              </w:rPr>
              <w:t xml:space="preserve"> MacLeay 1863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Dryocoetiops coffeae</w:t>
            </w:r>
            <w:r>
              <w:rPr>
                <w:rFonts w:ascii="Helvetica" w:hAnsi="Helvetica" w:cs="Helvetica"/>
                <w:sz w:val="18"/>
                <w:szCs w:val="18"/>
              </w:rPr>
              <w:t xml:space="preserve"> (Eggers 1923) [Coleoptera: Scolytinae]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Scolytine beetles are associated with woody plant products (Luo </w:t>
            </w:r>
            <w:r>
              <w:rPr>
                <w:rFonts w:ascii="Helvetica" w:hAnsi="Helvetica" w:cs="Helvetica"/>
                <w:i/>
                <w:sz w:val="18"/>
                <w:szCs w:val="18"/>
              </w:rPr>
              <w:t>et al</w:t>
            </w:r>
            <w:r>
              <w:rPr>
                <w:rFonts w:ascii="Helvetica" w:hAnsi="Helvetica" w:cs="Helvetica"/>
                <w:sz w:val="18"/>
                <w:szCs w:val="18"/>
              </w:rPr>
              <w:t>. 2005).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Egiona viticola</w:t>
            </w:r>
            <w:r>
              <w:rPr>
                <w:rFonts w:ascii="Helvetica" w:hAnsi="Helvetica" w:cs="Helvetica"/>
                <w:sz w:val="18"/>
                <w:szCs w:val="18"/>
              </w:rPr>
              <w:t xml:space="preserve"> Luo [Coleoptera: Curculionidae]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wood-boring pest of grapevines requires hardwood to lay eggs (Luo </w:t>
            </w:r>
            <w:r>
              <w:rPr>
                <w:rFonts w:ascii="Helvetica" w:hAnsi="Helvetica" w:cs="Helvetica"/>
                <w:i/>
                <w:sz w:val="18"/>
                <w:szCs w:val="18"/>
              </w:rPr>
              <w:t>et al</w:t>
            </w:r>
            <w:r>
              <w:rPr>
                <w:rFonts w:ascii="Helvetica" w:hAnsi="Helvetica" w:cs="Helvetica"/>
                <w:sz w:val="18"/>
                <w:szCs w:val="18"/>
              </w:rPr>
              <w:t>. 2005).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Fidia viticida</w:t>
            </w:r>
            <w:r>
              <w:rPr>
                <w:rFonts w:ascii="Helvetica" w:hAnsi="Helvetica" w:cs="Helvetica"/>
                <w:sz w:val="18"/>
                <w:szCs w:val="18"/>
              </w:rPr>
              <w:t xml:space="preserve"> Walsh 1867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Grape rootworm beetles lay eggs under the bark of grapevine trunks. Immature grubs feed on the roots and adults feed on grape foliage (Dennehy and Clark 2008). Therefore, semi-hardwood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Gametis jucunda</w:t>
            </w:r>
            <w:r>
              <w:rPr>
                <w:rFonts w:ascii="Helvetica" w:hAnsi="Helvetica" w:cs="Helvetica"/>
                <w:sz w:val="18"/>
                <w:szCs w:val="18"/>
              </w:rPr>
              <w:t xml:space="preserve"> (Faldermann 1835)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of this species feed on roots while adults feed on grapevine flowers (Zhang 2005).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Glyptoscelis squamulata</w:t>
            </w:r>
            <w:r>
              <w:rPr>
                <w:rFonts w:ascii="Helvetica" w:hAnsi="Helvetica" w:cs="Helvetica"/>
                <w:sz w:val="18"/>
                <w:szCs w:val="18"/>
              </w:rPr>
              <w:t xml:space="preserve"> Crotch 1873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Adult beetles feed on </w:t>
            </w:r>
            <w:hyperlink r:id="rId39" w:history="1">
              <w:r>
                <w:rPr>
                  <w:rFonts w:ascii="Helvetica" w:hAnsi="Helvetica" w:cs="Helvetica"/>
                  <w:sz w:val="18"/>
                  <w:szCs w:val="18"/>
                </w:rPr>
                <w:t>buds</w:t>
              </w:r>
            </w:hyperlink>
            <w:r>
              <w:rPr>
                <w:rFonts w:ascii="Helvetica" w:hAnsi="Helvetica" w:cs="Helvetica"/>
                <w:sz w:val="18"/>
                <w:szCs w:val="18"/>
              </w:rPr>
              <w:t>, immature leaves and young flowers (Flint 2006). Eggs are laid in cracks and under the bark (Stern and Johnson 1984). Therefore, semi-hardwood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Hayashiclytus acutivittis</w:t>
            </w:r>
            <w:r>
              <w:rPr>
                <w:rFonts w:ascii="Helvetica" w:hAnsi="Helvetica" w:cs="Helvetica"/>
                <w:sz w:val="18"/>
                <w:szCs w:val="18"/>
              </w:rPr>
              <w:t xml:space="preserve"> (Kraatz 1879)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cerambycid beetle is associated with grapevines (Zhang 2005). Cerambycid larvae generally feed internally on woody plant material, while adults feed on flowers or foliage (CSIRO 1991).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Heteronychus arator</w:t>
            </w:r>
            <w:r>
              <w:rPr>
                <w:rFonts w:ascii="Helvetica" w:hAnsi="Helvetica" w:cs="Helvetica"/>
                <w:sz w:val="18"/>
                <w:szCs w:val="18"/>
              </w:rPr>
              <w:t xml:space="preserve"> Fabricius 1775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Holotrichia diomphalia</w:t>
            </w:r>
            <w:r>
              <w:rPr>
                <w:rFonts w:ascii="Helvetica" w:hAnsi="Helvetica" w:cs="Helvetica"/>
                <w:sz w:val="18"/>
                <w:szCs w:val="18"/>
              </w:rPr>
              <w:t xml:space="preserve"> (Bates 1888)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The larvae of this Scarabaeid beetle feed on roots while adults feed on shoots, young leaves and flowers (AQSIQ 2007). Therefore, foliage and root free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Holotrichia oblita</w:t>
            </w:r>
            <w:r>
              <w:rPr>
                <w:rFonts w:ascii="Helvetica" w:hAnsi="Helvetica" w:cs="Helvetica"/>
                <w:sz w:val="18"/>
                <w:szCs w:val="18"/>
              </w:rPr>
              <w:t xml:space="preserve"> (Faldermann 1835)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Hoplia callipyge</w:t>
            </w:r>
            <w:r>
              <w:rPr>
                <w:rFonts w:ascii="Helvetica" w:hAnsi="Helvetica" w:cs="Helvetica"/>
                <w:sz w:val="18"/>
                <w:szCs w:val="18"/>
              </w:rPr>
              <w:t xml:space="preserve"> (LeConte 1856)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lays eggs in the soil (Perry 2002), larvae are root feeders and adults feed on leaves and flowers (Evans and Hogue 2006). Therefore, foliage and root free dormant cuttings do not provide a pathway for this species.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0"/>
              <w:keepNext w:val="0"/>
              <w:spacing w:before="20" w:after="0" w:line="240" w:lineRule="atLeast"/>
              <w:jc w:val="left"/>
              <w:rPr>
                <w:rFonts w:ascii="Helvetica" w:hAnsi="Helvetica" w:cs="Helvetica"/>
                <w:szCs w:val="18"/>
                <w:lang w:val="es-ES_tradnl"/>
              </w:rPr>
            </w:pPr>
            <w:r>
              <w:rPr>
                <w:rFonts w:ascii="Helvetica" w:hAnsi="Helvetica" w:cs="Helvetica"/>
                <w:i/>
                <w:szCs w:val="18"/>
                <w:lang w:val="es-ES_tradnl"/>
              </w:rPr>
              <w:t>Hypothenemus javanus</w:t>
            </w:r>
            <w:r>
              <w:rPr>
                <w:rFonts w:ascii="Helvetica" w:hAnsi="Helvetica" w:cs="Helvetica"/>
                <w:szCs w:val="18"/>
                <w:lang w:val="es-ES_tradnl"/>
              </w:rPr>
              <w:t xml:space="preserve"> (Eggers 1908) [Coleoptera: Scolytinae] </w:t>
            </w:r>
          </w:p>
        </w:tc>
        <w:tc>
          <w:tcPr>
            <w:tcW w:w="1680" w:type="dxa"/>
            <w:tcBorders>
              <w:top w:val="single" w:sz="4" w:space="0" w:color="auto"/>
              <w:left w:val="single" w:sz="4" w:space="0" w:color="auto"/>
              <w:bottom w:val="single" w:sz="4" w:space="0" w:color="auto"/>
              <w:right w:val="single" w:sz="4" w:space="0" w:color="auto"/>
            </w:tcBorders>
          </w:tcPr>
          <w:p>
            <w:pPr>
              <w:pStyle w:val="TableText0"/>
              <w:keepNext w:val="0"/>
              <w:spacing w:before="20" w:after="0" w:line="240" w:lineRule="atLeast"/>
              <w:jc w:val="left"/>
              <w:rPr>
                <w:rFonts w:ascii="Helvetica" w:hAnsi="Helvetica" w:cs="Helvetica"/>
                <w:szCs w:val="18"/>
                <w:lang w:val="es-ES_tradnl"/>
              </w:rPr>
            </w:pPr>
            <w:r>
              <w:rPr>
                <w:rFonts w:ascii="Helvetica" w:hAnsi="Helvetica" w:cs="Helvetica"/>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Scolytine beetles are associated with woody plant products (Luo</w:t>
            </w:r>
            <w:r>
              <w:rPr>
                <w:rFonts w:ascii="Helvetica" w:hAnsi="Helvetica" w:cs="Helvetica"/>
                <w:i/>
                <w:sz w:val="18"/>
                <w:szCs w:val="18"/>
              </w:rPr>
              <w:t xml:space="preserve"> et al</w:t>
            </w:r>
            <w:r>
              <w:rPr>
                <w:rFonts w:ascii="Helvetica" w:hAnsi="Helvetica" w:cs="Helvetica"/>
                <w:sz w:val="18"/>
                <w:szCs w:val="18"/>
              </w:rPr>
              <w:t>. 2005).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0"/>
              <w:keepNext w:val="0"/>
              <w:spacing w:before="20" w:after="0" w:line="240" w:lineRule="atLeast"/>
              <w:jc w:val="left"/>
              <w:rPr>
                <w:rFonts w:ascii="Helvetica" w:hAnsi="Helvetica" w:cs="Helvetica"/>
                <w:szCs w:val="18"/>
                <w:lang w:val="es-ES_tradnl"/>
              </w:rPr>
            </w:pPr>
            <w:r>
              <w:rPr>
                <w:rFonts w:ascii="Helvetica" w:hAnsi="Helvetica" w:cs="Helvetica"/>
                <w:i/>
                <w:szCs w:val="18"/>
                <w:lang w:val="es-ES_tradnl"/>
              </w:rPr>
              <w:t xml:space="preserve">Hypothenemus erectus </w:t>
            </w:r>
            <w:r>
              <w:rPr>
                <w:rFonts w:ascii="Helvetica" w:hAnsi="Helvetica" w:cs="Helvetica"/>
                <w:szCs w:val="18"/>
                <w:lang w:val="es-ES_tradnl"/>
              </w:rPr>
              <w:t xml:space="preserve">Leconte 1876 [Coleoptera: Scolytinae] </w:t>
            </w:r>
          </w:p>
        </w:tc>
        <w:tc>
          <w:tcPr>
            <w:tcW w:w="1680" w:type="dxa"/>
            <w:tcBorders>
              <w:top w:val="single" w:sz="4" w:space="0" w:color="auto"/>
              <w:left w:val="single" w:sz="4" w:space="0" w:color="auto"/>
              <w:bottom w:val="single" w:sz="4" w:space="0" w:color="auto"/>
              <w:right w:val="single" w:sz="4" w:space="0" w:color="auto"/>
            </w:tcBorders>
          </w:tcPr>
          <w:p>
            <w:pPr>
              <w:pStyle w:val="TableText0"/>
              <w:keepNext w:val="0"/>
              <w:spacing w:before="20" w:after="0" w:line="240" w:lineRule="atLeast"/>
              <w:jc w:val="left"/>
              <w:rPr>
                <w:rFonts w:ascii="Helvetica" w:hAnsi="Helvetica" w:cs="Helvetica"/>
                <w:szCs w:val="18"/>
                <w:lang w:val="es-ES_tradnl"/>
              </w:rPr>
            </w:pPr>
            <w:r>
              <w:rPr>
                <w:rFonts w:ascii="Helvetica" w:hAnsi="Helvetica" w:cs="Helvetica"/>
                <w:szCs w:val="18"/>
              </w:rPr>
              <w:t>Not known to occur</w:t>
            </w:r>
          </w:p>
        </w:tc>
        <w:tc>
          <w:tcPr>
            <w:tcW w:w="2640" w:type="dxa"/>
            <w:vMerge/>
            <w:tcBorders>
              <w:left w:val="single" w:sz="4" w:space="0" w:color="auto"/>
              <w:right w:val="single" w:sz="4" w:space="0" w:color="auto"/>
            </w:tcBorders>
            <w:shd w:val="clear" w:color="auto" w:fill="auto"/>
          </w:tcPr>
          <w:p>
            <w:pPr>
              <w:pStyle w:val="TableText0"/>
              <w:keepNext w:val="0"/>
              <w:spacing w:before="20" w:after="0" w:line="240" w:lineRule="atLeast"/>
              <w:jc w:val="left"/>
              <w:rPr>
                <w:rFonts w:ascii="Helvetica" w:hAnsi="Helvetica" w:cs="Helvetica"/>
                <w:szCs w:val="18"/>
                <w:lang w:val="es-ES_tradnl"/>
              </w:rPr>
            </w:pP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0"/>
              <w:keepNext w:val="0"/>
              <w:spacing w:before="20" w:after="0" w:line="240" w:lineRule="atLeast"/>
              <w:jc w:val="left"/>
              <w:rPr>
                <w:rFonts w:ascii="Helvetica" w:hAnsi="Helvetica" w:cs="Helvetica"/>
                <w:i/>
                <w:szCs w:val="18"/>
                <w:lang w:val="es-ES_tradnl"/>
              </w:rPr>
            </w:pPr>
            <w:r>
              <w:rPr>
                <w:rFonts w:ascii="Helvetica" w:hAnsi="Helvetica" w:cs="Helvetica"/>
                <w:i/>
                <w:szCs w:val="18"/>
                <w:lang w:val="es-ES_tradnl"/>
              </w:rPr>
              <w:t>Hypothenemus eruditus</w:t>
            </w:r>
            <w:r>
              <w:rPr>
                <w:rFonts w:ascii="Helvetica" w:hAnsi="Helvetica" w:cs="Helvetica"/>
                <w:szCs w:val="18"/>
                <w:lang w:val="es-ES_tradnl"/>
              </w:rPr>
              <w:t xml:space="preserve"> Westwood 1836 [Coleoptera: Scolytinae]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pStyle w:val="TableText0"/>
              <w:keepNext w:val="0"/>
              <w:spacing w:before="20" w:after="0" w:line="240" w:lineRule="atLeast"/>
              <w:jc w:val="left"/>
              <w:rPr>
                <w:rFonts w:ascii="Helvetica" w:hAnsi="Helvetica" w:cs="Helvetica"/>
                <w:szCs w:val="18"/>
                <w:lang w:val="es-ES_tradnl"/>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Leptopius robustus</w:t>
            </w:r>
            <w:r>
              <w:rPr>
                <w:rFonts w:ascii="Helvetica" w:hAnsi="Helvetica" w:cs="Helvetica"/>
                <w:sz w:val="18"/>
                <w:szCs w:val="18"/>
              </w:rPr>
              <w:t xml:space="preserve"> (Olivier 1807)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Limonius canus</w:t>
            </w:r>
            <w:r>
              <w:rPr>
                <w:rFonts w:ascii="Helvetica" w:hAnsi="Helvetica" w:cs="Helvetica"/>
                <w:sz w:val="18"/>
                <w:szCs w:val="18"/>
              </w:rPr>
              <w:t xml:space="preserve"> Leconte 1853 [Coleoptera: Elateridae]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Click beetle lays eggs in soil and newly hatched larvae feed on roots (Berry 1998).These pests overwinter as larvae or as recently developed adults in the soil. Adults feed on buds in spring (Bentley </w:t>
            </w:r>
            <w:r>
              <w:rPr>
                <w:rFonts w:ascii="Helvetica" w:hAnsi="Helvetica" w:cs="Helvetica"/>
                <w:i/>
                <w:sz w:val="18"/>
                <w:szCs w:val="18"/>
              </w:rPr>
              <w:t>et al</w:t>
            </w:r>
            <w:r>
              <w:rPr>
                <w:rFonts w:ascii="Helvetica" w:hAnsi="Helvetica" w:cs="Helvetica"/>
                <w:sz w:val="18"/>
                <w:szCs w:val="18"/>
              </w:rPr>
              <w:t xml:space="preserve">. 2008). Therefore, root free dormant cuttings do not provide a pathway for this species.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Linda fraterna</w:t>
            </w:r>
            <w:r>
              <w:rPr>
                <w:rFonts w:ascii="Helvetica" w:hAnsi="Helvetica" w:cs="Helvetica"/>
                <w:sz w:val="18"/>
                <w:szCs w:val="18"/>
              </w:rPr>
              <w:t xml:space="preserve"> Chevrolat 1852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Longicorn beetles attack mature trees (Smith 1996). Adult beetles lay eggs into crevices or cracks in the bark on the trunk or main branches of host plants (Smith 1996).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Liparetrus atriceps</w:t>
            </w:r>
            <w:r>
              <w:rPr>
                <w:rFonts w:ascii="Helvetica" w:hAnsi="Helvetica" w:cs="Helvetica"/>
                <w:sz w:val="18"/>
                <w:szCs w:val="18"/>
              </w:rPr>
              <w:t xml:space="preserve"> Macleay 1864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Listroderes difficilis</w:t>
            </w:r>
            <w:r>
              <w:rPr>
                <w:rFonts w:ascii="Helvetica" w:hAnsi="Helvetica" w:cs="Helvetica"/>
                <w:sz w:val="18"/>
                <w:szCs w:val="18"/>
              </w:rPr>
              <w:t xml:space="preserve"> Germain 1895 [Coleoptera: Curculionidae]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(Ronald and Jayma 1992)</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2"/>
              <w:spacing w:before="20" w:line="240" w:lineRule="atLeast"/>
              <w:jc w:val="left"/>
              <w:rPr>
                <w:rFonts w:ascii="Helvetica" w:hAnsi="Helvetica" w:cs="Helvetica"/>
                <w:i/>
                <w:iCs/>
                <w:sz w:val="18"/>
                <w:szCs w:val="18"/>
              </w:rPr>
            </w:pPr>
            <w:r>
              <w:rPr>
                <w:rFonts w:ascii="Helvetica" w:hAnsi="Helvetica" w:cs="Helvetica"/>
                <w:i/>
                <w:sz w:val="18"/>
                <w:szCs w:val="18"/>
              </w:rPr>
              <w:t>Listroderes costirostris</w:t>
            </w:r>
            <w:r>
              <w:rPr>
                <w:rFonts w:ascii="Helvetica" w:hAnsi="Helvetica" w:cs="Helvetica"/>
                <w:sz w:val="18"/>
                <w:szCs w:val="18"/>
              </w:rPr>
              <w:t xml:space="preserve"> Schönherr 1826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Macrodactylus subspinosus</w:t>
            </w:r>
            <w:r>
              <w:rPr>
                <w:rFonts w:ascii="Helvetica" w:hAnsi="Helvetica" w:cs="Helvetica"/>
                <w:sz w:val="18"/>
                <w:szCs w:val="18"/>
              </w:rPr>
              <w:t xml:space="preserve"> Fabricius 1775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Adults </w:t>
            </w:r>
            <w:r>
              <w:rPr>
                <w:rFonts w:ascii="Helvetica" w:hAnsi="Helvetica" w:cs="Helvetica"/>
                <w:iCs/>
                <w:sz w:val="18"/>
                <w:szCs w:val="18"/>
              </w:rPr>
              <w:t xml:space="preserve">feed externally on </w:t>
            </w:r>
            <w:r>
              <w:rPr>
                <w:rFonts w:ascii="Helvetica" w:hAnsi="Helvetica" w:cs="Helvetica"/>
                <w:sz w:val="18"/>
                <w:szCs w:val="18"/>
              </w:rPr>
              <w:t>flowers, buds, foliage and fruits (OARDC 2008) and eggs of this species are laid in the soil (McLeod and Williams 1990).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Maladera orientalis </w:t>
            </w:r>
            <w:r>
              <w:rPr>
                <w:rFonts w:ascii="Helvetica" w:hAnsi="Helvetica" w:cs="Helvetica"/>
                <w:sz w:val="18"/>
                <w:szCs w:val="18"/>
              </w:rPr>
              <w:t>(Motschulsky 1857)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feed on the roots of grapevines while adults feed on the young shoots, leaves, and flowers of grapes (Zhang 2005).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Melalqus confertus</w:t>
            </w:r>
            <w:r>
              <w:rPr>
                <w:rFonts w:ascii="Helvetica" w:hAnsi="Helvetica" w:cs="Helvetica"/>
                <w:sz w:val="18"/>
                <w:szCs w:val="18"/>
              </w:rPr>
              <w:t xml:space="preserve"> LeConte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wood-boring beetle lays eggs in protected areas and emerging larvae bore into dead wood where they continue to feed (Flaherty </w:t>
            </w:r>
            <w:r>
              <w:rPr>
                <w:rFonts w:ascii="Helvetica" w:hAnsi="Helvetica" w:cs="Helvetica"/>
                <w:i/>
                <w:sz w:val="18"/>
                <w:szCs w:val="18"/>
              </w:rPr>
              <w:t>et al</w:t>
            </w:r>
            <w:r>
              <w:rPr>
                <w:rFonts w:ascii="Helvetica" w:hAnsi="Helvetica" w:cs="Helvetica"/>
                <w:sz w:val="18"/>
                <w:szCs w:val="18"/>
              </w:rPr>
              <w:t xml:space="preserve">.1992). During bud swell, adults feed on buds and bore into canes directly through buds or burrow into the canes at the bud axils destroying the bud and weakening the twig (Flaherty </w:t>
            </w:r>
            <w:r>
              <w:rPr>
                <w:rFonts w:ascii="Helvetica" w:hAnsi="Helvetica" w:cs="Helvetica"/>
                <w:i/>
                <w:sz w:val="18"/>
                <w:szCs w:val="18"/>
              </w:rPr>
              <w:t>et al</w:t>
            </w:r>
            <w:r>
              <w:rPr>
                <w:rFonts w:ascii="Helvetica" w:hAnsi="Helvetica" w:cs="Helvetica"/>
                <w:sz w:val="18"/>
                <w:szCs w:val="18"/>
              </w:rPr>
              <w:t xml:space="preserve">. 1992). Strong wind can cause infested canes to twist and break at feeding sites (Flaherty </w:t>
            </w:r>
            <w:r>
              <w:rPr>
                <w:rFonts w:ascii="Helvetica" w:hAnsi="Helvetica" w:cs="Helvetica"/>
                <w:i/>
                <w:sz w:val="18"/>
                <w:szCs w:val="18"/>
              </w:rPr>
              <w:t>et al</w:t>
            </w:r>
            <w:r>
              <w:rPr>
                <w:rFonts w:ascii="Helvetica" w:hAnsi="Helvetica" w:cs="Helvetica"/>
                <w:sz w:val="18"/>
                <w:szCs w:val="18"/>
              </w:rPr>
              <w:t>. 1992). Dormant canes are not preferred for adult feeding and larval boring, and therefore do not provide a pathway for this species.</w:t>
            </w:r>
          </w:p>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Melolontha melolontha</w:t>
            </w:r>
            <w:r>
              <w:rPr>
                <w:rFonts w:ascii="Helvetica" w:hAnsi="Helvetica" w:cs="Helvetica"/>
                <w:sz w:val="18"/>
                <w:szCs w:val="18"/>
              </w:rPr>
              <w:t xml:space="preserve"> Fabricius 1775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lays eggs in the soil (AgroAtlas 2009c) and larvae feed on roots and other underground plant parts (Bournier 1976).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Micrapate humeralis</w:t>
            </w:r>
            <w:r>
              <w:rPr>
                <w:rFonts w:ascii="Helvetica" w:hAnsi="Helvetica" w:cs="Helvetica"/>
                <w:sz w:val="18"/>
                <w:szCs w:val="18"/>
              </w:rPr>
              <w:t xml:space="preserve"> (Blanchárd 1851)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Bostrichids are associated with hardwoods, shrubs and woody vines (Booth </w:t>
            </w:r>
            <w:r>
              <w:rPr>
                <w:rFonts w:ascii="Helvetica" w:hAnsi="Helvetica" w:cs="Helvetica"/>
                <w:i/>
                <w:sz w:val="18"/>
                <w:szCs w:val="18"/>
              </w:rPr>
              <w:t>et al</w:t>
            </w:r>
            <w:r>
              <w:rPr>
                <w:rFonts w:ascii="Helvetica" w:hAnsi="Helvetica" w:cs="Helvetica"/>
                <w:sz w:val="18"/>
                <w:szCs w:val="18"/>
              </w:rPr>
              <w:t>. 1990). Eggs are laid in vine trunks and hatching larvae penetrate into the wood and construct a gallery in which they live and feed (Gonzalez 1983). These species overwinter as larvae, pupae and adults. Semi-hardwood dormant cuttings are not the preferred site for adult feeding and larval boring.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Micrapate scabrata</w:t>
            </w:r>
            <w:r>
              <w:rPr>
                <w:rFonts w:ascii="Helvetica" w:hAnsi="Helvetica" w:cs="Helvetica"/>
                <w:sz w:val="18"/>
                <w:szCs w:val="18"/>
              </w:rPr>
              <w:t xml:space="preserve"> (Erichson 1847)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Monolepta australis</w:t>
            </w:r>
            <w:r>
              <w:rPr>
                <w:rFonts w:ascii="Helvetica" w:hAnsi="Helvetica" w:cs="Helvetica"/>
                <w:sz w:val="18"/>
                <w:szCs w:val="18"/>
              </w:rPr>
              <w:t xml:space="preserve"> Jacoby 1882 [Coleoptera: Chrysomelidae]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Monolepta divisa</w:t>
            </w:r>
            <w:r>
              <w:rPr>
                <w:rFonts w:ascii="Helvetica" w:hAnsi="Helvetica" w:cs="Helvetica"/>
                <w:sz w:val="18"/>
                <w:szCs w:val="18"/>
              </w:rPr>
              <w:t xml:space="preserve"> Blackburn 1888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2"/>
              <w:spacing w:before="20" w:line="240" w:lineRule="atLeast"/>
              <w:jc w:val="left"/>
              <w:rPr>
                <w:rFonts w:ascii="Helvetica" w:hAnsi="Helvetica" w:cs="Helvetica"/>
                <w:i/>
                <w:iCs/>
                <w:sz w:val="18"/>
                <w:szCs w:val="18"/>
              </w:rPr>
            </w:pPr>
            <w:r>
              <w:rPr>
                <w:rFonts w:ascii="Helvetica" w:hAnsi="Helvetica" w:cs="Helvetica"/>
                <w:i/>
                <w:sz w:val="18"/>
                <w:szCs w:val="18"/>
              </w:rPr>
              <w:t>Naupactus l</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coloma</w:t>
            </w:r>
            <w:r>
              <w:rPr>
                <w:rFonts w:ascii="Helvetica" w:hAnsi="Helvetica" w:cs="Helvetica"/>
                <w:sz w:val="18"/>
                <w:szCs w:val="18"/>
              </w:rPr>
              <w:t xml:space="preserve"> Boheman 1840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Naupactus xanthographus</w:t>
            </w:r>
            <w:r>
              <w:rPr>
                <w:rFonts w:ascii="Helvetica" w:hAnsi="Helvetica" w:cs="Helvetica"/>
                <w:sz w:val="18"/>
                <w:szCs w:val="18"/>
              </w:rPr>
              <w:t xml:space="preserve"> Germar Sturm 1826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of this species damage the roots and adults feed on the foliage of grapevines (Gonzalez 1983).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Neoclytus caprea</w:t>
            </w:r>
            <w:r>
              <w:rPr>
                <w:rFonts w:ascii="Helvetica" w:hAnsi="Helvetica" w:cs="Helvetica"/>
                <w:sz w:val="18"/>
                <w:szCs w:val="18"/>
              </w:rPr>
              <w:t xml:space="preserve"> Say 1824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dead wood (Hovore 1983). Semi-hardwood dormant cuttings are not preferred sites for egg laying. Therefore, dormant cuttings do not provide a pathway for this species.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Neoterius mystax</w:t>
            </w:r>
            <w:r>
              <w:rPr>
                <w:rFonts w:ascii="Helvetica" w:hAnsi="Helvetica" w:cs="Helvetica"/>
                <w:sz w:val="18"/>
                <w:szCs w:val="18"/>
              </w:rPr>
              <w:t xml:space="preserve"> Blanchard 1851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opportunistic borer is found in trunks and branches of host plants (Gonzalez 1983). Bostrichids require hard wood for egg laying (Madge 2007). Semi-hardwood dormant cuttings are not preferred sites for egg laying and development.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Oides decempunctata</w:t>
            </w:r>
            <w:r>
              <w:rPr>
                <w:rFonts w:ascii="Helvetica" w:hAnsi="Helvetica" w:cs="Helvetica"/>
                <w:sz w:val="18"/>
                <w:szCs w:val="18"/>
              </w:rPr>
              <w:t xml:space="preserve"> Billberg 1808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 xml:space="preserve">Oides </w:t>
            </w:r>
            <w:r>
              <w:rPr>
                <w:rFonts w:ascii="Helvetica" w:hAnsi="Helvetica" w:cs="Helvetica"/>
                <w:sz w:val="18"/>
                <w:szCs w:val="18"/>
              </w:rPr>
              <w:t>species</w:t>
            </w:r>
            <w:r>
              <w:rPr>
                <w:rFonts w:ascii="Helvetica" w:hAnsi="Helvetica" w:cs="Helvetica"/>
                <w:i/>
                <w:sz w:val="18"/>
                <w:szCs w:val="18"/>
              </w:rPr>
              <w:t xml:space="preserve"> </w:t>
            </w:r>
            <w:r>
              <w:rPr>
                <w:rFonts w:ascii="Helvetica" w:hAnsi="Helvetica" w:cs="Helvetica"/>
                <w:sz w:val="18"/>
                <w:szCs w:val="18"/>
              </w:rPr>
              <w:t xml:space="preserve">lay eggs either in the soil or on the soil surface (Park </w:t>
            </w:r>
            <w:r>
              <w:rPr>
                <w:rFonts w:ascii="Helvetica" w:hAnsi="Helvetica" w:cs="Helvetica"/>
                <w:i/>
                <w:sz w:val="18"/>
                <w:szCs w:val="18"/>
              </w:rPr>
              <w:t>et al.</w:t>
            </w:r>
            <w:r>
              <w:rPr>
                <w:rFonts w:ascii="Helvetica" w:hAnsi="Helvetica" w:cs="Helvetica"/>
                <w:sz w:val="18"/>
                <w:szCs w:val="18"/>
              </w:rPr>
              <w:t xml:space="preserve"> 2001) or beneath the bark (Joshi and Gupta 1988). Chrysomelid adults and larvae feed on young foliage, flowers and roots (Booth </w:t>
            </w:r>
            <w:r>
              <w:rPr>
                <w:rFonts w:ascii="Helvetica" w:hAnsi="Helvetica" w:cs="Helvetica"/>
                <w:i/>
                <w:sz w:val="18"/>
                <w:szCs w:val="18"/>
              </w:rPr>
              <w:t>et al</w:t>
            </w:r>
            <w:r>
              <w:rPr>
                <w:rFonts w:ascii="Helvetica" w:hAnsi="Helvetica" w:cs="Helvetica"/>
                <w:sz w:val="18"/>
                <w:szCs w:val="18"/>
              </w:rPr>
              <w:t>. 1990). Therefore, root and foliage free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Oides scutellata</w:t>
            </w:r>
            <w:r>
              <w:rPr>
                <w:rFonts w:ascii="Helvetica" w:hAnsi="Helvetica" w:cs="Helvetica"/>
                <w:sz w:val="18"/>
                <w:szCs w:val="18"/>
              </w:rPr>
              <w:t xml:space="preserve"> Hope 1831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Orthorhinus cylindrirostris</w:t>
            </w:r>
            <w:r>
              <w:rPr>
                <w:rFonts w:ascii="Helvetica" w:hAnsi="Helvetica" w:cs="Helvetica"/>
                <w:sz w:val="18"/>
                <w:szCs w:val="18"/>
              </w:rPr>
              <w:t xml:space="preserve"> Schoenherr 1825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Orthorhinus klugi</w:t>
            </w:r>
            <w:r>
              <w:rPr>
                <w:rFonts w:ascii="Helvetica" w:hAnsi="Helvetica" w:cs="Helvetica"/>
                <w:sz w:val="18"/>
                <w:szCs w:val="18"/>
              </w:rPr>
              <w:t xml:space="preserve"> Boheman 1835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(Farquhar and Williams 2000)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Oryzaephilus surinamensis</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[Coleoptera: Silvanidae]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Otiorhynchus cribricollis</w:t>
            </w:r>
            <w:r>
              <w:rPr>
                <w:rFonts w:ascii="Helvetica" w:hAnsi="Helvetica" w:cs="Helvetica"/>
                <w:sz w:val="18"/>
                <w:szCs w:val="18"/>
              </w:rPr>
              <w:t xml:space="preserve"> Gyllenhal 1834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(Farquhar and Williams 2000)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Otiorhynchus rugosostriatus</w:t>
            </w:r>
            <w:r>
              <w:rPr>
                <w:rFonts w:ascii="Helvetica" w:hAnsi="Helvetica" w:cs="Helvetica"/>
                <w:sz w:val="18"/>
                <w:szCs w:val="18"/>
              </w:rPr>
              <w:t xml:space="preserve"> Goeze 1777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Otiorhynchus singularis</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s 1829 [Coleoptera: Curculionidae]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lays eggs at a shallow depth in the soil and hatching larvae feed on roots (Alford 2007). Adults of this species feed externally on buds (Alford 2007).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Otiorhynchus sulcatus</w:t>
            </w:r>
            <w:r>
              <w:rPr>
                <w:rFonts w:ascii="Helvetica" w:hAnsi="Helvetica" w:cs="Helvetica"/>
                <w:sz w:val="18"/>
                <w:szCs w:val="18"/>
              </w:rPr>
              <w:t xml:space="preserve"> Germar 1824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Paracotalpa ursina</w:t>
            </w:r>
            <w:r>
              <w:rPr>
                <w:rFonts w:ascii="Helvetica" w:hAnsi="Helvetica" w:cs="Helvetica"/>
                <w:sz w:val="18"/>
                <w:szCs w:val="18"/>
              </w:rPr>
              <w:t xml:space="preserve"> Horn 1867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is an external feeder of buds and very young shoots (Pimentel 2007).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Paraphloeostiba gayndahensis</w:t>
            </w:r>
            <w:r>
              <w:rPr>
                <w:rFonts w:ascii="Helvetica" w:hAnsi="Helvetica" w:cs="Helvetica"/>
                <w:sz w:val="18"/>
                <w:szCs w:val="18"/>
              </w:rPr>
              <w:t xml:space="preserve"> MacLeay 1873 [Coleoptera: Staphylinidae]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(Thayer 2001)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Pelidnota punctata</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Larvae of grapevine beetles feed and live in decaying hardwood stumps, roots and logs, and adults feed on foliage (Williams </w:t>
            </w:r>
            <w:r>
              <w:rPr>
                <w:rFonts w:ascii="Helvetica" w:hAnsi="Helvetica" w:cs="Helvetica"/>
                <w:i/>
                <w:sz w:val="18"/>
                <w:szCs w:val="18"/>
              </w:rPr>
              <w:t>et al</w:t>
            </w:r>
            <w:r>
              <w:rPr>
                <w:rFonts w:ascii="Helvetica" w:hAnsi="Helvetica" w:cs="Helvetica"/>
                <w:sz w:val="18"/>
                <w:szCs w:val="18"/>
              </w:rPr>
              <w:t>. 2011).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Peritelus sphaeroides</w:t>
            </w:r>
            <w:r>
              <w:rPr>
                <w:rFonts w:ascii="Helvetica" w:hAnsi="Helvetica" w:cs="Helvetica"/>
                <w:sz w:val="18"/>
                <w:szCs w:val="18"/>
              </w:rPr>
              <w:t xml:space="preserve"> (Germar 1824)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This bud weevil lays eggs in the soil and hatching larvae feed on roots. Adults attack buds, young foliage and flowers (Alford 2007).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Phlyctinus callosus</w:t>
            </w:r>
            <w:r>
              <w:rPr>
                <w:rFonts w:ascii="Helvetica" w:hAnsi="Helvetica" w:cs="Helvetica"/>
                <w:sz w:val="18"/>
                <w:szCs w:val="18"/>
              </w:rPr>
              <w:t xml:space="preserve"> Boheman 1834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(Farquhar and Williams 2000)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Phymatodes albicinctus</w:t>
            </w:r>
            <w:r>
              <w:rPr>
                <w:rFonts w:ascii="Helvetica" w:hAnsi="Helvetica" w:cs="Helvetica"/>
                <w:sz w:val="18"/>
                <w:szCs w:val="18"/>
              </w:rPr>
              <w:t xml:space="preserve"> Bates 1873 [Coleoptera: Cerambycidae]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Larvae of this species feed internally on woody parts of the grapevine (Luo </w:t>
            </w:r>
            <w:r>
              <w:rPr>
                <w:rFonts w:ascii="Helvetica" w:hAnsi="Helvetica" w:cs="Helvetica"/>
                <w:i/>
                <w:sz w:val="18"/>
                <w:szCs w:val="18"/>
              </w:rPr>
              <w:t>et al</w:t>
            </w:r>
            <w:r>
              <w:rPr>
                <w:rFonts w:ascii="Helvetica" w:hAnsi="Helvetica" w:cs="Helvetica"/>
                <w:sz w:val="18"/>
                <w:szCs w:val="18"/>
              </w:rPr>
              <w:t>. 2005).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Phymatodes mediofasciatus</w:t>
            </w:r>
            <w:r>
              <w:rPr>
                <w:rFonts w:ascii="Helvetica" w:hAnsi="Helvetica" w:cs="Helvetica"/>
                <w:sz w:val="18"/>
                <w:szCs w:val="18"/>
              </w:rPr>
              <w:t xml:space="preserve"> Pic 1933 [Coleoptera: Cerambycidae]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Larvae of this species feed internally on woody parts of the grapevine (Cherepanov 1991). Semi-hardwood dormant cuttings are not preferred sites for egg laying.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i/>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i/>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Popillia japonica</w:t>
            </w:r>
            <w:r>
              <w:rPr>
                <w:rFonts w:ascii="Helvetica" w:hAnsi="Helvetica" w:cs="Helvetica"/>
                <w:sz w:val="18"/>
                <w:szCs w:val="18"/>
              </w:rPr>
              <w:t xml:space="preserve"> Newman 1841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Scarabaeid larvae feed on plant roots and adults feed on foliage or flowers (Flaherty 1992 </w:t>
            </w:r>
            <w:r>
              <w:rPr>
                <w:rFonts w:ascii="Helvetica" w:hAnsi="Helvetica" w:cs="Helvetica"/>
                <w:i/>
                <w:sz w:val="18"/>
                <w:szCs w:val="18"/>
              </w:rPr>
              <w:t>et al.</w:t>
            </w:r>
            <w:r>
              <w:rPr>
                <w:rFonts w:ascii="Helvetica" w:hAnsi="Helvetica" w:cs="Helvetica"/>
                <w:sz w:val="18"/>
                <w:szCs w:val="18"/>
              </w:rPr>
              <w:t xml:space="preserve">). </w:t>
            </w:r>
            <w:r>
              <w:rPr>
                <w:rFonts w:ascii="Helvetica" w:hAnsi="Helvetica" w:cs="Helvetica"/>
                <w:i/>
                <w:iCs/>
                <w:sz w:val="18"/>
                <w:szCs w:val="18"/>
              </w:rPr>
              <w:t>Popillia</w:t>
            </w:r>
            <w:r>
              <w:rPr>
                <w:rFonts w:ascii="Helvetica" w:hAnsi="Helvetica" w:cs="Helvetica"/>
                <w:sz w:val="18"/>
                <w:szCs w:val="18"/>
              </w:rPr>
              <w:t xml:space="preserve"> species lay eggs in the soil and emerging larvae feed on the roots (Zhang 2005; </w:t>
            </w:r>
            <w:r>
              <w:rPr>
                <w:rFonts w:ascii="Helvetica" w:hAnsi="Helvetica" w:cs="Helvetica"/>
                <w:iCs/>
                <w:sz w:val="18"/>
                <w:szCs w:val="18"/>
                <w:lang w:eastAsia="en-AU"/>
              </w:rPr>
              <w:t xml:space="preserve">EPPO 2006, Tan </w:t>
            </w:r>
            <w:r>
              <w:rPr>
                <w:rFonts w:ascii="Helvetica" w:hAnsi="Helvetica" w:cs="Helvetica"/>
                <w:i/>
                <w:iCs/>
                <w:sz w:val="18"/>
                <w:szCs w:val="18"/>
                <w:lang w:eastAsia="en-AU"/>
              </w:rPr>
              <w:t>et al</w:t>
            </w:r>
            <w:r>
              <w:rPr>
                <w:rFonts w:ascii="Helvetica" w:hAnsi="Helvetica" w:cs="Helvetica"/>
                <w:iCs/>
                <w:sz w:val="18"/>
                <w:szCs w:val="18"/>
                <w:lang w:eastAsia="en-AU"/>
              </w:rPr>
              <w:t>. 1998</w:t>
            </w:r>
            <w:r>
              <w:rPr>
                <w:rFonts w:ascii="Helvetica" w:hAnsi="Helvetica" w:cs="Helvetica"/>
                <w:sz w:val="18"/>
                <w:szCs w:val="18"/>
              </w:rPr>
              <w:t xml:space="preserve">). Feeding adults skeletonise plant leaves and can cause complete defoliation (Regniere </w:t>
            </w:r>
            <w:r>
              <w:rPr>
                <w:rFonts w:ascii="Helvetica" w:hAnsi="Helvetica" w:cs="Helvetica"/>
                <w:i/>
                <w:sz w:val="18"/>
                <w:szCs w:val="18"/>
              </w:rPr>
              <w:t>et al</w:t>
            </w:r>
            <w:r>
              <w:rPr>
                <w:rFonts w:ascii="Helvetica" w:hAnsi="Helvetica" w:cs="Helvetica"/>
                <w:sz w:val="18"/>
                <w:szCs w:val="18"/>
              </w:rPr>
              <w:t xml:space="preserve">. 1983). Therefore, foliage free and root free dormant cuttings do not provide a pathway for </w:t>
            </w:r>
            <w:r>
              <w:rPr>
                <w:rFonts w:ascii="Helvetica" w:hAnsi="Helvetica" w:cs="Helvetica"/>
                <w:i/>
                <w:sz w:val="18"/>
                <w:szCs w:val="18"/>
              </w:rPr>
              <w:t xml:space="preserve">Popollia </w:t>
            </w:r>
            <w:r>
              <w:rPr>
                <w:rFonts w:ascii="Helvetica" w:hAnsi="Helvetica" w:cs="Helvetica"/>
                <w:sz w:val="18"/>
                <w:szCs w:val="18"/>
              </w:rPr>
              <w:t>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Popillia mutans</w:t>
            </w:r>
            <w:r>
              <w:rPr>
                <w:rFonts w:ascii="Helvetica" w:hAnsi="Helvetica" w:cs="Helvetica"/>
                <w:sz w:val="18"/>
                <w:szCs w:val="18"/>
              </w:rPr>
              <w:t xml:space="preserve"> Newman 1838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vMerge/>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Popillia quadriguttata</w:t>
            </w:r>
            <w:r>
              <w:rPr>
                <w:rFonts w:ascii="Helvetica" w:hAnsi="Helvetica" w:cs="Helvetica"/>
                <w:sz w:val="18"/>
                <w:szCs w:val="18"/>
              </w:rPr>
              <w:t xml:space="preserve"> Fabricius 1787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Proagopertha lucidula</w:t>
            </w:r>
            <w:r>
              <w:rPr>
                <w:rFonts w:ascii="Helvetica" w:hAnsi="Helvetica" w:cs="Helvetica"/>
                <w:sz w:val="18"/>
                <w:szCs w:val="18"/>
              </w:rPr>
              <w:t xml:space="preserve"> Faldermann 1835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scarabaeid beetle lays eggs in the soil, larvae feed on roots and adults feed on leaves and flowers (Lee </w:t>
            </w:r>
            <w:r>
              <w:rPr>
                <w:rFonts w:ascii="Helvetica" w:hAnsi="Helvetica" w:cs="Helvetica"/>
                <w:i/>
                <w:sz w:val="18"/>
                <w:szCs w:val="18"/>
              </w:rPr>
              <w:t>et al</w:t>
            </w:r>
            <w:r>
              <w:rPr>
                <w:rFonts w:ascii="Helvetica" w:hAnsi="Helvetica" w:cs="Helvetica"/>
                <w:sz w:val="18"/>
                <w:szCs w:val="18"/>
              </w:rPr>
              <w:t>. 1973). Therefore, foliage free and root free dormant cuttings do not provide a pathway for this beetle.</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Protaetia brevitarsis</w:t>
            </w:r>
            <w:r>
              <w:rPr>
                <w:rFonts w:ascii="Helvetica" w:hAnsi="Helvetica" w:cs="Helvetica"/>
                <w:sz w:val="18"/>
                <w:szCs w:val="18"/>
              </w:rPr>
              <w:t xml:space="preserve"> Lewis 1879 [Coleoptera: Scarabaeidae]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feed on roots of grapevines while adults feed on buds, leaves, flowers and fruit of grapes (Zhang 2005). Therefore, foliage free and root free dormant cuttings do not provide a pathway for this beetle.</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Rhyparida dimidiate</w:t>
            </w:r>
            <w:r>
              <w:rPr>
                <w:rFonts w:ascii="Helvetica" w:hAnsi="Helvetica" w:cs="Helvetica"/>
                <w:sz w:val="18"/>
                <w:szCs w:val="18"/>
              </w:rPr>
              <w:t xml:space="preserve"> Baly 1861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Rhyparida polymorpha</w:t>
            </w:r>
            <w:r>
              <w:rPr>
                <w:rFonts w:ascii="Helvetica" w:hAnsi="Helvetica" w:cs="Helvetica"/>
                <w:sz w:val="18"/>
                <w:szCs w:val="18"/>
              </w:rPr>
              <w:t xml:space="preserve"> Lea 1915 [Coleoptera: Chrysomelidae]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(AFD 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Scelodonta brevipilis</w:t>
            </w:r>
            <w:r>
              <w:rPr>
                <w:rFonts w:ascii="Helvetica" w:hAnsi="Helvetica" w:cs="Helvetica"/>
                <w:sz w:val="18"/>
                <w:szCs w:val="18"/>
              </w:rPr>
              <w:t xml:space="preserve"> Lea 1915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Scelodonta lewisii</w:t>
            </w:r>
            <w:r>
              <w:rPr>
                <w:rFonts w:ascii="Helvetica" w:hAnsi="Helvetica" w:cs="Helvetica"/>
                <w:sz w:val="18"/>
                <w:szCs w:val="18"/>
              </w:rPr>
              <w:t xml:space="preserve"> Baly 1874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chrysomelid beetles damage the sprouting buds and also feed on tender shoots, pedicels, leaves and tendrils (Sun </w:t>
            </w:r>
            <w:r>
              <w:rPr>
                <w:rFonts w:ascii="Helvetica" w:hAnsi="Helvetica" w:cs="Helvetica"/>
                <w:i/>
                <w:sz w:val="18"/>
                <w:szCs w:val="18"/>
              </w:rPr>
              <w:t>et al</w:t>
            </w:r>
            <w:r>
              <w:rPr>
                <w:rFonts w:ascii="Helvetica" w:hAnsi="Helvetica" w:cs="Helvetica"/>
                <w:sz w:val="18"/>
                <w:szCs w:val="18"/>
              </w:rPr>
              <w:t xml:space="preserve">. 1992; NHB 2007). Therefore, foliage free dormant cuttings do not provide a pathway for these beetles.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Scelodonta strigicollis</w:t>
            </w:r>
            <w:r>
              <w:rPr>
                <w:rFonts w:ascii="Helvetica" w:hAnsi="Helvetica" w:cs="Helvetica"/>
                <w:sz w:val="18"/>
                <w:szCs w:val="18"/>
              </w:rPr>
              <w:t xml:space="preserve"> Motschulsky 1866 [Coleoptera: Chrysomelidae]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Sinoxylon perforans</w:t>
            </w:r>
            <w:r>
              <w:rPr>
                <w:rFonts w:ascii="Helvetica" w:hAnsi="Helvetica" w:cs="Helvetica"/>
                <w:sz w:val="18"/>
                <w:szCs w:val="18"/>
              </w:rPr>
              <w:t xml:space="preserve"> Schrank 1789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These species lay eggs into branches and emerging larvae tunnel into new shoots (Filip 1986; Moleas 1988). Adults are twig borers and feeds on shoots and branches and have a long life cycle. Therefore, dormant cuttings may harbour larvae and may provide a pathway for these bostrichids.</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These species occur naturally in temperate climates (Filip 1986; Moleas 1988) and would find both climatic conditions and host plants suitable for survival and establishment in Australia. Independent spread is facilitated by active flying (Fettig 2005). Therefore, these species have the potential to establish and spread in Australia.</w:t>
            </w:r>
          </w:p>
          <w:p>
            <w:pPr>
              <w:spacing w:before="20" w:line="240" w:lineRule="atLeast"/>
              <w:jc w:val="left"/>
              <w:rPr>
                <w:rFonts w:ascii="Helvetica" w:hAnsi="Helvetica" w:cs="Helvetica"/>
                <w:sz w:val="18"/>
                <w:szCs w:val="18"/>
              </w:rPr>
            </w:pPr>
          </w:p>
        </w:tc>
        <w:tc>
          <w:tcPr>
            <w:tcW w:w="2880" w:type="dxa"/>
            <w:gridSpan w:val="2"/>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iCs/>
                <w:sz w:val="18"/>
                <w:szCs w:val="18"/>
              </w:rPr>
              <w:t>Sinoxylon perforans</w:t>
            </w:r>
            <w:r>
              <w:rPr>
                <w:rFonts w:ascii="Helvetica" w:hAnsi="Helvetica" w:cs="Helvetica"/>
                <w:sz w:val="18"/>
                <w:szCs w:val="18"/>
              </w:rPr>
              <w:t xml:space="preserve"> is recorded as infesting 30–40% of grapevines in Romania (Filip 1986) and is becoming a serious pest in Italy (Ragazzini 1996). </w:t>
            </w:r>
            <w:r>
              <w:rPr>
                <w:rFonts w:ascii="Helvetica" w:hAnsi="Helvetica" w:cs="Helvetica"/>
                <w:i/>
                <w:iCs/>
                <w:sz w:val="18"/>
                <w:szCs w:val="18"/>
              </w:rPr>
              <w:t>Sinoxylon sexdentatum</w:t>
            </w:r>
            <w:r>
              <w:rPr>
                <w:rFonts w:ascii="Helvetica" w:hAnsi="Helvetica" w:cs="Helvetica"/>
                <w:sz w:val="18"/>
                <w:szCs w:val="18"/>
              </w:rPr>
              <w:t xml:space="preserve"> has been recorded as causing severe infestations (28%) in a two year old vineyard in Italy (Moleas 1988). Therefore, these pests have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Sinoxylon sexdentatum</w:t>
            </w:r>
            <w:r>
              <w:rPr>
                <w:rFonts w:ascii="Helvetica" w:hAnsi="Helvetica" w:cs="Helvetica"/>
                <w:sz w:val="18"/>
                <w:szCs w:val="18"/>
              </w:rPr>
              <w:t xml:space="preserve"> Olivier 1790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80" w:type="dxa"/>
            <w:gridSpan w:val="2"/>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pStyle w:val="TableText2"/>
              <w:spacing w:before="20" w:line="240" w:lineRule="atLeast"/>
              <w:jc w:val="left"/>
              <w:rPr>
                <w:rFonts w:ascii="Helvetica" w:hAnsi="Helvetica" w:cs="Helvetica"/>
                <w:i/>
                <w:iCs/>
                <w:sz w:val="18"/>
                <w:szCs w:val="18"/>
              </w:rPr>
            </w:pPr>
            <w:r>
              <w:rPr>
                <w:rFonts w:ascii="Helvetica" w:hAnsi="Helvetica" w:cs="Helvetica"/>
                <w:i/>
                <w:sz w:val="18"/>
                <w:szCs w:val="18"/>
              </w:rPr>
              <w:t>Sitona discoid</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s</w:t>
            </w:r>
            <w:r>
              <w:rPr>
                <w:rFonts w:ascii="Helvetica" w:hAnsi="Helvetica" w:cs="Helvetica"/>
                <w:sz w:val="18"/>
                <w:szCs w:val="18"/>
              </w:rPr>
              <w:t xml:space="preserve"> Gyllenhal 1834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b/>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2"/>
              <w:spacing w:before="20" w:line="240" w:lineRule="atLeast"/>
              <w:jc w:val="left"/>
              <w:rPr>
                <w:rFonts w:ascii="Helvetica" w:hAnsi="Helvetica" w:cs="Helvetica"/>
                <w:sz w:val="18"/>
                <w:szCs w:val="18"/>
              </w:rPr>
            </w:pPr>
            <w:r>
              <w:rPr>
                <w:rFonts w:ascii="Helvetica" w:hAnsi="Helvetica" w:cs="Helvetica"/>
                <w:i/>
                <w:sz w:val="18"/>
                <w:szCs w:val="18"/>
              </w:rPr>
              <w:t>Stenygrinum quadrinotatum</w:t>
            </w:r>
            <w:r>
              <w:rPr>
                <w:rFonts w:ascii="Helvetica" w:hAnsi="Helvetica" w:cs="Helvetica"/>
                <w:sz w:val="18"/>
                <w:szCs w:val="18"/>
              </w:rPr>
              <w:t xml:space="preserve"> Bates 1873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Larvae of this species attack woody parts of grape plants as internal borers (Luo </w:t>
            </w:r>
            <w:r>
              <w:rPr>
                <w:rFonts w:ascii="Helvetica" w:hAnsi="Helvetica" w:cs="Helvetica"/>
                <w:i/>
                <w:sz w:val="18"/>
                <w:szCs w:val="18"/>
              </w:rPr>
              <w:t>et al</w:t>
            </w:r>
            <w:r>
              <w:rPr>
                <w:rFonts w:ascii="Helvetica" w:hAnsi="Helvetica" w:cs="Helvetica"/>
                <w:sz w:val="18"/>
                <w:szCs w:val="18"/>
              </w:rPr>
              <w:t>. 2005).Semi-hardwood dormant cuttings are not preferred sites for egg laying and development. Therefore, semi-hardwood dormant cuttings do not provide a pathway for this species.</w:t>
            </w:r>
          </w:p>
        </w:tc>
        <w:tc>
          <w:tcPr>
            <w:tcW w:w="2640" w:type="dxa"/>
            <w:tcBorders>
              <w:left w:val="single" w:sz="4" w:space="0" w:color="auto"/>
              <w:bottom w:val="single" w:sz="4" w:space="0" w:color="auto"/>
              <w:right w:val="single" w:sz="4" w:space="0" w:color="auto"/>
            </w:tcBorders>
            <w:shd w:val="clear" w:color="auto" w:fill="FFFFFF"/>
          </w:tcPr>
          <w:p>
            <w:pPr>
              <w:pStyle w:val="TableText2"/>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left w:val="single" w:sz="4" w:space="0" w:color="auto"/>
              <w:bottom w:val="single" w:sz="4" w:space="0" w:color="auto"/>
              <w:right w:val="single" w:sz="4" w:space="0" w:color="auto"/>
            </w:tcBorders>
            <w:shd w:val="clear" w:color="auto" w:fill="F2F2F2"/>
          </w:tcPr>
          <w:p>
            <w:pPr>
              <w:pStyle w:val="TableText2"/>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pStyle w:val="TableText2"/>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Trichoferus campestris</w:t>
            </w:r>
            <w:r>
              <w:rPr>
                <w:rFonts w:ascii="Helvetica" w:hAnsi="Helvetica" w:cs="Helvetica"/>
                <w:sz w:val="18"/>
                <w:szCs w:val="18"/>
              </w:rPr>
              <w:t xml:space="preserve"> Faldermann 1835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 timber borer that has been intercepted in dunnage (Iwata and Yamada 1990; Grebennikov </w:t>
            </w:r>
            <w:r>
              <w:rPr>
                <w:rFonts w:ascii="Helvetica" w:hAnsi="Helvetica" w:cs="Helvetica"/>
                <w:i/>
                <w:sz w:val="18"/>
                <w:szCs w:val="18"/>
              </w:rPr>
              <w:t>et al</w:t>
            </w:r>
            <w:r>
              <w:rPr>
                <w:rFonts w:ascii="Helvetica" w:hAnsi="Helvetica" w:cs="Helvetica"/>
                <w:sz w:val="18"/>
                <w:szCs w:val="18"/>
              </w:rPr>
              <w:t>. 2010). Borers require thick wood for egg laying and development (Goodwin 2005). Semi-hardwood dormant cuttings are not preferred sites for egg laying and development. Therefore, semi-hardwood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pStyle w:val="TableText2"/>
              <w:spacing w:before="20" w:line="240" w:lineRule="atLeast"/>
              <w:jc w:val="left"/>
              <w:rPr>
                <w:rFonts w:ascii="Helvetica" w:hAnsi="Helvetica" w:cs="Helvetica"/>
                <w:i/>
                <w:iCs/>
                <w:sz w:val="18"/>
                <w:szCs w:val="18"/>
              </w:rPr>
            </w:pPr>
            <w:r>
              <w:rPr>
                <w:rFonts w:ascii="Helvetica" w:hAnsi="Helvetica" w:cs="Helvetica"/>
                <w:i/>
                <w:sz w:val="18"/>
                <w:szCs w:val="18"/>
              </w:rPr>
              <w:t>Tristaria grouvellei</w:t>
            </w:r>
            <w:r>
              <w:rPr>
                <w:rFonts w:ascii="Helvetica" w:hAnsi="Helvetica" w:cs="Helvetica"/>
                <w:sz w:val="18"/>
                <w:szCs w:val="18"/>
              </w:rPr>
              <w:t xml:space="preserve"> Reitter 1878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Trogoxylon impressum</w:t>
            </w:r>
            <w:r>
              <w:rPr>
                <w:rFonts w:ascii="Helvetica" w:hAnsi="Helvetica" w:cs="Helvetica"/>
                <w:sz w:val="18"/>
                <w:szCs w:val="18"/>
              </w:rPr>
              <w:t xml:space="preserve"> Comolli 1837 [Coleoptera: Lyctidae]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Xyleborus cristatulus</w:t>
            </w:r>
            <w:r>
              <w:rPr>
                <w:rFonts w:ascii="Helvetica" w:hAnsi="Helvetica" w:cs="Helvetica"/>
                <w:sz w:val="18"/>
                <w:szCs w:val="18"/>
              </w:rPr>
              <w:t xml:space="preserve"> Schedl 1953 [Coleoptera: Curculionidae]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Scolytine beetles are associated with woody plant products (Luo </w:t>
            </w:r>
            <w:r>
              <w:rPr>
                <w:rFonts w:ascii="Helvetica" w:hAnsi="Helvetica" w:cs="Helvetica"/>
                <w:i/>
                <w:sz w:val="18"/>
                <w:szCs w:val="18"/>
              </w:rPr>
              <w:t>et al</w:t>
            </w:r>
            <w:r>
              <w:rPr>
                <w:rFonts w:ascii="Helvetica" w:hAnsi="Helvetica" w:cs="Helvetica"/>
                <w:sz w:val="18"/>
                <w:szCs w:val="18"/>
              </w:rPr>
              <w:t>. 2005). Semi-hardwood dormant cuttings are not preferred sites for egg laying and development. Therefore, semi-hardwood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Xylobosca bispinosa</w:t>
            </w:r>
            <w:r>
              <w:rPr>
                <w:rFonts w:ascii="Helvetica" w:hAnsi="Helvetica" w:cs="Helvetica"/>
                <w:sz w:val="18"/>
                <w:szCs w:val="18"/>
              </w:rPr>
              <w:t xml:space="preserve"> MacLeay 1872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Xylopsocus gibbicollis</w:t>
            </w:r>
            <w:r>
              <w:rPr>
                <w:rFonts w:ascii="Helvetica" w:hAnsi="Helvetica" w:cs="Helvetica"/>
                <w:sz w:val="18"/>
                <w:szCs w:val="18"/>
              </w:rPr>
              <w:t xml:space="preserve"> MacLeay 1872 [Coleoptera: Bostrichidae]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Xylotrechus pyrrhoderus</w:t>
            </w:r>
            <w:r>
              <w:rPr>
                <w:rFonts w:ascii="Helvetica" w:hAnsi="Helvetica" w:cs="Helvetica"/>
                <w:sz w:val="18"/>
                <w:szCs w:val="18"/>
              </w:rPr>
              <w:t xml:space="preserve"> Bates 1873 [Coleoptera: Cerambycidae]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Larvae bore into the roots, stems and branches of grapevines (Zhang 2005). Borers require thick wood for egg laying and development (Goodwin 2005). Semi-hardwood dormant cuttings are not preferred sites for egg laying and development. Therefore, semi-hardwood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Verdana" w:hAnsi="Verdana" w:cs="Helvetica"/>
                <w:b/>
                <w:bCs/>
                <w:sz w:val="18"/>
                <w:szCs w:val="18"/>
              </w:rPr>
            </w:pPr>
            <w:r>
              <w:rPr>
                <w:rFonts w:ascii="Verdana" w:hAnsi="Verdana" w:cs="Helvetica"/>
                <w:b/>
                <w:bCs/>
                <w:sz w:val="18"/>
                <w:szCs w:val="18"/>
              </w:rPr>
              <w:t>DERMAPTERA (earwigs)</w:t>
            </w:r>
          </w:p>
        </w:tc>
      </w:tr>
      <w:tr>
        <w:tc>
          <w:tcPr>
            <w:tcW w:w="3468" w:type="dxa"/>
            <w:tcBorders>
              <w:top w:val="single" w:sz="4" w:space="0" w:color="auto"/>
              <w:left w:val="single" w:sz="12" w:space="0" w:color="008000"/>
              <w:bottom w:val="single" w:sz="12" w:space="0" w:color="008000"/>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Forficula auricularia</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[Dermaptera: Forficulidae]</w:t>
            </w:r>
          </w:p>
        </w:tc>
        <w:tc>
          <w:tcPr>
            <w:tcW w:w="1680" w:type="dxa"/>
            <w:tcBorders>
              <w:top w:val="single" w:sz="4" w:space="0" w:color="auto"/>
              <w:left w:val="single" w:sz="4" w:space="0" w:color="auto"/>
              <w:bottom w:val="single" w:sz="12" w:space="0" w:color="008000"/>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(Weiss and McDonald 1998)</w:t>
            </w:r>
          </w:p>
        </w:tc>
        <w:tc>
          <w:tcPr>
            <w:tcW w:w="2640" w:type="dxa"/>
            <w:tcBorders>
              <w:top w:val="single" w:sz="4" w:space="0" w:color="auto"/>
              <w:left w:val="single" w:sz="4" w:space="0" w:color="auto"/>
              <w:bottom w:val="single" w:sz="12" w:space="0" w:color="008000"/>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12" w:space="0" w:color="008000"/>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12" w:space="0" w:color="008000"/>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12" w:space="0" w:color="008000"/>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Verdana" w:hAnsi="Verdana" w:cs="Helvetica"/>
                <w:b/>
                <w:bCs/>
                <w:sz w:val="18"/>
                <w:szCs w:val="18"/>
              </w:rPr>
            </w:pPr>
            <w:r>
              <w:rPr>
                <w:rFonts w:ascii="Verdana" w:hAnsi="Verdana" w:cs="Helvetica"/>
                <w:b/>
                <w:bCs/>
                <w:sz w:val="18"/>
                <w:szCs w:val="18"/>
              </w:rPr>
              <w:t>DIPTERA (flies)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Bactrocera dorsalis</w:t>
            </w:r>
            <w:r>
              <w:rPr>
                <w:rFonts w:ascii="Helvetica" w:hAnsi="Helvetica" w:cs="Helvetica"/>
                <w:sz w:val="18"/>
                <w:szCs w:val="18"/>
              </w:rPr>
              <w:t xml:space="preserve"> (Hendel 1912) [Diptera: Tephritidae]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damages fruit (White and Elson-Harris 1992). None of the life stages are associated with dormant cuttings; therefore this pest is not on the pathway. </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Bactrocera tryoni </w:t>
            </w:r>
            <w:r>
              <w:rPr>
                <w:rFonts w:ascii="Helvetica" w:hAnsi="Helvetica" w:cs="Helvetica"/>
                <w:sz w:val="18"/>
                <w:szCs w:val="18"/>
              </w:rPr>
              <w:t>Froggatt 1897 [Diptera: Tephritidae]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(Maliptail </w:t>
            </w:r>
            <w:r>
              <w:rPr>
                <w:rFonts w:ascii="Helvetica" w:hAnsi="Helvetica" w:cs="Helvetica"/>
                <w:i/>
                <w:iCs/>
                <w:sz w:val="18"/>
                <w:szCs w:val="18"/>
              </w:rPr>
              <w:t>et al</w:t>
            </w:r>
            <w:r>
              <w:rPr>
                <w:rFonts w:ascii="Helvetica" w:hAnsi="Helvetica" w:cs="Helvetica"/>
                <w:sz w:val="18"/>
                <w:szCs w:val="18"/>
              </w:rPr>
              <w:t>. 1996)</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Ceratitis capitata </w:t>
            </w:r>
            <w:r>
              <w:rPr>
                <w:rFonts w:ascii="Helvetica" w:hAnsi="Helvetica" w:cs="Helvetica"/>
                <w:sz w:val="18"/>
                <w:szCs w:val="18"/>
              </w:rPr>
              <w:t>Wiedemann 1824 [Diptera: Tephritidae]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(Smith </w:t>
            </w:r>
            <w:r>
              <w:rPr>
                <w:rFonts w:ascii="Helvetica" w:hAnsi="Helvetica" w:cs="Helvetica"/>
                <w:i/>
                <w:iCs/>
                <w:sz w:val="18"/>
                <w:szCs w:val="18"/>
              </w:rPr>
              <w:t>et al</w:t>
            </w:r>
            <w:r>
              <w:rPr>
                <w:rFonts w:ascii="Helvetica" w:hAnsi="Helvetica" w:cs="Helvetica"/>
                <w:sz w:val="18"/>
                <w:szCs w:val="18"/>
              </w:rPr>
              <w:t>. 1997)</w:t>
            </w:r>
            <w:r>
              <w:rPr>
                <w:rStyle w:val="FootnoteReference"/>
                <w:rFonts w:ascii="Helvetica" w:hAnsi="Helvetica" w:cs="Helvetica"/>
                <w:szCs w:val="18"/>
              </w:rPr>
              <w:footnoteReference w:id="7"/>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Ceratitis rosa</w:t>
            </w:r>
            <w:r>
              <w:rPr>
                <w:rFonts w:ascii="Helvetica" w:hAnsi="Helvetica" w:cs="Helvetica"/>
                <w:sz w:val="18"/>
                <w:szCs w:val="18"/>
              </w:rPr>
              <w:t xml:space="preserve"> Karsch 1887 [Diptera: Tephritidae]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This species damages fruits (White and Elson-Harris 1992; Smith </w:t>
            </w:r>
            <w:r>
              <w:rPr>
                <w:rFonts w:ascii="Helvetica" w:hAnsi="Helvetica" w:cs="Helvetica"/>
                <w:i/>
                <w:sz w:val="18"/>
                <w:szCs w:val="18"/>
              </w:rPr>
              <w:t>et al</w:t>
            </w:r>
            <w:r>
              <w:rPr>
                <w:rFonts w:ascii="Helvetica" w:hAnsi="Helvetica" w:cs="Helvetica"/>
                <w:sz w:val="18"/>
                <w:szCs w:val="18"/>
              </w:rPr>
              <w:t>. 1997). None of the life stages are associated with dormant cuttings; therefore this pest is not on the pathway.</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Contarinia johnsoni</w:t>
            </w:r>
            <w:r>
              <w:rPr>
                <w:rFonts w:ascii="Helvetica" w:hAnsi="Helvetica" w:cs="Helvetica"/>
                <w:sz w:val="18"/>
                <w:szCs w:val="18"/>
              </w:rPr>
              <w:t xml:space="preserve"> Felt 1909 [Diptera: Cecidomyiidae]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 G</w:t>
            </w:r>
            <w:r>
              <w:rPr>
                <w:rFonts w:ascii="Helvetica" w:hAnsi="Helvetica" w:cs="Helvetica"/>
                <w:sz w:val="18"/>
                <w:szCs w:val="18"/>
              </w:rPr>
              <w:t xml:space="preserve">rape blossom midges lay eggs in unopened grape flower buds and hatching larvae eat the inner portions of the flower (Williams </w:t>
            </w:r>
            <w:r>
              <w:rPr>
                <w:rFonts w:ascii="Helvetica" w:hAnsi="Helvetica" w:cs="Helvetica"/>
                <w:i/>
                <w:sz w:val="18"/>
                <w:szCs w:val="18"/>
              </w:rPr>
              <w:t>et al</w:t>
            </w:r>
            <w:r>
              <w:rPr>
                <w:rFonts w:ascii="Helvetica" w:hAnsi="Helvetica" w:cs="Helvetica"/>
                <w:sz w:val="18"/>
                <w:szCs w:val="18"/>
              </w:rPr>
              <w:t xml:space="preserve">. 2011). Therefore,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iCs/>
                <w:sz w:val="18"/>
                <w:szCs w:val="18"/>
                <w:lang w:val="de-DE"/>
              </w:rPr>
              <w:t xml:space="preserve">Drosophila melanogaster </w:t>
            </w:r>
            <w:r>
              <w:rPr>
                <w:rFonts w:ascii="Helvetica" w:hAnsi="Helvetica" w:cs="Helvetica"/>
                <w:sz w:val="18"/>
                <w:szCs w:val="18"/>
                <w:lang w:val="de-DE"/>
              </w:rPr>
              <w:t xml:space="preserve">Meigen 1830 [Diptera: Drosophilidae] </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keepNext/>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keepNext/>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keepNext/>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keepNext/>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Drosophila simulans </w:t>
            </w:r>
            <w:r>
              <w:rPr>
                <w:rFonts w:ascii="Helvetica" w:hAnsi="Helvetica" w:cs="Helvetica"/>
                <w:sz w:val="18"/>
                <w:szCs w:val="18"/>
              </w:rPr>
              <w:t>Sturtevant 1919 [Diptera: Drosophilidae]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Drosophila suzukii </w:t>
            </w:r>
            <w:r>
              <w:rPr>
                <w:rFonts w:ascii="Helvetica" w:hAnsi="Helvetica" w:cs="Helvetica"/>
                <w:sz w:val="18"/>
                <w:szCs w:val="18"/>
              </w:rPr>
              <w:t>matsumura 1931 [Diptera: Drosophilidae]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This species preferentially lays eggs on fully ripened fruits of host plants (Kanzawa 1936).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Lasioptera vitis</w:t>
            </w:r>
            <w:r>
              <w:rPr>
                <w:rFonts w:ascii="Helvetica" w:hAnsi="Helvetica" w:cs="Helvetica"/>
                <w:sz w:val="18"/>
                <w:szCs w:val="18"/>
              </w:rPr>
              <w:t xml:space="preserve"> Osten Sacken 1862 [Diptera: Cecidomyiidae]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Eggs are laid either on or in leaves, leaf petioles, tendrils or cluster stems, causing gall formation on these plant parts (Williams </w:t>
            </w:r>
            <w:r>
              <w:rPr>
                <w:rFonts w:ascii="Helvetica" w:hAnsi="Helvetica" w:cs="Helvetica"/>
                <w:i/>
                <w:sz w:val="18"/>
                <w:szCs w:val="18"/>
              </w:rPr>
              <w:t>et al</w:t>
            </w:r>
            <w:r>
              <w:rPr>
                <w:rFonts w:ascii="Helvetica" w:hAnsi="Helvetica" w:cs="Helvetica"/>
                <w:sz w:val="18"/>
                <w:szCs w:val="18"/>
              </w:rPr>
              <w:t>. 2011). The emerging larvae feed within the gall and later on larvae leave the galls, fall to the soil and pupate. Dormant cuttings are not egg laying sites for gall-forming flies and therefore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20" w:line="240" w:lineRule="atLeast"/>
              <w:jc w:val="left"/>
              <w:rPr>
                <w:rFonts w:ascii="Verdana" w:hAnsi="Verdana" w:cs="Helvetica"/>
                <w:b/>
                <w:bCs/>
                <w:sz w:val="18"/>
                <w:szCs w:val="18"/>
              </w:rPr>
            </w:pPr>
            <w:r>
              <w:rPr>
                <w:rFonts w:ascii="Verdana" w:hAnsi="Verdana" w:cs="Helvetica"/>
                <w:b/>
                <w:bCs/>
                <w:sz w:val="18"/>
                <w:szCs w:val="18"/>
              </w:rPr>
              <w:t>HEMIPTERA (aphids, leafhoppers, mealybugs, psyllids, scales, true bugs, whiteflies)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Acia lineatifrons</w:t>
            </w:r>
            <w:r>
              <w:rPr>
                <w:rFonts w:ascii="Helvetica" w:hAnsi="Helvetica" w:cs="Helvetica"/>
                <w:sz w:val="18"/>
                <w:szCs w:val="18"/>
              </w:rPr>
              <w:t xml:space="preserve"> Naude 1926 [Hemiptera]</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lays eggs on the underside of leaves (Marais 1997) and adults feed on leaves and suck sap from the phloem (Marais 1997). Therefore, foliage free dormant cuttings do not provide a pathway for this species.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Aleurolobus taeonabe</w:t>
            </w:r>
            <w:r>
              <w:rPr>
                <w:rFonts w:ascii="Helvetica" w:hAnsi="Helvetica" w:cs="Helvetica"/>
                <w:sz w:val="18"/>
                <w:szCs w:val="18"/>
              </w:rPr>
              <w:t xml:space="preserve"> (Kuwana 1911) [Hemiptera: Aleyrodidae]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Adults and nymphs suck plant juice from the leaves and grape berries (Li 2004).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Amblypelta lutescens lutescens</w:t>
            </w:r>
            <w:r>
              <w:rPr>
                <w:rFonts w:ascii="Helvetica" w:hAnsi="Helvetica" w:cs="Helvetica"/>
                <w:sz w:val="18"/>
                <w:szCs w:val="18"/>
              </w:rPr>
              <w:t xml:space="preserve"> Distant 1911 [Hemiptera: Coreidae]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Aonidiella aurantii</w:t>
            </w:r>
            <w:r>
              <w:rPr>
                <w:rFonts w:ascii="Helvetica" w:hAnsi="Helvetica" w:cs="Helvetica"/>
                <w:sz w:val="18"/>
                <w:szCs w:val="18"/>
              </w:rPr>
              <w:t xml:space="preserve"> Maskell 1879 [Hemiptera: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Aonidiella orientalis</w:t>
            </w:r>
            <w:r>
              <w:rPr>
                <w:rFonts w:ascii="Helvetica" w:hAnsi="Helvetica" w:cs="Helvetica"/>
                <w:sz w:val="18"/>
                <w:szCs w:val="18"/>
              </w:rPr>
              <w:t xml:space="preserve"> Newstead 1894 [Hemiptera: Diaspididae]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Aphis craccivora</w:t>
            </w:r>
            <w:r>
              <w:rPr>
                <w:rFonts w:ascii="Helvetica" w:hAnsi="Helvetica" w:cs="Helvetica"/>
                <w:sz w:val="18"/>
                <w:szCs w:val="18"/>
              </w:rPr>
              <w:t xml:space="preserve"> Koch 1854 [Hemiptera: Aphididae]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Aphis fabae</w:t>
            </w:r>
            <w:r>
              <w:rPr>
                <w:rFonts w:ascii="Helvetica" w:hAnsi="Helvetica" w:cs="Helvetica"/>
                <w:sz w:val="18"/>
                <w:szCs w:val="18"/>
              </w:rPr>
              <w:t xml:space="preserve"> Scopoli 1763 [Hemiptera: Aphididae]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aphid species overwinter as eggs on their primary hosts (Cammell 1981; Mackenzie and Dixon 1990; OHU 2010) and adults move to secondary hosts, in the summer months and attack the foliage, flowers and twigs of host plants (Mackenzie 1996; Liburd </w:t>
            </w:r>
            <w:r>
              <w:rPr>
                <w:rFonts w:ascii="Helvetica" w:hAnsi="Helvetica" w:cs="Helvetica"/>
                <w:i/>
                <w:sz w:val="18"/>
                <w:szCs w:val="18"/>
              </w:rPr>
              <w:t>et al</w:t>
            </w:r>
            <w:r>
              <w:rPr>
                <w:rFonts w:ascii="Helvetica" w:hAnsi="Helvetica" w:cs="Helvetica"/>
                <w:sz w:val="18"/>
                <w:szCs w:val="18"/>
              </w:rPr>
              <w:t>. 2004; Graham 2007). Therefore, foliage free dormant cuttings do not provide a pathway for these aphids.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Aphis illinoisensis </w:t>
            </w:r>
            <w:r>
              <w:rPr>
                <w:rFonts w:ascii="Helvetica" w:hAnsi="Helvetica" w:cs="Helvetica"/>
                <w:sz w:val="18"/>
                <w:szCs w:val="18"/>
              </w:rPr>
              <w:t>Shimer 1866 [Hemiptera: Aphididae]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Aphis spiraecola </w:t>
            </w:r>
            <w:r>
              <w:rPr>
                <w:rFonts w:ascii="Helvetica" w:hAnsi="Helvetica" w:cs="Helvetica"/>
                <w:sz w:val="18"/>
                <w:szCs w:val="18"/>
              </w:rPr>
              <w:t>Patch 1914 [Hemiptera: Aphididae]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Arboridia adanae</w:t>
            </w:r>
            <w:r>
              <w:rPr>
                <w:rFonts w:ascii="Helvetica" w:hAnsi="Helvetica" w:cs="Helvetica"/>
                <w:sz w:val="18"/>
                <w:szCs w:val="18"/>
              </w:rPr>
              <w:t xml:space="preserve"> Diabola 1957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leafhoppers feed on the leaf-mesophyll tissue of </w:t>
            </w:r>
            <w:r>
              <w:rPr>
                <w:rFonts w:ascii="Helvetica" w:hAnsi="Helvetica" w:cs="Helvetica"/>
                <w:i/>
                <w:sz w:val="18"/>
                <w:szCs w:val="18"/>
              </w:rPr>
              <w:t xml:space="preserve">Vitis </w:t>
            </w:r>
            <w:r>
              <w:rPr>
                <w:rFonts w:ascii="Helvetica" w:hAnsi="Helvetica" w:cs="Helvetica"/>
                <w:sz w:val="18"/>
                <w:szCs w:val="18"/>
              </w:rPr>
              <w:t xml:space="preserve">species (Bournier 1976). </w:t>
            </w:r>
            <w:r>
              <w:rPr>
                <w:rFonts w:ascii="Helvetica" w:hAnsi="Helvetica" w:cs="Helvetica"/>
                <w:i/>
                <w:sz w:val="18"/>
                <w:szCs w:val="18"/>
              </w:rPr>
              <w:t>Arboridia adanae</w:t>
            </w:r>
            <w:r>
              <w:rPr>
                <w:rFonts w:ascii="Helvetica" w:hAnsi="Helvetica" w:cs="Helvetica"/>
                <w:sz w:val="18"/>
                <w:szCs w:val="18"/>
              </w:rPr>
              <w:t xml:space="preserve"> eggs are laid on the leaves (Kharizanov 1969). Therefore, foliage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Arboridia apicalis</w:t>
            </w:r>
            <w:r>
              <w:rPr>
                <w:rFonts w:ascii="Helvetica" w:hAnsi="Helvetica" w:cs="Helvetica"/>
                <w:sz w:val="18"/>
                <w:szCs w:val="18"/>
              </w:rPr>
              <w:t xml:space="preserve"> Nawa 1913 [Hemiptera: Cicadellidae]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Arboridia hussaini</w:t>
            </w:r>
            <w:r>
              <w:rPr>
                <w:rFonts w:ascii="Helvetica" w:hAnsi="Helvetica" w:cs="Helvetica"/>
                <w:sz w:val="18"/>
                <w:szCs w:val="18"/>
              </w:rPr>
              <w:t xml:space="preserve"> Ghauri 1963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Arboridia Kermanshah</w:t>
            </w:r>
            <w:r>
              <w:rPr>
                <w:rFonts w:ascii="Helvetica" w:hAnsi="Helvetica" w:cs="Helvetica"/>
                <w:sz w:val="18"/>
                <w:szCs w:val="18"/>
              </w:rPr>
              <w:t xml:space="preserve"> Dlabola 1963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Arboridia viniferata</w:t>
            </w:r>
            <w:r>
              <w:rPr>
                <w:rFonts w:ascii="Helvetica" w:hAnsi="Helvetica" w:cs="Helvetica"/>
                <w:sz w:val="18"/>
                <w:szCs w:val="18"/>
              </w:rPr>
              <w:t xml:space="preserve"> Sohi &amp; Sandhu 1971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Aspidiotus destructor</w:t>
            </w:r>
            <w:r>
              <w:rPr>
                <w:rFonts w:ascii="Helvetica" w:hAnsi="Helvetica" w:cs="Helvetica"/>
                <w:sz w:val="18"/>
                <w:szCs w:val="18"/>
              </w:rPr>
              <w:t xml:space="preserve"> Signoret 1869 [Hemiptera: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Aspidiotus nerii </w:t>
            </w:r>
            <w:r>
              <w:rPr>
                <w:rFonts w:ascii="Helvetica" w:hAnsi="Helvetica" w:cs="Helvetica"/>
                <w:sz w:val="18"/>
                <w:szCs w:val="18"/>
              </w:rPr>
              <w:t xml:space="preserve">Bouché 1966 [Hemiptera: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Asterolecanium pustulans</w:t>
            </w:r>
            <w:r>
              <w:rPr>
                <w:rFonts w:ascii="Helvetica" w:hAnsi="Helvetica" w:cs="Helvetica"/>
                <w:sz w:val="18"/>
                <w:szCs w:val="18"/>
              </w:rPr>
              <w:t xml:space="preserve"> Cockerell 1892 [Hemiptera: Asterolecaniidae] (synonym: </w:t>
            </w:r>
            <w:r>
              <w:rPr>
                <w:rFonts w:ascii="Helvetica" w:hAnsi="Helvetica" w:cs="Helvetica"/>
                <w:i/>
                <w:sz w:val="18"/>
                <w:szCs w:val="18"/>
              </w:rPr>
              <w:t xml:space="preserve">Russellaspis pustulans pustulans </w:t>
            </w:r>
            <w:r>
              <w:rPr>
                <w:rFonts w:ascii="Helvetica" w:hAnsi="Helvetica" w:cs="Helvetica"/>
                <w:sz w:val="18"/>
                <w:szCs w:val="18"/>
              </w:rPr>
              <w:t>Cockerell)</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Oleander pit scale is found on the leaves, bark, stems and fruit of host plants (Hamon 1977), including grapevines (Ben-Dov </w:t>
            </w:r>
            <w:r>
              <w:rPr>
                <w:rFonts w:ascii="Helvetica" w:hAnsi="Helvetica" w:cs="Helvetica"/>
                <w:i/>
                <w:sz w:val="18"/>
                <w:szCs w:val="18"/>
              </w:rPr>
              <w:t>et al</w:t>
            </w:r>
            <w:r>
              <w:rPr>
                <w:rFonts w:ascii="Helvetica" w:hAnsi="Helvetica" w:cs="Helvetica"/>
                <w:sz w:val="18"/>
                <w:szCs w:val="18"/>
              </w:rPr>
              <w:t>. 2012). The severity of pit development around the scale is dependent on the susceptibility of host plants (Hamon 1977).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Balclutha</w:t>
            </w:r>
            <w:r>
              <w:rPr>
                <w:rFonts w:ascii="Helvetica" w:hAnsi="Helvetica" w:cs="Helvetica"/>
                <w:sz w:val="18"/>
                <w:szCs w:val="18"/>
              </w:rPr>
              <w:t xml:space="preserve"> </w:t>
            </w:r>
            <w:r>
              <w:rPr>
                <w:rFonts w:ascii="Helvetica" w:hAnsi="Helvetica" w:cs="Helvetica"/>
                <w:i/>
                <w:iCs/>
                <w:sz w:val="18"/>
                <w:szCs w:val="18"/>
              </w:rPr>
              <w:t>hebe</w:t>
            </w:r>
            <w:r>
              <w:rPr>
                <w:rFonts w:ascii="Helvetica" w:hAnsi="Helvetica" w:cs="Helvetica"/>
                <w:sz w:val="18"/>
                <w:szCs w:val="18"/>
              </w:rPr>
              <w:t xml:space="preserve"> Kirkaldy 1976</w:t>
            </w:r>
            <w:r>
              <w:rPr>
                <w:rFonts w:ascii="Helvetica" w:hAnsi="Helvetica" w:cs="Helvetica"/>
                <w:noProof/>
                <w:sz w:val="18"/>
                <w:szCs w:val="18"/>
              </w:rPr>
              <w:t xml:space="preserve"> [</w:t>
            </w:r>
            <w:r>
              <w:rPr>
                <w:rFonts w:ascii="Helvetica" w:hAnsi="Helvetica" w:cs="Helvetica"/>
                <w:sz w:val="18"/>
                <w:szCs w:val="18"/>
              </w:rPr>
              <w:t xml:space="preserve">Hemiptera: </w:t>
            </w:r>
            <w:r>
              <w:rPr>
                <w:rFonts w:ascii="Helvetica" w:hAnsi="Helvetica" w:cs="Helvetica"/>
                <w:noProof/>
                <w:sz w:val="18"/>
                <w:szCs w:val="18"/>
              </w:rPr>
              <w:t>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feeds and lays eggs on the leaves of host plants (Abu-Yaman 1967).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Ceroplastes rusci</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s 1758 [Hemiptera: 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Chrysomphalus aonidum</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[Hemiptera: Diaspididae]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Chrysomphalus dictyospermi</w:t>
            </w:r>
            <w:r>
              <w:rPr>
                <w:rFonts w:ascii="Helvetica" w:hAnsi="Helvetica" w:cs="Helvetica"/>
                <w:sz w:val="18"/>
                <w:szCs w:val="18"/>
              </w:rPr>
              <w:t xml:space="preserve"> Morgan 1889 [Hemiptera: Diaspididae]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Cicadella viridis</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often occurs in fens and marshes (Nickel and Remane 2002) and in vineyards (Mazzoni </w:t>
            </w:r>
            <w:r>
              <w:rPr>
                <w:rFonts w:ascii="Helvetica" w:hAnsi="Helvetica" w:cs="Helvetica"/>
                <w:i/>
                <w:sz w:val="18"/>
                <w:szCs w:val="18"/>
              </w:rPr>
              <w:t>et al</w:t>
            </w:r>
            <w:r>
              <w:rPr>
                <w:rFonts w:ascii="Helvetica" w:hAnsi="Helvetica" w:cs="Helvetica"/>
                <w:sz w:val="18"/>
                <w:szCs w:val="18"/>
              </w:rPr>
              <w:t>. 2001). This leafhopper species feeds on the leaves of host plants (Silverside 2006).  Therefore, foliage free dormant cuttings do not provide a pathway for this leafhopper.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Coccus hesperidum </w:t>
            </w:r>
            <w:r>
              <w:rPr>
                <w:rFonts w:ascii="Helvetica" w:hAnsi="Helvetica" w:cs="Helvetica"/>
                <w:sz w:val="18"/>
                <w:szCs w:val="18"/>
              </w:rPr>
              <w:t>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[Hemiptera: 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eastAsia="en-AU"/>
              </w:rPr>
            </w:pPr>
            <w:r>
              <w:rPr>
                <w:rFonts w:ascii="Helvetica" w:hAnsi="Helvetica" w:cs="Helvetica"/>
                <w:i/>
                <w:iCs/>
                <w:sz w:val="18"/>
                <w:szCs w:val="18"/>
                <w:lang w:eastAsia="en-AU"/>
              </w:rPr>
              <w:t>Colgar</w:t>
            </w:r>
            <w:r>
              <w:rPr>
                <w:rFonts w:ascii="Helvetica" w:hAnsi="Helvetica" w:cs="Helvetica"/>
                <w:sz w:val="18"/>
                <w:szCs w:val="18"/>
                <w:lang w:eastAsia="en-AU"/>
              </w:rPr>
              <w:t xml:space="preserve"> </w:t>
            </w:r>
            <w:r>
              <w:rPr>
                <w:rFonts w:ascii="Helvetica" w:hAnsi="Helvetica" w:cs="Helvetica"/>
                <w:i/>
                <w:iCs/>
                <w:sz w:val="18"/>
                <w:szCs w:val="18"/>
                <w:lang w:eastAsia="en-AU"/>
              </w:rPr>
              <w:t>peracutum</w:t>
            </w:r>
            <w:r>
              <w:rPr>
                <w:rFonts w:ascii="Helvetica" w:hAnsi="Helvetica" w:cs="Helvetica"/>
                <w:sz w:val="18"/>
                <w:szCs w:val="18"/>
                <w:lang w:eastAsia="en-AU"/>
              </w:rPr>
              <w:t xml:space="preserve"> Walker 1858 [</w:t>
            </w:r>
            <w:r>
              <w:rPr>
                <w:rFonts w:ascii="Helvetica" w:hAnsi="Helvetica" w:cs="Helvetica"/>
                <w:sz w:val="18"/>
                <w:szCs w:val="18"/>
              </w:rPr>
              <w:t xml:space="preserve">Hemiptera: </w:t>
            </w:r>
            <w:r>
              <w:rPr>
                <w:rFonts w:ascii="Helvetica" w:hAnsi="Helvetica" w:cs="Helvetica"/>
                <w:sz w:val="18"/>
                <w:szCs w:val="18"/>
                <w:lang w:eastAsia="en-AU"/>
              </w:rPr>
              <w:t>Flatidae]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eastAsia="en-AU"/>
              </w:rPr>
            </w:pPr>
            <w:r>
              <w:rPr>
                <w:rFonts w:ascii="Helvetica" w:hAnsi="Helvetica" w:cs="Helvetica"/>
                <w:i/>
                <w:iCs/>
                <w:sz w:val="18"/>
                <w:szCs w:val="18"/>
              </w:rPr>
              <w:t>Creontiades</w:t>
            </w:r>
            <w:r>
              <w:rPr>
                <w:rFonts w:ascii="Helvetica" w:hAnsi="Helvetica" w:cs="Helvetica"/>
                <w:sz w:val="18"/>
                <w:szCs w:val="18"/>
              </w:rPr>
              <w:t xml:space="preserve"> </w:t>
            </w:r>
            <w:r>
              <w:rPr>
                <w:rFonts w:ascii="Helvetica" w:hAnsi="Helvetica" w:cs="Helvetica"/>
                <w:i/>
                <w:iCs/>
                <w:sz w:val="18"/>
                <w:szCs w:val="18"/>
              </w:rPr>
              <w:t>dilutus</w:t>
            </w:r>
            <w:r>
              <w:rPr>
                <w:rFonts w:ascii="Helvetica" w:hAnsi="Helvetica" w:cs="Helvetica"/>
                <w:sz w:val="18"/>
                <w:szCs w:val="18"/>
              </w:rPr>
              <w:t xml:space="preserve"> Stal 1859 [Hemiptera: Miridae]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Daktulosphaira</w:t>
            </w:r>
            <w:r>
              <w:rPr>
                <w:rFonts w:ascii="Helvetica" w:hAnsi="Helvetica" w:cs="Helvetica"/>
                <w:sz w:val="18"/>
                <w:szCs w:val="18"/>
              </w:rPr>
              <w:t xml:space="preserve"> </w:t>
            </w:r>
            <w:r>
              <w:rPr>
                <w:rFonts w:ascii="Helvetica" w:hAnsi="Helvetica" w:cs="Helvetica"/>
                <w:i/>
                <w:iCs/>
                <w:sz w:val="18"/>
                <w:szCs w:val="18"/>
              </w:rPr>
              <w:t>vitifolii</w:t>
            </w:r>
            <w:r>
              <w:rPr>
                <w:rFonts w:ascii="Helvetica" w:hAnsi="Helvetica" w:cs="Helvetica"/>
                <w:sz w:val="18"/>
                <w:szCs w:val="18"/>
              </w:rPr>
              <w:t xml:space="preserve"> Fitch 1855 [Hemiptera: Phylloxeridae]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(Naumann 1993)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Diaspidiotus ancylus </w:t>
            </w:r>
            <w:r>
              <w:rPr>
                <w:rFonts w:ascii="Helvetica" w:hAnsi="Helvetica" w:cs="Helvetica"/>
                <w:noProof/>
                <w:sz w:val="18"/>
                <w:szCs w:val="18"/>
              </w:rPr>
              <w:t>Putnam 1878 [</w:t>
            </w:r>
            <w:r>
              <w:rPr>
                <w:rFonts w:ascii="Helvetica" w:hAnsi="Helvetica" w:cs="Helvetica"/>
                <w:sz w:val="18"/>
                <w:szCs w:val="18"/>
              </w:rPr>
              <w:t xml:space="preserve">Hemiptera: </w:t>
            </w:r>
            <w:r>
              <w:rPr>
                <w:rFonts w:ascii="Helvetica" w:hAnsi="Helvetica" w:cs="Helvetica"/>
                <w:noProof/>
                <w:sz w:val="18"/>
                <w:szCs w:val="18"/>
              </w:rPr>
              <w:t>Diaspididae]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lang w:val="en-US"/>
              </w:rPr>
              <w:t>Diaspidiotus</w:t>
            </w:r>
            <w:r>
              <w:rPr>
                <w:rFonts w:ascii="Helvetica" w:hAnsi="Helvetica" w:cs="Helvetica"/>
                <w:sz w:val="18"/>
                <w:szCs w:val="18"/>
                <w:lang w:val="en-US"/>
              </w:rPr>
              <w:t xml:space="preserve"> </w:t>
            </w:r>
            <w:r>
              <w:rPr>
                <w:rFonts w:ascii="Helvetica" w:hAnsi="Helvetica" w:cs="Helvetica"/>
                <w:i/>
                <w:iCs/>
                <w:sz w:val="18"/>
                <w:szCs w:val="18"/>
                <w:lang w:val="en-US"/>
              </w:rPr>
              <w:t>perniciosus</w:t>
            </w:r>
            <w:r>
              <w:rPr>
                <w:rFonts w:ascii="Helvetica" w:hAnsi="Helvetica" w:cs="Helvetica"/>
                <w:sz w:val="18"/>
                <w:szCs w:val="18"/>
                <w:lang w:val="en-US"/>
              </w:rPr>
              <w:t xml:space="preserve"> </w:t>
            </w:r>
            <w:r>
              <w:rPr>
                <w:rFonts w:ascii="Helvetica" w:hAnsi="Helvetica" w:cs="Helvetica"/>
                <w:sz w:val="18"/>
                <w:szCs w:val="18"/>
              </w:rPr>
              <w:t>(Comstock) Cockerell 1899</w:t>
            </w:r>
            <w:r>
              <w:rPr>
                <w:rFonts w:ascii="Helvetica" w:hAnsi="Helvetica" w:cs="Helvetica"/>
                <w:sz w:val="18"/>
                <w:szCs w:val="18"/>
                <w:lang w:val="en-US"/>
              </w:rPr>
              <w:t xml:space="preserve"> </w:t>
            </w:r>
            <w:r>
              <w:rPr>
                <w:rFonts w:ascii="Helvetica" w:hAnsi="Helvetica" w:cs="Helvetica"/>
                <w:sz w:val="18"/>
                <w:szCs w:val="18"/>
              </w:rPr>
              <w:t xml:space="preserve">[Hemiptera: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Diaspidiotus uvae</w:t>
            </w:r>
            <w:r>
              <w:rPr>
                <w:rFonts w:ascii="Helvetica" w:hAnsi="Helvetica" w:cs="Helvetica"/>
                <w:sz w:val="18"/>
                <w:szCs w:val="18"/>
              </w:rPr>
              <w:t xml:space="preserve"> Comstock 1881 [Hemiptera: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Grape scale is associated with two year old wood and spends most of its life under the protection of its waxy scale cover (Williams </w:t>
            </w:r>
            <w:r>
              <w:rPr>
                <w:rFonts w:ascii="Helvetica" w:hAnsi="Helvetica" w:cs="Helvetica"/>
                <w:i/>
                <w:sz w:val="18"/>
                <w:szCs w:val="18"/>
              </w:rPr>
              <w:t>et al</w:t>
            </w:r>
            <w:r>
              <w:rPr>
                <w:rFonts w:ascii="Helvetica" w:hAnsi="Helvetica" w:cs="Helvetica"/>
                <w:sz w:val="18"/>
                <w:szCs w:val="18"/>
              </w:rPr>
              <w:t>. 2011). Therefore, one year old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Dolycoris baccarum</w:t>
            </w:r>
            <w:r>
              <w:rPr>
                <w:rFonts w:ascii="Helvetica" w:hAnsi="Helvetica" w:cs="Helvetica"/>
                <w:sz w:val="18"/>
                <w:szCs w:val="18"/>
              </w:rPr>
              <w:t xml:space="preserve"> (Linnaeus 1758) [Hemiptera: Pentatomidae]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Nymphs and adults suck sap from young buds, leaves, young shoots and fruit of grapevines (Zhang 2005).  Therefore, foliage free dormant cuttings do not provide a pathway for this insect.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Draeculacephala minerva</w:t>
            </w:r>
            <w:r>
              <w:rPr>
                <w:rFonts w:ascii="Helvetica" w:hAnsi="Helvetica" w:cs="Helvetica"/>
                <w:sz w:val="18"/>
                <w:szCs w:val="18"/>
              </w:rPr>
              <w:t xml:space="preserve"> Ball 1927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Sharpshooters are xylophagous and feed on leaves, buds, shoots and stems of grapevine (Hill and Purcell 1997; Feil </w:t>
            </w:r>
            <w:r>
              <w:rPr>
                <w:rFonts w:ascii="Helvetica" w:hAnsi="Helvetica" w:cs="Helvetica"/>
                <w:i/>
                <w:sz w:val="18"/>
                <w:szCs w:val="18"/>
              </w:rPr>
              <w:t>et al</w:t>
            </w:r>
            <w:r>
              <w:rPr>
                <w:rFonts w:ascii="Helvetica" w:hAnsi="Helvetica" w:cs="Helvetica"/>
                <w:sz w:val="18"/>
                <w:szCs w:val="18"/>
              </w:rPr>
              <w:t>. 2000; Irvin and Hoddle 2005; Flint 2006). Egg masses are laid under the lower leaf epidermis of host plants (</w:t>
            </w:r>
            <w:r>
              <w:rPr>
                <w:rFonts w:ascii="Verdana" w:hAnsi="Verdana"/>
                <w:sz w:val="18"/>
                <w:szCs w:val="18"/>
              </w:rPr>
              <w:t>Bentley</w:t>
            </w:r>
            <w:r>
              <w:rPr>
                <w:rFonts w:ascii="Helvetica" w:hAnsi="Helvetica" w:cs="Helvetica"/>
                <w:sz w:val="18"/>
                <w:szCs w:val="18"/>
              </w:rPr>
              <w:t xml:space="preserve"> </w:t>
            </w:r>
            <w:r>
              <w:rPr>
                <w:rFonts w:ascii="Helvetica" w:hAnsi="Helvetica" w:cs="Helvetica"/>
                <w:i/>
                <w:sz w:val="18"/>
                <w:szCs w:val="18"/>
              </w:rPr>
              <w:t>et al</w:t>
            </w:r>
            <w:r>
              <w:rPr>
                <w:rFonts w:ascii="Helvetica" w:hAnsi="Helvetica" w:cs="Helvetica"/>
                <w:sz w:val="18"/>
                <w:szCs w:val="18"/>
              </w:rPr>
              <w:t>. 2008). Adults are mobile and are highly unlikely to remain on shoots and stems following harvest, while egg masses are not associated with shoots or stems. Therefore, foliage free dormant cuttings do not provide a pathway for this insect.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Dysdercus</w:t>
            </w:r>
            <w:r>
              <w:rPr>
                <w:rFonts w:ascii="Helvetica" w:hAnsi="Helvetica" w:cs="Helvetica"/>
                <w:sz w:val="18"/>
                <w:szCs w:val="18"/>
              </w:rPr>
              <w:t xml:space="preserve"> </w:t>
            </w:r>
            <w:r>
              <w:rPr>
                <w:rFonts w:ascii="Helvetica" w:hAnsi="Helvetica" w:cs="Helvetica"/>
                <w:i/>
                <w:iCs/>
                <w:sz w:val="18"/>
                <w:szCs w:val="18"/>
              </w:rPr>
              <w:t>sidae</w:t>
            </w:r>
            <w:r>
              <w:rPr>
                <w:rFonts w:ascii="Helvetica" w:hAnsi="Helvetica" w:cs="Helvetica"/>
                <w:sz w:val="18"/>
                <w:szCs w:val="18"/>
              </w:rPr>
              <w:t xml:space="preserve"> Montrouzier 1861 [Hemiptera: Pentatomidae]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(Naumann 1993)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Empoasca decipiens</w:t>
            </w:r>
            <w:r>
              <w:rPr>
                <w:rFonts w:ascii="Helvetica" w:hAnsi="Helvetica" w:cs="Helvetica"/>
                <w:sz w:val="18"/>
                <w:szCs w:val="18"/>
              </w:rPr>
              <w:t xml:space="preserve"> Paoli 1930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Empoasca</w:t>
            </w:r>
            <w:r>
              <w:rPr>
                <w:rFonts w:ascii="Helvetica" w:hAnsi="Helvetica" w:cs="Helvetica"/>
                <w:sz w:val="18"/>
                <w:szCs w:val="18"/>
              </w:rPr>
              <w:t xml:space="preserve"> leafhoppers lay eggs on leaves and adults feed on leaves (Boll and Herrmann 2001; Backus </w:t>
            </w:r>
            <w:r>
              <w:rPr>
                <w:rFonts w:ascii="Helvetica" w:hAnsi="Helvetica" w:cs="Helvetica"/>
                <w:i/>
                <w:sz w:val="18"/>
                <w:szCs w:val="18"/>
              </w:rPr>
              <w:t>et al</w:t>
            </w:r>
            <w:r>
              <w:rPr>
                <w:rFonts w:ascii="Helvetica" w:hAnsi="Helvetica" w:cs="Helvetica"/>
                <w:sz w:val="18"/>
                <w:szCs w:val="18"/>
              </w:rPr>
              <w:t>. 2005). Therefore, foliage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Empoasca fabae</w:t>
            </w:r>
            <w:r>
              <w:rPr>
                <w:rFonts w:ascii="Helvetica" w:hAnsi="Helvetica" w:cs="Helvetica"/>
                <w:sz w:val="18"/>
                <w:szCs w:val="18"/>
              </w:rPr>
              <w:t xml:space="preserve"> Harris 1841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Empoasca</w:t>
            </w:r>
            <w:r>
              <w:rPr>
                <w:rFonts w:ascii="Helvetica" w:hAnsi="Helvetica" w:cs="Helvetica"/>
                <w:sz w:val="18"/>
                <w:szCs w:val="18"/>
              </w:rPr>
              <w:t xml:space="preserve"> </w:t>
            </w:r>
            <w:r>
              <w:rPr>
                <w:rFonts w:ascii="Helvetica" w:hAnsi="Helvetica" w:cs="Helvetica"/>
                <w:i/>
                <w:iCs/>
                <w:sz w:val="18"/>
                <w:szCs w:val="18"/>
              </w:rPr>
              <w:t>punjabensis</w:t>
            </w:r>
            <w:r>
              <w:rPr>
                <w:rFonts w:ascii="Helvetica" w:hAnsi="Helvetica" w:cs="Helvetica"/>
                <w:sz w:val="18"/>
                <w:szCs w:val="18"/>
              </w:rPr>
              <w:t xml:space="preserve"> Singh-Pruthi 1940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Empoasca vitis</w:t>
            </w:r>
            <w:r>
              <w:rPr>
                <w:rFonts w:ascii="Helvetica" w:hAnsi="Helvetica" w:cs="Helvetica"/>
                <w:sz w:val="18"/>
                <w:szCs w:val="18"/>
              </w:rPr>
              <w:t xml:space="preserve"> Gothe 1875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bistrata</w:t>
            </w:r>
            <w:r>
              <w:rPr>
                <w:rFonts w:ascii="Helvetica" w:hAnsi="Helvetica" w:cs="Helvetica"/>
                <w:sz w:val="18"/>
                <w:szCs w:val="18"/>
              </w:rPr>
              <w:t xml:space="preserve"> McAtee 1920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Erythron</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ra</w:t>
            </w:r>
            <w:r>
              <w:rPr>
                <w:rFonts w:ascii="Helvetica" w:hAnsi="Helvetica" w:cs="Helvetica"/>
                <w:sz w:val="18"/>
                <w:szCs w:val="18"/>
              </w:rPr>
              <w:t xml:space="preserve"> leafhoppers lay eggs on foliage (MacGill 1932; Paxton and Thorvilson 1996) and feed primarily on the leaf (Martinson </w:t>
            </w:r>
            <w:r>
              <w:rPr>
                <w:rFonts w:ascii="Helvetica" w:hAnsi="Helvetica" w:cs="Helvetica"/>
                <w:i/>
                <w:sz w:val="18"/>
                <w:szCs w:val="18"/>
              </w:rPr>
              <w:t>et al</w:t>
            </w:r>
            <w:r>
              <w:rPr>
                <w:rFonts w:ascii="Helvetica" w:hAnsi="Helvetica" w:cs="Helvetica"/>
                <w:sz w:val="18"/>
                <w:szCs w:val="18"/>
              </w:rPr>
              <w:t>. 1997; Flint 2006). Therefore, foliage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calycula</w:t>
            </w:r>
            <w:r>
              <w:rPr>
                <w:rFonts w:ascii="Helvetica" w:hAnsi="Helvetica" w:cs="Helvetica"/>
                <w:sz w:val="18"/>
                <w:szCs w:val="18"/>
              </w:rPr>
              <w:t xml:space="preserve"> McAtee 1920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coloradensis</w:t>
            </w:r>
            <w:r>
              <w:rPr>
                <w:rFonts w:ascii="Helvetica" w:hAnsi="Helvetica" w:cs="Helvetica"/>
                <w:sz w:val="18"/>
                <w:szCs w:val="18"/>
              </w:rPr>
              <w:t xml:space="preserve"> Gillette 1892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comes</w:t>
            </w:r>
            <w:r>
              <w:rPr>
                <w:rFonts w:ascii="Helvetica" w:hAnsi="Helvetica" w:cs="Helvetica"/>
                <w:sz w:val="18"/>
                <w:szCs w:val="18"/>
              </w:rPr>
              <w:t xml:space="preserve"> Say 1825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elegantula</w:t>
            </w:r>
            <w:r>
              <w:rPr>
                <w:rFonts w:ascii="Helvetica" w:hAnsi="Helvetica" w:cs="Helvetica"/>
                <w:sz w:val="18"/>
                <w:szCs w:val="18"/>
              </w:rPr>
              <w:t xml:space="preserve"> Osborn 1828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pallidifrons</w:t>
            </w:r>
            <w:r>
              <w:rPr>
                <w:rFonts w:ascii="Helvetica" w:hAnsi="Helvetica" w:cs="Helvetica"/>
                <w:sz w:val="18"/>
                <w:szCs w:val="18"/>
              </w:rPr>
              <w:t xml:space="preserve"> Edwards 1924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tricincta</w:t>
            </w:r>
            <w:r>
              <w:rPr>
                <w:rFonts w:ascii="Helvetica" w:hAnsi="Helvetica" w:cs="Helvetica"/>
                <w:sz w:val="18"/>
                <w:szCs w:val="18"/>
              </w:rPr>
              <w:t xml:space="preserve"> Fitch 1851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variabilis</w:t>
            </w:r>
            <w:r>
              <w:rPr>
                <w:rFonts w:ascii="Helvetica" w:hAnsi="Helvetica" w:cs="Helvetica"/>
                <w:sz w:val="18"/>
                <w:szCs w:val="18"/>
              </w:rPr>
              <w:t xml:space="preserve"> Beamer 1929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vitifex</w:t>
            </w:r>
            <w:r>
              <w:rPr>
                <w:rFonts w:ascii="Helvetica" w:hAnsi="Helvetica" w:cs="Helvetica"/>
                <w:sz w:val="18"/>
                <w:szCs w:val="18"/>
              </w:rPr>
              <w:t xml:space="preserve"> Fitch 1856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vitis</w:t>
            </w:r>
            <w:r>
              <w:rPr>
                <w:rFonts w:ascii="Helvetica" w:hAnsi="Helvetica" w:cs="Helvetica"/>
                <w:sz w:val="18"/>
                <w:szCs w:val="18"/>
              </w:rPr>
              <w:t xml:space="preserve"> Harris 1831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Erythroneura</w:t>
            </w:r>
            <w:r>
              <w:rPr>
                <w:rFonts w:ascii="Helvetica" w:hAnsi="Helvetica" w:cs="Helvetica"/>
                <w:sz w:val="18"/>
                <w:szCs w:val="18"/>
              </w:rPr>
              <w:t xml:space="preserve"> </w:t>
            </w:r>
            <w:r>
              <w:rPr>
                <w:rFonts w:ascii="Helvetica" w:hAnsi="Helvetica" w:cs="Helvetica"/>
                <w:i/>
                <w:iCs/>
                <w:sz w:val="18"/>
                <w:szCs w:val="18"/>
              </w:rPr>
              <w:t>vulnerata</w:t>
            </w:r>
            <w:r>
              <w:rPr>
                <w:rFonts w:ascii="Helvetica" w:hAnsi="Helvetica" w:cs="Helvetica"/>
                <w:sz w:val="18"/>
                <w:szCs w:val="18"/>
              </w:rPr>
              <w:t xml:space="preserve"> Fitch 1851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Erythron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ra</w:t>
            </w:r>
            <w:r>
              <w:rPr>
                <w:rFonts w:ascii="Helvetica" w:hAnsi="Helvetica" w:cs="Helvetica"/>
                <w:sz w:val="18"/>
                <w:szCs w:val="18"/>
              </w:rPr>
              <w:t xml:space="preserve"> </w:t>
            </w:r>
            <w:r>
              <w:rPr>
                <w:rFonts w:ascii="Helvetica" w:hAnsi="Helvetica" w:cs="Helvetica"/>
                <w:i/>
                <w:iCs/>
                <w:sz w:val="18"/>
                <w:szCs w:val="18"/>
              </w:rPr>
              <w:t>ziczac</w:t>
            </w:r>
            <w:r>
              <w:rPr>
                <w:rFonts w:ascii="Helvetica" w:hAnsi="Helvetica" w:cs="Helvetica"/>
                <w:sz w:val="18"/>
                <w:szCs w:val="18"/>
              </w:rPr>
              <w:t xml:space="preserve"> Walsh 1862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Erthesina fullo</w:t>
            </w:r>
            <w:r>
              <w:rPr>
                <w:rFonts w:ascii="Helvetica" w:hAnsi="Helvetica" w:cs="Helvetica"/>
                <w:sz w:val="18"/>
                <w:szCs w:val="18"/>
              </w:rPr>
              <w:t xml:space="preserve"> (Thunberg 1783) [Hemiptera: Pentatomidae]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Nymphs and adults feed on young buds, leaves and young shoots of grapevines (Zhang 2005). Therefore, foliage free dormant cuttings do not provide a pathway for this insect.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eastAsia="en-AU"/>
              </w:rPr>
            </w:pPr>
            <w:r>
              <w:rPr>
                <w:rFonts w:ascii="Helvetica" w:hAnsi="Helvetica" w:cs="Helvetica"/>
                <w:i/>
                <w:iCs/>
                <w:sz w:val="18"/>
                <w:szCs w:val="18"/>
              </w:rPr>
              <w:t>Eulecanium</w:t>
            </w:r>
            <w:r>
              <w:rPr>
                <w:rFonts w:ascii="Helvetica" w:hAnsi="Helvetica" w:cs="Helvetica"/>
                <w:sz w:val="18"/>
                <w:szCs w:val="18"/>
              </w:rPr>
              <w:t xml:space="preserve"> </w:t>
            </w:r>
            <w:r>
              <w:rPr>
                <w:rFonts w:ascii="Helvetica" w:hAnsi="Helvetica" w:cs="Helvetica"/>
                <w:i/>
                <w:iCs/>
                <w:sz w:val="18"/>
                <w:szCs w:val="18"/>
              </w:rPr>
              <w:t>pruinosum</w:t>
            </w:r>
            <w:r>
              <w:rPr>
                <w:rFonts w:ascii="Helvetica" w:hAnsi="Helvetica" w:cs="Helvetica"/>
                <w:sz w:val="18"/>
                <w:szCs w:val="18"/>
              </w:rPr>
              <w:t xml:space="preserve"> Coquillet [Hemiptera: 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(Malipatil </w:t>
            </w:r>
            <w:r>
              <w:rPr>
                <w:rFonts w:ascii="Helvetica" w:hAnsi="Helvetica" w:cs="Helvetica"/>
                <w:i/>
                <w:iCs/>
                <w:sz w:val="18"/>
                <w:szCs w:val="18"/>
              </w:rPr>
              <w:t>et</w:t>
            </w:r>
            <w:r>
              <w:rPr>
                <w:rFonts w:ascii="Helvetica" w:hAnsi="Helvetica" w:cs="Helvetica"/>
                <w:sz w:val="18"/>
                <w:szCs w:val="18"/>
              </w:rPr>
              <w:t xml:space="preserve"> </w:t>
            </w:r>
            <w:r>
              <w:rPr>
                <w:rFonts w:ascii="Helvetica" w:hAnsi="Helvetica" w:cs="Helvetica"/>
                <w:i/>
                <w:iCs/>
                <w:sz w:val="18"/>
                <w:szCs w:val="18"/>
              </w:rPr>
              <w:t>al</w:t>
            </w:r>
            <w:r>
              <w:rPr>
                <w:rFonts w:ascii="Helvetica" w:hAnsi="Helvetica" w:cs="Helvetica"/>
                <w:sz w:val="18"/>
                <w:szCs w:val="18"/>
              </w:rPr>
              <w:t xml:space="preserve">. 1996)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Assessment not required </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Eulecanium</w:t>
            </w:r>
            <w:r>
              <w:rPr>
                <w:rFonts w:ascii="Helvetica" w:hAnsi="Helvetica" w:cs="Helvetica"/>
                <w:sz w:val="18"/>
                <w:szCs w:val="18"/>
              </w:rPr>
              <w:t xml:space="preserve"> </w:t>
            </w:r>
            <w:r>
              <w:rPr>
                <w:rFonts w:ascii="Helvetica" w:hAnsi="Helvetica" w:cs="Helvetica"/>
                <w:i/>
                <w:iCs/>
                <w:sz w:val="18"/>
                <w:szCs w:val="18"/>
              </w:rPr>
              <w:t>tiliae</w:t>
            </w:r>
            <w:r>
              <w:rPr>
                <w:rFonts w:ascii="Helvetica" w:hAnsi="Helvetica" w:cs="Helvetica"/>
                <w:sz w:val="18"/>
                <w:szCs w:val="18"/>
              </w:rPr>
              <w:t xml:space="preserve"> (Linnaeus 1758) [Hemiptera: 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(CSIRO 2005)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Euschistus</w:t>
            </w:r>
            <w:r>
              <w:rPr>
                <w:rFonts w:ascii="Helvetica" w:hAnsi="Helvetica" w:cs="Helvetica"/>
                <w:sz w:val="18"/>
                <w:szCs w:val="18"/>
              </w:rPr>
              <w:t xml:space="preserve"> </w:t>
            </w:r>
            <w:r>
              <w:rPr>
                <w:rFonts w:ascii="Helvetica" w:hAnsi="Helvetica" w:cs="Helvetica"/>
                <w:i/>
                <w:iCs/>
                <w:sz w:val="18"/>
                <w:szCs w:val="18"/>
              </w:rPr>
              <w:t>conspersus</w:t>
            </w:r>
            <w:r>
              <w:rPr>
                <w:rFonts w:ascii="Helvetica" w:hAnsi="Helvetica" w:cs="Helvetica"/>
                <w:sz w:val="18"/>
                <w:szCs w:val="18"/>
              </w:rPr>
              <w:t xml:space="preserve"> Uhler 1979 [Hemiptera: Pentatomidae]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w:t>
            </w:r>
            <w:r>
              <w:rPr>
                <w:rFonts w:ascii="Helvetica" w:hAnsi="Helvetica" w:cs="Helvetica"/>
                <w:b/>
                <w:sz w:val="18"/>
                <w:szCs w:val="18"/>
              </w:rPr>
              <w:t xml:space="preserve"> </w:t>
            </w:r>
            <w:r>
              <w:rPr>
                <w:rFonts w:ascii="Helvetica" w:hAnsi="Helvetica" w:cs="Helvetica"/>
                <w:sz w:val="18"/>
                <w:szCs w:val="18"/>
              </w:rPr>
              <w:t xml:space="preserve">Pentatomine stink bugs are mostly associated with fruits but also feed on stems and leaves (Weaver 1976; McPherson and McPherson 2000). This pest lays eggs on groundcover crops and occasionally on the leaves of host fruit trees (Borden and Madsen 1951). Therefore, foliage free dormant cuttings do not provide a pathway for this stink bug.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Ferrisia virgata </w:t>
            </w:r>
            <w:r>
              <w:rPr>
                <w:rFonts w:ascii="Helvetica" w:hAnsi="Helvetica" w:cs="Helvetica"/>
                <w:sz w:val="18"/>
                <w:szCs w:val="18"/>
              </w:rPr>
              <w:t>Cockerell 1893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(Naumann 1993)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Graphocephala atropunctata</w:t>
            </w:r>
            <w:r>
              <w:rPr>
                <w:rFonts w:ascii="Helvetica" w:hAnsi="Helvetica" w:cs="Helvetica"/>
                <w:sz w:val="18"/>
                <w:szCs w:val="18"/>
              </w:rPr>
              <w:t xml:space="preserve"> Signoret 1854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Sharpshooters are xylophagous and feed on leaves, buds, shoots and stems of grapevines (Hill and Purcell 1997; Feil </w:t>
            </w:r>
            <w:r>
              <w:rPr>
                <w:rFonts w:ascii="Helvetica" w:hAnsi="Helvetica" w:cs="Helvetica"/>
                <w:i/>
                <w:sz w:val="18"/>
                <w:szCs w:val="18"/>
              </w:rPr>
              <w:t>et al</w:t>
            </w:r>
            <w:r>
              <w:rPr>
                <w:rFonts w:ascii="Helvetica" w:hAnsi="Helvetica" w:cs="Helvetica"/>
                <w:sz w:val="18"/>
                <w:szCs w:val="18"/>
              </w:rPr>
              <w:t>. 2000; Irvin and Hoddle 2005; Flint 2006). Eggs are laid under the lower leaf epidermis (CABI 2012a). Adults are mobile and are highly unlikely to remain on shoots and stems following harvest, while egg masses are not associated with shoots or stems. Therefore, foliage free dormant cuttings do not provide a pathway for this insect.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Halyomorpha halys</w:t>
            </w:r>
            <w:r>
              <w:rPr>
                <w:rFonts w:ascii="Helvetica" w:hAnsi="Helvetica" w:cs="Helvetica"/>
                <w:sz w:val="18"/>
                <w:szCs w:val="18"/>
              </w:rPr>
              <w:t xml:space="preserve"> (Stål 1855) [Hemiptera: Pentatomidae]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Nymphs and adults suck sap from young buds, leaves, young shoots and fruit of grapevines (Zhang 2005). Therefore, foliage free dormant cuttings do not provide a pathway for this insect.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Heliococcus bohemicus</w:t>
            </w:r>
            <w:r>
              <w:rPr>
                <w:rFonts w:ascii="Helvetica" w:hAnsi="Helvetica" w:cs="Helvetica"/>
                <w:sz w:val="18"/>
                <w:szCs w:val="18"/>
              </w:rPr>
              <w:t xml:space="preserve"> Sulc 1912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feeds on the leaves of herbaceous plants and on the bark of woody plants (Ben-Dov </w:t>
            </w:r>
            <w:r>
              <w:rPr>
                <w:rFonts w:ascii="Helvetica" w:hAnsi="Helvetica" w:cs="Helvetica"/>
                <w:i/>
                <w:sz w:val="18"/>
                <w:szCs w:val="18"/>
              </w:rPr>
              <w:t>et al</w:t>
            </w:r>
            <w:r>
              <w:rPr>
                <w:rFonts w:ascii="Helvetica" w:hAnsi="Helvetica" w:cs="Helvetica"/>
                <w:sz w:val="18"/>
                <w:szCs w:val="18"/>
              </w:rPr>
              <w:t xml:space="preserve">. 2012). This insect has been recorded on the foliage of grapes (Zorloni </w:t>
            </w:r>
            <w:r>
              <w:rPr>
                <w:rFonts w:ascii="Helvetica" w:hAnsi="Helvetica" w:cs="Helvetica"/>
                <w:i/>
                <w:sz w:val="18"/>
                <w:szCs w:val="18"/>
              </w:rPr>
              <w:t>et al</w:t>
            </w:r>
            <w:r>
              <w:rPr>
                <w:rFonts w:ascii="Helvetica" w:hAnsi="Helvetica" w:cs="Helvetica"/>
                <w:sz w:val="18"/>
                <w:szCs w:val="18"/>
              </w:rPr>
              <w:t>. 2006). Therefore, foliage free dormant cuttings do not provide a pathway for this mealybug.</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Helopeltis antonii</w:t>
            </w:r>
            <w:r>
              <w:rPr>
                <w:rFonts w:ascii="Helvetica" w:hAnsi="Helvetica" w:cs="Helvetica"/>
                <w:sz w:val="18"/>
                <w:szCs w:val="18"/>
              </w:rPr>
              <w:t xml:space="preserve"> Signoret 1858 [Hemiptera: Miridae]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insect sucks the sap of young plants and the tender new growth of host plants (Siswanto </w:t>
            </w:r>
            <w:r>
              <w:rPr>
                <w:rFonts w:ascii="Helvetica" w:hAnsi="Helvetica" w:cs="Helvetica"/>
                <w:i/>
                <w:sz w:val="18"/>
                <w:szCs w:val="18"/>
              </w:rPr>
              <w:t>et al</w:t>
            </w:r>
            <w:r>
              <w:rPr>
                <w:rFonts w:ascii="Helvetica" w:hAnsi="Helvetica" w:cs="Helvetica"/>
                <w:sz w:val="18"/>
                <w:szCs w:val="18"/>
              </w:rPr>
              <w:t xml:space="preserve">. 2008). Tender shoots, leaves, petioles and immature fruits of new growth flushes are the sites of egg laying as well as feeding (Sundararaju and Babu 2000; Siswanto </w:t>
            </w:r>
            <w:r>
              <w:rPr>
                <w:rFonts w:ascii="Helvetica" w:hAnsi="Helvetica" w:cs="Helvetica"/>
                <w:i/>
                <w:sz w:val="18"/>
                <w:szCs w:val="18"/>
              </w:rPr>
              <w:t>et al</w:t>
            </w:r>
            <w:r>
              <w:rPr>
                <w:rFonts w:ascii="Helvetica" w:hAnsi="Helvetica" w:cs="Helvetica"/>
                <w:sz w:val="18"/>
                <w:szCs w:val="18"/>
              </w:rPr>
              <w:t>. 2008). Dormant cuttings are not the preferred site for egg laying and therefore do not provide a pathway for this insect.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iCs/>
                <w:sz w:val="18"/>
                <w:szCs w:val="18"/>
                <w:lang w:val="en-US"/>
              </w:rPr>
              <w:t>Hemiberlesia lataniae</w:t>
            </w:r>
            <w:r>
              <w:rPr>
                <w:rFonts w:ascii="Helvetica" w:hAnsi="Helvetica" w:cs="Helvetica"/>
                <w:sz w:val="18"/>
                <w:szCs w:val="18"/>
                <w:lang w:val="en-US"/>
              </w:rPr>
              <w:t xml:space="preserve"> Signoret 1869 </w:t>
            </w:r>
            <w:r>
              <w:rPr>
                <w:rFonts w:ascii="Helvetica" w:hAnsi="Helvetica" w:cs="Helvetica"/>
                <w:sz w:val="18"/>
                <w:szCs w:val="18"/>
              </w:rPr>
              <w:t xml:space="preserve">[Hemiptera: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Hemiberlesia rapax</w:t>
            </w:r>
            <w:r>
              <w:rPr>
                <w:rFonts w:ascii="Helvetica" w:hAnsi="Helvetica" w:cs="Helvetica"/>
                <w:sz w:val="18"/>
                <w:szCs w:val="18"/>
              </w:rPr>
              <w:t xml:space="preserve"> Comstock 1881 [Hemiptera: Diaspididae]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pct5" w:color="auto" w:fill="auto"/>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pct5" w:color="auto" w:fill="auto"/>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Homalodisca coagulata </w:t>
            </w:r>
            <w:r>
              <w:rPr>
                <w:rFonts w:ascii="Helvetica" w:hAnsi="Helvetica" w:cs="Helvetica"/>
                <w:sz w:val="18"/>
                <w:szCs w:val="18"/>
              </w:rPr>
              <w:t>Say 1832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Sharpshooters are xylophagous and feed on leaves, buds, shoots and stems of grapevine (Hill and Purcell 1997; Feil </w:t>
            </w:r>
            <w:r>
              <w:rPr>
                <w:rFonts w:ascii="Helvetica" w:hAnsi="Helvetica" w:cs="Helvetica"/>
                <w:i/>
                <w:sz w:val="18"/>
                <w:szCs w:val="18"/>
              </w:rPr>
              <w:t>et al</w:t>
            </w:r>
            <w:r>
              <w:rPr>
                <w:rFonts w:ascii="Helvetica" w:hAnsi="Helvetica" w:cs="Helvetica"/>
                <w:sz w:val="18"/>
                <w:szCs w:val="18"/>
              </w:rPr>
              <w:t>. 2000; Irvin and Hoddle 2005; Flint 2006). Eggs are laid under the lower leaf epidermis (CABI 2012a). Therefore, foliage free dormant cuttings do not provide a pathway for this insect.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pct5" w:color="auto" w:fill="auto"/>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pct5" w:color="auto" w:fill="auto"/>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Style w:val="Emphasis"/>
                <w:rFonts w:ascii="Helvetica" w:hAnsi="Helvetica" w:cs="Helvetica"/>
                <w:sz w:val="18"/>
                <w:szCs w:val="18"/>
              </w:rPr>
              <w:t>Hyalesthes obsoletus</w:t>
            </w:r>
            <w:r>
              <w:rPr>
                <w:rFonts w:ascii="Helvetica" w:hAnsi="Helvetica" w:cs="Helvetica"/>
                <w:sz w:val="18"/>
                <w:szCs w:val="18"/>
              </w:rPr>
              <w:t xml:space="preserve"> Signoret 1865 [Hemiptera: Cixiidae]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eggs and larvae of this species are associated with roots while adults feed on foliage (Riolo </w:t>
            </w:r>
            <w:r>
              <w:rPr>
                <w:rFonts w:ascii="Helvetica" w:hAnsi="Helvetica" w:cs="Helvetica"/>
                <w:i/>
                <w:sz w:val="18"/>
                <w:szCs w:val="18"/>
              </w:rPr>
              <w:t>et al</w:t>
            </w:r>
            <w:r>
              <w:rPr>
                <w:rFonts w:ascii="Helvetica" w:hAnsi="Helvetica" w:cs="Helvetica"/>
                <w:sz w:val="18"/>
                <w:szCs w:val="18"/>
              </w:rPr>
              <w:t xml:space="preserve">. 2007; Forte </w:t>
            </w:r>
            <w:r>
              <w:rPr>
                <w:rFonts w:ascii="Helvetica" w:hAnsi="Helvetica" w:cs="Helvetica"/>
                <w:i/>
                <w:sz w:val="18"/>
                <w:szCs w:val="18"/>
              </w:rPr>
              <w:t>et al</w:t>
            </w:r>
            <w:r>
              <w:rPr>
                <w:rFonts w:ascii="Helvetica" w:hAnsi="Helvetica" w:cs="Helvetica"/>
                <w:sz w:val="18"/>
                <w:szCs w:val="18"/>
              </w:rPr>
              <w:t>. 2010). Therefore, root and foliage free dormant cuttings do not provide a pathway for this planthopper.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pct5" w:color="auto" w:fill="auto"/>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pct5" w:color="auto" w:fill="auto"/>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Icerya palmeri</w:t>
            </w:r>
            <w:r>
              <w:rPr>
                <w:rFonts w:ascii="Helvetica" w:hAnsi="Helvetica" w:cs="Helvetica"/>
                <w:sz w:val="18"/>
                <w:szCs w:val="18"/>
              </w:rPr>
              <w:t xml:space="preserve"> Riley &amp; Howard 1890 </w:t>
            </w:r>
            <w:r>
              <w:rPr>
                <w:rFonts w:ascii="Helvetica" w:hAnsi="Helvetica" w:cs="Helvetica"/>
                <w:noProof/>
                <w:sz w:val="18"/>
                <w:szCs w:val="18"/>
              </w:rPr>
              <w:t>[</w:t>
            </w:r>
            <w:r>
              <w:rPr>
                <w:rFonts w:ascii="Helvetica" w:hAnsi="Helvetica" w:cs="Helvetica"/>
                <w:sz w:val="18"/>
                <w:szCs w:val="18"/>
              </w:rPr>
              <w:t xml:space="preserve">Hemiptera: </w:t>
            </w:r>
            <w:r>
              <w:rPr>
                <w:rFonts w:ascii="Helvetica" w:hAnsi="Helvetica" w:cs="Helvetica"/>
                <w:noProof/>
                <w:sz w:val="18"/>
                <w:szCs w:val="18"/>
              </w:rPr>
              <w:t>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w:t>
            </w:r>
            <w:r>
              <w:rPr>
                <w:rFonts w:ascii="Helvetica" w:hAnsi="Helvetica" w:cs="Helvetica"/>
                <w:i/>
                <w:sz w:val="18"/>
                <w:szCs w:val="18"/>
              </w:rPr>
              <w:t xml:space="preserve">Vitis </w:t>
            </w:r>
            <w:r>
              <w:rPr>
                <w:rFonts w:ascii="Helvetica" w:hAnsi="Helvetica" w:cs="Helvetica"/>
                <w:sz w:val="18"/>
                <w:szCs w:val="18"/>
              </w:rPr>
              <w:t>species</w:t>
            </w:r>
            <w:r>
              <w:rPr>
                <w:rFonts w:ascii="Helvetica" w:hAnsi="Helvetica" w:cs="Helvetica"/>
                <w:i/>
                <w:sz w:val="18"/>
                <w:szCs w:val="18"/>
              </w:rPr>
              <w:t xml:space="preserve"> </w:t>
            </w:r>
            <w:r>
              <w:rPr>
                <w:rFonts w:ascii="Helvetica" w:hAnsi="Helvetica" w:cs="Helvetica"/>
                <w:sz w:val="18"/>
                <w:szCs w:val="18"/>
              </w:rPr>
              <w:t>(Morales 1991). Other members of this genus lay eggs within an egg sac and crawlers move to and settle on the underside of the leaves. The older nymphs continue to feed but migrate to the larger twigs, and finally, as adults, they settle on the larger branches and trunk (Fasulo and Brooks 2010). Therefore, foliage free, semi-hardwood dormant cuttings do not provide a pathway for this scale.</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pct5" w:color="auto" w:fill="auto"/>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pct5" w:color="auto" w:fill="auto"/>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Icerya purchasi </w:t>
            </w:r>
            <w:r>
              <w:rPr>
                <w:rFonts w:ascii="Helvetica" w:hAnsi="Helvetica" w:cs="Helvetica"/>
                <w:sz w:val="18"/>
                <w:szCs w:val="18"/>
              </w:rPr>
              <w:t xml:space="preserve">Maskell 1878 [Hemiptera: Margarodidae]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(Naumann 1993)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Icerya seychellarum</w:t>
            </w:r>
            <w:r>
              <w:rPr>
                <w:rFonts w:ascii="Helvetica" w:hAnsi="Helvetica" w:cs="Helvetica"/>
                <w:sz w:val="18"/>
                <w:szCs w:val="18"/>
              </w:rPr>
              <w:t xml:space="preserve"> Westwood 1855 [Hemiptera: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(Smith </w:t>
            </w:r>
            <w:r>
              <w:rPr>
                <w:rFonts w:ascii="Helvetica" w:hAnsi="Helvetica" w:cs="Helvetica"/>
                <w:i/>
                <w:sz w:val="18"/>
                <w:szCs w:val="18"/>
              </w:rPr>
              <w:t>et al</w:t>
            </w:r>
            <w:r>
              <w:rPr>
                <w:rFonts w:ascii="Helvetica" w:hAnsi="Helvetica" w:cs="Helvetica"/>
                <w:sz w:val="18"/>
                <w:szCs w:val="18"/>
              </w:rPr>
              <w:t xml:space="preserve">. 1997)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Jacobiasca lybica</w:t>
            </w:r>
            <w:r>
              <w:rPr>
                <w:rFonts w:ascii="Helvetica" w:hAnsi="Helvetica" w:cs="Helvetica"/>
                <w:sz w:val="18"/>
                <w:szCs w:val="18"/>
              </w:rPr>
              <w:t xml:space="preserve"> Bergevin &amp; Zanon 1922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green leaf hopper lays eggs on the underside of leaves and adults are foliage feeders (Gonzalez-Andujar </w:t>
            </w:r>
            <w:r>
              <w:rPr>
                <w:rFonts w:ascii="Helvetica" w:hAnsi="Helvetica" w:cs="Helvetica"/>
                <w:i/>
                <w:sz w:val="18"/>
                <w:szCs w:val="18"/>
              </w:rPr>
              <w:t>et al</w:t>
            </w:r>
            <w:r>
              <w:rPr>
                <w:rFonts w:ascii="Helvetica" w:hAnsi="Helvetica" w:cs="Helvetica"/>
                <w:sz w:val="18"/>
                <w:szCs w:val="18"/>
              </w:rPr>
              <w:t>. 2006). Therefore, foliage free dormant cuttings do not provide a pathway for this plant hopper.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Lepidosaphes ulmi</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s 1758 [Hemiptera: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Cs/>
                <w:sz w:val="18"/>
                <w:szCs w:val="18"/>
              </w:rPr>
            </w:pPr>
            <w:r>
              <w:rPr>
                <w:rFonts w:ascii="Helvetica" w:hAnsi="Helvetica" w:cs="Helvetica"/>
                <w:i/>
                <w:iCs/>
                <w:sz w:val="18"/>
                <w:szCs w:val="18"/>
              </w:rPr>
              <w:t xml:space="preserve">Lygus lineolaris </w:t>
            </w:r>
            <w:r>
              <w:rPr>
                <w:rFonts w:ascii="Helvetica" w:hAnsi="Helvetica" w:cs="Helvetica"/>
                <w:iCs/>
                <w:sz w:val="18"/>
                <w:szCs w:val="18"/>
              </w:rPr>
              <w:t>(Palisot de Beauvois 1818) [Hemiptera: Miridae]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nymphs and adults feed on leaves and flowers of grapevines (Bostanian </w:t>
            </w:r>
            <w:r>
              <w:rPr>
                <w:rFonts w:ascii="Helvetica" w:hAnsi="Helvetica" w:cs="Helvetica"/>
                <w:i/>
                <w:sz w:val="18"/>
                <w:szCs w:val="18"/>
              </w:rPr>
              <w:t>et al</w:t>
            </w:r>
            <w:r>
              <w:rPr>
                <w:rFonts w:ascii="Helvetica" w:hAnsi="Helvetica" w:cs="Helvetica"/>
                <w:sz w:val="18"/>
                <w:szCs w:val="18"/>
              </w:rPr>
              <w:t>. 2003; Fl</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ry </w:t>
            </w:r>
            <w:r>
              <w:rPr>
                <w:rFonts w:ascii="Helvetica" w:hAnsi="Helvetica" w:cs="Helvetica"/>
                <w:i/>
                <w:sz w:val="18"/>
                <w:szCs w:val="18"/>
              </w:rPr>
              <w:t>et al</w:t>
            </w:r>
            <w:r>
              <w:rPr>
                <w:rFonts w:ascii="Helvetica" w:hAnsi="Helvetica" w:cs="Helvetica"/>
                <w:sz w:val="18"/>
                <w:szCs w:val="18"/>
              </w:rPr>
              <w:t xml:space="preserve">. 2006) from early spring until grape harvest (Bostanian </w:t>
            </w:r>
            <w:r>
              <w:rPr>
                <w:rFonts w:ascii="Helvetica" w:hAnsi="Helvetica" w:cs="Helvetica"/>
                <w:i/>
                <w:sz w:val="18"/>
                <w:szCs w:val="18"/>
              </w:rPr>
              <w:t>et al</w:t>
            </w:r>
            <w:r>
              <w:rPr>
                <w:rFonts w:ascii="Helvetica" w:hAnsi="Helvetica" w:cs="Helvetica"/>
                <w:sz w:val="18"/>
                <w:szCs w:val="18"/>
              </w:rPr>
              <w:t>. 2003). This bug overwinters in fallen plant litter, including dead leaves (Cleveland 1982; Wheeler and Stimmel 1988).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Lygus lucorum</w:t>
            </w:r>
            <w:r>
              <w:rPr>
                <w:rFonts w:ascii="Helvetica" w:hAnsi="Helvetica" w:cs="Helvetica"/>
                <w:sz w:val="18"/>
                <w:szCs w:val="18"/>
              </w:rPr>
              <w:t xml:space="preserve"> Meyer-Duer 1843 [Hemiptera: Miridae]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lays eggs on the tips of vegetative branches of host plants (Guo </w:t>
            </w:r>
            <w:r>
              <w:rPr>
                <w:rFonts w:ascii="Helvetica" w:hAnsi="Helvetica" w:cs="Helvetica"/>
                <w:i/>
                <w:sz w:val="18"/>
                <w:szCs w:val="18"/>
              </w:rPr>
              <w:t>et al</w:t>
            </w:r>
            <w:r>
              <w:rPr>
                <w:rFonts w:ascii="Helvetica" w:hAnsi="Helvetica" w:cs="Helvetica"/>
                <w:sz w:val="18"/>
                <w:szCs w:val="18"/>
              </w:rPr>
              <w:t xml:space="preserve">. 2005). Both nymphs and the adults damage young shoots and leaves causing withering and perforation in grapes (Lee </w:t>
            </w:r>
            <w:r>
              <w:rPr>
                <w:rFonts w:ascii="Helvetica" w:hAnsi="Helvetica" w:cs="Helvetica"/>
                <w:i/>
                <w:sz w:val="18"/>
                <w:szCs w:val="18"/>
              </w:rPr>
              <w:t>et al</w:t>
            </w:r>
            <w:r>
              <w:rPr>
                <w:rFonts w:ascii="Helvetica" w:hAnsi="Helvetica" w:cs="Helvetica"/>
                <w:sz w:val="18"/>
                <w:szCs w:val="18"/>
              </w:rPr>
              <w:t xml:space="preserve">. 2002; Liu </w:t>
            </w:r>
            <w:r>
              <w:rPr>
                <w:rFonts w:ascii="Helvetica" w:hAnsi="Helvetica" w:cs="Helvetica"/>
                <w:i/>
                <w:sz w:val="18"/>
                <w:szCs w:val="18"/>
              </w:rPr>
              <w:t>et al</w:t>
            </w:r>
            <w:r>
              <w:rPr>
                <w:rFonts w:ascii="Helvetica" w:hAnsi="Helvetica" w:cs="Helvetica"/>
                <w:sz w:val="18"/>
                <w:szCs w:val="18"/>
              </w:rPr>
              <w:t>. 2004).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Maconellicoccus hirsutus</w:t>
            </w:r>
            <w:r>
              <w:rPr>
                <w:rFonts w:ascii="Helvetica" w:hAnsi="Helvetica" w:cs="Helvetica"/>
                <w:sz w:val="18"/>
                <w:szCs w:val="18"/>
              </w:rPr>
              <w:t xml:space="preserve"> Green 1908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dococcidae]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(Gullan 2000)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Macrosiphum</w:t>
            </w:r>
            <w:r>
              <w:rPr>
                <w:rFonts w:ascii="Helvetica" w:hAnsi="Helvetica" w:cs="Helvetica"/>
                <w:sz w:val="18"/>
                <w:szCs w:val="18"/>
              </w:rPr>
              <w:t xml:space="preserve"> </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phorbiae</w:t>
            </w:r>
            <w:r>
              <w:rPr>
                <w:rFonts w:ascii="Helvetica" w:hAnsi="Helvetica" w:cs="Helvetica"/>
                <w:sz w:val="18"/>
                <w:szCs w:val="18"/>
              </w:rPr>
              <w:t xml:space="preserve"> Thomas 1778 [Hemiptera: Aphididae]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(Naumann 1993)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Magicicada septendecim</w:t>
            </w:r>
            <w:r>
              <w:rPr>
                <w:rFonts w:ascii="Helvetica" w:hAnsi="Helvetica" w:cs="Helvetica"/>
                <w:sz w:val="18"/>
                <w:szCs w:val="18"/>
              </w:rPr>
              <w:t xml:space="preserve"> (Linnaeus 1758) [Hemiptera: Cicadidae]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Adult females of cicadas injure grapevines by making ovipositional slits in the young canes. The canes then may break at the slits (Williams </w:t>
            </w:r>
            <w:r>
              <w:rPr>
                <w:rFonts w:ascii="Helvetica" w:hAnsi="Helvetica" w:cs="Helvetica"/>
                <w:i/>
                <w:sz w:val="18"/>
                <w:szCs w:val="18"/>
              </w:rPr>
              <w:t>et al</w:t>
            </w:r>
            <w:r>
              <w:rPr>
                <w:rFonts w:ascii="Helvetica" w:hAnsi="Helvetica" w:cs="Helvetica"/>
                <w:sz w:val="18"/>
                <w:szCs w:val="18"/>
              </w:rPr>
              <w:t>. 2011). Dormant cuttings are not preferred sites for egg laying and therefore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Magicicada cassinii</w:t>
            </w:r>
            <w:r>
              <w:rPr>
                <w:rFonts w:ascii="Helvetica" w:hAnsi="Helvetica" w:cs="Helvetica"/>
                <w:sz w:val="18"/>
                <w:szCs w:val="18"/>
              </w:rPr>
              <w:t xml:space="preserve"> (Fisher 1851) [Hemiptera: Cicadidae]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Magicicada septendecula</w:t>
            </w:r>
            <w:r>
              <w:rPr>
                <w:rFonts w:ascii="Helvetica" w:hAnsi="Helvetica" w:cs="Helvetica"/>
                <w:sz w:val="18"/>
                <w:szCs w:val="18"/>
              </w:rPr>
              <w:t xml:space="preserve"> Alexander &amp; Moore 1962 [Hemiptera: Cicadidae]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Margarodes brasiliensis </w:t>
            </w:r>
            <w:r>
              <w:rPr>
                <w:rFonts w:ascii="Helvetica" w:hAnsi="Helvetica" w:cs="Helvetica"/>
                <w:sz w:val="18"/>
                <w:szCs w:val="18"/>
              </w:rPr>
              <w:t>Wille 1922 [Hemiptera: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Adult ground pearls lay eggs in the vicinity of roots and hatching larvae feed on root tissues (de Klerk 2010). Pupation also occurs in the soil (de Klerk 1987; de Klerk 2010). Therefore, root free dormant cuttings do not provide a pathway for these ground pearls.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Margarodes capensis </w:t>
            </w:r>
            <w:r>
              <w:rPr>
                <w:rFonts w:ascii="Helvetica" w:hAnsi="Helvetica" w:cs="Helvetica"/>
                <w:sz w:val="18"/>
                <w:szCs w:val="18"/>
              </w:rPr>
              <w:t>Giard 1897 [Hemiptera: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Margarodes greeni</w:t>
            </w:r>
            <w:r>
              <w:rPr>
                <w:rFonts w:ascii="Helvetica" w:hAnsi="Helvetica" w:cs="Helvetica"/>
                <w:sz w:val="18"/>
                <w:szCs w:val="18"/>
              </w:rPr>
              <w:t xml:space="preserve"> Brain 1915 [Hemiptera: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Margarodes meridionalis</w:t>
            </w:r>
            <w:r>
              <w:rPr>
                <w:rFonts w:ascii="Helvetica" w:hAnsi="Helvetica" w:cs="Helvetica"/>
                <w:sz w:val="18"/>
                <w:szCs w:val="18"/>
              </w:rPr>
              <w:t xml:space="preserve"> Morrison 1927 [Hemiptera: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Margarodes prieskaensis </w:t>
            </w:r>
            <w:r>
              <w:rPr>
                <w:rFonts w:ascii="Helvetica" w:hAnsi="Helvetica" w:cs="Helvetica"/>
                <w:sz w:val="18"/>
                <w:szCs w:val="18"/>
              </w:rPr>
              <w:t>(Jakubski 1965) [Hemiptera: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Margarodes vitis</w:t>
            </w:r>
            <w:r>
              <w:rPr>
                <w:rFonts w:ascii="AGaramond-Regular" w:hAnsi="AGaramond-Regular" w:cs="AGaramond-Regular"/>
                <w:color w:val="000013"/>
                <w:sz w:val="23"/>
                <w:szCs w:val="23"/>
                <w:lang w:eastAsia="en-AU"/>
              </w:rPr>
              <w:t xml:space="preserve"> </w:t>
            </w:r>
            <w:r>
              <w:rPr>
                <w:rFonts w:ascii="Helvetica" w:hAnsi="Helvetica" w:cs="Helvetica"/>
                <w:iCs/>
                <w:sz w:val="18"/>
                <w:szCs w:val="18"/>
              </w:rPr>
              <w:t>(Philippi 1884)</w:t>
            </w:r>
            <w:r>
              <w:rPr>
                <w:rFonts w:ascii="Helvetica" w:hAnsi="Helvetica" w:cs="Helvetica"/>
                <w:i/>
                <w:iCs/>
                <w:sz w:val="18"/>
                <w:szCs w:val="18"/>
              </w:rPr>
              <w:t xml:space="preserve"> </w:t>
            </w:r>
            <w:r>
              <w:rPr>
                <w:rFonts w:ascii="Helvetica" w:hAnsi="Helvetica" w:cs="Helvetica"/>
                <w:sz w:val="18"/>
                <w:szCs w:val="18"/>
              </w:rPr>
              <w:t>[Hemiptera: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Margarodes vredendalensis</w:t>
            </w:r>
            <w:r>
              <w:rPr>
                <w:rFonts w:ascii="Helvetica" w:hAnsi="Helvetica" w:cs="Helvetica"/>
                <w:sz w:val="18"/>
                <w:szCs w:val="18"/>
              </w:rPr>
              <w:t xml:space="preserve"> De Klerk 1980 [Hemiptera: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Metcalfa pruinosa</w:t>
            </w:r>
            <w:r>
              <w:rPr>
                <w:rFonts w:ascii="Helvetica" w:hAnsi="Helvetica" w:cs="Helvetica"/>
                <w:sz w:val="18"/>
                <w:szCs w:val="18"/>
              </w:rPr>
              <w:t xml:space="preserve"> Say 1830 [Hemiptera: Flatidae]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Frosted moth-bugs lay eggs and overwinter in the corky parts of the bark or under the bark of host plants (Lucchi and Santini1993; Kahrer 2005). Therefore, semi-hardwood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Mictis profana</w:t>
            </w:r>
            <w:r>
              <w:rPr>
                <w:rFonts w:ascii="Helvetica" w:hAnsi="Helvetica" w:cs="Helvetica"/>
                <w:sz w:val="18"/>
                <w:szCs w:val="18"/>
              </w:rPr>
              <w:t xml:space="preserve"> Fabricius 1803 [Hemiptera: Coreidae]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Myzus</w:t>
            </w:r>
            <w:r>
              <w:rPr>
                <w:rFonts w:ascii="Helvetica" w:hAnsi="Helvetica" w:cs="Helvetica"/>
                <w:sz w:val="18"/>
                <w:szCs w:val="18"/>
              </w:rPr>
              <w:t xml:space="preserve"> </w:t>
            </w:r>
            <w:r>
              <w:rPr>
                <w:rFonts w:ascii="Helvetica" w:hAnsi="Helvetica" w:cs="Helvetica"/>
                <w:i/>
                <w:iCs/>
                <w:sz w:val="18"/>
                <w:szCs w:val="18"/>
              </w:rPr>
              <w:t>persicae</w:t>
            </w:r>
            <w:r>
              <w:rPr>
                <w:rFonts w:ascii="Helvetica" w:hAnsi="Helvetica" w:cs="Helvetica"/>
                <w:sz w:val="18"/>
                <w:szCs w:val="18"/>
              </w:rPr>
              <w:t xml:space="preserve"> Sulzer 1776 [Hemiptera: Aphididae]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iCs/>
                <w:sz w:val="18"/>
                <w:szCs w:val="18"/>
                <w:lang w:val="en-US"/>
              </w:rPr>
              <w:t xml:space="preserve">Nezara viridula </w:t>
            </w:r>
            <w:r>
              <w:rPr>
                <w:rFonts w:ascii="Helvetica" w:hAnsi="Helvetica" w:cs="Helvetica"/>
                <w:sz w:val="18"/>
                <w:szCs w:val="18"/>
                <w:lang w:val="en-US"/>
              </w:rPr>
              <w:t>Linna</w:t>
            </w:r>
            <w:smartTag w:uri="urn:schemas-microsoft-com:office:smarttags" w:element="PersonName">
              <w:r>
                <w:rPr>
                  <w:rFonts w:ascii="Helvetica" w:hAnsi="Helvetica" w:cs="Helvetica"/>
                  <w:sz w:val="18"/>
                  <w:szCs w:val="18"/>
                  <w:lang w:val="en-US"/>
                </w:rPr>
                <w:t>eu</w:t>
              </w:r>
            </w:smartTag>
            <w:r>
              <w:rPr>
                <w:rFonts w:ascii="Helvetica" w:hAnsi="Helvetica" w:cs="Helvetica"/>
                <w:sz w:val="18"/>
                <w:szCs w:val="18"/>
                <w:lang w:val="en-US"/>
              </w:rPr>
              <w:t>s 1758 [</w:t>
            </w:r>
            <w:r>
              <w:rPr>
                <w:rFonts w:ascii="Helvetica" w:hAnsi="Helvetica" w:cs="Helvetica"/>
                <w:sz w:val="18"/>
                <w:szCs w:val="18"/>
              </w:rPr>
              <w:t xml:space="preserve">Hemiptera: </w:t>
            </w:r>
            <w:r>
              <w:rPr>
                <w:rFonts w:ascii="Helvetica" w:hAnsi="Helvetica" w:cs="Helvetica"/>
                <w:sz w:val="18"/>
                <w:szCs w:val="18"/>
                <w:lang w:val="en-US"/>
              </w:rPr>
              <w:t>Aphididae]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(Smith </w:t>
            </w:r>
            <w:r>
              <w:rPr>
                <w:rFonts w:ascii="Helvetica" w:hAnsi="Helvetica" w:cs="Helvetica"/>
                <w:i/>
                <w:sz w:val="18"/>
                <w:szCs w:val="18"/>
              </w:rPr>
              <w:t>et al</w:t>
            </w:r>
            <w:r>
              <w:rPr>
                <w:rFonts w:ascii="Helvetica" w:hAnsi="Helvetica" w:cs="Helvetica"/>
                <w:sz w:val="18"/>
                <w:szCs w:val="18"/>
              </w:rPr>
              <w:t>. 1997)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Nipaecoccus viridis</w:t>
            </w:r>
            <w:r>
              <w:rPr>
                <w:rFonts w:ascii="Helvetica" w:hAnsi="Helvetica" w:cs="Helvetica"/>
                <w:sz w:val="18"/>
                <w:szCs w:val="18"/>
              </w:rPr>
              <w:t xml:space="preserve"> Newstead 1894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dococcidae]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(Gullan 2000)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Nysius ericae</w:t>
            </w:r>
            <w:r>
              <w:rPr>
                <w:rFonts w:ascii="Helvetica" w:hAnsi="Helvetica" w:cs="Helvetica"/>
                <w:sz w:val="18"/>
                <w:szCs w:val="18"/>
              </w:rPr>
              <w:t xml:space="preserve"> (Schilling 1829) [Hemiptera: Lygaeidae]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Nymphs and adults of </w:t>
            </w:r>
            <w:r>
              <w:rPr>
                <w:rFonts w:ascii="Helvetica" w:hAnsi="Helvetica" w:cs="Helvetica"/>
                <w:i/>
                <w:sz w:val="18"/>
                <w:szCs w:val="18"/>
              </w:rPr>
              <w:t xml:space="preserve">Nysius </w:t>
            </w:r>
            <w:r>
              <w:rPr>
                <w:rFonts w:ascii="Helvetica" w:hAnsi="Helvetica" w:cs="Helvetica"/>
                <w:sz w:val="18"/>
                <w:szCs w:val="18"/>
              </w:rPr>
              <w:t xml:space="preserve">species attack the leaves of host plants (Malipatil </w:t>
            </w:r>
            <w:r>
              <w:rPr>
                <w:rFonts w:ascii="Helvetica" w:hAnsi="Helvetica" w:cs="Helvetica"/>
                <w:i/>
                <w:sz w:val="18"/>
                <w:szCs w:val="18"/>
              </w:rPr>
              <w:t>et al</w:t>
            </w:r>
            <w:r>
              <w:rPr>
                <w:rFonts w:ascii="Helvetica" w:hAnsi="Helvetica" w:cs="Helvetica"/>
                <w:sz w:val="18"/>
                <w:szCs w:val="18"/>
              </w:rPr>
              <w:t xml:space="preserve">. 1996; Flint 2006). Adults suck sap from the leaves and fruits of host plants (Malipatil </w:t>
            </w:r>
            <w:r>
              <w:rPr>
                <w:rFonts w:ascii="Helvetica" w:hAnsi="Helvetica" w:cs="Helvetica"/>
                <w:i/>
                <w:sz w:val="18"/>
                <w:szCs w:val="18"/>
              </w:rPr>
              <w:t>et al</w:t>
            </w:r>
            <w:r>
              <w:rPr>
                <w:rFonts w:ascii="Helvetica" w:hAnsi="Helvetica" w:cs="Helvetica"/>
                <w:sz w:val="18"/>
                <w:szCs w:val="18"/>
              </w:rPr>
              <w:t>. 1996; Flint 2006). Therefore, foliage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Nysius niger</w:t>
            </w:r>
            <w:r>
              <w:rPr>
                <w:rFonts w:ascii="Helvetica" w:hAnsi="Helvetica" w:cs="Helvetica"/>
                <w:sz w:val="18"/>
                <w:szCs w:val="18"/>
              </w:rPr>
              <w:t xml:space="preserve"> Baker 1906 [Hemiptera: Lygaeidae]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Nysius raphanus</w:t>
            </w:r>
            <w:r>
              <w:rPr>
                <w:rFonts w:ascii="Helvetica" w:hAnsi="Helvetica" w:cs="Helvetica"/>
                <w:sz w:val="18"/>
                <w:szCs w:val="18"/>
              </w:rPr>
              <w:t xml:space="preserve"> Howard 1872 [Hemiptera: Lygaeidae]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Nysius vinitor</w:t>
            </w:r>
            <w:r>
              <w:rPr>
                <w:rFonts w:ascii="Helvetica" w:hAnsi="Helvetica" w:cs="Helvetica"/>
                <w:sz w:val="18"/>
                <w:szCs w:val="18"/>
              </w:rPr>
              <w:t xml:space="preserve"> Bergroth 1891 [Hemiptera: Lygaeidae]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(Naumann 1993)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Oxycarenus arctatus </w:t>
            </w:r>
            <w:r>
              <w:rPr>
                <w:rFonts w:ascii="Helvetica" w:hAnsi="Helvetica" w:cs="Helvetica"/>
                <w:sz w:val="18"/>
                <w:szCs w:val="18"/>
              </w:rPr>
              <w:t>Walker 1872 [Hemiptera: Oxycarenidae]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Parasaissetia nigra </w:t>
            </w:r>
            <w:r>
              <w:rPr>
                <w:rFonts w:ascii="Helvetica" w:hAnsi="Helvetica" w:cs="Helvetica"/>
                <w:sz w:val="18"/>
                <w:szCs w:val="18"/>
              </w:rPr>
              <w:t>Nietner 1861 [Hemiptera: 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Parlatoria oleae </w:t>
            </w:r>
            <w:r>
              <w:rPr>
                <w:rFonts w:ascii="Helvetica" w:hAnsi="Helvetica" w:cs="Helvetica"/>
                <w:sz w:val="18"/>
                <w:szCs w:val="18"/>
              </w:rPr>
              <w:t>Colvée 1880 [Hemiptera: Diaspididae]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Parthenolecanium corni</w:t>
            </w:r>
            <w:r>
              <w:rPr>
                <w:rFonts w:ascii="Helvetica" w:hAnsi="Helvetica" w:cs="Helvetica"/>
                <w:sz w:val="18"/>
                <w:szCs w:val="18"/>
              </w:rPr>
              <w:t xml:space="preserve"> Bouché 1844 [Hemiptera: 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Parthenolecanium pruinosum</w:t>
            </w:r>
            <w:r>
              <w:rPr>
                <w:rFonts w:ascii="Helvetica" w:hAnsi="Helvetica" w:cs="Helvetica"/>
                <w:sz w:val="18"/>
                <w:szCs w:val="18"/>
              </w:rPr>
              <w:t xml:space="preserve"> Coquillett 1891 [Hemiptera: 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(PHA 2001)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highlight w:val="yellow"/>
              </w:rPr>
            </w:pPr>
            <w:r>
              <w:rPr>
                <w:rFonts w:ascii="Helvetica" w:hAnsi="Helvetica" w:cs="Helvetica"/>
                <w:i/>
                <w:iCs/>
                <w:sz w:val="18"/>
                <w:szCs w:val="18"/>
              </w:rPr>
              <w:t>Perissopn</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mon ferox </w:t>
            </w:r>
            <w:r>
              <w:rPr>
                <w:rFonts w:ascii="Helvetica" w:hAnsi="Helvetica" w:cs="Helvetica"/>
                <w:sz w:val="18"/>
                <w:szCs w:val="18"/>
              </w:rPr>
              <w:t>Newstead 1900 [Hemiptera: Margarodidae]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lays eggs in the soil (Srivastava and Verghese 1985) and adults feed on fruit stalks, inflorescences and fruit (Srivastava 1997).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highlight w:val="yellow"/>
              </w:rPr>
            </w:pPr>
            <w:r>
              <w:rPr>
                <w:rFonts w:ascii="Helvetica" w:hAnsi="Helvetica" w:cs="Helvetica"/>
                <w:i/>
                <w:iCs/>
                <w:sz w:val="18"/>
                <w:szCs w:val="18"/>
              </w:rPr>
              <w:t xml:space="preserve">Pinnaspis strachani </w:t>
            </w:r>
            <w:r>
              <w:rPr>
                <w:rFonts w:ascii="Helvetica" w:hAnsi="Helvetica" w:cs="Helvetica"/>
                <w:sz w:val="18"/>
                <w:szCs w:val="18"/>
              </w:rPr>
              <w:t>Cooley 1899 [Hemiptera: Diaspididae]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(PHA 2001)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Planococcus citri </w:t>
            </w:r>
            <w:r>
              <w:rPr>
                <w:rFonts w:ascii="Helvetica" w:hAnsi="Helvetica" w:cs="Helvetica"/>
                <w:sz w:val="18"/>
                <w:szCs w:val="18"/>
              </w:rPr>
              <w:t>Risso 1813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(Gullan 2000)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Planococcus ficus</w:t>
            </w:r>
            <w:r>
              <w:rPr>
                <w:rFonts w:ascii="Helvetica" w:hAnsi="Helvetica" w:cs="Helvetica"/>
                <w:sz w:val="18"/>
                <w:szCs w:val="18"/>
              </w:rPr>
              <w:t xml:space="preserve"> Signoret 1875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The vine mealybug is capable of feeding on many different parts of grapevines, including trunks, canes, leaves, clusters and sometimes the roots (Bournier 1976; Fuchs 2007; Bentley </w:t>
            </w:r>
            <w:r>
              <w:rPr>
                <w:rFonts w:ascii="Helvetica" w:hAnsi="Helvetica" w:cs="Helvetica"/>
                <w:i/>
                <w:sz w:val="18"/>
                <w:szCs w:val="18"/>
              </w:rPr>
              <w:t>et al</w:t>
            </w:r>
            <w:r>
              <w:rPr>
                <w:rFonts w:ascii="Helvetica" w:hAnsi="Helvetica" w:cs="Helvetica"/>
                <w:sz w:val="18"/>
                <w:szCs w:val="18"/>
              </w:rPr>
              <w:t>. 2008). Therefore, dormant cuttings may provide a pathway for vine mealybugs.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i/>
                <w:sz w:val="18"/>
                <w:szCs w:val="18"/>
              </w:rPr>
              <w:t>Planococcus ficus</w:t>
            </w:r>
            <w:r>
              <w:rPr>
                <w:rFonts w:ascii="Helvetica" w:hAnsi="Helvetica" w:cs="Helvetica"/>
                <w:sz w:val="18"/>
                <w:szCs w:val="18"/>
              </w:rPr>
              <w:t xml:space="preserve"> is polyphagous and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(Walton and Pringle 2004) and can spread naturally in infested propagative material. (Haviland </w:t>
            </w:r>
            <w:r>
              <w:rPr>
                <w:rFonts w:ascii="Helvetica" w:hAnsi="Helvetica" w:cs="Helvetica"/>
                <w:i/>
                <w:sz w:val="18"/>
                <w:szCs w:val="18"/>
              </w:rPr>
              <w:t>et al</w:t>
            </w:r>
            <w:r>
              <w:rPr>
                <w:rFonts w:ascii="Helvetica" w:hAnsi="Helvetica" w:cs="Helvetica"/>
                <w:sz w:val="18"/>
                <w:szCs w:val="18"/>
              </w:rPr>
              <w:t>. 2005). Therefore, this species has the potential for establishment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This species is reported as one of the most important pests of grape industries in South Africa. It causes progressive weakening of vines through early leaf loss, which results in significant yield reduction. Therefore, vine mealybugs have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Planococcus lilacinus</w:t>
            </w:r>
            <w:r>
              <w:rPr>
                <w:rFonts w:ascii="Helvetica" w:hAnsi="Helvetica" w:cs="Helvetica"/>
                <w:sz w:val="18"/>
                <w:szCs w:val="18"/>
              </w:rPr>
              <w:t xml:space="preserve"> Cockerell 1905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Mealybugs may be concealed under the bark or may be spread over different parts of the host plant (Flint 2006). This mealybug has been intercepted on host cuttings (MacLeod 2006). Therefore, dormant cuttings may provide a pathway for this mealybug.</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Coffee mealybug is polyphagous (Ben-Dov 1994) and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(Williams 1982; Ben-Dov 1994). It can spread naturally in infested propagative material (Williams 1982) as it has been intercepted on host cuttings (MacLeod 2006). Therefore, coffee mealybug has the potential for establishment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This species causes damage to a wide variety of economically important crops. It is considered a potential threat to citrus, grapes, guavas and mangoes (Tandon and Verghese 1987; Cox 1989). This species causes severe damage to young trees by killing the tips of branches and roots of many economically important species</w:t>
            </w:r>
            <w:r>
              <w:rPr>
                <w:rFonts w:ascii="Helvetica" w:hAnsi="Helvetica" w:cs="Helvetica"/>
                <w:sz w:val="18"/>
                <w:szCs w:val="18"/>
                <w:lang w:eastAsia="en-AU"/>
              </w:rPr>
              <w:t xml:space="preserve"> </w:t>
            </w:r>
            <w:r>
              <w:rPr>
                <w:rFonts w:ascii="Helvetica" w:hAnsi="Helvetica" w:cs="Helvetica"/>
                <w:sz w:val="18"/>
                <w:szCs w:val="18"/>
              </w:rPr>
              <w:t>(Tandon and Verghese 1987). Therefore, it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Planococcus kraunhiae</w:t>
            </w:r>
            <w:r>
              <w:rPr>
                <w:rFonts w:ascii="Helvetica" w:hAnsi="Helvetica" w:cs="Helvetica"/>
                <w:sz w:val="18"/>
                <w:szCs w:val="18"/>
              </w:rPr>
              <w:t xml:space="preserve"> (Kuwana 1902) [Hemiptera: Pseudococcidae]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This mealybug is reported on grapes (Narai and Murai 2002) and is found on leaves and branches of grapes (NPQS 2007). Therefore, dormant cuttings may provide a pathway for this mealybug.</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mealybug is polyphagous (Ben-Dov 1994) and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(Ben-Dov 1994). It can spread naturally in infested propagative material. Therefore, this mealybug has the potential for establishment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sap sucking insect reduces productivity and quality and promotes the growth of sooty mould through production of honeydew (CABI 2012a). Although the mouth parts of mealybugs rarely penetrate beyond the fruit epidermis, their feeding activities can also cause fruit spotting and distortion (CABI 2012a). Therefore, it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Plautia affinis </w:t>
            </w:r>
            <w:r>
              <w:rPr>
                <w:rFonts w:ascii="Helvetica" w:hAnsi="Helvetica" w:cs="Helvetica"/>
                <w:sz w:val="18"/>
                <w:szCs w:val="18"/>
              </w:rPr>
              <w:t>Dallas 1851 [Hemiptera: Pentatomidae]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(Coombs and Khan 1998)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Plautia stali</w:t>
            </w:r>
            <w:r>
              <w:rPr>
                <w:rFonts w:ascii="Helvetica" w:hAnsi="Helvetica" w:cs="Helvetica"/>
                <w:sz w:val="18"/>
                <w:szCs w:val="18"/>
              </w:rPr>
              <w:t xml:space="preserve"> Scott 1874 [Hemiptera: Pentatomidae]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Adults feed on fruit when ripe or near ripe (Mau and Mitchell 1978; Schaefer and Panizzi 2000). Therefore, fruit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rPr>
                <w:rFonts w:ascii="Helvetica" w:hAnsi="Helvetica" w:cs="Helvetica"/>
                <w:sz w:val="18"/>
                <w:szCs w:val="18"/>
              </w:rPr>
            </w:pPr>
            <w:r>
              <w:rPr>
                <w:rFonts w:ascii="Helvetica" w:hAnsi="Helvetica" w:cs="Helvetica"/>
                <w:sz w:val="18"/>
                <w:szCs w:val="18"/>
              </w:rPr>
              <w:t>Assessment not required</w:t>
            </w:r>
          </w:p>
          <w:p>
            <w:pPr>
              <w:ind w:firstLine="720"/>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Ps</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dococcus calceolariae</w:t>
            </w:r>
            <w:r>
              <w:rPr>
                <w:rFonts w:ascii="Helvetica" w:hAnsi="Helvetica" w:cs="Helvetica"/>
                <w:sz w:val="18"/>
                <w:szCs w:val="18"/>
              </w:rPr>
              <w:t xml:space="preserve"> Maskell 1879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dococcidae]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(Gullan 2000)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Ps</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dococcus longispinus</w:t>
            </w:r>
            <w:r>
              <w:rPr>
                <w:rFonts w:ascii="Helvetica" w:hAnsi="Helvetica" w:cs="Helvetica"/>
                <w:sz w:val="18"/>
                <w:szCs w:val="18"/>
              </w:rPr>
              <w:t xml:space="preserve"> Targioni-Tozzetti 1867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dococcidae]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(Gullan 2000)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Ps</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dococcus maritimus</w:t>
            </w:r>
            <w:r>
              <w:rPr>
                <w:rFonts w:ascii="Helvetica" w:hAnsi="Helvetica" w:cs="Helvetica"/>
                <w:sz w:val="18"/>
                <w:szCs w:val="18"/>
              </w:rPr>
              <w:t xml:space="preserve"> </w:t>
            </w:r>
            <w:r>
              <w:rPr>
                <w:rFonts w:ascii="Helvetica" w:hAnsi="Helvetica" w:cs="Helvetica"/>
                <w:noProof/>
                <w:sz w:val="18"/>
                <w:szCs w:val="18"/>
              </w:rPr>
              <w:t xml:space="preserve">Ehrhorn 1900 </w:t>
            </w:r>
            <w:r>
              <w:rPr>
                <w:rFonts w:ascii="Helvetica" w:hAnsi="Helvetica" w:cs="Helvetica"/>
                <w:sz w:val="18"/>
                <w:szCs w:val="18"/>
              </w:rPr>
              <w:t>[Hemiptera: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(PHA 2001)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eastAsia="en-AU"/>
              </w:rPr>
            </w:pPr>
            <w:r>
              <w:rPr>
                <w:rFonts w:ascii="Helvetica" w:hAnsi="Helvetica" w:cs="Helvetica"/>
                <w:i/>
                <w:iCs/>
                <w:sz w:val="18"/>
                <w:szCs w:val="18"/>
                <w:lang w:eastAsia="en-AU"/>
              </w:rPr>
              <w:t>Ps</w:t>
            </w:r>
            <w:smartTag w:uri="urn:schemas-microsoft-com:office:smarttags" w:element="PersonName">
              <w:r>
                <w:rPr>
                  <w:rFonts w:ascii="Helvetica" w:hAnsi="Helvetica" w:cs="Helvetica"/>
                  <w:i/>
                  <w:iCs/>
                  <w:sz w:val="18"/>
                  <w:szCs w:val="18"/>
                  <w:lang w:eastAsia="en-AU"/>
                </w:rPr>
                <w:t>eu</w:t>
              </w:r>
            </w:smartTag>
            <w:r>
              <w:rPr>
                <w:rFonts w:ascii="Helvetica" w:hAnsi="Helvetica" w:cs="Helvetica"/>
                <w:i/>
                <w:iCs/>
                <w:sz w:val="18"/>
                <w:szCs w:val="18"/>
                <w:lang w:eastAsia="en-AU"/>
              </w:rPr>
              <w:t xml:space="preserve">dococcus viburni </w:t>
            </w:r>
            <w:r>
              <w:rPr>
                <w:rFonts w:ascii="Helvetica" w:hAnsi="Helvetica" w:cs="Helvetica"/>
                <w:sz w:val="18"/>
                <w:szCs w:val="18"/>
              </w:rPr>
              <w:t>Signoret 1875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dococcidae] (synonym: </w:t>
            </w:r>
            <w:r>
              <w:rPr>
                <w:rFonts w:ascii="Helvetica" w:hAnsi="Helvetica" w:cs="Helvetica"/>
                <w:i/>
                <w:iCs/>
                <w:sz w:val="18"/>
                <w:szCs w:val="18"/>
              </w:rPr>
              <w:t>Ps</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dococcus affinis </w:t>
            </w:r>
            <w:r>
              <w:rPr>
                <w:rFonts w:ascii="Helvetica" w:hAnsi="Helvetica" w:cs="Helvetica"/>
                <w:sz w:val="18"/>
                <w:szCs w:val="18"/>
              </w:rPr>
              <w:t>Maskell</w:t>
            </w:r>
            <w:r>
              <w:rPr>
                <w:rFonts w:ascii="Helvetica" w:hAnsi="Helvetica" w:cs="Helvetica"/>
                <w:i/>
                <w:iCs/>
                <w:sz w:val="18"/>
                <w:szCs w:val="18"/>
              </w:rPr>
              <w:t xml:space="preserve"> </w:t>
            </w:r>
            <w:r>
              <w:rPr>
                <w:rFonts w:ascii="Helvetica" w:hAnsi="Helvetica" w:cs="Helvetica"/>
                <w:sz w:val="18"/>
                <w:szCs w:val="18"/>
              </w:rPr>
              <w:t>1894)</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(Gullan 2000)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lang w:eastAsia="en-AU"/>
              </w:rPr>
            </w:pPr>
            <w:r>
              <w:rPr>
                <w:rFonts w:ascii="Helvetica" w:hAnsi="Helvetica" w:cs="Helvetica"/>
                <w:i/>
                <w:iCs/>
                <w:sz w:val="18"/>
                <w:szCs w:val="18"/>
                <w:lang w:eastAsia="en-AU"/>
              </w:rPr>
              <w:t xml:space="preserve">Pulvinaria innumerabilis </w:t>
            </w:r>
            <w:r>
              <w:rPr>
                <w:rFonts w:ascii="Helvetica" w:hAnsi="Helvetica" w:cs="Helvetica"/>
                <w:iCs/>
                <w:sz w:val="18"/>
                <w:szCs w:val="18"/>
                <w:lang w:eastAsia="en-AU"/>
              </w:rPr>
              <w:t>Putnam 1880 [Hemiptera: Coccidae]</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Pulvinaria</w:t>
            </w:r>
            <w:r>
              <w:rPr>
                <w:rFonts w:ascii="Helvetica" w:hAnsi="Helvetica" w:cs="Helvetica"/>
                <w:sz w:val="18"/>
                <w:szCs w:val="18"/>
              </w:rPr>
              <w:t xml:space="preserve"> species overwinter as immature females attached to the twigs and small branches of host plants (University of Illinois 2004). Therefore, dormant cuttings provide a pathway for these scales. </w:t>
            </w:r>
          </w:p>
        </w:tc>
        <w:tc>
          <w:tcPr>
            <w:tcW w:w="2640" w:type="dxa"/>
            <w:vMerge w:val="restart"/>
            <w:tcBorders>
              <w:top w:val="single" w:sz="4" w:space="0" w:color="auto"/>
              <w:left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These scales have </w:t>
            </w:r>
            <w:r>
              <w:rPr>
                <w:rFonts w:ascii="Helvetica" w:hAnsi="Helvetica" w:cs="Helvetica"/>
                <w:sz w:val="18"/>
                <w:szCs w:val="18"/>
              </w:rPr>
              <w:t xml:space="preserve">established in areas with a wide range of climatic conditions (Ben-Dov </w:t>
            </w:r>
            <w:r>
              <w:rPr>
                <w:rFonts w:ascii="Helvetica" w:hAnsi="Helvetica" w:cs="Helvetica"/>
                <w:i/>
                <w:sz w:val="18"/>
                <w:szCs w:val="18"/>
              </w:rPr>
              <w:t>et al</w:t>
            </w:r>
            <w:r>
              <w:rPr>
                <w:rFonts w:ascii="Helvetica" w:hAnsi="Helvetica" w:cs="Helvetica"/>
                <w:sz w:val="18"/>
                <w:szCs w:val="18"/>
              </w:rPr>
              <w:t>. 2012) and can spread naturally in infested propagative material.</w:t>
            </w:r>
            <w:r>
              <w:rPr>
                <w:rFonts w:ascii="Helvetica" w:hAnsi="Helvetica" w:cs="Helvetica"/>
                <w:bCs/>
                <w:sz w:val="18"/>
                <w:szCs w:val="18"/>
              </w:rPr>
              <w:t xml:space="preserve"> </w:t>
            </w:r>
            <w:r>
              <w:rPr>
                <w:rFonts w:ascii="Helvetica" w:hAnsi="Helvetica" w:cs="Helvetica"/>
                <w:sz w:val="18"/>
                <w:szCs w:val="18"/>
              </w:rPr>
              <w:t xml:space="preserve">Establishment will be favoured by the wide host range in Australia. </w:t>
            </w:r>
            <w:r>
              <w:rPr>
                <w:rFonts w:ascii="Helvetica" w:hAnsi="Helvetica" w:cs="Helvetica"/>
                <w:bCs/>
                <w:sz w:val="18"/>
                <w:szCs w:val="18"/>
              </w:rPr>
              <w:t>Therefore, these scales have the potential to establish and spread in Australia.</w:t>
            </w:r>
          </w:p>
        </w:tc>
        <w:tc>
          <w:tcPr>
            <w:tcW w:w="2880" w:type="dxa"/>
            <w:gridSpan w:val="2"/>
            <w:vMerge w:val="restart"/>
            <w:tcBorders>
              <w:top w:val="single" w:sz="4" w:space="0" w:color="auto"/>
              <w:left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 xml:space="preserve">Pulvinaria </w:t>
            </w:r>
            <w:r>
              <w:rPr>
                <w:rFonts w:ascii="Helvetica" w:hAnsi="Helvetica" w:cs="Helvetica"/>
                <w:sz w:val="18"/>
                <w:szCs w:val="18"/>
              </w:rPr>
              <w:t xml:space="preserve">species damage shoots and foliage by sucking sap (Bournier 1976; Fuchs 2007). Although </w:t>
            </w:r>
            <w:r>
              <w:rPr>
                <w:rFonts w:ascii="Helvetica" w:hAnsi="Helvetica" w:cs="Helvetica"/>
                <w:i/>
                <w:sz w:val="18"/>
                <w:szCs w:val="18"/>
              </w:rPr>
              <w:t xml:space="preserve">Pulvinaria innumerabilis </w:t>
            </w:r>
            <w:r>
              <w:rPr>
                <w:rFonts w:ascii="Helvetica" w:hAnsi="Helvetica" w:cs="Helvetica"/>
                <w:sz w:val="18"/>
                <w:szCs w:val="18"/>
              </w:rPr>
              <w:t xml:space="preserve">and </w:t>
            </w:r>
            <w:r>
              <w:rPr>
                <w:rFonts w:ascii="Helvetica" w:hAnsi="Helvetica" w:cs="Helvetica"/>
                <w:i/>
                <w:sz w:val="18"/>
                <w:szCs w:val="18"/>
              </w:rPr>
              <w:t xml:space="preserve">P. vitis </w:t>
            </w:r>
            <w:r>
              <w:rPr>
                <w:rFonts w:ascii="Helvetica" w:hAnsi="Helvetica" w:cs="Helvetica"/>
                <w:sz w:val="18"/>
                <w:szCs w:val="18"/>
              </w:rPr>
              <w:t xml:space="preserve">are vectors of Grapevine leafroll-associated virus 1 and 3 (Fuchs </w:t>
            </w:r>
            <w:r>
              <w:rPr>
                <w:rFonts w:ascii="Helvetica" w:hAnsi="Helvetica" w:cs="Helvetica"/>
                <w:i/>
                <w:sz w:val="18"/>
                <w:szCs w:val="18"/>
              </w:rPr>
              <w:t>et al</w:t>
            </w:r>
            <w:r>
              <w:rPr>
                <w:rFonts w:ascii="Helvetica" w:hAnsi="Helvetica" w:cs="Helvetica"/>
                <w:sz w:val="18"/>
                <w:szCs w:val="18"/>
              </w:rPr>
              <w:t>. 2007), these viruses are already present in Australia. Therefore, these scales are not of economic significance to Australia.</w:t>
            </w: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keepNext/>
              <w:spacing w:before="20" w:line="240" w:lineRule="atLeast"/>
              <w:jc w:val="center"/>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Pulvinaria vitis </w:t>
            </w:r>
            <w:r>
              <w:rPr>
                <w:rFonts w:ascii="Helvetica" w:hAnsi="Helvetica" w:cs="Helvetica"/>
                <w:sz w:val="18"/>
                <w:szCs w:val="18"/>
              </w:rPr>
              <w:t>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w:t>
            </w:r>
            <w:r>
              <w:rPr>
                <w:rFonts w:ascii="Helvetica" w:hAnsi="Helvetica" w:cs="Helvetica"/>
                <w:b/>
                <w:bCs/>
                <w:sz w:val="18"/>
                <w:szCs w:val="18"/>
              </w:rPr>
              <w:t xml:space="preserve"> </w:t>
            </w:r>
            <w:r>
              <w:rPr>
                <w:rFonts w:ascii="Helvetica" w:hAnsi="Helvetica" w:cs="Helvetica"/>
                <w:sz w:val="18"/>
                <w:szCs w:val="18"/>
              </w:rPr>
              <w:t>1758 [Hemiptera: 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80" w:type="dxa"/>
            <w:gridSpan w:val="2"/>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center"/>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Quadraspidiotus perniciosus</w:t>
            </w:r>
            <w:r>
              <w:rPr>
                <w:rFonts w:ascii="Helvetica" w:hAnsi="Helvetica" w:cs="Helvetica"/>
                <w:sz w:val="18"/>
                <w:szCs w:val="18"/>
              </w:rPr>
              <w:t xml:space="preserve"> Comstock 1881 [Hemiptera: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 xml:space="preserve">Yes (PHA 2001)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Rastrococcus iceryoides </w:t>
            </w:r>
            <w:r>
              <w:rPr>
                <w:rFonts w:ascii="Helvetica" w:hAnsi="Helvetica" w:cs="Helvetica"/>
                <w:sz w:val="18"/>
                <w:szCs w:val="18"/>
              </w:rPr>
              <w:t>Green 1908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dococcidae]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reported to occur on grapevine (Ben-Dov </w:t>
            </w:r>
            <w:r>
              <w:rPr>
                <w:rFonts w:ascii="Helvetica" w:hAnsi="Helvetica" w:cs="Helvetica"/>
                <w:i/>
                <w:sz w:val="18"/>
                <w:szCs w:val="18"/>
              </w:rPr>
              <w:t>et al</w:t>
            </w:r>
            <w:r>
              <w:rPr>
                <w:rFonts w:ascii="Helvetica" w:hAnsi="Helvetica" w:cs="Helvetica"/>
                <w:sz w:val="18"/>
                <w:szCs w:val="18"/>
              </w:rPr>
              <w:t>. 2012). Adults usually feed on the tender terminal shoots, inflorescences and fruit whereas first instars nymphs feed on the underside of leaves (Rawat and Jakhmola 1970).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Rhizoecus falcifer</w:t>
            </w:r>
            <w:r>
              <w:rPr>
                <w:rFonts w:ascii="Helvetica" w:hAnsi="Helvetica" w:cs="Helvetica"/>
                <w:sz w:val="18"/>
                <w:szCs w:val="18"/>
              </w:rPr>
              <w:t xml:space="preserve"> Kunchel d'Herculais 1878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dococcidae]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(CSIRO 2005)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i/>
                <w:iCs/>
                <w:sz w:val="18"/>
                <w:szCs w:val="18"/>
              </w:rPr>
              <w:t>Rhizoecus kondonis</w:t>
            </w:r>
            <w:r>
              <w:rPr>
                <w:rFonts w:ascii="Helvetica" w:hAnsi="Helvetica" w:cs="Helvetica"/>
                <w:sz w:val="18"/>
                <w:szCs w:val="18"/>
              </w:rPr>
              <w:t xml:space="preserve"> Kuwana 1923 [Hemiptera: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The citrus ground mealybug exists entirely below the soil surface and sucks the liquid from small feeder roots (Blodgett 1992). Therefore, root free dormant cuttings do not provide a pathway for citrus ground mealybugs.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Saissetia coffeae</w:t>
            </w:r>
            <w:r>
              <w:rPr>
                <w:rFonts w:ascii="Helvetica" w:hAnsi="Helvetica" w:cs="Helvetica"/>
                <w:sz w:val="18"/>
                <w:szCs w:val="18"/>
              </w:rPr>
              <w:t xml:space="preserve"> Walker 1852 [Hemiptera: Coccidae]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(Naumann 1993)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Saissetia oleae</w:t>
            </w:r>
            <w:r>
              <w:rPr>
                <w:rFonts w:ascii="Helvetica" w:hAnsi="Helvetica" w:cs="Helvetica"/>
                <w:sz w:val="18"/>
                <w:szCs w:val="18"/>
              </w:rPr>
              <w:t xml:space="preserve"> Olivier 1791 [Hemiptera: Coccidae]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Scaphoid</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s titanus</w:t>
            </w:r>
            <w:r>
              <w:rPr>
                <w:rFonts w:ascii="Helvetica" w:hAnsi="Helvetica" w:cs="Helvetica"/>
                <w:sz w:val="18"/>
                <w:szCs w:val="18"/>
              </w:rPr>
              <w:t xml:space="preserve"> Ball 1931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Juveniles and adults feed on shoots near the root stock and leaves. Females lay eggs beneath the bark of two year old wood where they overwinter (Lessio and Alma 2004a, b;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and Maixner 2007). Therefore, one year old dormant cuttings do not provide a pathway for vine leafhopper.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Scolypopa australis</w:t>
            </w:r>
            <w:r>
              <w:rPr>
                <w:rFonts w:ascii="Helvetica" w:hAnsi="Helvetica" w:cs="Helvetica"/>
                <w:sz w:val="18"/>
                <w:szCs w:val="18"/>
              </w:rPr>
              <w:t xml:space="preserve">  Walker 1851 [Hemiptera: Ricaniidae]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(Smith </w:t>
            </w:r>
            <w:r>
              <w:rPr>
                <w:rFonts w:ascii="Helvetica" w:hAnsi="Helvetica" w:cs="Helvetica"/>
                <w:i/>
                <w:iCs/>
                <w:sz w:val="18"/>
                <w:szCs w:val="18"/>
              </w:rPr>
              <w:t>et al.</w:t>
            </w:r>
            <w:r>
              <w:rPr>
                <w:rFonts w:ascii="Helvetica" w:hAnsi="Helvetica" w:cs="Helvetica"/>
                <w:sz w:val="18"/>
                <w:szCs w:val="18"/>
              </w:rPr>
              <w:t xml:space="preserve"> 1997)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Scutiphora pedicellata</w:t>
            </w:r>
            <w:r>
              <w:rPr>
                <w:rFonts w:ascii="Helvetica" w:hAnsi="Helvetica" w:cs="Helvetica"/>
                <w:sz w:val="18"/>
                <w:szCs w:val="18"/>
              </w:rPr>
              <w:t xml:space="preserve"> Kirby 1826 [Hemiptera: Scutelleridae]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Spissistilus festinus </w:t>
            </w:r>
            <w:r>
              <w:rPr>
                <w:rFonts w:ascii="Helvetica" w:hAnsi="Helvetica" w:cs="Helvetica"/>
                <w:sz w:val="18"/>
                <w:szCs w:val="18"/>
              </w:rPr>
              <w:t>Say 1830 [Hemiptera: Membracidae]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hopper is a pest of soybean (Rice and Drees 1985) and feeds on leaves and stems and lays eggs in the stems of soybean (Hudson and Adams 2008). Dormant grapevines are not preferred sites for egg laying. Therefore, this species is not on the pathway of grapevine propagative material.</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Targionia vitis </w:t>
            </w:r>
            <w:r>
              <w:rPr>
                <w:rFonts w:ascii="Helvetica" w:hAnsi="Helvetica" w:cs="Helvetica"/>
                <w:sz w:val="18"/>
                <w:szCs w:val="18"/>
              </w:rPr>
              <w:t xml:space="preserve">Signoret 1876 [Hemiptera: Diaspididae]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The black vine scale feeds on stems and branches, especially under bark flakes (Stathas and Kontodimas 2001; Watson 2005). Therefore, dormant cuttings may harbour mated females and provide a pathway for black vine scale.</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 black vine scale has a wide host range (Watson 2005), has established in areas with a wide range of climatic conditions (Ben-Dov </w:t>
            </w:r>
            <w:r>
              <w:rPr>
                <w:rFonts w:ascii="Helvetica" w:hAnsi="Helvetica" w:cs="Helvetica"/>
                <w:i/>
                <w:sz w:val="18"/>
                <w:szCs w:val="18"/>
              </w:rPr>
              <w:t>et al</w:t>
            </w:r>
            <w:r>
              <w:rPr>
                <w:rFonts w:ascii="Helvetica" w:hAnsi="Helvetica" w:cs="Helvetica"/>
                <w:sz w:val="18"/>
                <w:szCs w:val="18"/>
              </w:rPr>
              <w:t>. 2012) and can spread naturally in infested propagative material.</w:t>
            </w:r>
            <w:r>
              <w:rPr>
                <w:rFonts w:ascii="Helvetica" w:hAnsi="Helvetica" w:cs="Helvetica"/>
                <w:bCs/>
                <w:sz w:val="18"/>
                <w:szCs w:val="18"/>
              </w:rPr>
              <w:t xml:space="preserve"> Therefore, this scale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This species is reported as one of the most important pests of table grapes in Italy (Guario and Laccone 1996). Heavy infestations of black vine scale may encrust the bark with several layers of scale covers (Watson 2005) and may cause defoliation, splitting of bark, twig dieback and an overall decline in host plant health (Beardsley and Gonzalez 1975). Therefore, this scale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noProof/>
                <w:sz w:val="18"/>
                <w:szCs w:val="18"/>
              </w:rPr>
            </w:pPr>
            <w:r>
              <w:rPr>
                <w:rFonts w:ascii="Helvetica" w:hAnsi="Helvetica" w:cs="Helvetica"/>
                <w:i/>
                <w:iCs/>
                <w:sz w:val="18"/>
                <w:szCs w:val="18"/>
              </w:rPr>
              <w:t>Tettigades chilensis</w:t>
            </w:r>
            <w:r>
              <w:rPr>
                <w:rFonts w:ascii="Helvetica" w:hAnsi="Helvetica" w:cs="Helvetica"/>
                <w:sz w:val="18"/>
                <w:szCs w:val="18"/>
              </w:rPr>
              <w:t xml:space="preserve"> </w:t>
            </w:r>
            <w:r>
              <w:rPr>
                <w:rFonts w:ascii="Helvetica" w:hAnsi="Helvetica" w:cs="Helvetica"/>
                <w:noProof/>
                <w:sz w:val="18"/>
                <w:szCs w:val="18"/>
              </w:rPr>
              <w:t>Amyot &amp; Serville 1843 [</w:t>
            </w:r>
            <w:r>
              <w:rPr>
                <w:rFonts w:ascii="Helvetica" w:hAnsi="Helvetica" w:cs="Helvetica"/>
                <w:sz w:val="18"/>
                <w:szCs w:val="18"/>
              </w:rPr>
              <w:t xml:space="preserve">Hemiptera: </w:t>
            </w:r>
            <w:r>
              <w:rPr>
                <w:rFonts w:ascii="Helvetica" w:hAnsi="Helvetica" w:cs="Helvetica"/>
                <w:noProof/>
                <w:sz w:val="18"/>
                <w:szCs w:val="18"/>
              </w:rPr>
              <w:t>Cicadidae]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plant hopper feeds on the branches and roots of host plants (Gonzalez 1983). Adults are mobile and are unlikely to remain on grapevine cuttings following harvesting. The young cicada nymphs live underground and feed on the roots of trees. Therefore, dormant cuttings do not provide a pathway for this leafhopper.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Trial</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rodes vaporariorum </w:t>
            </w:r>
            <w:r>
              <w:rPr>
                <w:rFonts w:ascii="Helvetica" w:hAnsi="Helvetica" w:cs="Helvetica"/>
                <w:sz w:val="18"/>
                <w:szCs w:val="18"/>
              </w:rPr>
              <w:t>1856 Westwood [Hemiptera: Aleyrodidae]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Zygina rhamni </w:t>
            </w:r>
            <w:r>
              <w:rPr>
                <w:rFonts w:ascii="Helvetica" w:hAnsi="Helvetica" w:cs="Helvetica"/>
                <w:sz w:val="18"/>
                <w:szCs w:val="18"/>
              </w:rPr>
              <w:t>Ferrari 1882 [Hemiptera: Cicadellidae]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Adults of Italian grape leafhopper overwinter in the shelter of evergreens. In late spring they migrate to summer host plants, including grapes (Alford 2007). Eggs have been recorded on </w:t>
            </w:r>
            <w:r>
              <w:rPr>
                <w:rFonts w:ascii="Helvetica" w:hAnsi="Helvetica" w:cs="Helvetica"/>
                <w:i/>
                <w:sz w:val="18"/>
                <w:szCs w:val="18"/>
              </w:rPr>
              <w:t>Vitis vinifera</w:t>
            </w:r>
            <w:r>
              <w:rPr>
                <w:rFonts w:ascii="Helvetica" w:hAnsi="Helvetica" w:cs="Helvetica"/>
                <w:sz w:val="18"/>
                <w:szCs w:val="18"/>
              </w:rPr>
              <w:t xml:space="preserve"> in summer (Mazzoni </w:t>
            </w:r>
            <w:r>
              <w:rPr>
                <w:rFonts w:ascii="Helvetica" w:hAnsi="Helvetica" w:cs="Helvetica"/>
                <w:i/>
                <w:sz w:val="18"/>
                <w:szCs w:val="18"/>
              </w:rPr>
              <w:t>et al</w:t>
            </w:r>
            <w:r>
              <w:rPr>
                <w:rFonts w:ascii="Helvetica" w:hAnsi="Helvetica" w:cs="Helvetica"/>
                <w:sz w:val="18"/>
                <w:szCs w:val="18"/>
              </w:rPr>
              <w:t>. 2008). Larvae feed on leaves (Bournier 1976). Therefore, foliage free dormant cuttings do not provide a pathway for this leafhopper.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Verdana" w:hAnsi="Verdana" w:cs="Helvetica"/>
                <w:b/>
                <w:bCs/>
                <w:sz w:val="18"/>
                <w:szCs w:val="18"/>
              </w:rPr>
            </w:pPr>
            <w:r>
              <w:rPr>
                <w:rFonts w:ascii="Verdana" w:hAnsi="Verdana" w:cs="Helvetica"/>
                <w:b/>
                <w:bCs/>
                <w:sz w:val="18"/>
                <w:szCs w:val="18"/>
              </w:rPr>
              <w:t>HYMENOPTERA (wasps, ants)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Ametastegia glabrata </w:t>
            </w:r>
            <w:r>
              <w:rPr>
                <w:rFonts w:ascii="Helvetica" w:hAnsi="Helvetica" w:cs="Helvetica"/>
                <w:sz w:val="18"/>
                <w:szCs w:val="18"/>
              </w:rPr>
              <w:t>Fallén 1808 [Hymenoptera: Tenthredinidae]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 xml:space="preserve">Yes (CSIRO 2005)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Ceratina dentipes</w:t>
            </w:r>
            <w:r>
              <w:rPr>
                <w:rFonts w:ascii="Helvetica" w:hAnsi="Helvetica" w:cs="Helvetica"/>
                <w:sz w:val="18"/>
                <w:szCs w:val="18"/>
              </w:rPr>
              <w:t xml:space="preserve"> Friese 1914 [Hymenoptera: Apidae]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wasps lay eggs on the stem and after hatching larvae bore into the stem and feed on woody parts of the grapevine (Luo </w:t>
            </w:r>
            <w:r>
              <w:rPr>
                <w:rFonts w:ascii="Helvetica" w:hAnsi="Helvetica" w:cs="Helvetica"/>
                <w:i/>
                <w:sz w:val="18"/>
                <w:szCs w:val="18"/>
              </w:rPr>
              <w:t>et al</w:t>
            </w:r>
            <w:r>
              <w:rPr>
                <w:rFonts w:ascii="Helvetica" w:hAnsi="Helvetica" w:cs="Helvetica"/>
                <w:sz w:val="18"/>
                <w:szCs w:val="18"/>
              </w:rPr>
              <w:t>. 2005). Grape dormant cuttings are not preferred sites to lay eggs. Therefore, this species is not on the pathway.</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Ceratina viticola</w:t>
            </w:r>
            <w:r>
              <w:rPr>
                <w:rFonts w:ascii="Helvetica" w:hAnsi="Helvetica" w:cs="Helvetica"/>
                <w:sz w:val="18"/>
                <w:szCs w:val="18"/>
              </w:rPr>
              <w:t xml:space="preserve"> Sinich [Hymenoptera: Apidae]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Erythraspdes vitis</w:t>
            </w:r>
            <w:r>
              <w:rPr>
                <w:rFonts w:ascii="Helvetica" w:hAnsi="Helvetica" w:cs="Helvetica"/>
                <w:sz w:val="18"/>
                <w:szCs w:val="18"/>
              </w:rPr>
              <w:t xml:space="preserve"> (Harris) [Hymenoptera: Tenthredinidae]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lays eggs on the underside of grape leaves and larvae feed at the edge of the leaf (Williams </w:t>
            </w:r>
            <w:r>
              <w:rPr>
                <w:rFonts w:ascii="Helvetica" w:hAnsi="Helvetica" w:cs="Helvetica"/>
                <w:i/>
                <w:sz w:val="18"/>
                <w:szCs w:val="18"/>
              </w:rPr>
              <w:t>et al</w:t>
            </w:r>
            <w:r>
              <w:rPr>
                <w:rFonts w:ascii="Helvetica" w:hAnsi="Helvetica" w:cs="Helvetica"/>
                <w:sz w:val="18"/>
                <w:szCs w:val="18"/>
              </w:rPr>
              <w:t>. 2011).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Evoxysoma vitis</w:t>
            </w:r>
            <w:r>
              <w:rPr>
                <w:rFonts w:ascii="Helvetica" w:hAnsi="Helvetica" w:cs="Helvetica"/>
                <w:sz w:val="18"/>
                <w:szCs w:val="18"/>
              </w:rPr>
              <w:t xml:space="preserve"> (Saunders 1869) [Hymenoptera: Vespidae]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species lays eggs in grape berries and hatching larvae feed on the seeds and overwinter within grape seed on the ground (Williams </w:t>
            </w:r>
            <w:r>
              <w:rPr>
                <w:rFonts w:ascii="Helvetica" w:hAnsi="Helvetica" w:cs="Helvetica"/>
                <w:i/>
                <w:sz w:val="18"/>
                <w:szCs w:val="18"/>
              </w:rPr>
              <w:t>et al</w:t>
            </w:r>
            <w:r>
              <w:rPr>
                <w:rFonts w:ascii="Helvetica" w:hAnsi="Helvetica" w:cs="Helvetica"/>
                <w:sz w:val="18"/>
                <w:szCs w:val="18"/>
              </w:rPr>
              <w:t>. 2011). Dormant cuttings do not provide a pathway for this species. However, grape seeds may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This chalcid has established in areas with a wide range of climatic conditions (Webb 2003) and distribution of infested seed will facilitate the spread of this species. Therefore, this chalcid has the potential for establishment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 xml:space="preserve">No: Outbreaks of this species are rare and are generally confined to wild grapes (Williams </w:t>
            </w:r>
            <w:r>
              <w:rPr>
                <w:rFonts w:ascii="Helvetica" w:hAnsi="Helvetica" w:cs="Helvetica"/>
                <w:i/>
                <w:sz w:val="18"/>
                <w:szCs w:val="18"/>
              </w:rPr>
              <w:t>et al</w:t>
            </w:r>
            <w:r>
              <w:rPr>
                <w:rFonts w:ascii="Helvetica" w:hAnsi="Helvetica" w:cs="Helvetica"/>
                <w:sz w:val="18"/>
                <w:szCs w:val="18"/>
              </w:rPr>
              <w:t>. 2011). This chalcid is not reported to cause significant economic consequences. Therefore, this species is unlikely to be of economic consequence in Australia.</w:t>
            </w: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Iridomyrmex humilis </w:t>
            </w:r>
            <w:r>
              <w:rPr>
                <w:rFonts w:ascii="Helvetica" w:hAnsi="Helvetica" w:cs="Helvetica"/>
                <w:sz w:val="18"/>
                <w:szCs w:val="18"/>
              </w:rPr>
              <w:t>Mayr 1868 [Hymenoptera: Formicidae]</w:t>
            </w:r>
            <w:r>
              <w:rPr>
                <w:rFonts w:ascii="Helvetica" w:hAnsi="Helvetica" w:cs="Helvetica"/>
                <w:i/>
                <w:i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 xml:space="preserve">Yes (CSIRO 2005)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Solenopsis xyloni </w:t>
            </w:r>
            <w:r>
              <w:rPr>
                <w:rFonts w:ascii="Helvetica" w:hAnsi="Helvetica" w:cs="Helvetica"/>
                <w:sz w:val="18"/>
                <w:szCs w:val="18"/>
              </w:rPr>
              <w:t>McCook 1879 [Hymenoptera: Formicidae]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 xml:space="preserve">Yes (PHA 2001)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Vespula germanica </w:t>
            </w:r>
            <w:r>
              <w:rPr>
                <w:rFonts w:ascii="Helvetica" w:hAnsi="Helvetica" w:cs="Helvetica"/>
                <w:sz w:val="18"/>
                <w:szCs w:val="18"/>
              </w:rPr>
              <w:t>Fabricius</w:t>
            </w:r>
            <w:r>
              <w:rPr>
                <w:rFonts w:ascii="Helvetica" w:hAnsi="Helvetica" w:cs="Helvetica"/>
                <w:i/>
                <w:iCs/>
                <w:sz w:val="18"/>
                <w:szCs w:val="18"/>
              </w:rPr>
              <w:t xml:space="preserve"> </w:t>
            </w:r>
            <w:r>
              <w:rPr>
                <w:rFonts w:ascii="Helvetica" w:hAnsi="Helvetica" w:cs="Helvetica"/>
                <w:sz w:val="18"/>
                <w:szCs w:val="18"/>
              </w:rPr>
              <w:t>1793 [Hymenoptera: Vespidae]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keepNext/>
              <w:spacing w:before="40" w:after="40" w:line="240" w:lineRule="atLeast"/>
              <w:jc w:val="left"/>
              <w:rPr>
                <w:rFonts w:ascii="Verdana" w:hAnsi="Verdana" w:cs="Helvetica"/>
                <w:b/>
                <w:bCs/>
                <w:sz w:val="18"/>
                <w:szCs w:val="18"/>
              </w:rPr>
            </w:pPr>
            <w:r>
              <w:rPr>
                <w:rFonts w:ascii="Verdana" w:hAnsi="Verdana" w:cs="Helvetica"/>
                <w:b/>
                <w:bCs/>
                <w:sz w:val="18"/>
                <w:szCs w:val="18"/>
              </w:rPr>
              <w:t>ISOPTERA</w:t>
            </w: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Coptotermes acinaciformis</w:t>
            </w:r>
            <w:r>
              <w:rPr>
                <w:rFonts w:ascii="Helvetica" w:hAnsi="Helvetica" w:cs="Helvetica"/>
                <w:sz w:val="18"/>
                <w:szCs w:val="18"/>
              </w:rPr>
              <w:t xml:space="preserve"> Froggatt 1898 [Isoptera: Rhinotermitidae] </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(AFD 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i/>
                <w:iCs/>
                <w:sz w:val="18"/>
                <w:szCs w:val="18"/>
              </w:rPr>
              <w:t>Incisitermes minor</w:t>
            </w:r>
            <w:r>
              <w:rPr>
                <w:rFonts w:ascii="Helvetica" w:hAnsi="Helvetica" w:cs="Helvetica"/>
                <w:sz w:val="18"/>
                <w:szCs w:val="18"/>
              </w:rPr>
              <w:t xml:space="preserve"> Hagen 1858 [Isoptera: Kalotermitidae]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 Colonies of these termites are often found in dead downed logs, and large, dead branches on the ground (Cabrera and Scheffrahn 2005). Therefore, dormant cuttings do not provide a pathway for western dry wood termites.</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Neotermes chilensis </w:t>
            </w:r>
            <w:r>
              <w:rPr>
                <w:rFonts w:ascii="Helvetica" w:hAnsi="Helvetica" w:cs="Helvetica"/>
                <w:sz w:val="18"/>
                <w:szCs w:val="18"/>
              </w:rPr>
              <w:t>Blanchard</w:t>
            </w:r>
            <w:r>
              <w:rPr>
                <w:rFonts w:ascii="Helvetica" w:hAnsi="Helvetica" w:cs="Helvetica"/>
                <w:i/>
                <w:iCs/>
                <w:sz w:val="18"/>
                <w:szCs w:val="18"/>
              </w:rPr>
              <w:t xml:space="preserve"> </w:t>
            </w:r>
            <w:r>
              <w:rPr>
                <w:rFonts w:ascii="Helvetica" w:hAnsi="Helvetica" w:cs="Helvetica"/>
                <w:sz w:val="18"/>
                <w:szCs w:val="18"/>
              </w:rPr>
              <w:t>[Isoptera: Kalotermitidae]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Damp wood termites feed on the heartwood (dead tissue) of vines and usually avoid the living sapwood (Rust 1992). Therefore, semi-hardwood dormant cuttings do not provide a pathway for damp wood termite.</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Paraneotermes simplicicornis</w:t>
            </w:r>
            <w:r>
              <w:rPr>
                <w:rFonts w:ascii="Helvetica" w:hAnsi="Helvetica" w:cs="Helvetica"/>
                <w:sz w:val="18"/>
                <w:szCs w:val="18"/>
              </w:rPr>
              <w:t xml:space="preserve"> Banks &amp; Snyder 1920 [Isoptera: Kalotermitidae]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Desert damp wood termites may girdle young grapevines below the soil line in desert areas (Ebeling 2002). Therefore, root free dormant cuttings do not provide a pathway for desert damp wood termite.</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Verdana" w:hAnsi="Verdana" w:cs="Helvetica"/>
                <w:b/>
                <w:bCs/>
                <w:sz w:val="18"/>
                <w:szCs w:val="18"/>
              </w:rPr>
            </w:pPr>
            <w:r>
              <w:rPr>
                <w:rFonts w:ascii="Verdana" w:hAnsi="Verdana" w:cs="Helvetica"/>
                <w:b/>
                <w:bCs/>
                <w:sz w:val="18"/>
                <w:szCs w:val="18"/>
              </w:rPr>
              <w:t>LEPIDOPTERA (moths, butterflies)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sz w:val="18"/>
                <w:szCs w:val="18"/>
                <w:lang w:val="en-US"/>
              </w:rPr>
              <w:t>Abagrotis barnesi</w:t>
            </w:r>
            <w:r>
              <w:rPr>
                <w:rFonts w:ascii="Helvetica" w:hAnsi="Helvetica" w:cs="Helvetica"/>
                <w:sz w:val="18"/>
                <w:szCs w:val="18"/>
                <w:lang w:val="en-US"/>
              </w:rPr>
              <w:t xml:space="preserve"> (Benjamin 1921) </w:t>
            </w:r>
            <w:r>
              <w:rPr>
                <w:rFonts w:ascii="Helvetica" w:hAnsi="Helvetica" w:cs="Helvetica"/>
                <w:sz w:val="18"/>
                <w:szCs w:val="18"/>
              </w:rPr>
              <w:t>[Lepidoptera: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Cutworms conceal themselves underneath loose bark or beneath the grape trellis during the day and crawl up the trunk to feed on swelling buds at night (Williams </w:t>
            </w:r>
            <w:r>
              <w:rPr>
                <w:rFonts w:ascii="Helvetica" w:hAnsi="Helvetica" w:cs="Helvetica"/>
                <w:i/>
                <w:sz w:val="18"/>
                <w:szCs w:val="18"/>
                <w:lang w:val="en-US"/>
              </w:rPr>
              <w:t>et al</w:t>
            </w:r>
            <w:r>
              <w:rPr>
                <w:rFonts w:ascii="Helvetica" w:hAnsi="Helvetica" w:cs="Helvetica"/>
                <w:sz w:val="18"/>
                <w:szCs w:val="18"/>
                <w:lang w:val="en-US"/>
              </w:rPr>
              <w:t>. 2011). Therefore, semi-hardwood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lang w:val="en-US"/>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iCs/>
                <w:sz w:val="18"/>
                <w:szCs w:val="18"/>
                <w:lang w:val="en-US"/>
              </w:rPr>
              <w:t>Accuminulia buscki</w:t>
            </w:r>
            <w:r>
              <w:rPr>
                <w:rFonts w:ascii="Helvetica" w:hAnsi="Helvetica" w:cs="Helvetica"/>
                <w:sz w:val="18"/>
                <w:szCs w:val="18"/>
                <w:lang w:val="en-US"/>
              </w:rPr>
              <w:t xml:space="preserve"> Brown 2000 [</w:t>
            </w:r>
            <w:r>
              <w:rPr>
                <w:rFonts w:ascii="Helvetica" w:hAnsi="Helvetica" w:cs="Helvetica"/>
                <w:sz w:val="18"/>
                <w:szCs w:val="18"/>
              </w:rPr>
              <w:t>Lepidoptera: Tortricidae</w:t>
            </w:r>
            <w:r>
              <w:rPr>
                <w:rFonts w:ascii="Helvetica" w:hAnsi="Helvetica" w:cs="Helvetica"/>
                <w:sz w:val="18"/>
                <w:szCs w:val="18"/>
                <w:lang w:val="en-US"/>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larvae of these species </w:t>
            </w:r>
            <w:r>
              <w:rPr>
                <w:rFonts w:ascii="Helvetica" w:hAnsi="Helvetica" w:cs="Helvetica"/>
                <w:sz w:val="18"/>
                <w:szCs w:val="18"/>
                <w:lang w:val="en-US"/>
              </w:rPr>
              <w:t>bore into grape berries (Brown 1999). Therefore, fruit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lang w:val="en-US"/>
              </w:rPr>
            </w:pPr>
            <w:r>
              <w:rPr>
                <w:rFonts w:ascii="Helvetica" w:hAnsi="Helvetica" w:cs="Helvetica"/>
                <w:i/>
                <w:sz w:val="18"/>
                <w:szCs w:val="18"/>
                <w:lang w:val="en-US"/>
              </w:rPr>
              <w:t>Accuminulia longiphallus</w:t>
            </w:r>
            <w:r>
              <w:rPr>
                <w:rFonts w:ascii="Helvetica" w:hAnsi="Helvetica" w:cs="Helvetica"/>
                <w:sz w:val="18"/>
                <w:szCs w:val="18"/>
                <w:lang w:val="en-US"/>
              </w:rPr>
              <w:t xml:space="preserve"> Brown 2000 [</w:t>
            </w:r>
            <w:r>
              <w:rPr>
                <w:rFonts w:ascii="Helvetica" w:hAnsi="Helvetica" w:cs="Helvetica"/>
                <w:sz w:val="18"/>
                <w:szCs w:val="18"/>
              </w:rPr>
              <w:t>Lepidoptera: Tortricidae</w:t>
            </w:r>
            <w:r>
              <w:rPr>
                <w:rFonts w:ascii="Helvetica" w:hAnsi="Helvetica" w:cs="Helvetica"/>
                <w:sz w:val="18"/>
                <w:szCs w:val="18"/>
                <w:lang w:val="en-US"/>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sz w:val="18"/>
                <w:szCs w:val="18"/>
                <w:lang w:val="en-US"/>
              </w:rPr>
              <w:t>Acosmeryx castanea</w:t>
            </w:r>
            <w:r>
              <w:rPr>
                <w:rFonts w:ascii="Helvetica" w:hAnsi="Helvetica" w:cs="Helvetica"/>
                <w:sz w:val="18"/>
                <w:szCs w:val="18"/>
                <w:lang w:val="en-US"/>
              </w:rPr>
              <w:t xml:space="preserve"> Rothschild &amp; Jordan 1903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These species have been reported from grapevines (Pittaway and Kitching 2006). The larvae of sphingids generally feed on foliage (Common 1990; USDA 2005). Therefore, foliage free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Acosmeryx naga</w:t>
            </w:r>
            <w:r>
              <w:rPr>
                <w:rFonts w:ascii="Helvetica" w:hAnsi="Helvetica" w:cs="Helvetica"/>
                <w:sz w:val="18"/>
                <w:szCs w:val="18"/>
              </w:rPr>
              <w:t xml:space="preserve"> (Moore 1858)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Acosmeryx sericeus</w:t>
            </w:r>
            <w:r>
              <w:rPr>
                <w:rFonts w:ascii="Helvetica" w:hAnsi="Helvetica" w:cs="Helvetica"/>
                <w:sz w:val="18"/>
                <w:szCs w:val="18"/>
              </w:rPr>
              <w:t xml:space="preserve"> (Walker 1856)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Acosmeryx shervillii</w:t>
            </w:r>
            <w:r>
              <w:rPr>
                <w:rFonts w:ascii="Helvetica" w:hAnsi="Helvetica" w:cs="Helvetica"/>
                <w:sz w:val="18"/>
                <w:szCs w:val="18"/>
              </w:rPr>
              <w:t xml:space="preserve"> Boisduval 1875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Acronicta rumicis</w:t>
            </w:r>
            <w:r>
              <w:rPr>
                <w:rFonts w:ascii="Helvetica" w:hAnsi="Helvetica" w:cs="Helvetica"/>
                <w:sz w:val="18"/>
                <w:szCs w:val="18"/>
              </w:rPr>
              <w:t xml:space="preserve"> (Linnaeus 1948)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larvae of this </w:t>
            </w:r>
            <w:r>
              <w:rPr>
                <w:rFonts w:ascii="Helvetica" w:hAnsi="Helvetica" w:cs="Helvetica"/>
                <w:sz w:val="18"/>
                <w:szCs w:val="18"/>
                <w:lang w:val="en-US"/>
              </w:rPr>
              <w:t>noctuid moth</w:t>
            </w:r>
            <w:r>
              <w:rPr>
                <w:rFonts w:ascii="Helvetica" w:hAnsi="Helvetica" w:cs="Helvetica"/>
                <w:sz w:val="18"/>
                <w:szCs w:val="18"/>
              </w:rPr>
              <w:t xml:space="preserve"> feed on the foliage of host plants (Thompson and Nelson 2003).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Actias ningpoana</w:t>
            </w:r>
            <w:r>
              <w:rPr>
                <w:rFonts w:ascii="Helvetica" w:hAnsi="Helvetica" w:cs="Helvetica"/>
                <w:sz w:val="18"/>
                <w:szCs w:val="18"/>
              </w:rPr>
              <w:t xml:space="preserve"> Felder 1862 [Lepidoptera: Saturniidae]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of this species feed on grapevine foliage (Zhang 2005).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Agrotis ipsilon </w:t>
            </w:r>
            <w:r>
              <w:rPr>
                <w:rFonts w:ascii="Helvetica" w:hAnsi="Helvetica" w:cs="Helvetica"/>
                <w:sz w:val="18"/>
                <w:szCs w:val="18"/>
              </w:rPr>
              <w:t>Hufnagel 1766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(Common 1990)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Agrotis munda</w:t>
            </w:r>
            <w:r>
              <w:rPr>
                <w:rFonts w:ascii="Helvetica" w:hAnsi="Helvetica" w:cs="Helvetica"/>
                <w:sz w:val="18"/>
                <w:szCs w:val="18"/>
              </w:rPr>
              <w:t xml:space="preserve"> Walker 1856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iCs/>
                <w:sz w:val="18"/>
                <w:szCs w:val="18"/>
                <w:lang w:val="de-DE"/>
              </w:rPr>
              <w:t xml:space="preserve">Agrotis segetum </w:t>
            </w:r>
            <w:r>
              <w:rPr>
                <w:rFonts w:ascii="Helvetica" w:hAnsi="Helvetica" w:cs="Helvetica"/>
                <w:sz w:val="18"/>
                <w:szCs w:val="18"/>
                <w:lang w:val="de-DE"/>
              </w:rPr>
              <w:t>Denis &amp; Schiffermüller 1775 [</w:t>
            </w:r>
            <w:r>
              <w:rPr>
                <w:rFonts w:ascii="Helvetica" w:hAnsi="Helvetica" w:cs="Helvetica"/>
                <w:sz w:val="18"/>
                <w:szCs w:val="18"/>
              </w:rPr>
              <w:t xml:space="preserve">Lepidoptera: </w:t>
            </w:r>
            <w:r>
              <w:rPr>
                <w:rFonts w:ascii="Helvetica" w:hAnsi="Helvetica" w:cs="Helvetica"/>
                <w:sz w:val="18"/>
                <w:szCs w:val="18"/>
                <w:lang w:val="de-DE"/>
              </w:rPr>
              <w:t>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lang w:val="en-US"/>
              </w:rPr>
              <w:t xml:space="preserve">No: The larvae of these noctuid moths feed on grape buds and young stems during spring (AgroAtlas 2009a; Wright </w:t>
            </w:r>
            <w:r>
              <w:rPr>
                <w:rFonts w:ascii="Helvetica" w:hAnsi="Helvetica" w:cs="Helvetica"/>
                <w:i/>
                <w:sz w:val="18"/>
                <w:szCs w:val="18"/>
                <w:lang w:val="en-US"/>
              </w:rPr>
              <w:t>et al</w:t>
            </w:r>
            <w:r>
              <w:rPr>
                <w:rFonts w:ascii="Helvetica" w:hAnsi="Helvetica" w:cs="Helvetica"/>
                <w:sz w:val="18"/>
                <w:szCs w:val="18"/>
                <w:lang w:val="en-US"/>
              </w:rPr>
              <w:t xml:space="preserve">. 2010). These cutworms occur in the soil and litter during the day and climb grapevines to feed on swelling buds at night (Wright </w:t>
            </w:r>
            <w:r>
              <w:rPr>
                <w:rFonts w:ascii="Helvetica" w:hAnsi="Helvetica" w:cs="Helvetica"/>
                <w:i/>
                <w:sz w:val="18"/>
                <w:szCs w:val="18"/>
                <w:lang w:val="en-US"/>
              </w:rPr>
              <w:t>et al</w:t>
            </w:r>
            <w:r>
              <w:rPr>
                <w:rFonts w:ascii="Helvetica" w:hAnsi="Helvetica" w:cs="Helvetica"/>
                <w:sz w:val="18"/>
                <w:szCs w:val="18"/>
                <w:lang w:val="en-US"/>
              </w:rPr>
              <w:t>. 2010). Therefore,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sz w:val="18"/>
                <w:szCs w:val="18"/>
                <w:lang w:val="en-US"/>
              </w:rPr>
              <w:t>Agrotis vetusta</w:t>
            </w:r>
            <w:r>
              <w:rPr>
                <w:rFonts w:ascii="Helvetica" w:hAnsi="Helvetica" w:cs="Helvetica"/>
                <w:sz w:val="18"/>
                <w:szCs w:val="18"/>
                <w:lang w:val="en-US"/>
              </w:rPr>
              <w:t xml:space="preserve"> (Walker 1856) </w:t>
            </w:r>
            <w:r>
              <w:rPr>
                <w:rFonts w:ascii="Helvetica" w:hAnsi="Helvetica" w:cs="Helvetica"/>
                <w:sz w:val="18"/>
                <w:szCs w:val="18"/>
              </w:rPr>
              <w:t>[Lepidoptera: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sz w:val="18"/>
                <w:szCs w:val="18"/>
              </w:rPr>
              <w:t>Alypia octomaculata</w:t>
            </w:r>
            <w:r>
              <w:rPr>
                <w:rFonts w:ascii="Helvetica" w:hAnsi="Helvetica" w:cs="Helvetica"/>
                <w:sz w:val="18"/>
                <w:szCs w:val="18"/>
              </w:rPr>
              <w:t xml:space="preserve"> (Fabricius 1775)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sz w:val="18"/>
                <w:szCs w:val="18"/>
                <w:lang w:val="en-US"/>
              </w:rPr>
              <w:t xml:space="preserve">Eggs are laid on grape shoots and leaves and larvae feed on foliage (Williams </w:t>
            </w:r>
            <w:r>
              <w:rPr>
                <w:rFonts w:ascii="Helvetica" w:hAnsi="Helvetica" w:cs="Helvetica"/>
                <w:i/>
                <w:sz w:val="18"/>
                <w:szCs w:val="18"/>
                <w:lang w:val="en-US"/>
              </w:rPr>
              <w:t>et al</w:t>
            </w:r>
            <w:r>
              <w:rPr>
                <w:rFonts w:ascii="Helvetica" w:hAnsi="Helvetica" w:cs="Helvetica"/>
                <w:sz w:val="18"/>
                <w:szCs w:val="18"/>
                <w:lang w:val="en-US"/>
              </w:rPr>
              <w:t xml:space="preserve">. 2011). This species overwinters as pupae in tunnels built in old wood or trash just beneath the soil surface (Arnold 1982; Williams </w:t>
            </w:r>
            <w:r>
              <w:rPr>
                <w:rFonts w:ascii="Helvetica" w:hAnsi="Helvetica" w:cs="Helvetica"/>
                <w:i/>
                <w:sz w:val="18"/>
                <w:szCs w:val="18"/>
                <w:lang w:val="en-US"/>
              </w:rPr>
              <w:t>et al</w:t>
            </w:r>
            <w:r>
              <w:rPr>
                <w:rFonts w:ascii="Helvetica" w:hAnsi="Helvetica" w:cs="Helvetica"/>
                <w:sz w:val="18"/>
                <w:szCs w:val="18"/>
                <w:lang w:val="en-US"/>
              </w:rPr>
              <w:t xml:space="preserve">. 2011). Therefore, foliage free dormant cuttings do not provide a pathway for this pest. </w:t>
            </w:r>
            <w:hyperlink r:id="rId40" w:history="1"/>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lang w:val="en-US"/>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Ampelophaga khasiana</w:t>
            </w:r>
            <w:r>
              <w:rPr>
                <w:rFonts w:ascii="Helvetica" w:hAnsi="Helvetica" w:cs="Helvetica"/>
                <w:sz w:val="18"/>
                <w:szCs w:val="18"/>
              </w:rPr>
              <w:t xml:space="preserve"> Rothschild 1895 [Lepidoptera: Sphingidae]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These species have been reported from grapevines (Pittaway and Kitching 2006). The larvae of sphingids generally feed on foliage (Common 1990; Zhang 2005). Therefore, foliage free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Ampelophaga rubiginosa</w:t>
            </w:r>
            <w:r>
              <w:rPr>
                <w:rFonts w:ascii="Helvetica" w:hAnsi="Helvetica" w:cs="Helvetica"/>
                <w:sz w:val="18"/>
                <w:szCs w:val="18"/>
              </w:rPr>
              <w:t xml:space="preserve"> Bremer &amp; Grey 1853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Amphipyra p</w:t>
            </w:r>
            <w:hyperlink r:id="rId41" w:history="1"/>
            <w:r>
              <w:rPr>
                <w:rFonts w:ascii="Helvetica" w:hAnsi="Helvetica" w:cs="Helvetica"/>
                <w:i/>
                <w:sz w:val="18"/>
                <w:szCs w:val="18"/>
              </w:rPr>
              <w:t>yramidoides</w:t>
            </w:r>
            <w:r>
              <w:rPr>
                <w:rFonts w:ascii="Helvetica" w:hAnsi="Helvetica" w:cs="Helvetica"/>
                <w:sz w:val="18"/>
                <w:szCs w:val="18"/>
              </w:rPr>
              <w:t xml:space="preserve"> Guenée 1852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The larvae of pyramidal fruit worm feed on new foliage (Williams </w:t>
            </w:r>
            <w:r>
              <w:rPr>
                <w:rFonts w:ascii="Helvetica" w:hAnsi="Helvetica" w:cs="Helvetica"/>
                <w:i/>
                <w:sz w:val="18"/>
                <w:szCs w:val="18"/>
                <w:lang w:val="en-US"/>
              </w:rPr>
              <w:t>et al</w:t>
            </w:r>
            <w:r>
              <w:rPr>
                <w:rFonts w:ascii="Helvetica" w:hAnsi="Helvetica" w:cs="Helvetica"/>
                <w:sz w:val="18"/>
                <w:szCs w:val="18"/>
                <w:lang w:val="en-US"/>
              </w:rPr>
              <w:t>. 2011).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Amyelois transitella </w:t>
            </w:r>
            <w:r>
              <w:rPr>
                <w:rFonts w:ascii="Helvetica" w:hAnsi="Helvetica" w:cs="Helvetica"/>
                <w:sz w:val="18"/>
                <w:szCs w:val="18"/>
              </w:rPr>
              <w:t xml:space="preserve">Walker 1863 [Lepidoptera: Pyralidae]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lang w:val="en-US"/>
              </w:rPr>
              <w:t xml:space="preserve">No: This species is associated with postharvest fruit and dried grape fruits (Johnson 2007). Eggs are laid on dried, fallen fruit (Siegel </w:t>
            </w:r>
            <w:r>
              <w:rPr>
                <w:rFonts w:ascii="Helvetica" w:hAnsi="Helvetica" w:cs="Helvetica"/>
                <w:i/>
                <w:sz w:val="18"/>
                <w:szCs w:val="18"/>
                <w:lang w:val="en-US"/>
              </w:rPr>
              <w:t>et al</w:t>
            </w:r>
            <w:r>
              <w:rPr>
                <w:rFonts w:ascii="Helvetica" w:hAnsi="Helvetica" w:cs="Helvetica"/>
                <w:sz w:val="18"/>
                <w:szCs w:val="18"/>
                <w:lang w:val="en-US"/>
              </w:rPr>
              <w:t>.</w:t>
            </w:r>
            <w:r>
              <w:rPr>
                <w:rFonts w:ascii="Helvetica" w:hAnsi="Helvetica" w:cs="Helvetica"/>
                <w:i/>
                <w:sz w:val="18"/>
                <w:szCs w:val="18"/>
                <w:lang w:val="en-US"/>
              </w:rPr>
              <w:t xml:space="preserve"> </w:t>
            </w:r>
            <w:r>
              <w:rPr>
                <w:rFonts w:ascii="Helvetica" w:hAnsi="Helvetica" w:cs="Helvetica"/>
                <w:sz w:val="18"/>
                <w:szCs w:val="18"/>
                <w:lang w:val="en-US"/>
              </w:rPr>
              <w:t>2006). Therefore,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Antispila viticordifoliella</w:t>
            </w:r>
            <w:r>
              <w:rPr>
                <w:rFonts w:ascii="Helvetica" w:hAnsi="Helvetica" w:cs="Helvetica"/>
                <w:sz w:val="18"/>
                <w:szCs w:val="18"/>
              </w:rPr>
              <w:t xml:space="preserve"> Clemens 1860 (Lepidoptera: Heliozelidae).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lang w:val="en-US"/>
              </w:rPr>
              <w:t xml:space="preserve">No: Leaf miner larvae feed between the upper and lower surfaces of leaves (Williams </w:t>
            </w:r>
            <w:r>
              <w:rPr>
                <w:rFonts w:ascii="Helvetica" w:hAnsi="Helvetica" w:cs="Helvetica"/>
                <w:i/>
                <w:sz w:val="18"/>
                <w:szCs w:val="18"/>
                <w:lang w:val="en-US"/>
              </w:rPr>
              <w:t>et al</w:t>
            </w:r>
            <w:r>
              <w:rPr>
                <w:rFonts w:ascii="Helvetica" w:hAnsi="Helvetica" w:cs="Helvetica"/>
                <w:sz w:val="18"/>
                <w:szCs w:val="18"/>
                <w:lang w:val="en-US"/>
              </w:rPr>
              <w:t>. 2011).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Aporia crataegi</w:t>
            </w:r>
            <w:r>
              <w:rPr>
                <w:rFonts w:ascii="Helvetica" w:hAnsi="Helvetica" w:cs="Helvetica"/>
                <w:sz w:val="18"/>
                <w:szCs w:val="18"/>
              </w:rPr>
              <w:t xml:space="preserve"> (Linneaus 1758) [Lepidoptera: Pieridae]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Larvae of this species feed on foliage of many fruiting plants including grapes (Robinson </w:t>
            </w:r>
            <w:r>
              <w:rPr>
                <w:rFonts w:ascii="Helvetica" w:hAnsi="Helvetica" w:cs="Helvetica"/>
                <w:i/>
                <w:sz w:val="18"/>
                <w:szCs w:val="18"/>
                <w:lang w:val="en-US"/>
              </w:rPr>
              <w:t>et al</w:t>
            </w:r>
            <w:r>
              <w:rPr>
                <w:rFonts w:ascii="Helvetica" w:hAnsi="Helvetica" w:cs="Helvetica"/>
                <w:sz w:val="18"/>
                <w:szCs w:val="18"/>
                <w:lang w:val="en-US"/>
              </w:rPr>
              <w:t>. 2008, Grichanov and Ovsyannikova 2009).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Argyrotaenia citrana </w:t>
            </w:r>
            <w:r>
              <w:rPr>
                <w:rFonts w:ascii="Helvetica" w:hAnsi="Helvetica" w:cs="Helvetica"/>
                <w:sz w:val="18"/>
                <w:szCs w:val="18"/>
              </w:rPr>
              <w:t xml:space="preserve">Fernald 1889 [Lepidoptera: Tortricidae]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Cs/>
                <w:sz w:val="18"/>
                <w:szCs w:val="18"/>
              </w:rPr>
              <w:t xml:space="preserve">These species lay eggs </w:t>
            </w:r>
            <w:r>
              <w:rPr>
                <w:rFonts w:ascii="Helvetica" w:hAnsi="Helvetica" w:cs="Helvetica"/>
                <w:sz w:val="18"/>
                <w:szCs w:val="18"/>
              </w:rPr>
              <w:t xml:space="preserve">on the leaves and shoots (Zalom </w:t>
            </w:r>
            <w:r>
              <w:rPr>
                <w:rFonts w:ascii="Helvetica" w:hAnsi="Helvetica" w:cs="Helvetica"/>
                <w:i/>
                <w:sz w:val="18"/>
                <w:szCs w:val="18"/>
              </w:rPr>
              <w:t>et al.</w:t>
            </w:r>
            <w:r>
              <w:rPr>
                <w:rFonts w:ascii="Helvetica" w:hAnsi="Helvetica" w:cs="Helvetica"/>
                <w:sz w:val="18"/>
                <w:szCs w:val="18"/>
              </w:rPr>
              <w:t xml:space="preserve"> 2008, EPPO 2002b) or newly set grape clusters during spring (Williams </w:t>
            </w:r>
            <w:r>
              <w:rPr>
                <w:rFonts w:ascii="Helvetica" w:hAnsi="Helvetica" w:cs="Helvetica"/>
                <w:i/>
                <w:sz w:val="18"/>
                <w:szCs w:val="18"/>
              </w:rPr>
              <w:t>et al</w:t>
            </w:r>
            <w:r>
              <w:rPr>
                <w:rFonts w:ascii="Helvetica" w:hAnsi="Helvetica" w:cs="Helvetica"/>
                <w:sz w:val="18"/>
                <w:szCs w:val="18"/>
              </w:rPr>
              <w:t xml:space="preserve">. 2011). Larvae of these tortricid moths feed during spring on buds and leaves and later feed on berries (Bentley </w:t>
            </w:r>
            <w:r>
              <w:rPr>
                <w:rFonts w:ascii="Helvetica" w:hAnsi="Helvetica" w:cs="Helvetica"/>
                <w:i/>
                <w:sz w:val="18"/>
                <w:szCs w:val="18"/>
              </w:rPr>
              <w:t>et al</w:t>
            </w:r>
            <w:r>
              <w:rPr>
                <w:rFonts w:ascii="Helvetica" w:hAnsi="Helvetica" w:cs="Helvetica"/>
                <w:sz w:val="18"/>
                <w:szCs w:val="18"/>
              </w:rPr>
              <w:t>.</w:t>
            </w:r>
            <w:r>
              <w:rPr>
                <w:rFonts w:ascii="Helvetica" w:hAnsi="Helvetica" w:cs="Helvetica"/>
                <w:i/>
                <w:sz w:val="18"/>
                <w:szCs w:val="18"/>
              </w:rPr>
              <w:t xml:space="preserve"> </w:t>
            </w:r>
            <w:r>
              <w:rPr>
                <w:rFonts w:ascii="Helvetica" w:hAnsi="Helvetica" w:cs="Helvetica"/>
                <w:sz w:val="18"/>
                <w:szCs w:val="18"/>
              </w:rPr>
              <w:t>2008).</w:t>
            </w:r>
            <w:r>
              <w:rPr>
                <w:rFonts w:ascii="Helvetica" w:hAnsi="Helvetica" w:cs="Helvetica"/>
                <w:iCs/>
                <w:sz w:val="18"/>
                <w:szCs w:val="18"/>
                <w:lang w:eastAsia="en-AU"/>
              </w:rPr>
              <w:t xml:space="preserve"> Therefore, f</w:t>
            </w:r>
            <w:r>
              <w:rPr>
                <w:rFonts w:ascii="Helvetica" w:hAnsi="Helvetica" w:cs="Helvetica"/>
                <w:sz w:val="18"/>
                <w:szCs w:val="18"/>
              </w:rPr>
              <w:t>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Argyrotaenia ljungiana</w:t>
            </w:r>
            <w:r>
              <w:rPr>
                <w:rFonts w:ascii="Helvetica" w:hAnsi="Helvetica" w:cs="Helvetica"/>
                <w:sz w:val="18"/>
                <w:szCs w:val="18"/>
              </w:rPr>
              <w:t xml:space="preserve"> Thunberg 1797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Argyrotaenia velutinana </w:t>
            </w:r>
            <w:r>
              <w:rPr>
                <w:rFonts w:ascii="Helvetica" w:hAnsi="Helvetica" w:cs="Helvetica"/>
                <w:sz w:val="18"/>
                <w:szCs w:val="18"/>
              </w:rPr>
              <w:t>(Walker 1863)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Artena dotata</w:t>
            </w:r>
            <w:r>
              <w:rPr>
                <w:rFonts w:ascii="Helvetica" w:hAnsi="Helvetica" w:cs="Helvetica"/>
                <w:sz w:val="18"/>
                <w:szCs w:val="18"/>
              </w:rPr>
              <w:t xml:space="preserve"> (Fabricius 1794)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fruit piercing moth feeds on the grapevine fruit (Li 2004). </w:t>
            </w:r>
            <w:r>
              <w:rPr>
                <w:rFonts w:ascii="Helvetica" w:hAnsi="Helvetica" w:cs="Helvetica"/>
                <w:iCs/>
                <w:sz w:val="18"/>
                <w:szCs w:val="18"/>
                <w:lang w:eastAsia="en-AU"/>
              </w:rPr>
              <w:t xml:space="preserve">Therefore, fruit </w:t>
            </w:r>
            <w:r>
              <w:rPr>
                <w:rFonts w:ascii="Helvetica" w:hAnsi="Helvetica" w:cs="Helvetica"/>
                <w:sz w:val="18"/>
                <w:szCs w:val="18"/>
              </w:rPr>
              <w:t>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Autographa gamma </w:t>
            </w:r>
            <w:r>
              <w:rPr>
                <w:rFonts w:ascii="Helvetica" w:hAnsi="Helvetica" w:cs="Helvetica"/>
                <w:iCs/>
                <w:sz w:val="18"/>
                <w:szCs w:val="18"/>
              </w:rPr>
              <w:t>(</w:t>
            </w:r>
            <w:r>
              <w:rPr>
                <w:rFonts w:ascii="Helvetica" w:hAnsi="Helvetica" w:cs="Helvetica"/>
                <w:sz w:val="18"/>
                <w:szCs w:val="18"/>
              </w:rPr>
              <w:t>Linnaeus 1758)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lays eggs on the underside of leaves (AgroAtlas 2009b) and larvae feed externally on young grapevine buds and shoots (Bournier 1976).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Calyptra emarginata</w:t>
            </w:r>
            <w:r>
              <w:rPr>
                <w:rFonts w:ascii="Helvetica" w:hAnsi="Helvetica" w:cs="Helvetica"/>
                <w:sz w:val="18"/>
                <w:szCs w:val="18"/>
              </w:rPr>
              <w:t xml:space="preserve"> Fabricius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Larvae of these fruit-piercing moths are foliage feeders and adults are associated directly with the fruit and fruit clusters of grapevines (Hanken 2002, Lee </w:t>
            </w:r>
            <w:r>
              <w:rPr>
                <w:rFonts w:ascii="Helvetica" w:hAnsi="Helvetica" w:cs="Helvetica"/>
                <w:i/>
                <w:sz w:val="18"/>
                <w:szCs w:val="18"/>
              </w:rPr>
              <w:t>et al</w:t>
            </w:r>
            <w:r>
              <w:rPr>
                <w:rFonts w:ascii="Helvetica" w:hAnsi="Helvetica" w:cs="Helvetica"/>
                <w:sz w:val="18"/>
                <w:szCs w:val="18"/>
              </w:rPr>
              <w:t>. 1970). Therefore, foliage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Calyptra lata</w:t>
            </w:r>
            <w:r>
              <w:rPr>
                <w:rFonts w:ascii="Helvetica" w:hAnsi="Helvetica" w:cs="Helvetica"/>
                <w:sz w:val="18"/>
                <w:szCs w:val="18"/>
              </w:rPr>
              <w:t xml:space="preserve"> (Butler 1881)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Calyptra thalictri</w:t>
            </w:r>
            <w:r>
              <w:rPr>
                <w:rFonts w:ascii="Helvetica" w:hAnsi="Helvetica" w:cs="Helvetica"/>
                <w:sz w:val="18"/>
                <w:szCs w:val="18"/>
              </w:rPr>
              <w:t xml:space="preserve"> (Borkhusen 1790)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Cechenena lineosa</w:t>
            </w:r>
            <w:r>
              <w:rPr>
                <w:rFonts w:ascii="Helvetica" w:hAnsi="Helvetica" w:cs="Helvetica"/>
                <w:sz w:val="18"/>
                <w:szCs w:val="18"/>
              </w:rPr>
              <w:t xml:space="preserve"> (Walker 1856)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of sphingid moths are generally foliage feeders (Common 1990). Therefore, foliage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Cechenena minor</w:t>
            </w:r>
            <w:r>
              <w:rPr>
                <w:rFonts w:ascii="Helvetica" w:hAnsi="Helvetica" w:cs="Helvetica"/>
                <w:sz w:val="18"/>
                <w:szCs w:val="18"/>
              </w:rPr>
              <w:t xml:space="preserve"> (Butler 1875)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Clania variegata</w:t>
            </w:r>
            <w:r>
              <w:rPr>
                <w:rFonts w:ascii="Helvetica" w:hAnsi="Helvetica" w:cs="Helvetica"/>
                <w:sz w:val="18"/>
                <w:szCs w:val="18"/>
              </w:rPr>
              <w:t xml:space="preserve"> (Snellen 1879)  [Lepidoptera: Psychidae] (synonym </w:t>
            </w:r>
            <w:r>
              <w:rPr>
                <w:rFonts w:ascii="Helvetica" w:hAnsi="Helvetica" w:cs="Helvetica"/>
                <w:i/>
                <w:sz w:val="18"/>
                <w:szCs w:val="18"/>
              </w:rPr>
              <w:t xml:space="preserve">Eumeta variegata </w:t>
            </w:r>
            <w:r>
              <w:rPr>
                <w:rFonts w:ascii="Helvetica" w:hAnsi="Helvetica" w:cs="Helvetica"/>
                <w:sz w:val="18"/>
                <w:szCs w:val="18"/>
              </w:rPr>
              <w:t>(Snellen))</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The larvae of this species feed on foliage and also chew the skin of grapes (Zhang 2005). Therefore, foliage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Cnephasia longana </w:t>
            </w:r>
            <w:r>
              <w:rPr>
                <w:rFonts w:ascii="Helvetica" w:hAnsi="Helvetica" w:cs="Helvetica"/>
                <w:sz w:val="18"/>
                <w:szCs w:val="18"/>
              </w:rPr>
              <w:t>Haworth 1811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omnivorous leafroller lays eggs on rough barked trunks (Rosenstiel and Ferguson 1944) and larvae feed on grapevine leaves (Norton 1991). Therefore, foliage free, semi-hardwood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Conogethes punctiferalis </w:t>
            </w:r>
            <w:r>
              <w:rPr>
                <w:rFonts w:ascii="Helvetica" w:hAnsi="Helvetica" w:cs="Helvetica"/>
                <w:sz w:val="18"/>
                <w:szCs w:val="18"/>
              </w:rPr>
              <w:t>Guenée 1854 [Lepidoptera: Crambidae]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(Nielsen </w:t>
            </w:r>
            <w:r>
              <w:rPr>
                <w:rFonts w:ascii="Helvetica" w:hAnsi="Helvetica" w:cs="Helvetica"/>
                <w:i/>
                <w:sz w:val="18"/>
                <w:szCs w:val="18"/>
              </w:rPr>
              <w:t>et al</w:t>
            </w:r>
            <w:r>
              <w:rPr>
                <w:rFonts w:ascii="Helvetica" w:hAnsi="Helvetica" w:cs="Helvetica"/>
                <w:sz w:val="18"/>
                <w:szCs w:val="18"/>
              </w:rPr>
              <w:t>. 1996)</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Cryptophlebia l</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cotreta</w:t>
            </w:r>
            <w:r>
              <w:rPr>
                <w:rFonts w:ascii="Helvetica" w:hAnsi="Helvetica" w:cs="Helvetica"/>
                <w:sz w:val="18"/>
                <w:szCs w:val="18"/>
              </w:rPr>
              <w:t xml:space="preserve"> Meyrick 1913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tortricid moth lays eggs on the fruit (Grové </w:t>
            </w:r>
            <w:r>
              <w:rPr>
                <w:rFonts w:ascii="Helvetica" w:hAnsi="Helvetica" w:cs="Helvetica"/>
                <w:i/>
                <w:sz w:val="18"/>
                <w:szCs w:val="18"/>
              </w:rPr>
              <w:t>et al</w:t>
            </w:r>
            <w:r>
              <w:rPr>
                <w:rFonts w:ascii="Helvetica" w:hAnsi="Helvetica" w:cs="Helvetica"/>
                <w:sz w:val="18"/>
                <w:szCs w:val="18"/>
              </w:rPr>
              <w:t xml:space="preserve">. 1999) and larvae feed within the fruit (Carter 1984). Therefore,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Ctenops</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stis obliquana </w:t>
            </w:r>
            <w:r>
              <w:rPr>
                <w:rFonts w:ascii="Helvetica" w:hAnsi="Helvetica" w:cs="Helvetica"/>
                <w:sz w:val="18"/>
                <w:szCs w:val="18"/>
              </w:rPr>
              <w:t>Walker 1863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tortricid moth lays eggs on buds and larvae feed on the leaves, fruits and buds of hosts (Kay 1979).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Dasychira feminula</w:t>
            </w:r>
            <w:r>
              <w:rPr>
                <w:rFonts w:ascii="Helvetica" w:hAnsi="Helvetica" w:cs="Helvetica"/>
                <w:sz w:val="18"/>
                <w:szCs w:val="18"/>
              </w:rPr>
              <w:t xml:space="preserve"> (Hampson 1891) [Lepidoptera: Lymantriidae]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species have been recorded on grapevines (Robinson </w:t>
            </w:r>
            <w:r>
              <w:rPr>
                <w:rFonts w:ascii="Helvetica" w:hAnsi="Helvetica" w:cs="Helvetica"/>
                <w:i/>
                <w:sz w:val="18"/>
                <w:szCs w:val="18"/>
              </w:rPr>
              <w:t>et al.</w:t>
            </w:r>
            <w:r>
              <w:rPr>
                <w:rFonts w:ascii="Helvetica" w:hAnsi="Helvetica" w:cs="Helvetica"/>
                <w:sz w:val="18"/>
                <w:szCs w:val="18"/>
              </w:rPr>
              <w:t xml:space="preserve"> 2008). Larvae of Lymantriid moths are foliage feeders (Common 1990). Therefore, foliage free dormant cuttings do not provide a pathway for these pests.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Dasychira tenebrosa</w:t>
            </w:r>
            <w:r>
              <w:rPr>
                <w:rFonts w:ascii="Helvetica" w:hAnsi="Helvetica" w:cs="Helvetica"/>
                <w:sz w:val="18"/>
                <w:szCs w:val="18"/>
              </w:rPr>
              <w:t xml:space="preserve"> Walker 1865 [Lepidoptera: Lymantriidae]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Deilephila elpenor</w:t>
            </w:r>
            <w:r>
              <w:rPr>
                <w:rFonts w:ascii="Helvetica" w:hAnsi="Helvetica" w:cs="Helvetica"/>
                <w:sz w:val="18"/>
                <w:szCs w:val="18"/>
              </w:rPr>
              <w:t xml:space="preserve"> Swinhoe 1884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lays eggs on leaves (CABI 2012a) and larvae feed on the leaves of host plants (Owen 1991).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Desmia funeralis</w:t>
            </w:r>
            <w:r>
              <w:rPr>
                <w:rFonts w:ascii="Helvetica" w:hAnsi="Helvetica" w:cs="Helvetica"/>
                <w:sz w:val="18"/>
                <w:szCs w:val="18"/>
              </w:rPr>
              <w:t xml:space="preserve"> Hübner 1796 [Lepidoptera: Pyralidae]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grape leaf folder lays eggs on both sides of leaves (AliNiazee 1974) and larvae attack leaves (Mead and Webb 2001). Therefore, foliage free dormant cuttings do not provide a pathway for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Diaphania indica</w:t>
            </w:r>
            <w:r>
              <w:rPr>
                <w:rFonts w:ascii="Helvetica" w:hAnsi="Helvetica" w:cs="Helvetica"/>
                <w:sz w:val="18"/>
                <w:szCs w:val="18"/>
              </w:rPr>
              <w:t xml:space="preserve"> (Saunders 1851) [Lepidoptera: Pyralidae]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(Nielsen </w:t>
            </w:r>
            <w:r>
              <w:rPr>
                <w:rFonts w:ascii="Helvetica" w:hAnsi="Helvetica" w:cs="Helvetica"/>
                <w:i/>
                <w:sz w:val="18"/>
                <w:szCs w:val="18"/>
              </w:rPr>
              <w:t>et al</w:t>
            </w:r>
            <w:r>
              <w:rPr>
                <w:rFonts w:ascii="Helvetica" w:hAnsi="Helvetica" w:cs="Helvetica"/>
                <w:sz w:val="18"/>
                <w:szCs w:val="18"/>
              </w:rPr>
              <w:t>. 1996)</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Elibia dolichus</w:t>
            </w:r>
            <w:r>
              <w:rPr>
                <w:rFonts w:ascii="Helvetica" w:hAnsi="Helvetica" w:cs="Helvetica"/>
                <w:sz w:val="18"/>
                <w:szCs w:val="18"/>
              </w:rPr>
              <w:t xml:space="preserve"> (Westwood 1847)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moth has been recorded from grapes (Robinson </w:t>
            </w:r>
            <w:r>
              <w:rPr>
                <w:rFonts w:ascii="Helvetica" w:hAnsi="Helvetica" w:cs="Helvetica"/>
                <w:i/>
                <w:sz w:val="18"/>
                <w:szCs w:val="18"/>
              </w:rPr>
              <w:t>et al</w:t>
            </w:r>
            <w:r>
              <w:rPr>
                <w:rFonts w:ascii="Helvetica" w:hAnsi="Helvetica" w:cs="Helvetica"/>
                <w:sz w:val="18"/>
                <w:szCs w:val="18"/>
              </w:rPr>
              <w:t>. 2008). The larvae of sphingids generally feed only on foliage (Common 1990).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Endopiza viteana </w:t>
            </w:r>
            <w:r>
              <w:rPr>
                <w:rFonts w:ascii="Helvetica" w:hAnsi="Helvetica" w:cs="Helvetica"/>
                <w:sz w:val="18"/>
                <w:szCs w:val="18"/>
              </w:rPr>
              <w:t xml:space="preserve">Clemens 1860 [Lepidoptera: Tortricidae] (synonym: </w:t>
            </w:r>
            <w:r>
              <w:rPr>
                <w:rFonts w:ascii="Helvetica" w:hAnsi="Helvetica" w:cs="Helvetica"/>
                <w:i/>
                <w:iCs/>
                <w:sz w:val="18"/>
                <w:szCs w:val="18"/>
              </w:rPr>
              <w:t>Paralobesia</w:t>
            </w:r>
            <w:r>
              <w:rPr>
                <w:rFonts w:ascii="Helvetica" w:hAnsi="Helvetica" w:cs="Helvetica"/>
                <w:sz w:val="18"/>
                <w:szCs w:val="18"/>
              </w:rPr>
              <w:t xml:space="preserve"> </w:t>
            </w:r>
            <w:r>
              <w:rPr>
                <w:rFonts w:ascii="Helvetica" w:hAnsi="Helvetica" w:cs="Helvetica"/>
                <w:i/>
                <w:iCs/>
                <w:sz w:val="18"/>
                <w:szCs w:val="18"/>
              </w:rPr>
              <w:t>viteana</w:t>
            </w:r>
            <w:r>
              <w:rPr>
                <w:rFonts w:ascii="Helvetica" w:hAnsi="Helvetica" w:cs="Helvetica"/>
                <w:sz w:val="18"/>
                <w:szCs w:val="18"/>
              </w:rPr>
              <w:t xml:space="preserve"> Clemens 1860)</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moth lays eggs on berries, where the larvae then feed (Botero-Garces and Isaacs 2003). Therefore,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Epiphyas postvittana</w:t>
            </w:r>
            <w:r>
              <w:rPr>
                <w:rFonts w:ascii="Helvetica" w:hAnsi="Helvetica" w:cs="Helvetica"/>
                <w:sz w:val="18"/>
                <w:szCs w:val="18"/>
              </w:rPr>
              <w:t xml:space="preserve"> Walker 1863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(Nicholas </w:t>
            </w:r>
            <w:r>
              <w:rPr>
                <w:rFonts w:ascii="Helvetica" w:hAnsi="Helvetica" w:cs="Helvetica"/>
                <w:i/>
                <w:iCs/>
                <w:sz w:val="18"/>
                <w:szCs w:val="18"/>
              </w:rPr>
              <w:t>et al.</w:t>
            </w:r>
            <w:r>
              <w:rPr>
                <w:rFonts w:ascii="Helvetica" w:hAnsi="Helvetica" w:cs="Helvetica"/>
                <w:sz w:val="18"/>
                <w:szCs w:val="18"/>
              </w:rPr>
              <w:t xml:space="preserve"> 1994)</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Estigmene acraea</w:t>
            </w:r>
            <w:r>
              <w:rPr>
                <w:rFonts w:ascii="Helvetica" w:hAnsi="Helvetica" w:cs="Helvetica"/>
                <w:sz w:val="18"/>
                <w:szCs w:val="18"/>
              </w:rPr>
              <w:t xml:space="preserve"> Drury 1773 [Lepidoptera: Arctiidae]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feeds on the leaves of host plants (Stracener 1931).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Eudocima fullonia</w:t>
            </w:r>
            <w:r>
              <w:rPr>
                <w:rFonts w:ascii="Helvetica" w:hAnsi="Helvetica" w:cs="Helvetica"/>
                <w:sz w:val="18"/>
                <w:szCs w:val="18"/>
              </w:rPr>
              <w:t xml:space="preserve"> Clerck 1764 [Lepidoptera: Noctuidae]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(Smith </w:t>
            </w:r>
            <w:r>
              <w:rPr>
                <w:rFonts w:ascii="Helvetica" w:hAnsi="Helvetica" w:cs="Helvetica"/>
                <w:i/>
                <w:iCs/>
                <w:sz w:val="18"/>
                <w:szCs w:val="18"/>
              </w:rPr>
              <w:t>et al.</w:t>
            </w:r>
            <w:r>
              <w:rPr>
                <w:rFonts w:ascii="Helvetica" w:hAnsi="Helvetica" w:cs="Helvetica"/>
                <w:sz w:val="18"/>
                <w:szCs w:val="18"/>
              </w:rPr>
              <w:t xml:space="preserve"> 1997)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Eudocima tyrannus</w:t>
            </w:r>
            <w:r>
              <w:rPr>
                <w:rFonts w:ascii="Helvetica" w:hAnsi="Helvetica" w:cs="Helvetica"/>
                <w:sz w:val="18"/>
                <w:szCs w:val="18"/>
              </w:rPr>
              <w:t xml:space="preserve"> (Guenée 1852)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lays eggs on the underside of leaves of host plants and sometimes on the bark (Kumar and Lal 1983; CABI 2012a). Adults feed on fruit (Hanken 2002). Therefore, foliage free dormant cuttings do not provide a pathway for this species.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Eupoecilia ambiguella</w:t>
            </w:r>
            <w:r>
              <w:rPr>
                <w:rFonts w:ascii="Helvetica" w:hAnsi="Helvetica" w:cs="Helvetica"/>
                <w:sz w:val="18"/>
                <w:szCs w:val="18"/>
              </w:rPr>
              <w:t xml:space="preserve"> (Hübner 1796)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The larvae of this species feed internally on berries and unripe seed of grapes (Frolov 2009). Therefore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Eulithis diversilineata</w:t>
            </w:r>
            <w:r>
              <w:rPr>
                <w:rFonts w:ascii="Helvetica" w:hAnsi="Helvetica" w:cs="Helvetica"/>
                <w:sz w:val="18"/>
                <w:szCs w:val="18"/>
              </w:rPr>
              <w:t xml:space="preserve"> Hübner 1812 [Lepidoptera: Geometridae]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Larvae of lesser grapevine looper are foliage feeders (Williams </w:t>
            </w:r>
            <w:r>
              <w:rPr>
                <w:rFonts w:ascii="Helvetica" w:hAnsi="Helvetica" w:cs="Helvetica"/>
                <w:i/>
                <w:sz w:val="18"/>
                <w:szCs w:val="18"/>
              </w:rPr>
              <w:t>et al</w:t>
            </w:r>
            <w:r>
              <w:rPr>
                <w:rFonts w:ascii="Helvetica" w:hAnsi="Helvetica" w:cs="Helvetica"/>
                <w:sz w:val="18"/>
                <w:szCs w:val="18"/>
              </w:rPr>
              <w:t>. 2011). Therefore, foliage free dormant cuttings do not provide a pathway for this insect.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Eumorpha achemon</w:t>
            </w:r>
            <w:r>
              <w:rPr>
                <w:rFonts w:ascii="Helvetica" w:hAnsi="Helvetica" w:cs="Helvetica"/>
                <w:sz w:val="18"/>
                <w:szCs w:val="18"/>
              </w:rPr>
              <w:t xml:space="preserve"> (Drury 1773)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moth lays eggs on the upper surface of the leaves and larvae feed on the foliage (Bournier 1976; Anon 2008). Therefore, foliage free dormant cuttings do not provide a pathway for the Achemon sphinx moth.</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Eupoecilia ambiguella </w:t>
            </w:r>
            <w:r>
              <w:rPr>
                <w:rFonts w:ascii="Helvetica" w:hAnsi="Helvetica" w:cs="Helvetica"/>
                <w:sz w:val="18"/>
                <w:szCs w:val="18"/>
              </w:rPr>
              <w:t>Hübner 1796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moth lays eggs on buds, bracts and anthophores, less often on young sprouts or on immature berries (AgroAtlas 2011a). Larvae feed on flower buds and flowers (AgroAtlas 2011a). Therefore, dormant cuttings do not provide a pathway for grape moth.</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Euproctis paradoxa</w:t>
            </w:r>
            <w:r>
              <w:rPr>
                <w:rFonts w:ascii="Helvetica" w:hAnsi="Helvetica" w:cs="Helvetica"/>
                <w:sz w:val="18"/>
                <w:szCs w:val="18"/>
              </w:rPr>
              <w:t xml:space="preserve"> (Butler 1886) [Lepidoptera: Lymantriidae]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Euxoa messoria</w:t>
            </w:r>
            <w:r>
              <w:rPr>
                <w:rFonts w:ascii="Helvetica" w:hAnsi="Helvetica" w:cs="Helvetica"/>
                <w:sz w:val="18"/>
                <w:szCs w:val="18"/>
              </w:rPr>
              <w:t xml:space="preserve"> Harris 1841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sz w:val="18"/>
                <w:szCs w:val="18"/>
                <w:lang w:val="en-US"/>
              </w:rPr>
              <w:t xml:space="preserve">The larvae of these noctuid moths feed on the swelling grape buds (Wright </w:t>
            </w:r>
            <w:r>
              <w:rPr>
                <w:rFonts w:ascii="Helvetica" w:hAnsi="Helvetica" w:cs="Helvetica"/>
                <w:i/>
                <w:sz w:val="18"/>
                <w:szCs w:val="18"/>
                <w:lang w:val="en-US"/>
              </w:rPr>
              <w:t>et al</w:t>
            </w:r>
            <w:r>
              <w:rPr>
                <w:rFonts w:ascii="Helvetica" w:hAnsi="Helvetica" w:cs="Helvetica"/>
                <w:sz w:val="18"/>
                <w:szCs w:val="18"/>
                <w:lang w:val="en-US"/>
              </w:rPr>
              <w:t xml:space="preserve">. 2010; Williams </w:t>
            </w:r>
            <w:r>
              <w:rPr>
                <w:rFonts w:ascii="Helvetica" w:hAnsi="Helvetica" w:cs="Helvetica"/>
                <w:i/>
                <w:sz w:val="18"/>
                <w:szCs w:val="18"/>
                <w:lang w:val="en-US"/>
              </w:rPr>
              <w:t>et al</w:t>
            </w:r>
            <w:r>
              <w:rPr>
                <w:rFonts w:ascii="Helvetica" w:hAnsi="Helvetica" w:cs="Helvetica"/>
                <w:sz w:val="18"/>
                <w:szCs w:val="18"/>
                <w:lang w:val="en-US"/>
              </w:rPr>
              <w:t>. 2011). Therefore,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Euxoa scandens</w:t>
            </w:r>
            <w:r>
              <w:rPr>
                <w:rFonts w:ascii="Helvetica" w:hAnsi="Helvetica" w:cs="Helvetica"/>
                <w:sz w:val="18"/>
                <w:szCs w:val="18"/>
              </w:rPr>
              <w:t xml:space="preserve"> Riley 1869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Euxoa tessellata</w:t>
            </w:r>
            <w:r>
              <w:rPr>
                <w:rFonts w:ascii="Helvetica" w:hAnsi="Helvetica" w:cs="Helvetica"/>
                <w:sz w:val="18"/>
                <w:szCs w:val="18"/>
              </w:rPr>
              <w:t xml:space="preserve"> (Harris 1841)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Euxoa ochrogaster</w:t>
            </w:r>
            <w:r>
              <w:rPr>
                <w:rFonts w:ascii="Helvetica" w:hAnsi="Helvetica" w:cs="Helvetica"/>
                <w:sz w:val="18"/>
                <w:szCs w:val="18"/>
              </w:rPr>
              <w:t xml:space="preserve"> (Guenée 1852)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Feltia subgothica</w:t>
            </w:r>
            <w:r>
              <w:rPr>
                <w:rFonts w:ascii="Helvetica" w:hAnsi="Helvetica" w:cs="Helvetica"/>
                <w:sz w:val="18"/>
                <w:szCs w:val="18"/>
              </w:rPr>
              <w:t xml:space="preserve"> (Haworth 1809)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The larvae of this noctuid moth feed on the swelling grape buds (Williams </w:t>
            </w:r>
            <w:r>
              <w:rPr>
                <w:rFonts w:ascii="Helvetica" w:hAnsi="Helvetica" w:cs="Helvetica"/>
                <w:i/>
                <w:sz w:val="18"/>
                <w:szCs w:val="18"/>
                <w:lang w:val="en-US"/>
              </w:rPr>
              <w:t>et al</w:t>
            </w:r>
            <w:r>
              <w:rPr>
                <w:rFonts w:ascii="Helvetica" w:hAnsi="Helvetica" w:cs="Helvetica"/>
                <w:sz w:val="18"/>
                <w:szCs w:val="18"/>
                <w:lang w:val="en-US"/>
              </w:rPr>
              <w:t>. 2011). Therefore,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Geina persicelidactylus</w:t>
            </w:r>
            <w:r>
              <w:rPr>
                <w:rFonts w:ascii="Helvetica" w:hAnsi="Helvetica" w:cs="Helvetica"/>
                <w:sz w:val="18"/>
                <w:szCs w:val="18"/>
              </w:rPr>
              <w:t xml:space="preserve"> (Fitch) 1855 [Lepidoptera: Pterophoridae]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 This moth lays eggs on foliage and hatched larv</w:t>
            </w:r>
            <w:hyperlink r:id="rId42" w:history="1"/>
            <w:r>
              <w:rPr>
                <w:rFonts w:ascii="Helvetica" w:hAnsi="Helvetica" w:cs="Helvetica"/>
                <w:sz w:val="18"/>
                <w:szCs w:val="18"/>
                <w:lang w:val="en-US"/>
              </w:rPr>
              <w:t xml:space="preserve">ae feed on the upper surfaces of grape leaves (Williams </w:t>
            </w:r>
            <w:r>
              <w:rPr>
                <w:rFonts w:ascii="Helvetica" w:hAnsi="Helvetica" w:cs="Helvetica"/>
                <w:i/>
                <w:sz w:val="18"/>
                <w:szCs w:val="18"/>
                <w:lang w:val="en-US"/>
              </w:rPr>
              <w:t>et al</w:t>
            </w:r>
            <w:r>
              <w:rPr>
                <w:rFonts w:ascii="Helvetica" w:hAnsi="Helvetica" w:cs="Helvetica"/>
                <w:sz w:val="18"/>
                <w:szCs w:val="18"/>
                <w:lang w:val="en-US"/>
              </w:rPr>
              <w:t>. 2011).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Harrisina americana</w:t>
            </w:r>
            <w:r>
              <w:rPr>
                <w:rFonts w:ascii="Helvetica" w:hAnsi="Helvetica" w:cs="Helvetica"/>
                <w:sz w:val="18"/>
                <w:szCs w:val="18"/>
              </w:rPr>
              <w:t xml:space="preserve"> Guérin-Meneville 1844 [Lepidoptera: Zygaenidae]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highlight w:val="yellow"/>
              </w:rPr>
            </w:pPr>
            <w:r>
              <w:rPr>
                <w:rFonts w:ascii="Helvetica" w:hAnsi="Helvetica" w:cs="Helvetica"/>
                <w:sz w:val="18"/>
                <w:szCs w:val="18"/>
                <w:lang w:val="en-US"/>
              </w:rPr>
              <w:t>No: The grape leaf skeletonizer lays eggs and feeds on the leaves of grapevine (Mead and Webb 2001). Therefore, f</w:t>
            </w:r>
            <w:r>
              <w:rPr>
                <w:rFonts w:ascii="Helvetica" w:hAnsi="Helvetica" w:cs="Helvetica"/>
                <w:sz w:val="18"/>
                <w:szCs w:val="18"/>
              </w:rPr>
              <w:t>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Helicoverpa armigera</w:t>
            </w:r>
            <w:r>
              <w:rPr>
                <w:rFonts w:ascii="Helvetica" w:hAnsi="Helvetica" w:cs="Helvetica"/>
                <w:sz w:val="18"/>
                <w:szCs w:val="18"/>
              </w:rPr>
              <w:t xml:space="preserve"> Hübner 1809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(Nielsen </w:t>
            </w:r>
            <w:r>
              <w:rPr>
                <w:rFonts w:ascii="Helvetica" w:hAnsi="Helvetica" w:cs="Helvetica"/>
                <w:i/>
                <w:iCs/>
                <w:sz w:val="18"/>
                <w:szCs w:val="18"/>
              </w:rPr>
              <w:t>et al.</w:t>
            </w:r>
            <w:r>
              <w:rPr>
                <w:rFonts w:ascii="Helvetica" w:hAnsi="Helvetica" w:cs="Helvetica"/>
                <w:sz w:val="18"/>
                <w:szCs w:val="18"/>
              </w:rPr>
              <w:t xml:space="preserve"> 1996)</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Helicoverpa punctigera</w:t>
            </w:r>
            <w:r>
              <w:rPr>
                <w:rFonts w:ascii="Helvetica" w:hAnsi="Helvetica" w:cs="Helvetica"/>
                <w:sz w:val="18"/>
                <w:szCs w:val="18"/>
              </w:rPr>
              <w:t xml:space="preserve"> Wallengren 1860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(Smith </w:t>
            </w:r>
            <w:r>
              <w:rPr>
                <w:rFonts w:ascii="Helvetica" w:hAnsi="Helvetica" w:cs="Helvetica"/>
                <w:i/>
                <w:iCs/>
                <w:sz w:val="18"/>
                <w:szCs w:val="18"/>
              </w:rPr>
              <w:t>et al.</w:t>
            </w:r>
            <w:r>
              <w:rPr>
                <w:rFonts w:ascii="Helvetica" w:hAnsi="Helvetica" w:cs="Helvetica"/>
                <w:sz w:val="18"/>
                <w:szCs w:val="18"/>
              </w:rPr>
              <w:t xml:space="preserve"> 1997)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Herpetogramma luctuosalis</w:t>
            </w:r>
            <w:r>
              <w:rPr>
                <w:rFonts w:ascii="Helvetica" w:hAnsi="Helvetica" w:cs="Helvetica"/>
                <w:sz w:val="18"/>
                <w:szCs w:val="18"/>
              </w:rPr>
              <w:t xml:space="preserve"> (Guenée 1854) [Lepidoptera: Pyralidae]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 larvae of this moth feed on grape leaves by rolling the leaves into a cylinder and feeding on them from the inside (Li 2004).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Hippotion celerio</w:t>
            </w:r>
            <w:r>
              <w:rPr>
                <w:rFonts w:ascii="Helvetica" w:hAnsi="Helvetica" w:cs="Helvetica"/>
                <w:sz w:val="18"/>
                <w:szCs w:val="18"/>
              </w:rPr>
              <w:t xml:space="preserve"> (Linneaus 1758)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Present (Common 1990)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Hyphantria cunea </w:t>
            </w:r>
            <w:r>
              <w:rPr>
                <w:rFonts w:ascii="Helvetica" w:hAnsi="Helvetica" w:cs="Helvetica"/>
                <w:sz w:val="18"/>
                <w:szCs w:val="18"/>
              </w:rPr>
              <w:t>Drury 1770 [Lepidoptera: Arctiidae]</w:t>
            </w:r>
            <w:r>
              <w:rPr>
                <w:rFonts w:ascii="Helvetica" w:hAnsi="Helvetica" w:cs="Helvetica"/>
                <w:i/>
                <w:i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lays eggs on the underside of leaves of host plants (Johnson and Lyon 1988). Developing larvae feed on foliage (Warren and Tadic 1970).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Illiberis tenuis</w:t>
            </w:r>
            <w:r>
              <w:rPr>
                <w:rFonts w:ascii="Helvetica" w:hAnsi="Helvetica" w:cs="Helvetica"/>
                <w:sz w:val="18"/>
                <w:szCs w:val="18"/>
              </w:rPr>
              <w:t xml:space="preserve"> (Butler 1877) [Lepidoptera: Zygaenidae]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Larvae feed on young shoots, flowers and leaves of grapevines (Zhang 2005). Therefore, foliage free dormant cuttings do not provide a pathway for this species.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Ischyja manlia</w:t>
            </w:r>
            <w:r>
              <w:rPr>
                <w:rFonts w:ascii="Helvetica" w:hAnsi="Helvetica" w:cs="Helvetica"/>
                <w:sz w:val="18"/>
                <w:szCs w:val="18"/>
              </w:rPr>
              <w:t xml:space="preserve"> (Cramer 1776)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(Nielsen </w:t>
            </w:r>
            <w:r>
              <w:rPr>
                <w:rFonts w:ascii="Helvetica" w:hAnsi="Helvetica" w:cs="Helvetica"/>
                <w:i/>
                <w:sz w:val="18"/>
                <w:szCs w:val="18"/>
              </w:rPr>
              <w:t>et al</w:t>
            </w:r>
            <w:r>
              <w:rPr>
                <w:rFonts w:ascii="Helvetica" w:hAnsi="Helvetica" w:cs="Helvetica"/>
                <w:sz w:val="18"/>
                <w:szCs w:val="18"/>
              </w:rPr>
              <w:t>. 1996)</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pct5" w:color="auto" w:fill="auto"/>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Lacinipolia meditata</w:t>
            </w:r>
            <w:r>
              <w:rPr>
                <w:rFonts w:ascii="Helvetica" w:hAnsi="Helvetica" w:cs="Helvetica"/>
                <w:sz w:val="18"/>
                <w:szCs w:val="18"/>
              </w:rPr>
              <w:t xml:space="preserve"> (Grote 1873)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The larvae of these noctuid moths feed on swelling grape buds (Williams </w:t>
            </w:r>
            <w:r>
              <w:rPr>
                <w:rFonts w:ascii="Helvetica" w:hAnsi="Helvetica" w:cs="Helvetica"/>
                <w:i/>
                <w:sz w:val="18"/>
                <w:szCs w:val="18"/>
                <w:lang w:val="en-US"/>
              </w:rPr>
              <w:t>et al</w:t>
            </w:r>
            <w:r>
              <w:rPr>
                <w:rFonts w:ascii="Helvetica" w:hAnsi="Helvetica" w:cs="Helvetica"/>
                <w:sz w:val="18"/>
                <w:szCs w:val="18"/>
                <w:lang w:val="en-US"/>
              </w:rPr>
              <w:t>. 2011). Therefore,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Lacinipolia renigera</w:t>
            </w:r>
            <w:r>
              <w:rPr>
                <w:rFonts w:ascii="Helvetica" w:hAnsi="Helvetica" w:cs="Helvetica"/>
                <w:sz w:val="18"/>
                <w:szCs w:val="18"/>
              </w:rPr>
              <w:t xml:space="preserve"> (Stephens 1829)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Lithophane antennata</w:t>
            </w:r>
            <w:r>
              <w:rPr>
                <w:rFonts w:ascii="Helvetica" w:hAnsi="Helvetica" w:cs="Helvetica"/>
                <w:sz w:val="18"/>
                <w:szCs w:val="18"/>
              </w:rPr>
              <w:t xml:space="preserve"> (Walker 1858)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The larvae of green fruit worm feed on new foliage (Williams </w:t>
            </w:r>
            <w:r>
              <w:rPr>
                <w:rFonts w:ascii="Helvetica" w:hAnsi="Helvetica" w:cs="Helvetica"/>
                <w:i/>
                <w:sz w:val="18"/>
                <w:szCs w:val="18"/>
                <w:lang w:val="en-US"/>
              </w:rPr>
              <w:t>et al</w:t>
            </w:r>
            <w:r>
              <w:rPr>
                <w:rFonts w:ascii="Helvetica" w:hAnsi="Helvetica" w:cs="Helvetica"/>
                <w:sz w:val="18"/>
                <w:szCs w:val="18"/>
                <w:lang w:val="en-US"/>
              </w:rPr>
              <w:t>. 2011).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iCs/>
                <w:sz w:val="18"/>
                <w:szCs w:val="18"/>
                <w:highlight w:val="yellow"/>
              </w:rPr>
            </w:pPr>
            <w:r>
              <w:rPr>
                <w:rFonts w:ascii="Helvetica" w:hAnsi="Helvetica" w:cs="Helvetica"/>
                <w:i/>
                <w:iCs/>
                <w:sz w:val="18"/>
                <w:szCs w:val="18"/>
              </w:rPr>
              <w:t xml:space="preserve">Lobesia botrana </w:t>
            </w:r>
            <w:r>
              <w:rPr>
                <w:rFonts w:ascii="Helvetica" w:hAnsi="Helvetica" w:cs="Helvetica"/>
                <w:sz w:val="18"/>
                <w:szCs w:val="18"/>
              </w:rPr>
              <w:t>Denis &amp; Schiffermüller 1775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Larvae of this tortricid moth feed on flowers and berries (Varela </w:t>
            </w:r>
            <w:r>
              <w:rPr>
                <w:rFonts w:ascii="Helvetica" w:hAnsi="Helvetica" w:cs="Helvetica"/>
                <w:i/>
                <w:sz w:val="18"/>
                <w:szCs w:val="18"/>
                <w:lang w:val="en-US"/>
              </w:rPr>
              <w:t>et al</w:t>
            </w:r>
            <w:r>
              <w:rPr>
                <w:rFonts w:ascii="Helvetica" w:hAnsi="Helvetica" w:cs="Helvetica"/>
                <w:sz w:val="18"/>
                <w:szCs w:val="18"/>
                <w:lang w:val="en-US"/>
              </w:rPr>
              <w:t xml:space="preserve">. 2010). Eggs are laid either near, or in, flower clusters or on berries (Varela </w:t>
            </w:r>
            <w:r>
              <w:rPr>
                <w:rFonts w:ascii="Helvetica" w:hAnsi="Helvetica" w:cs="Helvetica"/>
                <w:i/>
                <w:sz w:val="18"/>
                <w:szCs w:val="18"/>
                <w:lang w:val="en-US"/>
              </w:rPr>
              <w:t>et al</w:t>
            </w:r>
            <w:r>
              <w:rPr>
                <w:rFonts w:ascii="Helvetica" w:hAnsi="Helvetica" w:cs="Helvetica"/>
                <w:sz w:val="18"/>
                <w:szCs w:val="18"/>
                <w:lang w:val="en-US"/>
              </w:rPr>
              <w:t>. 2010). Therefore, dormant cuttings free of flowers and berries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sz w:val="18"/>
                <w:szCs w:val="18"/>
                <w:lang w:val="en-US"/>
              </w:rPr>
              <w:t>Loepa katinka</w:t>
            </w:r>
            <w:r>
              <w:rPr>
                <w:rFonts w:ascii="Helvetica" w:hAnsi="Helvetica" w:cs="Helvetica"/>
                <w:sz w:val="18"/>
                <w:szCs w:val="18"/>
                <w:lang w:val="en-US"/>
              </w:rPr>
              <w:t xml:space="preserve"> (Westwood 1847) [Lepidoptera: Saturniidae]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 Larvae of saturniid moths are foliage feeders (Common 1990).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lang w:val="en-US"/>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lang w:val="en-US"/>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Mamestra brassicae</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w:t>
            </w:r>
            <w:r>
              <w:rPr>
                <w:rFonts w:ascii="Helvetica" w:hAnsi="Helvetica" w:cs="Helvetica"/>
                <w:sz w:val="18"/>
                <w:szCs w:val="18"/>
                <w:lang w:val="en-US"/>
              </w:rPr>
              <w:t xml:space="preserve"> Larvae of this noctuid moth feed on foliage and lay eggs on the underside of the leaves of host plants (CABI 2012a). Older larvae can also feed on ripening grapes (Voigt 1974).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sz w:val="18"/>
                <w:szCs w:val="18"/>
                <w:lang w:val="en-US"/>
              </w:rPr>
              <w:t>Marumba gaschkewitschii</w:t>
            </w:r>
            <w:r>
              <w:rPr>
                <w:rFonts w:ascii="Helvetica" w:hAnsi="Helvetica" w:cs="Helvetica"/>
                <w:sz w:val="18"/>
                <w:szCs w:val="18"/>
                <w:lang w:val="en-US"/>
              </w:rPr>
              <w:t xml:space="preserve"> (Bremer &amp; Grey 1852)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w:t>
            </w:r>
            <w:r>
              <w:rPr>
                <w:rFonts w:ascii="Helvetica" w:hAnsi="Helvetica" w:cs="Helvetica"/>
                <w:sz w:val="18"/>
                <w:szCs w:val="18"/>
                <w:lang w:val="en-US"/>
              </w:rPr>
              <w:t xml:space="preserve"> Larvae of this moth feed on foliage (Zhang 2005).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Nippoptilia vitis</w:t>
            </w:r>
            <w:r>
              <w:rPr>
                <w:rFonts w:ascii="Helvetica" w:hAnsi="Helvetica" w:cs="Helvetica"/>
                <w:sz w:val="18"/>
                <w:szCs w:val="18"/>
              </w:rPr>
              <w:t xml:space="preserve"> Sasaki 1913 [Lepidoptera: Pterophoridae] (synonym:  </w:t>
            </w:r>
            <w:r>
              <w:rPr>
                <w:rFonts w:ascii="Helvetica" w:hAnsi="Helvetica" w:cs="Helvetica"/>
                <w:i/>
                <w:sz w:val="18"/>
                <w:szCs w:val="18"/>
              </w:rPr>
              <w:t xml:space="preserve">Stenoptilia vitis </w:t>
            </w:r>
            <w:r>
              <w:rPr>
                <w:rFonts w:ascii="Helvetica" w:hAnsi="Helvetica" w:cs="Helvetica"/>
                <w:sz w:val="18"/>
                <w:szCs w:val="18"/>
              </w:rPr>
              <w:t>Sasaki)</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 Larvae of this species feed on leaves, stems, and fruit (APHIS–USDA 2002). Larvae may also feed internally on the fruit and seeds of grape, usually causing the young fruit to drop (Li 2004; Zhang 2005).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lang w:val="en-US"/>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sz w:val="18"/>
                <w:szCs w:val="18"/>
                <w:lang w:val="en-US"/>
              </w:rPr>
              <w:t>Oraesia emarginata</w:t>
            </w:r>
            <w:r>
              <w:rPr>
                <w:rFonts w:ascii="Helvetica" w:hAnsi="Helvetica" w:cs="Helvetica"/>
                <w:sz w:val="18"/>
                <w:szCs w:val="18"/>
                <w:lang w:val="en-US"/>
              </w:rPr>
              <w:t xml:space="preserve"> (Fabricius 1794)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Yes (Nielsen </w:t>
            </w:r>
            <w:r>
              <w:rPr>
                <w:rFonts w:ascii="Helvetica" w:hAnsi="Helvetica" w:cs="Helvetica"/>
                <w:i/>
                <w:sz w:val="18"/>
                <w:szCs w:val="18"/>
                <w:lang w:val="en-US"/>
              </w:rPr>
              <w:t>et al</w:t>
            </w:r>
            <w:r>
              <w:rPr>
                <w:rFonts w:ascii="Helvetica" w:hAnsi="Helvetica" w:cs="Helvetica"/>
                <w:sz w:val="18"/>
                <w:szCs w:val="18"/>
                <w:lang w:val="en-US"/>
              </w:rPr>
              <w:t>. 1996)</w:t>
            </w:r>
          </w:p>
        </w:tc>
        <w:tc>
          <w:tcPr>
            <w:tcW w:w="2640" w:type="dxa"/>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lang w:val="en-US"/>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lang w:val="en-US"/>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lang w:val="en-US"/>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sz w:val="18"/>
                <w:szCs w:val="18"/>
                <w:lang w:val="en-US"/>
              </w:rPr>
              <w:t>Oraesia excavata</w:t>
            </w:r>
            <w:r>
              <w:rPr>
                <w:rFonts w:ascii="Helvetica" w:hAnsi="Helvetica" w:cs="Helvetica"/>
                <w:sz w:val="18"/>
                <w:szCs w:val="18"/>
                <w:lang w:val="en-US"/>
              </w:rPr>
              <w:t xml:space="preserve"> (Butler 1878)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 Adults shelter in foliage and feed on fruits (Li 2004).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lang w:val="en-US"/>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lang w:val="en-US"/>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Orthodes rufula </w:t>
            </w:r>
            <w:r>
              <w:rPr>
                <w:rFonts w:ascii="Helvetica" w:hAnsi="Helvetica" w:cs="Helvetica"/>
                <w:sz w:val="18"/>
                <w:szCs w:val="18"/>
              </w:rPr>
              <w:t>Grote 1849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This moth occurs on grapevines from the time of bud swell to when shoots are several inches long. The larvae feed on grapevine buds and injured buds may fail to develop (Bentley </w:t>
            </w:r>
            <w:r>
              <w:rPr>
                <w:rFonts w:ascii="Helvetica" w:hAnsi="Helvetica" w:cs="Helvetica"/>
                <w:i/>
                <w:sz w:val="18"/>
                <w:szCs w:val="18"/>
                <w:lang w:val="en-US"/>
              </w:rPr>
              <w:t>et al</w:t>
            </w:r>
            <w:r>
              <w:rPr>
                <w:rFonts w:ascii="Helvetica" w:hAnsi="Helvetica" w:cs="Helvetica"/>
                <w:sz w:val="18"/>
                <w:szCs w:val="18"/>
                <w:lang w:val="en-US"/>
              </w:rPr>
              <w:t xml:space="preserve">. 2008). Dormant cuttings are not preferred feeding sites for this insect and therefore do not provide a pathway for this moth.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Orthosia hibisci</w:t>
            </w:r>
            <w:r>
              <w:rPr>
                <w:rFonts w:ascii="Helvetica" w:hAnsi="Helvetica" w:cs="Helvetica"/>
                <w:sz w:val="18"/>
                <w:szCs w:val="18"/>
              </w:rPr>
              <w:t xml:space="preserve"> Guenée 1852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 xml:space="preserve">No: The larvae of this insect feed on new foliage (Williams </w:t>
            </w:r>
            <w:r>
              <w:rPr>
                <w:rFonts w:ascii="Helvetica" w:hAnsi="Helvetica" w:cs="Helvetica"/>
                <w:i/>
                <w:sz w:val="18"/>
                <w:szCs w:val="18"/>
                <w:lang w:val="en-US"/>
              </w:rPr>
              <w:t>et al</w:t>
            </w:r>
            <w:r>
              <w:rPr>
                <w:rFonts w:ascii="Helvetica" w:hAnsi="Helvetica" w:cs="Helvetica"/>
                <w:sz w:val="18"/>
                <w:szCs w:val="18"/>
                <w:lang w:val="en-US"/>
              </w:rPr>
              <w:t>. 2011).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Paranthrene regalis </w:t>
            </w:r>
            <w:r>
              <w:rPr>
                <w:rFonts w:ascii="Helvetica" w:hAnsi="Helvetica" w:cs="Helvetica"/>
                <w:sz w:val="18"/>
                <w:szCs w:val="18"/>
              </w:rPr>
              <w:t>Butler 1878 [Lepidoptera: Sesiidae]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b/>
                <w:sz w:val="18"/>
                <w:szCs w:val="18"/>
                <w:lang w:val="en-US"/>
              </w:rPr>
              <w:t xml:space="preserve">Yes: </w:t>
            </w:r>
            <w:r>
              <w:rPr>
                <w:rFonts w:ascii="Helvetica" w:hAnsi="Helvetica" w:cs="Helvetica"/>
                <w:sz w:val="18"/>
                <w:szCs w:val="18"/>
                <w:lang w:val="en-US"/>
              </w:rPr>
              <w:t xml:space="preserve">The newly hatched larvae of </w:t>
            </w:r>
            <w:r>
              <w:rPr>
                <w:rFonts w:ascii="Helvetica" w:hAnsi="Helvetica" w:cs="Helvetica"/>
                <w:sz w:val="18"/>
                <w:szCs w:val="18"/>
              </w:rPr>
              <w:t xml:space="preserve">grape clear-wing moth bore into the tender stems </w:t>
            </w:r>
            <w:r>
              <w:rPr>
                <w:rFonts w:ascii="Helvetica" w:hAnsi="Helvetica" w:cs="Helvetica"/>
                <w:sz w:val="18"/>
                <w:szCs w:val="18"/>
                <w:lang w:val="en-US"/>
              </w:rPr>
              <w:t>of grapevines; they then develop, overwinter and pupate within the stem of grapevines (Zhou 1991)</w:t>
            </w:r>
            <w:r>
              <w:rPr>
                <w:rFonts w:ascii="Helvetica" w:hAnsi="Helvetica" w:cs="Helvetica"/>
                <w:sz w:val="18"/>
                <w:szCs w:val="18"/>
                <w:lang w:val="en-US"/>
              </w:rPr>
              <w:fldChar w:fldCharType="begin"/>
            </w:r>
            <w:r>
              <w:rPr>
                <w:rFonts w:ascii="Helvetica" w:hAnsi="Helvetica" w:cs="Helvetica"/>
                <w:sz w:val="18"/>
                <w:szCs w:val="18"/>
                <w:lang w:val="en-US"/>
              </w:rPr>
              <w:instrText xml:space="preserve"> QUOTE "" </w:instrText>
            </w:r>
            <w:r>
              <w:rPr>
                <w:rFonts w:ascii="Helvetica" w:hAnsi="Helvetica" w:cs="Helvetica"/>
                <w:sz w:val="18"/>
                <w:szCs w:val="18"/>
                <w:lang w:val="en-US"/>
              </w:rPr>
              <w:fldChar w:fldCharType="begin"/>
            </w:r>
            <w:r>
              <w:rPr>
                <w:rFonts w:ascii="Helvetica" w:hAnsi="Helvetica" w:cs="Helvetica"/>
                <w:sz w:val="18"/>
                <w:szCs w:val="18"/>
                <w:lang w:val="en-US"/>
              </w:rPr>
              <w:instrText xml:space="preserve"> ADDIN PROCITE ÿ\11\05‘\19\02\00\00\00\00\01\00\00\09\00\00SJ:\5CPlant\5CPublications\5CProject C Publications\5CProject_C_Table_grapes_References_.pdt\14Zhou Z.L. 1991 #1607\01\02\00\09\00àà\00\00\00¿H\00¨&gt;\14\00\14\00\00\00\01\00\00\00\00\00\00\00\00\00\00\00\10\00\00\00\00\00\00\00\0B\00\00\00\00\00\00ºI_È.Ì\00\01\00\00\00\01\00\00\00\00\00\00\00tò\12\000¬W\00ÿÿÿÿ </w:instrText>
            </w:r>
            <w:r>
              <w:rPr>
                <w:rFonts w:ascii="Helvetica" w:hAnsi="Helvetica" w:cs="Helvetica"/>
                <w:sz w:val="18"/>
                <w:szCs w:val="18"/>
                <w:lang w:val="en-US"/>
              </w:rPr>
              <w:fldChar w:fldCharType="end"/>
            </w:r>
            <w:r>
              <w:rPr>
                <w:rFonts w:ascii="Helvetica" w:hAnsi="Helvetica" w:cs="Helvetica"/>
                <w:sz w:val="18"/>
                <w:szCs w:val="18"/>
                <w:lang w:val="en-US"/>
              </w:rPr>
              <w:fldChar w:fldCharType="end"/>
            </w:r>
            <w:r>
              <w:rPr>
                <w:rFonts w:ascii="Helvetica" w:hAnsi="Helvetica" w:cs="Helvetica"/>
                <w:sz w:val="18"/>
                <w:szCs w:val="18"/>
                <w:lang w:val="en-US"/>
              </w:rPr>
              <w:t xml:space="preserve">. Dormant cuttings may harbor overwintering larvae and therefore provide a pathway for </w:t>
            </w:r>
            <w:r>
              <w:rPr>
                <w:rFonts w:ascii="Helvetica" w:hAnsi="Helvetica" w:cs="Helvetica"/>
                <w:sz w:val="18"/>
                <w:szCs w:val="18"/>
              </w:rPr>
              <w:t>grape clear-wing moth.</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b/>
                <w:sz w:val="18"/>
                <w:szCs w:val="18"/>
                <w:lang w:val="en-US"/>
              </w:rPr>
              <w:t>Yes</w:t>
            </w:r>
            <w:r>
              <w:rPr>
                <w:rFonts w:ascii="Helvetica" w:hAnsi="Helvetica" w:cs="Helvetica"/>
                <w:sz w:val="18"/>
                <w:szCs w:val="18"/>
                <w:lang w:val="en-US"/>
              </w:rPr>
              <w:t>: Grape clear-wing moth is distributed in China and Korea (Zhou 1991; S</w:t>
            </w:r>
            <w:smartTag w:uri="urn:schemas-microsoft-com:office:smarttags" w:element="PersonName">
              <w:r>
                <w:rPr>
                  <w:rFonts w:ascii="Helvetica" w:hAnsi="Helvetica" w:cs="Helvetica"/>
                  <w:sz w:val="18"/>
                  <w:szCs w:val="18"/>
                  <w:lang w:val="en-US"/>
                </w:rPr>
                <w:t>eu</w:t>
              </w:r>
            </w:smartTag>
            <w:r>
              <w:rPr>
                <w:rFonts w:ascii="Helvetica" w:hAnsi="Helvetica" w:cs="Helvetica"/>
                <w:sz w:val="18"/>
                <w:szCs w:val="18"/>
                <w:lang w:val="en-US"/>
              </w:rPr>
              <w:t xml:space="preserve">ng-Tae </w:t>
            </w:r>
            <w:r>
              <w:rPr>
                <w:rFonts w:ascii="Helvetica" w:hAnsi="Helvetica" w:cs="Helvetica"/>
                <w:i/>
                <w:sz w:val="18"/>
                <w:szCs w:val="18"/>
                <w:lang w:val="en-US"/>
              </w:rPr>
              <w:t>et al</w:t>
            </w:r>
            <w:r>
              <w:rPr>
                <w:rFonts w:ascii="Helvetica" w:hAnsi="Helvetica" w:cs="Helvetica"/>
                <w:sz w:val="18"/>
                <w:szCs w:val="18"/>
                <w:lang w:val="en-US"/>
              </w:rPr>
              <w:t xml:space="preserve">. 2006). There are similar natural and built environments in parts of Australia that would be suitable for the establishment and spread of this pest. </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b/>
                <w:sz w:val="18"/>
                <w:szCs w:val="18"/>
                <w:lang w:val="en-US"/>
              </w:rPr>
              <w:t>Yes</w:t>
            </w:r>
            <w:r>
              <w:rPr>
                <w:rFonts w:ascii="Helvetica" w:hAnsi="Helvetica" w:cs="Helvetica"/>
                <w:sz w:val="18"/>
                <w:szCs w:val="18"/>
                <w:lang w:val="en-US"/>
              </w:rPr>
              <w:t xml:space="preserve">: This species damages vines and may cause defoliation and a decline in yield (Li 2004). This species is listed as an insect that can endanger commercial grapevine production in China (Li 2004). </w:t>
            </w:r>
            <w:r>
              <w:rPr>
                <w:rFonts w:ascii="Helvetica" w:hAnsi="Helvetica" w:cs="Helvetica"/>
                <w:sz w:val="18"/>
                <w:szCs w:val="18"/>
              </w:rPr>
              <w:t>Therefore, this moth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sz w:val="18"/>
                <w:szCs w:val="18"/>
                <w:lang w:val="en-US"/>
              </w:rPr>
            </w:pPr>
            <w:r>
              <w:rPr>
                <w:rFonts w:ascii="Helvetica" w:hAnsi="Helvetica" w:cs="Helvetica"/>
                <w:b/>
                <w:sz w:val="18"/>
                <w:szCs w:val="18"/>
                <w:lang w:val="en-US"/>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Paropta paradoxus</w:t>
            </w:r>
            <w:r>
              <w:rPr>
                <w:rFonts w:ascii="Helvetica" w:hAnsi="Helvetica" w:cs="Helvetica"/>
                <w:b/>
                <w:bCs/>
                <w:sz w:val="18"/>
                <w:szCs w:val="18"/>
              </w:rPr>
              <w:t xml:space="preserve"> </w:t>
            </w:r>
            <w:r>
              <w:rPr>
                <w:rFonts w:ascii="Helvetica" w:hAnsi="Helvetica" w:cs="Helvetica"/>
                <w:sz w:val="18"/>
                <w:szCs w:val="18"/>
              </w:rPr>
              <w:t>Herrich-Schäffer 1851 [Lepidoptera: Cossidae]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lang w:val="en-US"/>
              </w:rPr>
              <w:t>No: This cossid moth lays eggs on the underside of loose bark or on the older wood of grapevines (Plaut 1973). Hatched larvae settle under loose bark and begin feeding. The larvae burrow into the stems and branches of grapevine through dried stubs of pruned canes and excavate galleries along the axes of stems and branches (Plaut 1973). Larvae may also develop under dry bark. This cossid moth overwinters as active immature larvae and diapausing mature prepupal larvae (Plaut 1973). One year old semi-hardwood dormant cuttings are not preferred sites for egg laying and therefore do not provide a pathway for this cossid moth.</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Pergesa acteus</w:t>
            </w:r>
            <w:r>
              <w:rPr>
                <w:rFonts w:ascii="Helvetica" w:hAnsi="Helvetica" w:cs="Helvetica"/>
                <w:sz w:val="18"/>
                <w:szCs w:val="18"/>
              </w:rPr>
              <w:t xml:space="preserve"> (Cramer 1779)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 This species has been recorded on grapevines (Pittaway and Kitching 2006) and larvae feed on foliage (Common 1990).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Peridroma saucia </w:t>
            </w:r>
            <w:r>
              <w:rPr>
                <w:rFonts w:ascii="Helvetica" w:hAnsi="Helvetica" w:cs="Helvetica"/>
                <w:sz w:val="18"/>
                <w:szCs w:val="18"/>
              </w:rPr>
              <w:t>Hübner 1803 [Lepidoptera: Noctuidae]</w:t>
            </w:r>
            <w:r>
              <w:rPr>
                <w:rFonts w:ascii="Helvetica" w:hAnsi="Helvetica" w:cs="Helvetica"/>
                <w:i/>
                <w:i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lang w:val="en-US"/>
              </w:rPr>
              <w:t>No:</w:t>
            </w:r>
            <w:r>
              <w:rPr>
                <w:rFonts w:ascii="Helvetica" w:hAnsi="Helvetica" w:cs="Helvetica"/>
                <w:b/>
                <w:sz w:val="18"/>
                <w:szCs w:val="18"/>
                <w:lang w:val="en-US"/>
              </w:rPr>
              <w:t xml:space="preserve"> </w:t>
            </w:r>
            <w:r>
              <w:rPr>
                <w:rFonts w:ascii="Helvetica" w:hAnsi="Helvetica" w:cs="Helvetica"/>
                <w:sz w:val="18"/>
                <w:szCs w:val="18"/>
                <w:lang w:val="en-US"/>
              </w:rPr>
              <w:t xml:space="preserve">This moth is associated with </w:t>
            </w:r>
            <w:r>
              <w:rPr>
                <w:rFonts w:ascii="Helvetica" w:hAnsi="Helvetica" w:cs="Helvetica"/>
                <w:i/>
                <w:sz w:val="18"/>
                <w:szCs w:val="18"/>
                <w:lang w:val="en-US"/>
              </w:rPr>
              <w:t xml:space="preserve">Vitis </w:t>
            </w:r>
            <w:r>
              <w:rPr>
                <w:rFonts w:ascii="Helvetica" w:hAnsi="Helvetica" w:cs="Helvetica"/>
                <w:sz w:val="18"/>
                <w:szCs w:val="18"/>
                <w:lang w:val="en-US"/>
              </w:rPr>
              <w:t xml:space="preserve">species (Dibble </w:t>
            </w:r>
            <w:r>
              <w:rPr>
                <w:rFonts w:ascii="Helvetica" w:hAnsi="Helvetica" w:cs="Helvetica"/>
                <w:i/>
                <w:sz w:val="18"/>
                <w:szCs w:val="18"/>
                <w:lang w:val="en-US"/>
              </w:rPr>
              <w:t xml:space="preserve">et al. </w:t>
            </w:r>
            <w:r>
              <w:rPr>
                <w:rFonts w:ascii="Helvetica" w:hAnsi="Helvetica" w:cs="Helvetica"/>
                <w:sz w:val="18"/>
                <w:szCs w:val="18"/>
                <w:lang w:val="en-US"/>
              </w:rPr>
              <w:t xml:space="preserve">1979; CABI 2012a) and larvae feed on swelling grape buds (Williams </w:t>
            </w:r>
            <w:r>
              <w:rPr>
                <w:rFonts w:ascii="Helvetica" w:hAnsi="Helvetica" w:cs="Helvetica"/>
                <w:i/>
                <w:sz w:val="18"/>
                <w:szCs w:val="18"/>
                <w:lang w:val="en-US"/>
              </w:rPr>
              <w:t>et al</w:t>
            </w:r>
            <w:r>
              <w:rPr>
                <w:rFonts w:ascii="Helvetica" w:hAnsi="Helvetica" w:cs="Helvetica"/>
                <w:sz w:val="18"/>
                <w:szCs w:val="18"/>
                <w:lang w:val="en-US"/>
              </w:rPr>
              <w:t>. 2011). Therefore, dormant cuttings do not provide a pathway for this noctuid moth.</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Phalaenoides glycinae </w:t>
            </w:r>
            <w:r>
              <w:rPr>
                <w:rFonts w:ascii="Helvetica" w:hAnsi="Helvetica" w:cs="Helvetica"/>
                <w:sz w:val="18"/>
                <w:szCs w:val="18"/>
              </w:rPr>
              <w:t>Lewin 1805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(CSIRO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Platynota stultana </w:t>
            </w:r>
            <w:r>
              <w:rPr>
                <w:rFonts w:ascii="Helvetica" w:hAnsi="Helvetica" w:cs="Helvetica"/>
                <w:sz w:val="18"/>
                <w:szCs w:val="18"/>
              </w:rPr>
              <w:t>Walsingham 1884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 Omnivorous leafrollers lay eggs on the leaves and newly hatched larvae feed on buds (AliNiazee and Stafford 1972). Therefore, f</w:t>
            </w:r>
            <w:r>
              <w:rPr>
                <w:rFonts w:ascii="Helvetica" w:hAnsi="Helvetica" w:cs="Helvetica"/>
                <w:sz w:val="18"/>
                <w:szCs w:val="18"/>
              </w:rPr>
              <w:t>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Pro</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lia auraria </w:t>
            </w:r>
            <w:r>
              <w:rPr>
                <w:rFonts w:ascii="Helvetica" w:hAnsi="Helvetica" w:cs="Helvetica"/>
                <w:sz w:val="18"/>
                <w:szCs w:val="18"/>
              </w:rPr>
              <w:t xml:space="preserve">Clarke 1949 </w:t>
            </w:r>
            <w:r>
              <w:rPr>
                <w:rFonts w:ascii="Helvetica" w:hAnsi="Helvetica" w:cs="Helvetica"/>
                <w:sz w:val="18"/>
                <w:szCs w:val="18"/>
                <w:lang w:val="en-US"/>
              </w:rPr>
              <w:t>[</w:t>
            </w:r>
            <w:r>
              <w:rPr>
                <w:rFonts w:ascii="Helvetica" w:hAnsi="Helvetica" w:cs="Helvetica"/>
                <w:sz w:val="18"/>
                <w:szCs w:val="18"/>
              </w:rPr>
              <w:t xml:space="preserve">Lepidoptera: </w:t>
            </w:r>
            <w:r>
              <w:rPr>
                <w:rFonts w:ascii="Helvetica" w:hAnsi="Helvetica" w:cs="Helvetica"/>
                <w:sz w:val="18"/>
                <w:szCs w:val="18"/>
                <w:lang w:val="en-US"/>
              </w:rPr>
              <w:t>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species lay eggs on leaves (Campos </w:t>
            </w:r>
            <w:r>
              <w:rPr>
                <w:rFonts w:ascii="Helvetica" w:hAnsi="Helvetica" w:cs="Helvetica"/>
                <w:i/>
                <w:sz w:val="18"/>
                <w:szCs w:val="18"/>
              </w:rPr>
              <w:t>et al</w:t>
            </w:r>
            <w:r>
              <w:rPr>
                <w:rFonts w:ascii="Helvetica" w:hAnsi="Helvetica" w:cs="Helvetica"/>
                <w:sz w:val="18"/>
                <w:szCs w:val="18"/>
              </w:rPr>
              <w:t>. 1981) and larvae feed on foliage and fruit (Brown and Passoa 1998; Brown 1999). Therefore, foliage free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Pro</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lia chrysopteris</w:t>
            </w:r>
            <w:r>
              <w:rPr>
                <w:rFonts w:ascii="Helvetica" w:hAnsi="Helvetica" w:cs="Helvetica"/>
                <w:sz w:val="18"/>
                <w:szCs w:val="18"/>
              </w:rPr>
              <w:t xml:space="preserve"> Butler 1883 [Lepidoptera: </w:t>
            </w:r>
            <w:r>
              <w:rPr>
                <w:rFonts w:ascii="Helvetica" w:hAnsi="Helvetica" w:cs="Helvetica"/>
                <w:sz w:val="18"/>
                <w:szCs w:val="18"/>
                <w:lang w:val="en-US"/>
              </w:rPr>
              <w:t>Tortricidae</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Pro</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lia triquetra</w:t>
            </w:r>
            <w:r>
              <w:rPr>
                <w:rFonts w:ascii="Helvetica" w:hAnsi="Helvetica" w:cs="Helvetica"/>
                <w:sz w:val="18"/>
                <w:szCs w:val="18"/>
              </w:rPr>
              <w:t xml:space="preserve"> Obraztsov 1964 </w:t>
            </w:r>
            <w:r>
              <w:rPr>
                <w:rFonts w:ascii="Helvetica" w:hAnsi="Helvetica" w:cs="Helvetica"/>
                <w:sz w:val="18"/>
                <w:szCs w:val="18"/>
                <w:lang w:val="en-US"/>
              </w:rPr>
              <w:t>[</w:t>
            </w:r>
            <w:r>
              <w:rPr>
                <w:rFonts w:ascii="Helvetica" w:hAnsi="Helvetica" w:cs="Helvetica"/>
                <w:sz w:val="18"/>
                <w:szCs w:val="18"/>
              </w:rPr>
              <w:t xml:space="preserve">Lepidoptera: </w:t>
            </w:r>
            <w:r>
              <w:rPr>
                <w:rFonts w:ascii="Helvetica" w:hAnsi="Helvetica" w:cs="Helvetica"/>
                <w:sz w:val="18"/>
                <w:szCs w:val="18"/>
                <w:lang w:val="en-US"/>
              </w:rPr>
              <w:t>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Cs/>
                <w:sz w:val="18"/>
                <w:szCs w:val="18"/>
              </w:rPr>
            </w:pPr>
            <w:r>
              <w:rPr>
                <w:rFonts w:ascii="Helvetica" w:hAnsi="Helvetica" w:cs="Helvetica"/>
                <w:i/>
                <w:sz w:val="18"/>
                <w:szCs w:val="18"/>
              </w:rPr>
              <w:t>Psychomorpha epimenis</w:t>
            </w:r>
            <w:r>
              <w:rPr>
                <w:rFonts w:ascii="Helvetica" w:hAnsi="Helvetica" w:cs="Helvetica"/>
                <w:sz w:val="18"/>
                <w:szCs w:val="18"/>
              </w:rPr>
              <w:t xml:space="preserve"> (Drury 1782)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lays eggs on or near new foliage and hatched larvae feed on foliage </w:t>
            </w:r>
            <w:r>
              <w:rPr>
                <w:rFonts w:ascii="Helvetica" w:hAnsi="Helvetica" w:cs="Helvetica"/>
                <w:sz w:val="18"/>
                <w:szCs w:val="18"/>
                <w:lang w:val="en-US"/>
              </w:rPr>
              <w:t xml:space="preserve">(Williams </w:t>
            </w:r>
            <w:r>
              <w:rPr>
                <w:rFonts w:ascii="Helvetica" w:hAnsi="Helvetica" w:cs="Helvetica"/>
                <w:i/>
                <w:sz w:val="18"/>
                <w:szCs w:val="18"/>
                <w:lang w:val="en-US"/>
              </w:rPr>
              <w:t>et al</w:t>
            </w:r>
            <w:r>
              <w:rPr>
                <w:rFonts w:ascii="Helvetica" w:hAnsi="Helvetica" w:cs="Helvetica"/>
                <w:sz w:val="18"/>
                <w:szCs w:val="18"/>
                <w:lang w:val="en-US"/>
              </w:rPr>
              <w:t>. 2011).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Rhagastis castor aurifera</w:t>
            </w:r>
            <w:r>
              <w:rPr>
                <w:rFonts w:ascii="Helvetica" w:hAnsi="Helvetica" w:cs="Helvetica"/>
                <w:sz w:val="18"/>
                <w:szCs w:val="18"/>
              </w:rPr>
              <w:t xml:space="preserve"> (Butler 1875) [Lepidoptera: Sphingidae]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sz w:val="18"/>
                <w:szCs w:val="18"/>
                <w:lang w:val="en-US"/>
              </w:rPr>
              <w:t>These species have been recorded on grapevines (Pittaway and Kitching 2006) and larvae feed on foliage (Common 1990; Zhang 2005). Therefore, foliage free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Rhagastis confusa</w:t>
            </w:r>
            <w:r>
              <w:rPr>
                <w:rFonts w:ascii="Helvetica" w:hAnsi="Helvetica" w:cs="Helvetica"/>
                <w:sz w:val="18"/>
                <w:szCs w:val="18"/>
              </w:rPr>
              <w:t xml:space="preserve"> Rothschild and Jordan 1903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Rhagastis mongoliana</w:t>
            </w:r>
            <w:r>
              <w:rPr>
                <w:rFonts w:ascii="Helvetica" w:hAnsi="Helvetica" w:cs="Helvetica"/>
                <w:sz w:val="18"/>
                <w:szCs w:val="18"/>
              </w:rPr>
              <w:t xml:space="preserve"> (Butler 1876)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Rhynchagrotis cupida</w:t>
            </w:r>
            <w:r>
              <w:rPr>
                <w:rFonts w:ascii="Helvetica" w:hAnsi="Helvetica" w:cs="Helvetica"/>
                <w:sz w:val="18"/>
                <w:szCs w:val="18"/>
              </w:rPr>
              <w:t xml:space="preserve"> (Grote 1864)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lang w:val="en-US"/>
              </w:rPr>
              <w:t xml:space="preserve">No: The larvae of these moths feed on the swelling grape buds (Williams </w:t>
            </w:r>
            <w:r>
              <w:rPr>
                <w:rFonts w:ascii="Helvetica" w:hAnsi="Helvetica" w:cs="Helvetica"/>
                <w:i/>
                <w:sz w:val="18"/>
                <w:szCs w:val="18"/>
                <w:lang w:val="en-US"/>
              </w:rPr>
              <w:t>et al</w:t>
            </w:r>
            <w:r>
              <w:rPr>
                <w:rFonts w:ascii="Helvetica" w:hAnsi="Helvetica" w:cs="Helvetica"/>
                <w:sz w:val="18"/>
                <w:szCs w:val="18"/>
                <w:lang w:val="en-US"/>
              </w:rPr>
              <w:t>. 2011). Therefore,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Rhynchagrotis placida</w:t>
            </w:r>
            <w:r>
              <w:rPr>
                <w:rFonts w:ascii="Helvetica" w:hAnsi="Helvetica" w:cs="Helvetica"/>
                <w:sz w:val="18"/>
                <w:szCs w:val="18"/>
              </w:rPr>
              <w:t xml:space="preserve"> (Grote 1876)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Sarbanissa subflava</w:t>
            </w:r>
            <w:r>
              <w:rPr>
                <w:rFonts w:ascii="Helvetica" w:hAnsi="Helvetica" w:cs="Helvetica"/>
                <w:sz w:val="18"/>
                <w:szCs w:val="18"/>
              </w:rPr>
              <w:t xml:space="preserve"> (Moore 1877)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left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 The larvae of these moths feed on young shoots and leaves of grapevines (Zhang 2005). Therefore, dormant cuttings do not provide a pathway for these pests.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Sarbanissa transiens</w:t>
            </w:r>
            <w:r>
              <w:rPr>
                <w:rFonts w:ascii="Helvetica" w:hAnsi="Helvetica" w:cs="Helvetica"/>
                <w:sz w:val="18"/>
                <w:szCs w:val="18"/>
              </w:rPr>
              <w:t xml:space="preserve"> (Walker 1855)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Spaelotis clandestina</w:t>
            </w:r>
            <w:r>
              <w:rPr>
                <w:rFonts w:ascii="Helvetica" w:hAnsi="Helvetica" w:cs="Helvetica"/>
                <w:sz w:val="18"/>
                <w:szCs w:val="18"/>
              </w:rPr>
              <w:t xml:space="preserve"> (Harris 1862)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lang w:val="en-US"/>
              </w:rPr>
              <w:t xml:space="preserve">No: The larvae of this noctuid moth feed on the swelling grape buds (Williams </w:t>
            </w:r>
            <w:r>
              <w:rPr>
                <w:rFonts w:ascii="Helvetica" w:hAnsi="Helvetica" w:cs="Helvetica"/>
                <w:i/>
                <w:sz w:val="18"/>
                <w:szCs w:val="18"/>
                <w:lang w:val="en-US"/>
              </w:rPr>
              <w:t>et al</w:t>
            </w:r>
            <w:r>
              <w:rPr>
                <w:rFonts w:ascii="Helvetica" w:hAnsi="Helvetica" w:cs="Helvetica"/>
                <w:sz w:val="18"/>
                <w:szCs w:val="18"/>
                <w:lang w:val="en-US"/>
              </w:rPr>
              <w:t>. 2011). Therefore,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Sparganothis pilleriana</w:t>
            </w:r>
            <w:r>
              <w:rPr>
                <w:rFonts w:ascii="Helvetica" w:hAnsi="Helvetica" w:cs="Helvetica"/>
                <w:sz w:val="18"/>
                <w:szCs w:val="18"/>
              </w:rPr>
              <w:t xml:space="preserve"> Denis &amp; Schiffermüller 1776 [Lepidoptera: Tortricidae]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moth lays eggs on the upper surface of grape leaves (HYPPZ 2008). Hatching larvae shelter under the trunk bark to hibernate. In spring, larval withdrawal from diapause coincides with bud swelling and blossoming and with growth of young leaves (AgroAtlas 2011b). The larvae feed on buds, leaves and young branches and pupate in the folds of leaves (HYPPZ 2008). </w:t>
            </w:r>
            <w:r>
              <w:rPr>
                <w:rFonts w:ascii="Helvetica" w:hAnsi="Helvetica" w:cs="Helvetica"/>
                <w:sz w:val="18"/>
                <w:szCs w:val="18"/>
                <w:lang w:val="en-US"/>
              </w:rPr>
              <w:t>Therefore, foliage free semi-hardwood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Sphecodina caudata</w:t>
            </w:r>
            <w:r>
              <w:rPr>
                <w:rFonts w:ascii="Helvetica" w:hAnsi="Helvetica" w:cs="Helvetica"/>
                <w:sz w:val="18"/>
                <w:szCs w:val="18"/>
              </w:rPr>
              <w:t xml:space="preserve"> (Bremer &amp; Grey 1853)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sz w:val="18"/>
                <w:szCs w:val="18"/>
                <w:lang w:val="en-US"/>
              </w:rPr>
              <w:t>No: The larvae of this moth feed on leaves of grapevines (Zhang 2005). Therefore,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Spirama retorta</w:t>
            </w:r>
            <w:r>
              <w:rPr>
                <w:rFonts w:ascii="Helvetica" w:hAnsi="Helvetica" w:cs="Helvetica"/>
                <w:sz w:val="18"/>
                <w:szCs w:val="18"/>
              </w:rPr>
              <w:t xml:space="preserve"> (Clerck 1764)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Larvae of this moth feed on young foliage and new shoots, whereas adults feed on fruits (Kim and Lee 1985; Sambath and Joshi 2004). Therefore, foliage free d</w:t>
            </w:r>
            <w:r>
              <w:rPr>
                <w:rFonts w:ascii="Helvetica" w:hAnsi="Helvetica" w:cs="Helvetica"/>
                <w:sz w:val="18"/>
                <w:szCs w:val="18"/>
                <w:lang w:val="en-US"/>
              </w:rPr>
              <w:t>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Spodoptera exigua  </w:t>
            </w:r>
            <w:r>
              <w:rPr>
                <w:rFonts w:ascii="Helvetica" w:hAnsi="Helvetica" w:cs="Helvetica"/>
                <w:sz w:val="18"/>
                <w:szCs w:val="18"/>
              </w:rPr>
              <w:t>(Hübner 1803)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Spodoptera frugiperda </w:t>
            </w:r>
            <w:r>
              <w:rPr>
                <w:rFonts w:ascii="Helvetica" w:hAnsi="Helvetica" w:cs="Helvetica"/>
                <w:sz w:val="18"/>
                <w:szCs w:val="18"/>
              </w:rPr>
              <w:t>Smith &amp; Abbot 1797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Spodoptera</w:t>
            </w:r>
            <w:r>
              <w:rPr>
                <w:rFonts w:ascii="Helvetica" w:hAnsi="Helvetica" w:cs="Helvetica"/>
                <w:sz w:val="18"/>
                <w:szCs w:val="18"/>
              </w:rPr>
              <w:t xml:space="preserve"> species lay eggs on leaves, often near blossoms (Capinera and Fasulo 2006). Larvae and adults feed on leaves, buds and flowers (Balikai </w:t>
            </w:r>
            <w:r>
              <w:rPr>
                <w:rFonts w:ascii="Helvetica" w:hAnsi="Helvetica" w:cs="Helvetica"/>
                <w:i/>
                <w:sz w:val="18"/>
                <w:szCs w:val="18"/>
              </w:rPr>
              <w:t>et al</w:t>
            </w:r>
            <w:r>
              <w:rPr>
                <w:rFonts w:ascii="Helvetica" w:hAnsi="Helvetica" w:cs="Helvetica"/>
                <w:sz w:val="18"/>
                <w:szCs w:val="18"/>
              </w:rPr>
              <w:t>. 1999; Papademetriou and Dent 2001; Capinera 2008).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Spodoptera litura</w:t>
            </w:r>
            <w:r>
              <w:rPr>
                <w:rFonts w:ascii="Helvetica" w:hAnsi="Helvetica" w:cs="Helvetica"/>
                <w:sz w:val="18"/>
                <w:szCs w:val="18"/>
              </w:rPr>
              <w:t xml:space="preserve"> Fabricius 1775 [Lepidoptera: Noctuidae]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 xml:space="preserve">Yes (Naumann 1993)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Spodoptera praefica </w:t>
            </w:r>
            <w:r>
              <w:rPr>
                <w:rFonts w:ascii="Helvetica" w:hAnsi="Helvetica" w:cs="Helvetica"/>
                <w:sz w:val="18"/>
                <w:szCs w:val="18"/>
              </w:rPr>
              <w:t>Grote 1875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Spodoptera</w:t>
            </w:r>
            <w:r>
              <w:rPr>
                <w:rFonts w:ascii="Helvetica" w:hAnsi="Helvetica" w:cs="Helvetica"/>
                <w:sz w:val="18"/>
                <w:szCs w:val="18"/>
              </w:rPr>
              <w:t xml:space="preserve"> species lay eggs on leaves, often near blossoms (Capinera and Fasulo 2006). Larvae and adults feed on leaves, buds and flowers (Balikai </w:t>
            </w:r>
            <w:r>
              <w:rPr>
                <w:rFonts w:ascii="Helvetica" w:hAnsi="Helvetica" w:cs="Helvetica"/>
                <w:i/>
                <w:sz w:val="18"/>
                <w:szCs w:val="18"/>
              </w:rPr>
              <w:t>et al</w:t>
            </w:r>
            <w:r>
              <w:rPr>
                <w:rFonts w:ascii="Helvetica" w:hAnsi="Helvetica" w:cs="Helvetica"/>
                <w:sz w:val="18"/>
                <w:szCs w:val="18"/>
              </w:rPr>
              <w:t>. 1999; Papademetriou and Dent 2001; Capinera 2008).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i/>
                <w:iCs/>
                <w:sz w:val="18"/>
                <w:szCs w:val="18"/>
              </w:rPr>
              <w:t>Sylepta lunalis</w:t>
            </w:r>
            <w:r>
              <w:rPr>
                <w:rFonts w:ascii="Helvetica" w:hAnsi="Helvetica" w:cs="Helvetica"/>
                <w:sz w:val="18"/>
                <w:szCs w:val="18"/>
              </w:rPr>
              <w:t xml:space="preserve"> Guenee 1854 [Lepidoptera: Pyralidae]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Larvae of this species feed on foliage and destroy the parenchyma tissue of the leaves (Bournier 1976). Therefore, foliage free dormant cuttings do not provide a pathway for this species.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Theretra alecto</w:t>
            </w:r>
            <w:r>
              <w:rPr>
                <w:rFonts w:ascii="Helvetica" w:hAnsi="Helvetica" w:cs="Helvetica"/>
                <w:sz w:val="18"/>
                <w:szCs w:val="18"/>
              </w:rPr>
              <w:t xml:space="preserve"> (Linneaus 1758) [Lepidoptera: Sphingidae]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These species have been recorded on grapevines (Pittaway and Kitching 2006). Sphingid larvae generally feed only on foliage (Common 1990).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Theretra boisduvalii</w:t>
            </w:r>
            <w:r>
              <w:rPr>
                <w:rFonts w:ascii="Helvetica" w:hAnsi="Helvetica" w:cs="Helvetica"/>
                <w:sz w:val="18"/>
                <w:szCs w:val="18"/>
              </w:rPr>
              <w:t xml:space="preserve"> (Bugnion 1839)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highlight w:val="yellow"/>
              </w:rPr>
            </w:pPr>
            <w:r>
              <w:rPr>
                <w:rFonts w:ascii="Helvetica" w:hAnsi="Helvetica" w:cs="Helvetica"/>
                <w:i/>
                <w:iCs/>
                <w:sz w:val="18"/>
                <w:szCs w:val="18"/>
              </w:rPr>
              <w:t>Theretra clotho</w:t>
            </w:r>
            <w:r>
              <w:rPr>
                <w:rFonts w:ascii="Helvetica" w:hAnsi="Helvetica" w:cs="Helvetica"/>
                <w:sz w:val="18"/>
                <w:szCs w:val="18"/>
              </w:rPr>
              <w:t xml:space="preserve"> Drury 1773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(PHA 2001)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Theretra japonica</w:t>
            </w:r>
            <w:r>
              <w:rPr>
                <w:rFonts w:ascii="Helvetica" w:hAnsi="Helvetica" w:cs="Helvetica"/>
                <w:sz w:val="18"/>
                <w:szCs w:val="18"/>
              </w:rPr>
              <w:t xml:space="preserve"> (Boisduval 1869)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Sphingid larvae feed on grapevine leaves (Zhang 2005).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Theretra latreillei</w:t>
            </w:r>
            <w:r>
              <w:rPr>
                <w:rFonts w:ascii="Helvetica" w:hAnsi="Helvetica" w:cs="Helvetica"/>
                <w:sz w:val="18"/>
                <w:szCs w:val="18"/>
              </w:rPr>
              <w:t xml:space="preserve"> Macleay 1827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(Common 1990)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highlight w:val="yellow"/>
              </w:rPr>
            </w:pPr>
            <w:r>
              <w:rPr>
                <w:rFonts w:ascii="Helvetica" w:hAnsi="Helvetica" w:cs="Helvetica"/>
                <w:i/>
                <w:iCs/>
                <w:sz w:val="18"/>
                <w:szCs w:val="18"/>
              </w:rPr>
              <w:t>Theretra oldenlandiae</w:t>
            </w:r>
            <w:r>
              <w:rPr>
                <w:rFonts w:ascii="Helvetica" w:hAnsi="Helvetica" w:cs="Helvetica"/>
                <w:sz w:val="18"/>
                <w:szCs w:val="18"/>
              </w:rPr>
              <w:t xml:space="preserve"> Fabricius 1775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Theretra pallicosta</w:t>
            </w:r>
            <w:r>
              <w:rPr>
                <w:rFonts w:ascii="Helvetica" w:hAnsi="Helvetica" w:cs="Helvetica"/>
                <w:sz w:val="18"/>
                <w:szCs w:val="18"/>
              </w:rPr>
              <w:t xml:space="preserve"> (Walker 1856) [Lepidoptera: Sphingidae]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This species has been recorded on grapevines (Pittaway and Kitching 2006). Sphingid larvae generally feed only on foliage (Common 1990). Therefore, foliage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Vitacea polistiformis </w:t>
            </w:r>
            <w:r>
              <w:rPr>
                <w:rFonts w:ascii="Helvetica" w:hAnsi="Helvetica" w:cs="Helvetica"/>
                <w:sz w:val="18"/>
                <w:szCs w:val="18"/>
              </w:rPr>
              <w:t>Harris 1854 [Lepidoptera: Sesiidae]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is a root borer and caterpillars damage roots (Bournier 1976). Therefore, root free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Xestia c-nigrum </w:t>
            </w:r>
            <w:r>
              <w:rPr>
                <w:rFonts w:ascii="Helvetica" w:hAnsi="Helvetica" w:cs="Helvetica"/>
                <w:iCs/>
                <w:sz w:val="18"/>
                <w:szCs w:val="18"/>
              </w:rPr>
              <w:t>(</w:t>
            </w:r>
            <w:r>
              <w:rPr>
                <w:rFonts w:ascii="Helvetica" w:hAnsi="Helvetica" w:cs="Helvetica"/>
                <w:sz w:val="18"/>
                <w:szCs w:val="18"/>
              </w:rPr>
              <w:t>Linneaus 1958) [Lepidoptera: Noctuidae]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lang w:val="en-US"/>
              </w:rPr>
              <w:t xml:space="preserve">No: </w:t>
            </w:r>
            <w:r>
              <w:rPr>
                <w:rFonts w:ascii="Helvetica" w:hAnsi="Helvetica" w:cs="Helvetica"/>
                <w:iCs/>
                <w:sz w:val="18"/>
                <w:szCs w:val="18"/>
              </w:rPr>
              <w:t xml:space="preserve">Larvae of this species feed on developing shoots and buds (Dibble </w:t>
            </w:r>
            <w:r>
              <w:rPr>
                <w:rFonts w:ascii="Helvetica" w:hAnsi="Helvetica" w:cs="Helvetica"/>
                <w:i/>
                <w:iCs/>
                <w:sz w:val="18"/>
                <w:szCs w:val="18"/>
              </w:rPr>
              <w:t>et al</w:t>
            </w:r>
            <w:r>
              <w:rPr>
                <w:rFonts w:ascii="Helvetica" w:hAnsi="Helvetica" w:cs="Helvetica"/>
                <w:iCs/>
                <w:sz w:val="18"/>
                <w:szCs w:val="18"/>
              </w:rPr>
              <w:t>. 1979). Therefore, d</w:t>
            </w:r>
            <w:r>
              <w:rPr>
                <w:rFonts w:ascii="Helvetica" w:hAnsi="Helvetica" w:cs="Helvetica"/>
                <w:sz w:val="18"/>
                <w:szCs w:val="18"/>
                <w:lang w:val="en-US"/>
              </w:rPr>
              <w:t>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i/>
                <w:iCs/>
                <w:sz w:val="18"/>
                <w:szCs w:val="18"/>
              </w:rPr>
              <w:t>Z</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zera coffeae </w:t>
            </w:r>
            <w:r>
              <w:rPr>
                <w:rFonts w:ascii="Helvetica" w:hAnsi="Helvetica" w:cs="Helvetica"/>
                <w:sz w:val="18"/>
                <w:szCs w:val="18"/>
              </w:rPr>
              <w:t>Nietner 1861 [Lepidoptera: Cossidae]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Newly hatched larvae enter young twigs and later move into larger branches or trunks (Cheng 1984). Eggs are laid in strings in cracks of the bark of branches. Therefore, dormant cuttings may harbour larvae of this species and provide a pathway.</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b/>
                <w:sz w:val="18"/>
                <w:szCs w:val="18"/>
              </w:rPr>
              <w:t xml:space="preserve">Yes: </w:t>
            </w:r>
            <w:r>
              <w:rPr>
                <w:rFonts w:ascii="Helvetica" w:hAnsi="Helvetica" w:cs="Helvetica"/>
                <w:sz w:val="18"/>
                <w:szCs w:val="18"/>
              </w:rPr>
              <w:t xml:space="preserve">This species has established in areas with a wide range of climatic conditions (Waller </w:t>
            </w:r>
            <w:r>
              <w:rPr>
                <w:rFonts w:ascii="Helvetica" w:hAnsi="Helvetica" w:cs="Helvetica"/>
                <w:i/>
                <w:sz w:val="18"/>
                <w:szCs w:val="18"/>
              </w:rPr>
              <w:t xml:space="preserve">et al. </w:t>
            </w:r>
            <w:r>
              <w:rPr>
                <w:rFonts w:ascii="Helvetica" w:hAnsi="Helvetica" w:cs="Helvetica"/>
                <w:sz w:val="18"/>
                <w:szCs w:val="18"/>
              </w:rPr>
              <w:t>2007) and can spread naturally in infested propagative material.</w:t>
            </w:r>
            <w:r>
              <w:rPr>
                <w:rFonts w:ascii="Helvetica" w:hAnsi="Helvetica" w:cs="Helvetica"/>
                <w:bCs/>
                <w:sz w:val="18"/>
                <w:szCs w:val="18"/>
              </w:rPr>
              <w:t xml:space="preserve"> Therefore, this species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b/>
                <w:sz w:val="18"/>
                <w:szCs w:val="18"/>
              </w:rPr>
              <w:t xml:space="preserve">Yes: </w:t>
            </w:r>
            <w:r>
              <w:rPr>
                <w:rFonts w:ascii="Helvetica" w:hAnsi="Helvetica" w:cs="Helvetica"/>
                <w:sz w:val="18"/>
                <w:szCs w:val="18"/>
              </w:rPr>
              <w:t xml:space="preserve">No information is available on losses caused by this moth on grapevines, but it causes considerable damage in coffee trees due to destruction of branches through boring activity (Waller </w:t>
            </w:r>
            <w:r>
              <w:rPr>
                <w:rFonts w:ascii="Helvetica" w:hAnsi="Helvetica" w:cs="Helvetica"/>
                <w:i/>
                <w:sz w:val="18"/>
                <w:szCs w:val="18"/>
              </w:rPr>
              <w:t xml:space="preserve">et al. </w:t>
            </w:r>
            <w:r>
              <w:rPr>
                <w:rFonts w:ascii="Helvetica" w:hAnsi="Helvetica" w:cs="Helvetica"/>
                <w:sz w:val="18"/>
                <w:szCs w:val="18"/>
              </w:rPr>
              <w:t>2007). Therefore, this moth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sz w:val="18"/>
                <w:szCs w:val="18"/>
                <w:highlight w:val="yellow"/>
              </w:rPr>
            </w:pPr>
            <w:r>
              <w:rPr>
                <w:rFonts w:ascii="Helvetica" w:hAnsi="Helvetica" w:cs="Helvetica"/>
                <w:b/>
                <w:sz w:val="18"/>
                <w:szCs w:val="18"/>
              </w:rPr>
              <w:t>Yes</w:t>
            </w: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ORTHOPTERA (grasshoppers, crickets)</w:t>
            </w:r>
          </w:p>
        </w:tc>
      </w:tr>
      <w:tr>
        <w:tc>
          <w:tcPr>
            <w:tcW w:w="3468" w:type="dxa"/>
            <w:tcBorders>
              <w:top w:val="single" w:sz="4" w:space="0" w:color="auto"/>
              <w:left w:val="single" w:sz="12" w:space="0" w:color="008000"/>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i/>
                <w:iCs/>
                <w:sz w:val="18"/>
                <w:szCs w:val="18"/>
              </w:rPr>
              <w:t>Austracris guttulosa</w:t>
            </w:r>
            <w:r>
              <w:rPr>
                <w:rFonts w:ascii="Helvetica" w:hAnsi="Helvetica" w:cs="Helvetica"/>
                <w:sz w:val="18"/>
                <w:szCs w:val="18"/>
              </w:rPr>
              <w:t xml:space="preserve"> Walker 1870 [Orthoptera: Acrididae]</w:t>
            </w:r>
          </w:p>
        </w:tc>
        <w:tc>
          <w:tcPr>
            <w:tcW w:w="1680" w:type="dxa"/>
            <w:tcBorders>
              <w:top w:val="single" w:sz="4" w:space="0" w:color="auto"/>
              <w:left w:val="single" w:sz="4" w:space="0" w:color="auto"/>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Yes (Coombe and Dry 1992)</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100" w:afterAutospacing="1"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i/>
                <w:iCs/>
                <w:sz w:val="18"/>
                <w:szCs w:val="18"/>
              </w:rPr>
              <w:t>Austroicetes cruciata</w:t>
            </w:r>
            <w:r>
              <w:rPr>
                <w:rFonts w:ascii="Helvetica" w:hAnsi="Helvetica" w:cs="Helvetica"/>
                <w:sz w:val="18"/>
                <w:szCs w:val="18"/>
              </w:rPr>
              <w:t xml:space="preserve"> Saussure 1888 [Orthoptera: </w:t>
            </w:r>
            <w:hyperlink r:id="rId43" w:history="1">
              <w:r>
                <w:rPr>
                  <w:rFonts w:ascii="Helvetica" w:hAnsi="Helvetica" w:cs="Helvetica"/>
                  <w:sz w:val="18"/>
                  <w:szCs w:val="18"/>
                </w:rPr>
                <w:t>Acrididae</w:t>
              </w:r>
            </w:hyperlink>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100" w:afterAutospacing="1"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i/>
                <w:iCs/>
                <w:sz w:val="18"/>
                <w:szCs w:val="18"/>
              </w:rPr>
              <w:t xml:space="preserve">Chortoicetes terminifera </w:t>
            </w:r>
            <w:r>
              <w:rPr>
                <w:rFonts w:ascii="Helvetica" w:hAnsi="Helvetica" w:cs="Helvetica"/>
                <w:iCs/>
                <w:sz w:val="18"/>
                <w:szCs w:val="18"/>
              </w:rPr>
              <w:t>Walker</w:t>
            </w:r>
            <w:r>
              <w:rPr>
                <w:rFonts w:ascii="Helvetica" w:hAnsi="Helvetica" w:cs="Helvetica"/>
                <w:i/>
                <w:iCs/>
                <w:sz w:val="18"/>
                <w:szCs w:val="18"/>
              </w:rPr>
              <w:t xml:space="preserve"> </w:t>
            </w:r>
            <w:r>
              <w:rPr>
                <w:rFonts w:ascii="Helvetica" w:hAnsi="Helvetica" w:cs="Helvetica"/>
                <w:sz w:val="18"/>
                <w:szCs w:val="18"/>
              </w:rPr>
              <w:t>1870 [Orthoptera: Acrididae]</w:t>
            </w:r>
          </w:p>
        </w:tc>
        <w:tc>
          <w:tcPr>
            <w:tcW w:w="1680" w:type="dxa"/>
            <w:tcBorders>
              <w:top w:val="single" w:sz="4" w:space="0" w:color="auto"/>
              <w:left w:val="single" w:sz="4" w:space="0" w:color="auto"/>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100" w:afterAutospacing="1"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i/>
                <w:iCs/>
                <w:sz w:val="18"/>
                <w:szCs w:val="18"/>
              </w:rPr>
              <w:t>Melanoplus devastator</w:t>
            </w:r>
            <w:r>
              <w:rPr>
                <w:rFonts w:ascii="Helvetica" w:hAnsi="Helvetica" w:cs="Helvetica"/>
                <w:sz w:val="18"/>
                <w:szCs w:val="18"/>
              </w:rPr>
              <w:t xml:space="preserve"> Scudder 1778 [Orthoptera: Acrididae]</w:t>
            </w:r>
          </w:p>
        </w:tc>
        <w:tc>
          <w:tcPr>
            <w:tcW w:w="1680" w:type="dxa"/>
            <w:tcBorders>
              <w:top w:val="single" w:sz="4" w:space="0" w:color="auto"/>
              <w:left w:val="single" w:sz="4" w:space="0" w:color="auto"/>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 xml:space="preserve">No: This species feeds on young foliage (Schell </w:t>
            </w:r>
            <w:r>
              <w:rPr>
                <w:rFonts w:ascii="Helvetica" w:hAnsi="Helvetica" w:cs="Helvetica"/>
                <w:i/>
                <w:iCs/>
                <w:sz w:val="18"/>
                <w:szCs w:val="18"/>
              </w:rPr>
              <w:t>et al</w:t>
            </w:r>
            <w:r>
              <w:rPr>
                <w:rFonts w:ascii="Helvetica" w:hAnsi="Helvetica" w:cs="Helvetica"/>
                <w:sz w:val="18"/>
                <w:szCs w:val="18"/>
              </w:rPr>
              <w:t>. 2007).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100" w:afterAutospacing="1"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100" w:afterAutospacing="1" w:line="240" w:lineRule="atLeast"/>
              <w:jc w:val="left"/>
              <w:rPr>
                <w:rFonts w:ascii="Helvetica" w:hAnsi="Helvetica" w:cs="Helvetica"/>
                <w:i/>
                <w:iCs/>
                <w:sz w:val="18"/>
                <w:szCs w:val="18"/>
              </w:rPr>
            </w:pPr>
            <w:r>
              <w:rPr>
                <w:rFonts w:ascii="Helvetica" w:hAnsi="Helvetica" w:cs="Helvetica"/>
                <w:i/>
                <w:iCs/>
                <w:sz w:val="18"/>
                <w:szCs w:val="18"/>
              </w:rPr>
              <w:t xml:space="preserve">Phaulacridium vittatum </w:t>
            </w:r>
            <w:r>
              <w:rPr>
                <w:rFonts w:ascii="Helvetica" w:hAnsi="Helvetica" w:cs="Helvetica"/>
                <w:sz w:val="18"/>
                <w:szCs w:val="18"/>
              </w:rPr>
              <w:t>Sjöstedt 1920 [Orthoptera: Acrididae]</w:t>
            </w:r>
          </w:p>
        </w:tc>
        <w:tc>
          <w:tcPr>
            <w:tcW w:w="1680" w:type="dxa"/>
            <w:tcBorders>
              <w:top w:val="single" w:sz="4" w:space="0" w:color="auto"/>
              <w:left w:val="single" w:sz="4" w:space="0" w:color="auto"/>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100" w:afterAutospacing="1"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i/>
                <w:iCs/>
                <w:sz w:val="18"/>
                <w:szCs w:val="18"/>
              </w:rPr>
              <w:t xml:space="preserve">Valanga irregularis </w:t>
            </w:r>
            <w:r>
              <w:rPr>
                <w:rFonts w:ascii="Helvetica" w:hAnsi="Helvetica" w:cs="Helvetica"/>
                <w:sz w:val="18"/>
                <w:szCs w:val="18"/>
              </w:rPr>
              <w:t>Walker 1870 [Orthoptera: Acrididae]</w:t>
            </w:r>
          </w:p>
        </w:tc>
        <w:tc>
          <w:tcPr>
            <w:tcW w:w="1680" w:type="dxa"/>
            <w:tcBorders>
              <w:top w:val="single" w:sz="4" w:space="0" w:color="auto"/>
              <w:left w:val="single" w:sz="4" w:space="0" w:color="auto"/>
              <w:bottom w:val="single" w:sz="4" w:space="0" w:color="auto"/>
              <w:right w:val="single" w:sz="4" w:space="0" w:color="auto"/>
            </w:tcBorders>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100" w:afterAutospacing="1"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100" w:afterAutospacing="1"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100" w:afterAutospacing="1"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PSOCOPTERA (booklice)</w:t>
            </w: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i/>
                <w:iCs/>
                <w:sz w:val="18"/>
                <w:szCs w:val="18"/>
              </w:rPr>
            </w:pPr>
            <w:r>
              <w:rPr>
                <w:rFonts w:ascii="Helvetica" w:hAnsi="Helvetica" w:cs="Helvetica"/>
                <w:i/>
                <w:iCs/>
                <w:sz w:val="18"/>
                <w:szCs w:val="18"/>
              </w:rPr>
              <w:t>Ectopsocus briggsi</w:t>
            </w:r>
            <w:r>
              <w:rPr>
                <w:rFonts w:ascii="Helvetica" w:hAnsi="Helvetica" w:cs="Helvetica"/>
                <w:sz w:val="18"/>
                <w:szCs w:val="18"/>
              </w:rPr>
              <w:t xml:space="preserve"> McLachlan 1899 [Psocoptera: Ectopsocidae]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sz w:val="18"/>
                <w:szCs w:val="18"/>
                <w:lang w:eastAsia="en-AU"/>
              </w:rPr>
              <w:t>Ahadiyat and Zangeneh 2007)</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after="20" w:line="240" w:lineRule="atLeast"/>
              <w:jc w:val="left"/>
              <w:rPr>
                <w:rFonts w:ascii="Helvetica" w:hAnsi="Helvetica" w:cs="Helvetica"/>
                <w:i/>
                <w:iCs/>
                <w:sz w:val="18"/>
                <w:szCs w:val="18"/>
              </w:rPr>
            </w:pPr>
            <w:r>
              <w:rPr>
                <w:rFonts w:ascii="Helvetica" w:hAnsi="Helvetica" w:cs="Helvetica"/>
                <w:i/>
                <w:iCs/>
                <w:sz w:val="18"/>
                <w:szCs w:val="18"/>
              </w:rPr>
              <w:t>Graphopsocus cruciatus</w:t>
            </w:r>
            <w:r>
              <w:rPr>
                <w:rFonts w:ascii="Helvetica" w:hAnsi="Helvetica" w:cs="Helvetica"/>
                <w:sz w:val="18"/>
                <w:szCs w:val="18"/>
              </w:rPr>
              <w:t xml:space="preserve"> Linnaeus 1768 [Psocoptera: Ectopsocidae]</w:t>
            </w:r>
          </w:p>
        </w:tc>
        <w:tc>
          <w:tcPr>
            <w:tcW w:w="168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after="20" w:line="240" w:lineRule="atLeast"/>
              <w:jc w:val="left"/>
              <w:rPr>
                <w:rFonts w:ascii="Helvetica" w:hAnsi="Helvetica" w:cs="Helvetica"/>
                <w:sz w:val="18"/>
                <w:szCs w:val="18"/>
              </w:rPr>
            </w:pPr>
            <w:r>
              <w:rPr>
                <w:rFonts w:ascii="Helvetica" w:hAnsi="Helvetica" w:cs="Helvetica"/>
                <w:sz w:val="18"/>
                <w:szCs w:val="18"/>
              </w:rPr>
              <w:t>No: This species feeds on the microflora on leaves (Greenwood 1988).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after="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after="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after="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THYSANOPTERA (thrips)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Aeolothrips fasciatus</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[Thysanoptera: Aeolothripidae]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Yes(PHA 2001)</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Aeolothrips intermedius</w:t>
            </w:r>
            <w:r>
              <w:rPr>
                <w:rFonts w:ascii="Helvetica" w:hAnsi="Helvetica" w:cs="Helvetica"/>
                <w:sz w:val="18"/>
                <w:szCs w:val="18"/>
              </w:rPr>
              <w:t xml:space="preserve"> Bagnall 1934 [Thysanoptera: Aeolothripidae]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species are associated with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these thrips.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Aeolothrips melal</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cus</w:t>
            </w:r>
            <w:r>
              <w:rPr>
                <w:rFonts w:ascii="Helvetica" w:hAnsi="Helvetica" w:cs="Helvetica"/>
                <w:sz w:val="18"/>
                <w:szCs w:val="18"/>
              </w:rPr>
              <w:t xml:space="preserve"> Haliday 1852 [Thysanoptera: Aeolothripidae]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Aeolothrips vittatus</w:t>
            </w:r>
            <w:r>
              <w:rPr>
                <w:rFonts w:ascii="Helvetica" w:hAnsi="Helvetica" w:cs="Helvetica"/>
                <w:sz w:val="18"/>
                <w:szCs w:val="18"/>
              </w:rPr>
              <w:t xml:space="preserve"> Haliday 1836 [Thysanoptera: Aeolothripidae]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Caliothrips fasciatus </w:t>
            </w:r>
            <w:r>
              <w:rPr>
                <w:rFonts w:ascii="Helvetica" w:hAnsi="Helvetica" w:cs="Helvetica"/>
                <w:sz w:val="18"/>
                <w:szCs w:val="18"/>
              </w:rPr>
              <w:t xml:space="preserve">Pergande 1895 [Thysanoptera: Thripidae]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feeds on the leaves, stems, buds and flowers (Mound 2008). The eggs are laid in leaf tissue (Harman </w:t>
            </w:r>
            <w:r>
              <w:rPr>
                <w:rFonts w:ascii="Helvetica" w:hAnsi="Helvetica" w:cs="Helvetica"/>
                <w:i/>
                <w:sz w:val="18"/>
                <w:szCs w:val="18"/>
              </w:rPr>
              <w:t>et al</w:t>
            </w:r>
            <w:r>
              <w:rPr>
                <w:rFonts w:ascii="Helvetica" w:hAnsi="Helvetica" w:cs="Helvetica"/>
                <w:sz w:val="18"/>
                <w:szCs w:val="18"/>
              </w:rPr>
              <w:t xml:space="preserve">. 2007). Therefore, foliage free dormant cuttings do not provide a pathway for this species.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Chirothrips manicatus</w:t>
            </w:r>
            <w:r>
              <w:rPr>
                <w:rFonts w:ascii="Helvetica" w:hAnsi="Helvetica" w:cs="Helvetica"/>
                <w:sz w:val="18"/>
                <w:szCs w:val="18"/>
              </w:rPr>
              <w:t xml:space="preserve"> Haliday 1836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w:t>
            </w:r>
            <w:r>
              <w:rPr>
                <w:rFonts w:ascii="Helvetica" w:hAnsi="Helvetica" w:cs="Helvetica"/>
                <w:i/>
                <w:sz w:val="18"/>
                <w:szCs w:val="18"/>
              </w:rPr>
              <w:t>Chirothrips</w:t>
            </w:r>
            <w:r>
              <w:rPr>
                <w:rFonts w:ascii="Helvetica" w:hAnsi="Helvetica" w:cs="Helvetica"/>
                <w:sz w:val="18"/>
                <w:szCs w:val="18"/>
              </w:rPr>
              <w:t xml:space="preserve"> species are associated with foliage and inflorescences of grapevines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these pests.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Chirothrips molestus</w:t>
            </w:r>
            <w:r>
              <w:rPr>
                <w:rFonts w:ascii="Helvetica" w:hAnsi="Helvetica" w:cs="Helvetica"/>
                <w:sz w:val="18"/>
                <w:szCs w:val="18"/>
              </w:rPr>
              <w:t xml:space="preserve"> Priesner 1926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Dendrothrips saltatrix</w:t>
            </w:r>
            <w:r>
              <w:rPr>
                <w:rFonts w:ascii="Helvetica" w:hAnsi="Helvetica" w:cs="Helvetica"/>
                <w:sz w:val="18"/>
                <w:szCs w:val="18"/>
              </w:rPr>
              <w:t xml:space="preserve"> Uzel 1895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thrip is associated with the foliage and inflorescences of grapevines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Dictyothrips betae</w:t>
            </w:r>
            <w:r>
              <w:rPr>
                <w:rFonts w:ascii="Helvetica" w:hAnsi="Helvetica" w:cs="Helvetica"/>
                <w:sz w:val="18"/>
                <w:szCs w:val="18"/>
              </w:rPr>
              <w:t xml:space="preserve"> Uzel 1895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is associated with foliage and inflorescences (Vasiliu-Oromulu</w:t>
            </w:r>
            <w:r>
              <w:rPr>
                <w:rFonts w:ascii="Helvetica" w:hAnsi="Helvetica" w:cs="Helvetica"/>
                <w:i/>
                <w:sz w:val="18"/>
                <w:szCs w:val="18"/>
              </w:rPr>
              <w:t xml:space="preserve"> et al</w:t>
            </w:r>
            <w:r>
              <w:rPr>
                <w:rFonts w:ascii="Helvetica" w:hAnsi="Helvetica" w:cs="Helvetica"/>
                <w:sz w:val="18"/>
                <w:szCs w:val="18"/>
              </w:rPr>
              <w:t xml:space="preserve">. 2009).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Drepanothrips r</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teri </w:t>
            </w:r>
            <w:r>
              <w:rPr>
                <w:rFonts w:ascii="Helvetica" w:hAnsi="Helvetica" w:cs="Helvetica"/>
                <w:sz w:val="18"/>
                <w:szCs w:val="18"/>
              </w:rPr>
              <w:t xml:space="preserve">Uzel 1895 </w:t>
            </w:r>
            <w:r>
              <w:rPr>
                <w:rFonts w:ascii="Helvetica" w:hAnsi="Helvetica" w:cs="Helvetica"/>
                <w:sz w:val="18"/>
                <w:szCs w:val="18"/>
                <w:lang w:eastAsia="en-AU"/>
              </w:rPr>
              <w:t>[</w:t>
            </w:r>
            <w:r>
              <w:rPr>
                <w:rFonts w:ascii="Helvetica" w:hAnsi="Helvetica" w:cs="Helvetica"/>
                <w:sz w:val="18"/>
                <w:szCs w:val="18"/>
              </w:rPr>
              <w:t xml:space="preserve">Thysanoptera: </w:t>
            </w:r>
            <w:r>
              <w:rPr>
                <w:rFonts w:ascii="Helvetica" w:hAnsi="Helvetica" w:cs="Helvetica"/>
                <w:sz w:val="18"/>
                <w:szCs w:val="18"/>
                <w:lang w:eastAsia="en-AU"/>
              </w:rPr>
              <w:t>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Grape thrips lay eggs on the young leaves and buds of </w:t>
            </w:r>
            <w:r>
              <w:rPr>
                <w:rFonts w:ascii="Helvetica" w:hAnsi="Helvetica" w:cs="Helvetica"/>
                <w:i/>
                <w:sz w:val="18"/>
                <w:szCs w:val="18"/>
              </w:rPr>
              <w:t>Vitis vinifera</w:t>
            </w:r>
            <w:r>
              <w:rPr>
                <w:rFonts w:ascii="Helvetica" w:hAnsi="Helvetica" w:cs="Helvetica"/>
                <w:sz w:val="18"/>
                <w:szCs w:val="18"/>
              </w:rPr>
              <w:t xml:space="preserve"> (Marullo 2009) and feed on shoot tips and leaves (Flint 2006). Dormant cuttings are not the preferred egg laying site and therefore do not provide a pathway for grape thrips.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i/>
                <w:iCs/>
                <w:sz w:val="18"/>
                <w:szCs w:val="18"/>
              </w:rPr>
              <w:t>Frankliniella australis</w:t>
            </w:r>
            <w:r>
              <w:rPr>
                <w:rFonts w:ascii="Helvetica" w:hAnsi="Helvetica" w:cs="Helvetica"/>
                <w:sz w:val="18"/>
                <w:szCs w:val="18"/>
              </w:rPr>
              <w:t xml:space="preserve"> Morgan</w:t>
            </w:r>
            <w:r>
              <w:rPr>
                <w:rFonts w:ascii="Helvetica" w:hAnsi="Helvetica" w:cs="Helvetica"/>
                <w:i/>
                <w:iCs/>
                <w:sz w:val="18"/>
                <w:szCs w:val="18"/>
              </w:rPr>
              <w:t xml:space="preserve"> </w:t>
            </w:r>
            <w:r>
              <w:rPr>
                <w:rFonts w:ascii="Helvetica" w:hAnsi="Helvetica" w:cs="Helvetica"/>
                <w:sz w:val="18"/>
                <w:szCs w:val="18"/>
              </w:rPr>
              <w:t xml:space="preserve">1925 [Thysanoptera: Thripidae]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feeds and lays eggs in the flowers of host plants (Borbon </w:t>
            </w:r>
            <w:r>
              <w:rPr>
                <w:rFonts w:ascii="Helvetica" w:hAnsi="Helvetica" w:cs="Helvetica"/>
                <w:i/>
                <w:sz w:val="18"/>
                <w:szCs w:val="18"/>
              </w:rPr>
              <w:t>et al</w:t>
            </w:r>
            <w:r>
              <w:rPr>
                <w:rFonts w:ascii="Helvetica" w:hAnsi="Helvetica" w:cs="Helvetica"/>
                <w:sz w:val="18"/>
                <w:szCs w:val="18"/>
              </w:rPr>
              <w:t>. 2008). Therefore,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Frankliniella intonsa</w:t>
            </w:r>
            <w:r>
              <w:rPr>
                <w:rFonts w:ascii="Helvetica" w:hAnsi="Helvetica" w:cs="Helvetica"/>
                <w:sz w:val="18"/>
                <w:szCs w:val="18"/>
              </w:rPr>
              <w:t xml:space="preserve"> (Trybom 1895)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the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i/>
                <w:iCs/>
                <w:sz w:val="18"/>
                <w:szCs w:val="18"/>
                <w:lang w:val="en-US"/>
              </w:rPr>
              <w:t>Frankliniella occidentalis</w:t>
            </w:r>
            <w:r>
              <w:rPr>
                <w:rFonts w:ascii="Helvetica" w:hAnsi="Helvetica" w:cs="Helvetica"/>
                <w:sz w:val="18"/>
                <w:szCs w:val="18"/>
                <w:lang w:val="en-US"/>
              </w:rPr>
              <w:t xml:space="preserve"> Pergande</w:t>
            </w:r>
            <w:r>
              <w:rPr>
                <w:rFonts w:ascii="Helvetica" w:hAnsi="Helvetica" w:cs="Helvetica"/>
                <w:sz w:val="18"/>
                <w:szCs w:val="18"/>
              </w:rPr>
              <w:t xml:space="preserve"> 1895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Present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i/>
                <w:iCs/>
                <w:sz w:val="18"/>
                <w:szCs w:val="18"/>
              </w:rPr>
              <w:t>Frankliniella tritici</w:t>
            </w:r>
            <w:r>
              <w:rPr>
                <w:rFonts w:ascii="Helvetica" w:hAnsi="Helvetica" w:cs="Helvetica"/>
                <w:sz w:val="18"/>
                <w:szCs w:val="18"/>
              </w:rPr>
              <w:t xml:space="preserve"> Fitch 1855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feeds on flowers and lays eggs on leaf petioles (Reitz 2002). Therefore, foliage and flower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Haplothrips acanthoscelis </w:t>
            </w:r>
            <w:r>
              <w:rPr>
                <w:rFonts w:ascii="Helvetica" w:hAnsi="Helvetica" w:cs="Helvetica"/>
                <w:sz w:val="18"/>
                <w:szCs w:val="18"/>
              </w:rPr>
              <w:t>(Karny 1909) [Thysanoptera: Phlaeothripidae]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w:t>
            </w:r>
            <w:r>
              <w:rPr>
                <w:rFonts w:ascii="Helvetica" w:hAnsi="Helvetica" w:cs="Helvetica"/>
                <w:i/>
                <w:sz w:val="18"/>
                <w:szCs w:val="18"/>
              </w:rPr>
              <w:t>Haplothrips</w:t>
            </w:r>
            <w:r>
              <w:rPr>
                <w:rFonts w:ascii="Helvetica" w:hAnsi="Helvetica" w:cs="Helvetica"/>
                <w:sz w:val="18"/>
                <w:szCs w:val="18"/>
              </w:rPr>
              <w:t xml:space="preserve"> species are associated with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these pests.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Haplothrips aculeatus </w:t>
            </w:r>
            <w:r>
              <w:rPr>
                <w:rFonts w:ascii="Helvetica" w:hAnsi="Helvetica" w:cs="Helvetica"/>
                <w:sz w:val="18"/>
                <w:szCs w:val="18"/>
              </w:rPr>
              <w:t>(Fabricius 1803) [Thysanoptera: Phlaeothripidae]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Haplothrips froggatti </w:t>
            </w:r>
            <w:r>
              <w:rPr>
                <w:rFonts w:ascii="Helvetica" w:hAnsi="Helvetica" w:cs="Helvetica"/>
                <w:sz w:val="18"/>
                <w:szCs w:val="18"/>
              </w:rPr>
              <w:t>Hood 1918 [Thysanoptera: Phlaeothripidae]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Haplothrips kurdjumovi </w:t>
            </w:r>
            <w:r>
              <w:rPr>
                <w:rFonts w:ascii="Helvetica" w:hAnsi="Helvetica" w:cs="Helvetica"/>
                <w:sz w:val="18"/>
                <w:szCs w:val="18"/>
              </w:rPr>
              <w:t>Karny 1913 [Thysanoptera: Phlaeothripidae]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Haplothrips l</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 xml:space="preserve">canthemi </w:t>
            </w:r>
            <w:r>
              <w:rPr>
                <w:rFonts w:ascii="Helvetica" w:hAnsi="Helvetica" w:cs="Helvetica"/>
                <w:sz w:val="18"/>
                <w:szCs w:val="18"/>
              </w:rPr>
              <w:t>(Schrank 1781) [Thysanoptera: Phlaeothripidae]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Haplothrips victoriensis</w:t>
            </w:r>
            <w:r>
              <w:rPr>
                <w:rFonts w:ascii="Helvetica" w:hAnsi="Helvetica" w:cs="Helvetica"/>
                <w:sz w:val="18"/>
                <w:szCs w:val="18"/>
              </w:rPr>
              <w:t xml:space="preserve"> Bagnall 1918 [Thysanoptera: Phlaeothripidae]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Heliothrips haemorrhoidalis</w:t>
            </w:r>
            <w:r>
              <w:rPr>
                <w:rFonts w:ascii="Helvetica" w:hAnsi="Helvetica" w:cs="Helvetica"/>
                <w:sz w:val="18"/>
                <w:szCs w:val="18"/>
              </w:rPr>
              <w:t xml:space="preserve"> Bouché 1833 [Thysanoptera: Thripidae]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Present (Naumann 1993)</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Heliothrips sylvanus </w:t>
            </w:r>
            <w:r>
              <w:rPr>
                <w:rFonts w:ascii="Helvetica" w:hAnsi="Helvetica" w:cs="Helvetica"/>
                <w:sz w:val="18"/>
                <w:szCs w:val="18"/>
              </w:rPr>
              <w:t>Faure 1933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is associated with foliage (Roditakis and Roditakis 2007).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Neohydatothrips gracilicornis</w:t>
            </w:r>
            <w:r>
              <w:rPr>
                <w:rFonts w:ascii="Helvetica" w:hAnsi="Helvetica" w:cs="Helvetica"/>
                <w:sz w:val="18"/>
                <w:szCs w:val="18"/>
              </w:rPr>
              <w:t xml:space="preserve"> (Williams1916)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Retithrips syriacus </w:t>
            </w:r>
            <w:r>
              <w:rPr>
                <w:rFonts w:ascii="Helvetica" w:hAnsi="Helvetica" w:cs="Helvetica"/>
                <w:sz w:val="18"/>
                <w:szCs w:val="18"/>
              </w:rPr>
              <w:t>Mayet 1890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feeds on leaves (Doganlar and Yigit 2002) and lays eggs on the leaf surface (CPPDR 1994).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Rhipiphorothrips cruentatus</w:t>
            </w:r>
            <w:r>
              <w:rPr>
                <w:rFonts w:ascii="Helvetica" w:hAnsi="Helvetica" w:cs="Helvetica"/>
                <w:sz w:val="18"/>
                <w:szCs w:val="18"/>
              </w:rPr>
              <w:t xml:space="preserve"> Hood 1991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feeds on foliage (Bournier 1976; Dahiya and Lakra 2001) and lays eggs on the underside of leaves (Kulkarni </w:t>
            </w:r>
            <w:r>
              <w:rPr>
                <w:rFonts w:ascii="Helvetica" w:hAnsi="Helvetica" w:cs="Helvetica"/>
                <w:i/>
                <w:sz w:val="18"/>
                <w:szCs w:val="18"/>
              </w:rPr>
              <w:t>et al</w:t>
            </w:r>
            <w:r>
              <w:rPr>
                <w:rFonts w:ascii="Helvetica" w:hAnsi="Helvetica" w:cs="Helvetica"/>
                <w:sz w:val="18"/>
                <w:szCs w:val="18"/>
              </w:rPr>
              <w:t>. 2007).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Rubiothrips vitis</w:t>
            </w:r>
            <w:r>
              <w:rPr>
                <w:rFonts w:ascii="Helvetica" w:hAnsi="Helvetica" w:cs="Helvetica"/>
                <w:sz w:val="18"/>
                <w:szCs w:val="18"/>
              </w:rPr>
              <w:t xml:space="preserve"> (Priesner 1933)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Scirtothrips citri </w:t>
            </w:r>
            <w:r>
              <w:rPr>
                <w:rFonts w:ascii="Helvetica" w:hAnsi="Helvetica" w:cs="Helvetica"/>
                <w:sz w:val="18"/>
                <w:szCs w:val="18"/>
              </w:rPr>
              <w:t>Moulton 1909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Scirtothrips</w:t>
            </w:r>
            <w:r>
              <w:rPr>
                <w:rFonts w:ascii="Helvetica" w:hAnsi="Helvetica" w:cs="Helvetica"/>
                <w:sz w:val="18"/>
                <w:szCs w:val="18"/>
              </w:rPr>
              <w:t xml:space="preserve"> species are associated with the foliage of </w:t>
            </w:r>
            <w:r>
              <w:rPr>
                <w:rFonts w:ascii="Helvetica" w:hAnsi="Helvetica" w:cs="Helvetica"/>
                <w:i/>
                <w:sz w:val="18"/>
                <w:szCs w:val="18"/>
              </w:rPr>
              <w:t xml:space="preserve">Vitis </w:t>
            </w:r>
            <w:r>
              <w:rPr>
                <w:rFonts w:ascii="Helvetica" w:hAnsi="Helvetica" w:cs="Helvetica"/>
                <w:sz w:val="18"/>
                <w:szCs w:val="18"/>
              </w:rPr>
              <w:t xml:space="preserve">species (Arpaia and Morse 1991; Roditakis and Roditakis 2007; Nietschke </w:t>
            </w:r>
            <w:r>
              <w:rPr>
                <w:rFonts w:ascii="Helvetica" w:hAnsi="Helvetica" w:cs="Helvetica"/>
                <w:i/>
                <w:sz w:val="18"/>
                <w:szCs w:val="18"/>
              </w:rPr>
              <w:t>et al</w:t>
            </w:r>
            <w:r>
              <w:rPr>
                <w:rFonts w:ascii="Helvetica" w:hAnsi="Helvetica" w:cs="Helvetica"/>
                <w:sz w:val="18"/>
                <w:szCs w:val="18"/>
              </w:rPr>
              <w:t>. 2008).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Scirtothrips dorsalis</w:t>
            </w:r>
            <w:r>
              <w:rPr>
                <w:rFonts w:ascii="Helvetica" w:hAnsi="Helvetica" w:cs="Helvetica"/>
                <w:sz w:val="18"/>
                <w:szCs w:val="18"/>
              </w:rPr>
              <w:t xml:space="preserve"> Hood 1919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Scirtothrips mangiferae</w:t>
            </w:r>
            <w:r>
              <w:rPr>
                <w:rFonts w:ascii="Helvetica" w:hAnsi="Helvetica" w:cs="Helvetica"/>
                <w:sz w:val="18"/>
                <w:szCs w:val="18"/>
              </w:rPr>
              <w:t xml:space="preserve"> Priesner 1932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Scirtothrips</w:t>
            </w:r>
            <w:r>
              <w:rPr>
                <w:rFonts w:ascii="Helvetica" w:hAnsi="Helvetica" w:cs="Helvetica"/>
                <w:sz w:val="18"/>
                <w:szCs w:val="18"/>
              </w:rPr>
              <w:t xml:space="preserve"> species are associated with the foliage of </w:t>
            </w:r>
            <w:r>
              <w:rPr>
                <w:rFonts w:ascii="Helvetica" w:hAnsi="Helvetica" w:cs="Helvetica"/>
                <w:i/>
                <w:sz w:val="18"/>
                <w:szCs w:val="18"/>
              </w:rPr>
              <w:t xml:space="preserve">Vitis </w:t>
            </w:r>
            <w:r>
              <w:rPr>
                <w:rFonts w:ascii="Helvetica" w:hAnsi="Helvetica" w:cs="Helvetica"/>
                <w:sz w:val="18"/>
                <w:szCs w:val="18"/>
              </w:rPr>
              <w:t xml:space="preserve">species (Arpaia and Morse 1991; EPPO 2005; Roditakis and Roditakis 2007; Nietschke </w:t>
            </w:r>
            <w:r>
              <w:rPr>
                <w:rFonts w:ascii="Helvetica" w:hAnsi="Helvetica" w:cs="Helvetica"/>
                <w:i/>
                <w:sz w:val="18"/>
                <w:szCs w:val="18"/>
              </w:rPr>
              <w:t>et al</w:t>
            </w:r>
            <w:r>
              <w:rPr>
                <w:rFonts w:ascii="Helvetica" w:hAnsi="Helvetica" w:cs="Helvetica"/>
                <w:sz w:val="18"/>
                <w:szCs w:val="18"/>
              </w:rPr>
              <w:t>. 2008). Therefore, foliage free dormant cuttings do not provide a pathway for this pest.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iCs/>
                <w:sz w:val="18"/>
                <w:szCs w:val="18"/>
              </w:rPr>
            </w:pPr>
            <w:bookmarkStart w:id="115" w:name="OLE_LINK14"/>
            <w:bookmarkStart w:id="116" w:name="OLE_LINK15"/>
            <w:r>
              <w:rPr>
                <w:rFonts w:ascii="Helvetica" w:hAnsi="Helvetica" w:cs="Helvetica"/>
                <w:i/>
                <w:iCs/>
                <w:sz w:val="18"/>
                <w:szCs w:val="18"/>
              </w:rPr>
              <w:t xml:space="preserve">Thrips australis </w:t>
            </w:r>
            <w:bookmarkEnd w:id="115"/>
            <w:bookmarkEnd w:id="116"/>
            <w:r>
              <w:rPr>
                <w:rFonts w:ascii="Helvetica" w:hAnsi="Helvetica" w:cs="Helvetica"/>
                <w:sz w:val="18"/>
                <w:szCs w:val="18"/>
              </w:rPr>
              <w:t>Bagnall 1915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Thrips fulvipes</w:t>
            </w:r>
            <w:r>
              <w:rPr>
                <w:rFonts w:ascii="Helvetica" w:hAnsi="Helvetica" w:cs="Helvetica"/>
                <w:sz w:val="18"/>
                <w:szCs w:val="18"/>
              </w:rPr>
              <w:t xml:space="preserve"> Bagnall 1923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i/>
                <w:iCs/>
                <w:sz w:val="18"/>
                <w:szCs w:val="18"/>
              </w:rPr>
              <w:t xml:space="preserve">Thrips hawaiiensis </w:t>
            </w:r>
            <w:r>
              <w:rPr>
                <w:rFonts w:ascii="Helvetica" w:hAnsi="Helvetica" w:cs="Helvetica"/>
                <w:sz w:val="18"/>
                <w:szCs w:val="18"/>
              </w:rPr>
              <w:t>Morgan 1913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Thrips imagines</w:t>
            </w:r>
            <w:r>
              <w:rPr>
                <w:rFonts w:ascii="Helvetica" w:hAnsi="Helvetica" w:cs="Helvetica"/>
                <w:sz w:val="18"/>
                <w:szCs w:val="18"/>
              </w:rPr>
              <w:t xml:space="preserve"> Bagnall 1926 [Thysanoptera: Thripidae]</w:t>
            </w:r>
            <w:r>
              <w:rPr>
                <w:rFonts w:ascii="Helvetica" w:hAnsi="Helvetica" w:cs="Helvetica"/>
                <w:b/>
                <w:bCs/>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Present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Thrips</w:t>
            </w:r>
            <w:r>
              <w:rPr>
                <w:rFonts w:ascii="Helvetica" w:hAnsi="Helvetica" w:cs="Helvetica"/>
                <w:sz w:val="18"/>
                <w:szCs w:val="18"/>
              </w:rPr>
              <w:t xml:space="preserve"> </w:t>
            </w:r>
            <w:r>
              <w:rPr>
                <w:rFonts w:ascii="Helvetica" w:hAnsi="Helvetica" w:cs="Helvetica"/>
                <w:i/>
                <w:iCs/>
                <w:sz w:val="18"/>
                <w:szCs w:val="18"/>
              </w:rPr>
              <w:t>physapus</w:t>
            </w:r>
            <w:r>
              <w:rPr>
                <w:rFonts w:ascii="Helvetica" w:hAnsi="Helvetica" w:cs="Helvetica"/>
                <w:sz w:val="18"/>
                <w:szCs w:val="18"/>
              </w:rPr>
              <w:t xml:space="preserve"> Linna</w:t>
            </w:r>
            <w:smartTag w:uri="urn:schemas-microsoft-com:office:smarttags" w:element="PersonName">
              <w:r>
                <w:rPr>
                  <w:rFonts w:ascii="Helvetica" w:hAnsi="Helvetica" w:cs="Helvetica"/>
                  <w:sz w:val="18"/>
                  <w:szCs w:val="18"/>
                </w:rPr>
                <w:t>eu</w:t>
              </w:r>
            </w:smartTag>
            <w:r>
              <w:rPr>
                <w:rFonts w:ascii="Helvetica" w:hAnsi="Helvetica" w:cs="Helvetica"/>
                <w:sz w:val="18"/>
                <w:szCs w:val="18"/>
              </w:rPr>
              <w:t>s 1758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thrips species are associated with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these pests.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Thrips pillichi</w:t>
            </w:r>
            <w:r>
              <w:rPr>
                <w:rFonts w:ascii="Helvetica" w:hAnsi="Helvetica" w:cs="Helvetica"/>
                <w:sz w:val="18"/>
                <w:szCs w:val="18"/>
              </w:rPr>
              <w:t xml:space="preserve"> Priesner 1924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lang w:val="en-US"/>
              </w:rPr>
              <w:t>Thrips tabaci</w:t>
            </w:r>
            <w:r>
              <w:rPr>
                <w:rFonts w:ascii="Helvetica" w:hAnsi="Helvetica" w:cs="Helvetica"/>
                <w:sz w:val="18"/>
                <w:szCs w:val="18"/>
                <w:lang w:val="en-US"/>
              </w:rPr>
              <w:t xml:space="preserve"> Lindeman 1889 </w:t>
            </w:r>
            <w:r>
              <w:rPr>
                <w:rFonts w:ascii="Helvetica" w:hAnsi="Helvetica" w:cs="Helvetica"/>
                <w:sz w:val="18"/>
                <w:szCs w:val="18"/>
              </w:rPr>
              <w:t xml:space="preserve">[Thysanoptera: Thripidae]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(Naumann 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Thrips validus </w:t>
            </w:r>
            <w:r>
              <w:rPr>
                <w:rFonts w:ascii="Helvetica" w:hAnsi="Helvetica" w:cs="Helvetica"/>
                <w:sz w:val="18"/>
                <w:szCs w:val="18"/>
              </w:rPr>
              <w:t>Uzel 1895 [Thysanoptera: Thripidae]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foliage and inflorescences (Vasiliu-Oromulu </w:t>
            </w:r>
            <w:r>
              <w:rPr>
                <w:rFonts w:ascii="Helvetica" w:hAnsi="Helvetica" w:cs="Helvetica"/>
                <w:i/>
                <w:sz w:val="18"/>
                <w:szCs w:val="18"/>
              </w:rPr>
              <w:t>et al</w:t>
            </w:r>
            <w:r>
              <w:rPr>
                <w:rFonts w:ascii="Helvetica" w:hAnsi="Helvetica" w:cs="Helvetica"/>
                <w:sz w:val="18"/>
                <w:szCs w:val="18"/>
              </w:rPr>
              <w:t xml:space="preserve">. 2009). Therefore, foliage free dormant cuttings do not provide a pathway for this pest.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 xml:space="preserve">PATHOGENS </w:t>
            </w:r>
          </w:p>
        </w:tc>
      </w:tr>
      <w:tr>
        <w:tc>
          <w:tcPr>
            <w:tcW w:w="14508" w:type="dxa"/>
            <w:gridSpan w:val="7"/>
            <w:tcBorders>
              <w:top w:val="single" w:sz="4" w:space="0" w:color="auto"/>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BACTERIA</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Pantoea agglomerans</w:t>
            </w:r>
            <w:r>
              <w:rPr>
                <w:rFonts w:ascii="Helvetica" w:hAnsi="Helvetica" w:cs="Helvetica"/>
                <w:sz w:val="18"/>
                <w:szCs w:val="18"/>
              </w:rPr>
              <w:t xml:space="preserve"> (Beijerinck 1888) Gavini </w:t>
            </w:r>
            <w:r>
              <w:rPr>
                <w:rFonts w:ascii="Helvetica" w:hAnsi="Helvetica" w:cs="Helvetica"/>
                <w:i/>
                <w:sz w:val="18"/>
                <w:szCs w:val="18"/>
              </w:rPr>
              <w:t>et al</w:t>
            </w:r>
            <w:r>
              <w:rPr>
                <w:rFonts w:ascii="Helvetica" w:hAnsi="Helvetica" w:cs="Helvetica"/>
                <w:sz w:val="18"/>
                <w:szCs w:val="18"/>
              </w:rPr>
              <w:t>. 1989 [Enterobacteriales: Enterobacteriaceae]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Pseudomonas fluorescens</w:t>
            </w:r>
            <w:r>
              <w:rPr>
                <w:rFonts w:ascii="Helvetica" w:hAnsi="Helvetica" w:cs="Helvetica"/>
                <w:sz w:val="18"/>
                <w:szCs w:val="18"/>
              </w:rPr>
              <w:t xml:space="preserve"> Migula 1895 [Pseudomonadales: Pseudomonadaceae]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Style w:val="fieldheader1"/>
                <w:rFonts w:ascii="Helvetica" w:hAnsi="Helvetica" w:cs="Helvetica"/>
                <w:b w:val="0"/>
                <w:bCs w:val="0"/>
                <w:i/>
                <w:iCs/>
                <w:sz w:val="18"/>
                <w:szCs w:val="18"/>
              </w:rPr>
              <w:t>Ps</w:t>
            </w:r>
            <w:smartTag w:uri="urn:schemas-microsoft-com:office:smarttags" w:element="PersonName">
              <w:r>
                <w:rPr>
                  <w:rStyle w:val="fieldheader1"/>
                  <w:rFonts w:ascii="Helvetica" w:hAnsi="Helvetica" w:cs="Helvetica"/>
                  <w:b w:val="0"/>
                  <w:bCs w:val="0"/>
                  <w:i/>
                  <w:iCs/>
                  <w:sz w:val="18"/>
                  <w:szCs w:val="18"/>
                </w:rPr>
                <w:t>eu</w:t>
              </w:r>
            </w:smartTag>
            <w:r>
              <w:rPr>
                <w:rStyle w:val="fieldheader1"/>
                <w:rFonts w:ascii="Helvetica" w:hAnsi="Helvetica" w:cs="Helvetica"/>
                <w:b w:val="0"/>
                <w:bCs w:val="0"/>
                <w:i/>
                <w:iCs/>
                <w:sz w:val="18"/>
                <w:szCs w:val="18"/>
              </w:rPr>
              <w:t>domonas syringae</w:t>
            </w:r>
            <w:r>
              <w:rPr>
                <w:rFonts w:ascii="Helvetica" w:hAnsi="Helvetica" w:cs="Helvetica"/>
                <w:sz w:val="18"/>
                <w:szCs w:val="18"/>
              </w:rPr>
              <w:t xml:space="preserve"> subsp. </w:t>
            </w:r>
            <w:r>
              <w:rPr>
                <w:rFonts w:ascii="Helvetica" w:hAnsi="Helvetica" w:cs="Helvetica"/>
                <w:i/>
                <w:sz w:val="18"/>
                <w:szCs w:val="18"/>
              </w:rPr>
              <w:t>syringae</w:t>
            </w:r>
            <w:r>
              <w:rPr>
                <w:rFonts w:ascii="Helvetica" w:hAnsi="Helvetica" w:cs="Helvetica"/>
                <w:sz w:val="18"/>
                <w:szCs w:val="18"/>
              </w:rPr>
              <w:t xml:space="preserve"> van Hall 1902 </w:t>
            </w:r>
            <w:r>
              <w:rPr>
                <w:rFonts w:ascii="Helvetica" w:hAnsi="Helvetica" w:cs="Helvetica"/>
                <w:sz w:val="18"/>
                <w:szCs w:val="18"/>
                <w:lang w:val="en-US"/>
              </w:rPr>
              <w:t>[</w:t>
            </w:r>
            <w:r>
              <w:rPr>
                <w:rFonts w:ascii="Helvetica" w:hAnsi="Helvetica" w:cs="Helvetica"/>
                <w:sz w:val="18"/>
                <w:szCs w:val="18"/>
              </w:rPr>
              <w:t>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domonadales: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domonadaceae</w:t>
            </w:r>
            <w:r>
              <w:rPr>
                <w:rFonts w:ascii="Helvetica" w:hAnsi="Helvetica" w:cs="Helvetica"/>
                <w:sz w:val="18"/>
                <w:szCs w:val="18"/>
                <w:lang w:val="en-US"/>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(Whitelaw-Weckert </w:t>
            </w:r>
            <w:r>
              <w:rPr>
                <w:rFonts w:ascii="Helvetica" w:hAnsi="Helvetica" w:cs="Helvetica"/>
                <w:i/>
                <w:sz w:val="18"/>
                <w:szCs w:val="18"/>
              </w:rPr>
              <w:t>et al</w:t>
            </w:r>
            <w:r>
              <w:rPr>
                <w:rFonts w:ascii="Helvetica" w:hAnsi="Helvetica" w:cs="Helvetica"/>
                <w:sz w:val="18"/>
                <w:szCs w:val="18"/>
              </w:rPr>
              <w:t>.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autoSpaceDE w:val="0"/>
              <w:autoSpaceDN w:val="0"/>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Style w:val="BAText1bulletChar"/>
                <w:rFonts w:ascii="Helvetica" w:hAnsi="Helvetica" w:cs="Helvetica"/>
                <w:sz w:val="18"/>
                <w:szCs w:val="18"/>
              </w:rPr>
            </w:pPr>
            <w:r>
              <w:rPr>
                <w:rFonts w:ascii="Helvetica" w:hAnsi="Helvetica" w:cs="Helvetica"/>
                <w:i/>
                <w:iCs/>
                <w:sz w:val="18"/>
                <w:szCs w:val="18"/>
              </w:rPr>
              <w:t>Ps</w:t>
            </w:r>
            <w:smartTag w:uri="urn:schemas-microsoft-com:office:smarttags" w:element="PersonName">
              <w:r>
                <w:rPr>
                  <w:rFonts w:ascii="Helvetica" w:hAnsi="Helvetica" w:cs="Helvetica"/>
                  <w:i/>
                  <w:iCs/>
                  <w:sz w:val="18"/>
                  <w:szCs w:val="18"/>
                </w:rPr>
                <w:t>eu</w:t>
              </w:r>
            </w:smartTag>
            <w:r>
              <w:rPr>
                <w:rFonts w:ascii="Helvetica" w:hAnsi="Helvetica" w:cs="Helvetica"/>
                <w:i/>
                <w:iCs/>
                <w:sz w:val="18"/>
                <w:szCs w:val="18"/>
              </w:rPr>
              <w:t>domonas viridiflava</w:t>
            </w:r>
            <w:r>
              <w:rPr>
                <w:rFonts w:ascii="Helvetica" w:hAnsi="Helvetica" w:cs="Helvetica"/>
                <w:sz w:val="18"/>
                <w:szCs w:val="18"/>
              </w:rPr>
              <w:t xml:space="preserve"> Burkholder 1930) Dowson 1939</w:t>
            </w:r>
            <w:r>
              <w:rPr>
                <w:rFonts w:ascii="Helvetica" w:hAnsi="Helvetica" w:cs="Helvetica"/>
                <w:sz w:val="18"/>
                <w:szCs w:val="18"/>
                <w:lang w:val="en-US"/>
              </w:rPr>
              <w:t xml:space="preserve"> [</w:t>
            </w:r>
            <w:r>
              <w:rPr>
                <w:rFonts w:ascii="Helvetica" w:hAnsi="Helvetica" w:cs="Helvetica"/>
                <w:sz w:val="18"/>
                <w:szCs w:val="18"/>
              </w:rPr>
              <w:t>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domonadales: Ps</w:t>
            </w:r>
            <w:smartTag w:uri="urn:schemas-microsoft-com:office:smarttags" w:element="PersonName">
              <w:r>
                <w:rPr>
                  <w:rFonts w:ascii="Helvetica" w:hAnsi="Helvetica" w:cs="Helvetica"/>
                  <w:sz w:val="18"/>
                  <w:szCs w:val="18"/>
                </w:rPr>
                <w:t>eu</w:t>
              </w:r>
            </w:smartTag>
            <w:r>
              <w:rPr>
                <w:rFonts w:ascii="Helvetica" w:hAnsi="Helvetica" w:cs="Helvetica"/>
                <w:sz w:val="18"/>
                <w:szCs w:val="18"/>
              </w:rPr>
              <w:t>domonadaceae</w:t>
            </w:r>
            <w:r>
              <w:rPr>
                <w:rFonts w:ascii="Helvetica" w:hAnsi="Helvetica" w:cs="Helvetica"/>
                <w:sz w:val="18"/>
                <w:szCs w:val="18"/>
                <w:lang w:val="en-US"/>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Rhizobium radiobacter</w:t>
            </w:r>
            <w:r>
              <w:rPr>
                <w:rFonts w:ascii="Helvetica" w:hAnsi="Helvetica" w:cs="Helvetica"/>
                <w:sz w:val="18"/>
                <w:szCs w:val="18"/>
              </w:rPr>
              <w:t xml:space="preserve"> (Beijerinck and van Delden 1902) Pribram 1933 [Rhizobiales: Rhizobiaceae]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Rhizobium vitis </w:t>
            </w:r>
            <w:r>
              <w:rPr>
                <w:rFonts w:ascii="Helvetica" w:hAnsi="Helvetica" w:cs="Helvetica"/>
                <w:sz w:val="18"/>
                <w:szCs w:val="18"/>
              </w:rPr>
              <w:t xml:space="preserve">(Ophel &amp; Kerr 1990) Young </w:t>
            </w:r>
            <w:r>
              <w:rPr>
                <w:rFonts w:ascii="Helvetica" w:hAnsi="Helvetica" w:cs="Helvetica"/>
                <w:i/>
                <w:iCs/>
                <w:sz w:val="18"/>
                <w:szCs w:val="18"/>
              </w:rPr>
              <w:t>et al</w:t>
            </w:r>
            <w:r>
              <w:rPr>
                <w:rFonts w:ascii="Helvetica" w:hAnsi="Helvetica" w:cs="Helvetica"/>
                <w:sz w:val="18"/>
                <w:szCs w:val="18"/>
              </w:rPr>
              <w:t>. [Rhizobiales: Rhizobiaceae]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(Gillings and Ophel-Keller 1995)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lang w:val="en-US"/>
              </w:rPr>
            </w:pPr>
            <w:r>
              <w:rPr>
                <w:rFonts w:ascii="Helvetica" w:hAnsi="Helvetica" w:cs="Helvetica"/>
                <w:i/>
                <w:iCs/>
                <w:sz w:val="18"/>
                <w:szCs w:val="18"/>
              </w:rPr>
              <w:t>Xanthomonas campestris</w:t>
            </w:r>
            <w:r>
              <w:rPr>
                <w:rFonts w:ascii="Helvetica" w:hAnsi="Helvetica" w:cs="Helvetica"/>
                <w:sz w:val="18"/>
                <w:szCs w:val="18"/>
              </w:rPr>
              <w:t xml:space="preserve"> pv. </w:t>
            </w:r>
            <w:r>
              <w:rPr>
                <w:rFonts w:ascii="Helvetica" w:hAnsi="Helvetica" w:cs="Helvetica"/>
                <w:i/>
                <w:iCs/>
                <w:sz w:val="18"/>
                <w:szCs w:val="18"/>
              </w:rPr>
              <w:t>viticola</w:t>
            </w:r>
            <w:r>
              <w:rPr>
                <w:rFonts w:ascii="Helvetica" w:hAnsi="Helvetica" w:cs="Helvetica"/>
                <w:sz w:val="18"/>
                <w:szCs w:val="18"/>
              </w:rPr>
              <w:t xml:space="preserve"> (Nayudu 1972) Dye 1978</w:t>
            </w:r>
            <w:r>
              <w:rPr>
                <w:rFonts w:ascii="Helvetica" w:hAnsi="Helvetica" w:cs="Helvetica"/>
                <w:sz w:val="18"/>
                <w:szCs w:val="18"/>
                <w:lang w:val="pt-BR"/>
              </w:rPr>
              <w:t xml:space="preserve"> [</w:t>
            </w:r>
            <w:r>
              <w:rPr>
                <w:rFonts w:ascii="Helvetica" w:hAnsi="Helvetica" w:cs="Helvetica"/>
                <w:sz w:val="18"/>
                <w:szCs w:val="18"/>
              </w:rPr>
              <w:t>Xanthomonadales: Xanthomonadaceae]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Xanthomonas campestris</w:t>
            </w:r>
            <w:r>
              <w:rPr>
                <w:rFonts w:ascii="Helvetica" w:hAnsi="Helvetica" w:cs="Helvetica"/>
                <w:sz w:val="18"/>
                <w:szCs w:val="18"/>
              </w:rPr>
              <w:t xml:space="preserve"> pv. </w:t>
            </w:r>
            <w:r>
              <w:rPr>
                <w:rFonts w:ascii="Helvetica" w:hAnsi="Helvetica" w:cs="Helvetica"/>
                <w:i/>
                <w:sz w:val="18"/>
                <w:szCs w:val="18"/>
              </w:rPr>
              <w:t>viticola</w:t>
            </w:r>
            <w:r>
              <w:rPr>
                <w:rFonts w:ascii="Helvetica" w:hAnsi="Helvetica" w:cs="Helvetica"/>
                <w:sz w:val="18"/>
                <w:szCs w:val="18"/>
              </w:rPr>
              <w:t xml:space="preserve"> (Xcv) survives in infected plants as an epiphyte on aerial plant parts and may be carried in infected transplants and cuttings (Nascimento and Mariano 2004; Peixoto </w:t>
            </w:r>
            <w:r>
              <w:rPr>
                <w:rFonts w:ascii="Helvetica" w:hAnsi="Helvetica" w:cs="Helvetica"/>
                <w:i/>
                <w:sz w:val="18"/>
                <w:szCs w:val="18"/>
              </w:rPr>
              <w:t>et al</w:t>
            </w:r>
            <w:r>
              <w:rPr>
                <w:rFonts w:ascii="Helvetica" w:hAnsi="Helvetica" w:cs="Helvetica"/>
                <w:sz w:val="18"/>
                <w:szCs w:val="18"/>
              </w:rPr>
              <w:t xml:space="preserve">. 2007). </w:t>
            </w:r>
            <w:r>
              <w:rPr>
                <w:rFonts w:ascii="Helvetica" w:hAnsi="Helvetica" w:cs="Helvetica"/>
                <w:bCs/>
                <w:sz w:val="18"/>
                <w:szCs w:val="18"/>
              </w:rPr>
              <w:t xml:space="preserve">Therefore, dormant cuttings may provide a pathway for this bacterium.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Xcv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(Trindade </w:t>
            </w:r>
            <w:r>
              <w:rPr>
                <w:rFonts w:ascii="Helvetica" w:hAnsi="Helvetica" w:cs="Helvetica"/>
                <w:i/>
                <w:sz w:val="18"/>
                <w:szCs w:val="18"/>
              </w:rPr>
              <w:t>et al</w:t>
            </w:r>
            <w:r>
              <w:rPr>
                <w:rFonts w:ascii="Helvetica" w:hAnsi="Helvetica" w:cs="Helvetica"/>
                <w:sz w:val="18"/>
                <w:szCs w:val="18"/>
              </w:rPr>
              <w:t xml:space="preserve">. 2005) and may spread naturally in infected propagative material (Nascimento and Mariano 2004; Peixoto </w:t>
            </w:r>
            <w:r>
              <w:rPr>
                <w:rFonts w:ascii="Helvetica" w:hAnsi="Helvetica" w:cs="Helvetica"/>
                <w:i/>
                <w:sz w:val="18"/>
                <w:szCs w:val="18"/>
              </w:rPr>
              <w:t>et al</w:t>
            </w:r>
            <w:r>
              <w:rPr>
                <w:rFonts w:ascii="Helvetica" w:hAnsi="Helvetica" w:cs="Helvetica"/>
                <w:sz w:val="18"/>
                <w:szCs w:val="18"/>
              </w:rPr>
              <w:t>. 2007). Multiplication and marketing of infected propagative material will help spread this bacterium within Australia.</w:t>
            </w:r>
            <w:r>
              <w:rPr>
                <w:rFonts w:ascii="Helvetica" w:hAnsi="Helvetica" w:cs="Helvetica"/>
                <w:bCs/>
                <w:sz w:val="18"/>
                <w:szCs w:val="18"/>
              </w:rPr>
              <w:t xml:space="preserve"> </w:t>
            </w:r>
            <w:r>
              <w:rPr>
                <w:rFonts w:ascii="Helvetica" w:hAnsi="Helvetica" w:cs="Helvetica"/>
                <w:sz w:val="18"/>
                <w:szCs w:val="18"/>
              </w:rPr>
              <w:t>Therefore, this bacterium has the potential for establishment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autoSpaceDE w:val="0"/>
              <w:autoSpaceDN w:val="0"/>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bacterium causes leaf blight and cankers on stems and petioles and causes extensive foliage death. It also causes irregular colour and size in berries and may cause necrotic lesions (Nascimento and Mariano 2004), reducing the yield and quality of the grapes. The development of grapevine bacterial canker in Brazil has caused severe crop losses (Nascimento </w:t>
            </w:r>
            <w:r>
              <w:rPr>
                <w:rFonts w:ascii="Helvetica" w:hAnsi="Helvetica" w:cs="Helvetica"/>
                <w:i/>
                <w:sz w:val="18"/>
                <w:szCs w:val="18"/>
              </w:rPr>
              <w:t>et al</w:t>
            </w:r>
            <w:r>
              <w:rPr>
                <w:rFonts w:ascii="Helvetica" w:hAnsi="Helvetica" w:cs="Helvetica"/>
                <w:sz w:val="18"/>
                <w:szCs w:val="18"/>
              </w:rPr>
              <w:t>. 2005). Therefore, this bacterium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iCs/>
                <w:sz w:val="18"/>
                <w:szCs w:val="18"/>
              </w:rPr>
              <w:t>Xanthomonas campestris</w:t>
            </w:r>
            <w:r>
              <w:rPr>
                <w:rFonts w:ascii="Helvetica" w:hAnsi="Helvetica" w:cs="Helvetica"/>
                <w:sz w:val="18"/>
                <w:szCs w:val="18"/>
              </w:rPr>
              <w:t xml:space="preserve"> pv. </w:t>
            </w:r>
            <w:r>
              <w:rPr>
                <w:rFonts w:ascii="Helvetica" w:hAnsi="Helvetica" w:cs="Helvetica"/>
                <w:i/>
                <w:iCs/>
                <w:sz w:val="18"/>
                <w:szCs w:val="18"/>
              </w:rPr>
              <w:t>vitiscarnosae</w:t>
            </w:r>
            <w:r>
              <w:rPr>
                <w:rFonts w:ascii="Helvetica" w:hAnsi="Helvetica" w:cs="Helvetica"/>
                <w:sz w:val="18"/>
                <w:szCs w:val="18"/>
              </w:rPr>
              <w:t xml:space="preserve"> (Moniz &amp; Patel 1958) Dye 1978 </w:t>
            </w:r>
            <w:r>
              <w:rPr>
                <w:rFonts w:ascii="Helvetica" w:hAnsi="Helvetica" w:cs="Helvetica"/>
                <w:sz w:val="18"/>
                <w:szCs w:val="18"/>
                <w:lang w:val="pt-BR"/>
              </w:rPr>
              <w:t>[</w:t>
            </w:r>
            <w:r>
              <w:rPr>
                <w:rFonts w:ascii="Helvetica" w:hAnsi="Helvetica" w:cs="Helvetica"/>
                <w:sz w:val="18"/>
                <w:szCs w:val="18"/>
              </w:rPr>
              <w:t>Xanthomonadales: Xanthomonadaceae</w:t>
            </w:r>
            <w:r>
              <w:rPr>
                <w:rFonts w:ascii="Helvetica" w:hAnsi="Helvetica" w:cs="Helvetica"/>
                <w:sz w:val="18"/>
                <w:szCs w:val="18"/>
                <w:lang w:val="en-US"/>
              </w:rPr>
              <w:t>]</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Assessment not required</w:t>
            </w:r>
            <w:r>
              <w:rPr>
                <w:rStyle w:val="FootnoteReference"/>
                <w:rFonts w:ascii="Helvetica" w:hAnsi="Helvetica" w:cs="Helvetica"/>
                <w:szCs w:val="18"/>
              </w:rPr>
              <w:footnoteReference w:id="8"/>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keepNext/>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keepNext/>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keepNext/>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en-US"/>
              </w:rPr>
            </w:pPr>
            <w:r>
              <w:rPr>
                <w:rFonts w:ascii="Helvetica" w:hAnsi="Helvetica" w:cs="Helvetica"/>
                <w:i/>
                <w:iCs/>
                <w:sz w:val="18"/>
                <w:szCs w:val="18"/>
              </w:rPr>
              <w:t>Xanthomonas</w:t>
            </w:r>
            <w:r>
              <w:rPr>
                <w:rFonts w:ascii="Helvetica" w:hAnsi="Helvetica" w:cs="Helvetica"/>
                <w:sz w:val="18"/>
                <w:szCs w:val="18"/>
              </w:rPr>
              <w:t xml:space="preserve"> </w:t>
            </w:r>
            <w:r>
              <w:rPr>
                <w:rFonts w:ascii="Helvetica" w:hAnsi="Helvetica" w:cs="Helvetica"/>
                <w:i/>
                <w:iCs/>
                <w:sz w:val="18"/>
                <w:szCs w:val="18"/>
              </w:rPr>
              <w:t>campestris</w:t>
            </w:r>
            <w:r>
              <w:rPr>
                <w:rFonts w:ascii="Helvetica" w:hAnsi="Helvetica" w:cs="Helvetica"/>
                <w:sz w:val="18"/>
                <w:szCs w:val="18"/>
              </w:rPr>
              <w:t xml:space="preserve"> pv. </w:t>
            </w:r>
            <w:r>
              <w:rPr>
                <w:rFonts w:ascii="Helvetica" w:hAnsi="Helvetica" w:cs="Helvetica"/>
                <w:i/>
                <w:iCs/>
                <w:sz w:val="18"/>
                <w:szCs w:val="18"/>
              </w:rPr>
              <w:t>vitistrifoliae</w:t>
            </w:r>
            <w:r>
              <w:rPr>
                <w:rFonts w:ascii="Helvetica" w:hAnsi="Helvetica" w:cs="Helvetica"/>
                <w:sz w:val="18"/>
                <w:szCs w:val="18"/>
              </w:rPr>
              <w:t xml:space="preserve"> (Padhya </w:t>
            </w:r>
            <w:r>
              <w:rPr>
                <w:rFonts w:ascii="Helvetica" w:hAnsi="Helvetica" w:cs="Helvetica"/>
                <w:i/>
                <w:sz w:val="18"/>
                <w:szCs w:val="18"/>
              </w:rPr>
              <w:t>et al</w:t>
            </w:r>
            <w:r>
              <w:rPr>
                <w:rFonts w:ascii="Helvetica" w:hAnsi="Helvetica" w:cs="Helvetica"/>
                <w:sz w:val="18"/>
                <w:szCs w:val="18"/>
              </w:rPr>
              <w:t xml:space="preserve">. 1965) Dye 1978) Dye </w:t>
            </w:r>
            <w:r>
              <w:rPr>
                <w:rFonts w:ascii="Helvetica" w:hAnsi="Helvetica" w:cs="Helvetica"/>
                <w:sz w:val="18"/>
                <w:szCs w:val="18"/>
                <w:lang w:val="pt-BR"/>
              </w:rPr>
              <w:t>[</w:t>
            </w:r>
            <w:r>
              <w:rPr>
                <w:rFonts w:ascii="Helvetica" w:hAnsi="Helvetica" w:cs="Helvetica"/>
                <w:sz w:val="18"/>
                <w:szCs w:val="18"/>
              </w:rPr>
              <w:t>Xanthomonadales: Xanthomonadaceae</w:t>
            </w:r>
            <w:r>
              <w:rPr>
                <w:rFonts w:ascii="Helvetica" w:hAnsi="Helvetica" w:cs="Helvetica"/>
                <w:sz w:val="18"/>
                <w:szCs w:val="18"/>
                <w:lang w:val="en-US"/>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r>
              <w:rPr>
                <w:rStyle w:val="FootnoteReference"/>
                <w:rFonts w:cs="Helvetica"/>
                <w:szCs w:val="18"/>
              </w:rPr>
              <w:footnoteReference w:id="9"/>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Xanthomonas campestris</w:t>
            </w:r>
            <w:r>
              <w:rPr>
                <w:rFonts w:ascii="Helvetica" w:hAnsi="Helvetica" w:cs="Helvetica"/>
                <w:sz w:val="18"/>
                <w:szCs w:val="18"/>
              </w:rPr>
              <w:t xml:space="preserve"> pv. </w:t>
            </w:r>
            <w:r>
              <w:rPr>
                <w:rFonts w:ascii="Helvetica" w:hAnsi="Helvetica" w:cs="Helvetica"/>
                <w:i/>
                <w:iCs/>
                <w:sz w:val="18"/>
                <w:szCs w:val="18"/>
              </w:rPr>
              <w:t>vitiswoodrowii</w:t>
            </w:r>
            <w:r>
              <w:rPr>
                <w:rFonts w:ascii="Helvetica" w:hAnsi="Helvetica" w:cs="Helvetica"/>
                <w:sz w:val="18"/>
                <w:szCs w:val="18"/>
              </w:rPr>
              <w:t xml:space="preserve"> (Patel &amp; Kulkarni 1951) Dye 1978 </w:t>
            </w:r>
            <w:r>
              <w:rPr>
                <w:rFonts w:ascii="Helvetica" w:hAnsi="Helvetica" w:cs="Helvetica"/>
                <w:sz w:val="18"/>
                <w:szCs w:val="18"/>
                <w:lang w:val="pt-BR"/>
              </w:rPr>
              <w:t>[</w:t>
            </w:r>
            <w:r>
              <w:rPr>
                <w:rFonts w:ascii="Helvetica" w:hAnsi="Helvetica" w:cs="Helvetica"/>
                <w:sz w:val="18"/>
                <w:szCs w:val="18"/>
              </w:rPr>
              <w:t>Xanthomonadales: Xanthomonadaceae</w:t>
            </w:r>
            <w:r>
              <w:rPr>
                <w:rFonts w:ascii="Helvetica" w:hAnsi="Helvetica" w:cs="Helvetica"/>
                <w:sz w:val="18"/>
                <w:szCs w:val="18"/>
                <w:lang w:val="en-US"/>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r>
              <w:rPr>
                <w:rStyle w:val="FootnoteReference"/>
                <w:rFonts w:cs="Helvetica"/>
                <w:szCs w:val="18"/>
              </w:rPr>
              <w:footnoteReference w:id="10"/>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Xylella fastidiosa</w:t>
            </w:r>
            <w:r>
              <w:rPr>
                <w:rFonts w:ascii="Helvetica" w:hAnsi="Helvetica" w:cs="Helvetica"/>
                <w:sz w:val="18"/>
                <w:szCs w:val="18"/>
              </w:rPr>
              <w:t xml:space="preserve"> (Wells </w:t>
            </w:r>
            <w:r>
              <w:rPr>
                <w:rFonts w:ascii="Helvetica" w:hAnsi="Helvetica" w:cs="Helvetica"/>
                <w:i/>
                <w:iCs/>
                <w:sz w:val="18"/>
                <w:szCs w:val="18"/>
              </w:rPr>
              <w:t>et al</w:t>
            </w:r>
            <w:r>
              <w:rPr>
                <w:rFonts w:ascii="Helvetica" w:hAnsi="Helvetica" w:cs="Helvetica"/>
                <w:sz w:val="18"/>
                <w:szCs w:val="18"/>
              </w:rPr>
              <w:t>. 1987)</w:t>
            </w:r>
            <w:r>
              <w:rPr>
                <w:rStyle w:val="FootnoteReference"/>
                <w:rFonts w:ascii="Helvetica" w:hAnsi="Helvetica" w:cs="Helvetica"/>
                <w:szCs w:val="18"/>
              </w:rPr>
              <w:footnoteReference w:id="11"/>
            </w:r>
            <w:r>
              <w:rPr>
                <w:rFonts w:ascii="Helvetica" w:hAnsi="Helvetica" w:cs="Helvetica"/>
                <w:sz w:val="18"/>
                <w:szCs w:val="18"/>
              </w:rPr>
              <w:t xml:space="preserve"> –grapevine strain [Xanthomonadales: Xanthomonadaceae]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Xylella fastidiosa</w:t>
            </w:r>
            <w:r>
              <w:rPr>
                <w:rFonts w:ascii="Helvetica" w:hAnsi="Helvetica" w:cs="Helvetica"/>
                <w:sz w:val="18"/>
                <w:szCs w:val="18"/>
              </w:rPr>
              <w:t xml:space="preserve"> multiplies and spreads exclusively within the xylem (Purcell 2001). Diseased stems often mature irregularly and show patches of brown and green tissue. The grapevine strain of </w:t>
            </w:r>
            <w:r>
              <w:rPr>
                <w:rFonts w:ascii="Helvetica" w:hAnsi="Helvetica" w:cs="Helvetica"/>
                <w:i/>
                <w:sz w:val="18"/>
                <w:szCs w:val="18"/>
              </w:rPr>
              <w:t xml:space="preserve">X. fastidiosa </w:t>
            </w:r>
            <w:r>
              <w:rPr>
                <w:rFonts w:ascii="Helvetica" w:hAnsi="Helvetica" w:cs="Helvetica"/>
                <w:sz w:val="18"/>
                <w:szCs w:val="18"/>
              </w:rPr>
              <w:t xml:space="preserve">proliferates only in xylem vessels, in roots, stems and leaves. </w:t>
            </w:r>
            <w:r>
              <w:rPr>
                <w:rFonts w:ascii="Helvetica" w:hAnsi="Helvetica" w:cs="Helvetica"/>
                <w:bCs/>
                <w:sz w:val="18"/>
                <w:szCs w:val="18"/>
              </w:rPr>
              <w:t xml:space="preserve">Therefore, propagative material provides a pathway for </w:t>
            </w:r>
            <w:r>
              <w:rPr>
                <w:rFonts w:ascii="Helvetica" w:hAnsi="Helvetica" w:cs="Helvetica"/>
                <w:sz w:val="18"/>
                <w:szCs w:val="18"/>
              </w:rPr>
              <w:t xml:space="preserve">Grapevine strain of </w:t>
            </w:r>
            <w:r>
              <w:rPr>
                <w:rFonts w:ascii="Helvetica" w:hAnsi="Helvetica" w:cs="Helvetica"/>
                <w:i/>
                <w:sz w:val="18"/>
                <w:szCs w:val="18"/>
              </w:rPr>
              <w:t>X. fastidiosa</w:t>
            </w:r>
            <w:r>
              <w:rPr>
                <w:rFonts w:ascii="Helvetica" w:hAnsi="Helvetica" w:cs="Helvetica"/>
                <w:bCs/>
                <w:sz w:val="18"/>
                <w:szCs w:val="18"/>
              </w:rPr>
              <w: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Grapevine strain of </w:t>
            </w:r>
            <w:r>
              <w:rPr>
                <w:rFonts w:ascii="Helvetica" w:hAnsi="Helvetica" w:cs="Helvetica"/>
                <w:i/>
                <w:sz w:val="18"/>
                <w:szCs w:val="18"/>
              </w:rPr>
              <w:t xml:space="preserve">X. fastidiosa </w:t>
            </w:r>
            <w:r>
              <w:rPr>
                <w:rFonts w:ascii="Helvetica" w:hAnsi="Helvetica" w:cs="Helvetica"/>
                <w:sz w:val="18"/>
                <w:szCs w:val="18"/>
              </w:rPr>
              <w:t xml:space="preserve">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(Mizell </w:t>
            </w:r>
            <w:r>
              <w:rPr>
                <w:rFonts w:ascii="Helvetica" w:hAnsi="Helvetica" w:cs="Helvetica"/>
                <w:i/>
                <w:sz w:val="18"/>
                <w:szCs w:val="18"/>
              </w:rPr>
              <w:t>et al.</w:t>
            </w:r>
            <w:r>
              <w:rPr>
                <w:rFonts w:ascii="Helvetica" w:hAnsi="Helvetica" w:cs="Helvetica"/>
                <w:sz w:val="18"/>
                <w:szCs w:val="18"/>
              </w:rPr>
              <w:t xml:space="preserve"> 2008) and may spread naturally in infected propagative material (Frison and Ikin 1991). Multiplication and marketing of infected propagative material will help spread this bacterium within Australia.</w:t>
            </w:r>
            <w:r>
              <w:rPr>
                <w:rFonts w:ascii="Helvetica" w:hAnsi="Helvetica" w:cs="Helvetica"/>
                <w:bCs/>
                <w:sz w:val="18"/>
                <w:szCs w:val="18"/>
              </w:rPr>
              <w:t xml:space="preserve"> </w:t>
            </w:r>
            <w:r>
              <w:rPr>
                <w:rFonts w:ascii="Helvetica" w:hAnsi="Helvetica" w:cs="Helvetica"/>
                <w:sz w:val="18"/>
                <w:szCs w:val="18"/>
              </w:rPr>
              <w:t>CLIMEX predictions indicate that grape growing regions across southern Australia would be highly suitable for this bacterium (Hoddle 2004). Therefore, this bacterium has the potential for establishment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Grapevine strain of </w:t>
            </w:r>
            <w:r>
              <w:rPr>
                <w:rFonts w:ascii="Helvetica" w:hAnsi="Helvetica" w:cs="Helvetica"/>
                <w:i/>
                <w:sz w:val="18"/>
                <w:szCs w:val="18"/>
              </w:rPr>
              <w:t xml:space="preserve">X. fastidiosa </w:t>
            </w:r>
            <w:r>
              <w:rPr>
                <w:rFonts w:ascii="Helvetica" w:hAnsi="Helvetica" w:cs="Helvetica"/>
                <w:sz w:val="18"/>
                <w:szCs w:val="18"/>
              </w:rPr>
              <w:t xml:space="preserve">causing Pierce's disease is a major constraint on grapevine production in the USA and tropical America (CABI/EPPO 1990). Grapevines affected by this pathogen usually die within 1–5 years of infection (Pearson and Goheen 1988). </w:t>
            </w:r>
            <w:r>
              <w:rPr>
                <w:rFonts w:ascii="Helvetica" w:hAnsi="Helvetica" w:cs="Helvetica"/>
                <w:i/>
                <w:sz w:val="18"/>
                <w:szCs w:val="18"/>
              </w:rPr>
              <w:t xml:space="preserve">X. fastidiosa </w:t>
            </w:r>
            <w:r>
              <w:rPr>
                <w:rFonts w:ascii="Helvetica" w:hAnsi="Helvetica" w:cs="Helvetica"/>
                <w:sz w:val="18"/>
                <w:szCs w:val="18"/>
              </w:rPr>
              <w:t>is an EPPO A1 quarantine pest and is also of quarantine significance for COSAVE. Presence of this bacterium in Australia would impact upon Australia’s ability to access overseas markets. Therefore, this bacterium has the potential for significant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Xylophilus ampelinus</w:t>
            </w:r>
            <w:r>
              <w:rPr>
                <w:rFonts w:ascii="Helvetica" w:hAnsi="Helvetica" w:cs="Helvetica"/>
                <w:sz w:val="18"/>
                <w:szCs w:val="18"/>
              </w:rPr>
              <w:t xml:space="preserve"> (Panagopoulos1969) Willems </w:t>
            </w:r>
            <w:r>
              <w:rPr>
                <w:rFonts w:ascii="Helvetica" w:hAnsi="Helvetica" w:cs="Helvetica"/>
                <w:i/>
                <w:iCs/>
                <w:sz w:val="18"/>
                <w:szCs w:val="18"/>
              </w:rPr>
              <w:t>et al</w:t>
            </w:r>
            <w:r>
              <w:rPr>
                <w:rFonts w:ascii="Helvetica" w:hAnsi="Helvetica" w:cs="Helvetica"/>
                <w:sz w:val="18"/>
                <w:szCs w:val="18"/>
              </w:rPr>
              <w:t>. 1987 [Xanthomonadales: Xanthomonadaceae]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Xylophilus ampelinus</w:t>
            </w:r>
            <w:r>
              <w:rPr>
                <w:rFonts w:ascii="Helvetica" w:hAnsi="Helvetica" w:cs="Helvetica"/>
                <w:sz w:val="18"/>
                <w:szCs w:val="18"/>
              </w:rPr>
              <w:t xml:space="preserve"> is a systemic pathogen infecting xylem (Grall and Manceau 2003) and overwinters in plant tissue. Primary infection occurs on one or two year old shoots (Ridé </w:t>
            </w:r>
            <w:r>
              <w:rPr>
                <w:rFonts w:ascii="Helvetica" w:hAnsi="Helvetica" w:cs="Helvetica"/>
                <w:i/>
                <w:sz w:val="18"/>
                <w:szCs w:val="18"/>
              </w:rPr>
              <w:t>et al</w:t>
            </w:r>
            <w:r>
              <w:rPr>
                <w:rFonts w:ascii="Helvetica" w:hAnsi="Helvetica" w:cs="Helvetica"/>
                <w:sz w:val="18"/>
                <w:szCs w:val="18"/>
              </w:rPr>
              <w:t xml:space="preserve">. 1977). This bacterium often presents as a latent infection (Ridé </w:t>
            </w:r>
            <w:r>
              <w:rPr>
                <w:rFonts w:ascii="Helvetica" w:hAnsi="Helvetica" w:cs="Helvetica"/>
                <w:i/>
                <w:sz w:val="18"/>
                <w:szCs w:val="18"/>
              </w:rPr>
              <w:t>et al</w:t>
            </w:r>
            <w:r>
              <w:rPr>
                <w:rFonts w:ascii="Helvetica" w:hAnsi="Helvetica" w:cs="Helvetica"/>
                <w:sz w:val="18"/>
                <w:szCs w:val="18"/>
              </w:rPr>
              <w:t>. 1983; Panagopoulos 1987). This may lead to the propagation and distribution of infected propagative material, suggesting that this bacterium could be introduced into Australia.</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i/>
                <w:sz w:val="18"/>
                <w:szCs w:val="18"/>
              </w:rPr>
              <w:t>Xylophilus ampelinus</w:t>
            </w:r>
            <w:r>
              <w:rPr>
                <w:rFonts w:ascii="Helvetica" w:hAnsi="Helvetica" w:cs="Helvetica"/>
                <w:sz w:val="18"/>
                <w:szCs w:val="18"/>
              </w:rPr>
              <w:t xml:space="preserve">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(Botha </w:t>
            </w:r>
            <w:r>
              <w:rPr>
                <w:rFonts w:ascii="Helvetica" w:hAnsi="Helvetica" w:cs="Helvetica"/>
                <w:i/>
                <w:sz w:val="18"/>
                <w:szCs w:val="18"/>
              </w:rPr>
              <w:t>et al</w:t>
            </w:r>
            <w:r>
              <w:rPr>
                <w:rFonts w:ascii="Helvetica" w:hAnsi="Helvetica" w:cs="Helvetica"/>
                <w:sz w:val="18"/>
                <w:szCs w:val="18"/>
              </w:rPr>
              <w:t xml:space="preserve">. 2001; Manceau </w:t>
            </w:r>
            <w:r>
              <w:rPr>
                <w:rFonts w:ascii="Helvetica" w:hAnsi="Helvetica" w:cs="Helvetica"/>
                <w:i/>
                <w:sz w:val="18"/>
                <w:szCs w:val="18"/>
              </w:rPr>
              <w:t>et al</w:t>
            </w:r>
            <w:r>
              <w:rPr>
                <w:rFonts w:ascii="Helvetica" w:hAnsi="Helvetica" w:cs="Helvetica"/>
                <w:sz w:val="18"/>
                <w:szCs w:val="18"/>
              </w:rPr>
              <w:t xml:space="preserve">. 2005; CABI/EPPO 1999; Dreo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2005) and has spread naturally in infected propagative material (Frison and Ikin 1991). Multiplication and marketing of latently infected propagative material will help spread this bacterium within Australia.</w:t>
            </w:r>
            <w:r>
              <w:rPr>
                <w:rFonts w:ascii="Helvetica" w:hAnsi="Helvetica" w:cs="Helvetica"/>
                <w:bCs/>
                <w:sz w:val="18"/>
                <w:szCs w:val="18"/>
              </w:rPr>
              <w:t xml:space="preserve"> </w:t>
            </w:r>
            <w:r>
              <w:rPr>
                <w:rFonts w:ascii="Helvetica" w:hAnsi="Helvetica" w:cs="Helvetica"/>
                <w:sz w:val="18"/>
                <w:szCs w:val="18"/>
              </w:rPr>
              <w:t xml:space="preserve">Therefore, this bacterium has the potential for establishment and spread in Australia. </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Xylophilus ampelinus</w:t>
            </w:r>
            <w:r>
              <w:rPr>
                <w:rFonts w:ascii="Helvetica" w:hAnsi="Helvetica" w:cs="Helvetica"/>
                <w:sz w:val="18"/>
                <w:szCs w:val="18"/>
              </w:rPr>
              <w:t xml:space="preserve"> is a destructive pathogen of multiple grapevine cultivars (Serfontein </w:t>
            </w:r>
            <w:r>
              <w:rPr>
                <w:rFonts w:ascii="Helvetica" w:hAnsi="Helvetica" w:cs="Helvetica"/>
                <w:i/>
                <w:sz w:val="18"/>
                <w:szCs w:val="18"/>
              </w:rPr>
              <w:t>et al</w:t>
            </w:r>
            <w:r>
              <w:rPr>
                <w:rFonts w:ascii="Helvetica" w:hAnsi="Helvetica" w:cs="Helvetica"/>
                <w:sz w:val="18"/>
                <w:szCs w:val="18"/>
              </w:rPr>
              <w:t xml:space="preserve">. 1997). </w:t>
            </w:r>
            <w:r>
              <w:rPr>
                <w:rFonts w:ascii="Helvetica" w:hAnsi="Helvetica" w:cs="Helvetica"/>
                <w:i/>
                <w:sz w:val="18"/>
                <w:szCs w:val="18"/>
              </w:rPr>
              <w:t>Xylophilus ampelinus</w:t>
            </w:r>
            <w:r>
              <w:rPr>
                <w:rFonts w:ascii="Helvetica" w:hAnsi="Helvetica" w:cs="Helvetica"/>
                <w:iCs/>
                <w:sz w:val="18"/>
                <w:szCs w:val="18"/>
              </w:rPr>
              <w:t xml:space="preserve"> is an </w:t>
            </w:r>
            <w:r>
              <w:rPr>
                <w:rFonts w:ascii="Helvetica" w:hAnsi="Helvetica" w:cs="Helvetica"/>
                <w:sz w:val="18"/>
                <w:szCs w:val="18"/>
              </w:rPr>
              <w:t>EPPO A2 quarantine organism (OEPP/EPPO 1984) and is also of quarantine significance for NAPPO and the IAPSC. Presence of this bacterium in Australia would impact upon Australia’s ability to access overseas markets. Therefore, this bacterium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 xml:space="preserve">FUNGI </w:t>
            </w: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i/>
                <w:sz w:val="18"/>
                <w:szCs w:val="18"/>
              </w:rPr>
              <w:t>Acanthonitschkea tristis</w:t>
            </w:r>
            <w:r>
              <w:rPr>
                <w:rFonts w:ascii="Helvetica" w:hAnsi="Helvetica" w:cs="Helvetica"/>
                <w:sz w:val="18"/>
                <w:szCs w:val="18"/>
              </w:rPr>
              <w:t xml:space="preserve"> (Pers.) Nannf. [Coronophorales: Nitschkiaceae]</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This species is found on the decaying wood and bark of host plants (Miller and Huhndorf 2009).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i/>
                <w:sz w:val="18"/>
                <w:szCs w:val="18"/>
              </w:rPr>
              <w:t>Acremonium alternatum</w:t>
            </w:r>
            <w:r>
              <w:rPr>
                <w:rFonts w:ascii="Helvetica" w:hAnsi="Helvetica" w:cs="Helvetica"/>
                <w:sz w:val="18"/>
                <w:szCs w:val="18"/>
              </w:rPr>
              <w:t xml:space="preserve"> Link [Hypocreales: Unassigned]</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is a mycoparasite and consequently feeds on other pathogens occurring on the plant (Romero </w:t>
            </w:r>
            <w:r>
              <w:rPr>
                <w:rFonts w:ascii="Helvetica" w:hAnsi="Helvetica" w:cs="Helvetica"/>
                <w:i/>
                <w:sz w:val="18"/>
                <w:szCs w:val="18"/>
              </w:rPr>
              <w:t>et al</w:t>
            </w:r>
            <w:r>
              <w:rPr>
                <w:rFonts w:ascii="Helvetica" w:hAnsi="Helvetica" w:cs="Helvetica"/>
                <w:sz w:val="18"/>
                <w:szCs w:val="18"/>
              </w:rPr>
              <w:t xml:space="preserve">. 2003). For instance, it is known to control powdery mildews (Romero </w:t>
            </w:r>
            <w:r>
              <w:rPr>
                <w:rFonts w:ascii="Helvetica" w:hAnsi="Helvetica" w:cs="Helvetica"/>
                <w:i/>
                <w:sz w:val="18"/>
                <w:szCs w:val="18"/>
              </w:rPr>
              <w:t>et al</w:t>
            </w:r>
            <w:r>
              <w:rPr>
                <w:rFonts w:ascii="Helvetica" w:hAnsi="Helvetica" w:cs="Helvetica"/>
                <w:sz w:val="18"/>
                <w:szCs w:val="18"/>
              </w:rPr>
              <w:t>. 2003).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i/>
                <w:sz w:val="18"/>
                <w:szCs w:val="18"/>
              </w:rPr>
              <w:t>Acremonium charticola</w:t>
            </w:r>
            <w:r>
              <w:rPr>
                <w:rFonts w:ascii="Helvetica" w:hAnsi="Helvetica" w:cs="Helvetica"/>
                <w:sz w:val="18"/>
                <w:szCs w:val="18"/>
              </w:rPr>
              <w:t xml:space="preserve"> (Lindau) W. Gams [Hypocereales: Incertae sedis]</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is isolated from vascular tissues of grapevines (Halleen </w:t>
            </w:r>
            <w:r>
              <w:rPr>
                <w:rFonts w:ascii="Helvetica" w:hAnsi="Helvetica" w:cs="Helvetica"/>
                <w:i/>
                <w:sz w:val="18"/>
                <w:szCs w:val="18"/>
              </w:rPr>
              <w:t>et al</w:t>
            </w:r>
            <w:r>
              <w:rPr>
                <w:rFonts w:ascii="Helvetica" w:hAnsi="Helvetica" w:cs="Helvetica"/>
                <w:sz w:val="18"/>
                <w:szCs w:val="18"/>
              </w:rPr>
              <w:t>. 2005).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has a wide distribution (Farr and Rossman 2011) and parts of Australia would be suitable for its establishment and spread. Distribution of infected propagative material would help spread this fungus in Australia. Therefore, this species has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spacing w:before="20" w:line="240" w:lineRule="atLeast"/>
              <w:jc w:val="left"/>
              <w:rPr>
                <w:rFonts w:ascii="NewCenturySchlbk-Bold" w:hAnsi="NewCenturySchlbk-Bold" w:cs="NewCenturySchlbk-Bold"/>
                <w:bCs/>
                <w:sz w:val="20"/>
                <w:szCs w:val="20"/>
                <w:lang w:eastAsia="en-AU"/>
              </w:rPr>
            </w:pPr>
            <w:r>
              <w:rPr>
                <w:rFonts w:ascii="Helvetica" w:hAnsi="Helvetica" w:cs="Helvetica"/>
                <w:sz w:val="18"/>
                <w:szCs w:val="18"/>
              </w:rPr>
              <w:t xml:space="preserve">No: This fungus is considered to be non-pathogenic (Halleen </w:t>
            </w:r>
            <w:r>
              <w:rPr>
                <w:rFonts w:ascii="Helvetica" w:hAnsi="Helvetica" w:cs="Helvetica"/>
                <w:i/>
                <w:sz w:val="18"/>
                <w:szCs w:val="18"/>
              </w:rPr>
              <w:t>et al</w:t>
            </w:r>
            <w:r>
              <w:rPr>
                <w:rFonts w:ascii="Helvetica" w:hAnsi="Helvetica" w:cs="Helvetica"/>
                <w:sz w:val="18"/>
                <w:szCs w:val="18"/>
              </w:rPr>
              <w:t>. 2005). There is no evidence that it has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i/>
                <w:sz w:val="18"/>
                <w:szCs w:val="18"/>
              </w:rPr>
              <w:t>Acremonium strictum</w:t>
            </w:r>
            <w:r>
              <w:rPr>
                <w:rFonts w:ascii="Helvetica" w:hAnsi="Helvetica" w:cs="Helvetica"/>
                <w:sz w:val="18"/>
                <w:szCs w:val="18"/>
              </w:rPr>
              <w:t xml:space="preserve"> W. Gams [Hypocereales: Incertae sedis] </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Yes (McGee 1989;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i/>
                <w:sz w:val="18"/>
                <w:szCs w:val="18"/>
              </w:rPr>
              <w:t>Acrogenotheca ornata</w:t>
            </w:r>
            <w:r>
              <w:rPr>
                <w:rFonts w:ascii="Helvetica" w:hAnsi="Helvetica" w:cs="Helvetica"/>
                <w:sz w:val="18"/>
                <w:szCs w:val="18"/>
              </w:rPr>
              <w:t xml:space="preserve"> Deighton &amp; Pirozynski [Unassigned]</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Other members of this genus are associated with sooty molds (Reynolds 1971).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Acrospermum viticola</w:t>
            </w:r>
            <w:r>
              <w:rPr>
                <w:rFonts w:ascii="Helvetica" w:hAnsi="Helvetica" w:cs="Helvetica"/>
                <w:sz w:val="18"/>
                <w:szCs w:val="18"/>
                <w:lang w:val="en-US"/>
              </w:rPr>
              <w:t xml:space="preserve"> </w:t>
            </w:r>
            <w:r>
              <w:rPr>
                <w:rFonts w:ascii="Helvetica" w:hAnsi="Helvetica" w:cs="Helvetica"/>
                <w:sz w:val="18"/>
                <w:szCs w:val="18"/>
              </w:rPr>
              <w:t>Ikata &amp; Hitomi [Acrospermales: Acrospermaceae]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fungus is associated with grapevine foliage (Li 2004).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Acrostalagmus luteoalbus</w:t>
            </w:r>
            <w:r>
              <w:rPr>
                <w:rFonts w:ascii="Helvetica" w:hAnsi="Helvetica" w:cs="Helvetica"/>
                <w:sz w:val="18"/>
                <w:szCs w:val="18"/>
              </w:rPr>
              <w:t xml:space="preserve"> (Link) Zare </w:t>
            </w:r>
            <w:r>
              <w:rPr>
                <w:rFonts w:ascii="Helvetica" w:hAnsi="Helvetica" w:cs="Helvetica"/>
                <w:i/>
                <w:sz w:val="18"/>
                <w:szCs w:val="18"/>
              </w:rPr>
              <w:t>et al</w:t>
            </w:r>
            <w:r>
              <w:rPr>
                <w:rFonts w:ascii="Helvetica" w:hAnsi="Helvetica" w:cs="Helvetica"/>
                <w:sz w:val="18"/>
                <w:szCs w:val="18"/>
              </w:rPr>
              <w:t>. [Hypocreales: Hypocreaceae]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is commonly found in soil (Thormann and Rice 2007).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Actinomucor elegans </w:t>
            </w:r>
            <w:r>
              <w:rPr>
                <w:rFonts w:ascii="Helvetica" w:hAnsi="Helvetica" w:cs="Helvetica"/>
                <w:sz w:val="18"/>
                <w:szCs w:val="18"/>
              </w:rPr>
              <w:t>(Eidam) CR Benj. &amp; Hesselt [Mucorales: Mucoraceae]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Aecidium cissigenum</w:t>
            </w:r>
            <w:r>
              <w:rPr>
                <w:rFonts w:ascii="Helvetica" w:hAnsi="Helvetica" w:cs="Helvetica"/>
                <w:sz w:val="18"/>
                <w:szCs w:val="18"/>
              </w:rPr>
              <w:t xml:space="preserve"> Welw. [Pucciniales: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Aecidium</w:t>
            </w:r>
            <w:r>
              <w:rPr>
                <w:rFonts w:ascii="Helvetica" w:hAnsi="Helvetica" w:cs="Helvetica"/>
                <w:sz w:val="18"/>
                <w:szCs w:val="18"/>
              </w:rPr>
              <w:t xml:space="preserve"> species produce small yellowing pustules, either scattered or densely distributed on the lower leaf surface and occasionally on petioles, young shoots and rachises of host plants (Pearson and Goheen 1988). Therefore, dormant cuttings may provide a pathway for these rust fungi. </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Grape rusts have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(Pearson and Goheen 1988), and could spread naturally in infested propagative material. Therefore, these fungi have the potential for the establishment and spread in Australia. </w:t>
            </w:r>
          </w:p>
        </w:tc>
        <w:tc>
          <w:tcPr>
            <w:tcW w:w="2863"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w:t>
            </w:r>
            <w:r>
              <w:rPr>
                <w:rFonts w:ascii="Helvetica" w:hAnsi="Helvetica" w:cs="Helvetica"/>
                <w:b/>
                <w:sz w:val="18"/>
                <w:szCs w:val="18"/>
              </w:rPr>
              <w:t xml:space="preserve">: </w:t>
            </w:r>
            <w:r>
              <w:rPr>
                <w:rFonts w:ascii="Helvetica" w:hAnsi="Helvetica" w:cs="Helvetica"/>
                <w:sz w:val="18"/>
                <w:szCs w:val="18"/>
              </w:rPr>
              <w:t>There is limited information on these species. Although these species are reported to occur on</w:t>
            </w:r>
            <w:r>
              <w:rPr>
                <w:rFonts w:ascii="Helvetica" w:hAnsi="Helvetica" w:cs="Helvetica"/>
                <w:i/>
                <w:sz w:val="18"/>
                <w:szCs w:val="18"/>
              </w:rPr>
              <w:t xml:space="preserve"> Vitis</w:t>
            </w:r>
            <w:r>
              <w:rPr>
                <w:rFonts w:ascii="Helvetica" w:hAnsi="Helvetica" w:cs="Helvetica"/>
                <w:sz w:val="18"/>
                <w:szCs w:val="18"/>
              </w:rPr>
              <w:t xml:space="preserve"> species (Pearson and Goheen 1988), a literature search failed to provide information on the economic importance of these </w:t>
            </w:r>
            <w:r>
              <w:rPr>
                <w:rFonts w:ascii="Helvetica" w:hAnsi="Helvetica" w:cs="Helvetica"/>
                <w:i/>
                <w:sz w:val="18"/>
                <w:szCs w:val="18"/>
              </w:rPr>
              <w:t xml:space="preserve">Aecidium </w:t>
            </w:r>
            <w:r>
              <w:rPr>
                <w:rFonts w:ascii="Helvetica" w:hAnsi="Helvetica" w:cs="Helvetica"/>
                <w:sz w:val="18"/>
                <w:szCs w:val="18"/>
              </w:rPr>
              <w:t>species. Therefore, these species are not considered to be economically significant.</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Aecidium guttatum</w:t>
            </w:r>
            <w:r>
              <w:rPr>
                <w:rFonts w:ascii="Helvetica" w:hAnsi="Helvetica" w:cs="Helvetica"/>
                <w:sz w:val="18"/>
                <w:szCs w:val="18"/>
                <w:lang w:val="de-DE"/>
              </w:rPr>
              <w:t xml:space="preserve"> Kunze [Pucciniales: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Aecidium vitis</w:t>
            </w:r>
            <w:r>
              <w:rPr>
                <w:rFonts w:ascii="Helvetica" w:hAnsi="Helvetica" w:cs="Helvetica"/>
                <w:sz w:val="18"/>
                <w:szCs w:val="18"/>
              </w:rPr>
              <w:t xml:space="preserve"> Smith [Pucciniales: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Aleurodiscus botryosus </w:t>
            </w:r>
            <w:r>
              <w:rPr>
                <w:rFonts w:ascii="Helvetica" w:hAnsi="Helvetica" w:cs="Helvetica"/>
                <w:sz w:val="18"/>
                <w:szCs w:val="18"/>
              </w:rPr>
              <w:t>Burt [Russulales: Stereaceae]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occurs on dead stems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Alternaria alternata </w:t>
            </w:r>
            <w:r>
              <w:rPr>
                <w:rFonts w:ascii="Helvetica" w:hAnsi="Helvetica" w:cs="Helvetica"/>
                <w:sz w:val="18"/>
                <w:szCs w:val="18"/>
              </w:rPr>
              <w:t>(Fr.) Keissl.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Alternaria tenuis </w:t>
            </w:r>
            <w:r>
              <w:rPr>
                <w:rFonts w:ascii="Helvetica" w:hAnsi="Helvetica" w:cs="Helvetica"/>
                <w:sz w:val="18"/>
                <w:szCs w:val="18"/>
              </w:rPr>
              <w:t>Link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Alternaria tenuissima</w:t>
            </w:r>
            <w:r>
              <w:rPr>
                <w:rFonts w:ascii="Helvetica" w:hAnsi="Helvetica" w:cs="Helvetica"/>
                <w:sz w:val="18"/>
                <w:szCs w:val="18"/>
              </w:rPr>
              <w:t xml:space="preserve"> (Kunze) Wiltshire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Alternaria viticola</w:t>
            </w:r>
            <w:r>
              <w:rPr>
                <w:rFonts w:ascii="Helvetica" w:hAnsi="Helvetica" w:cs="Helvetica"/>
                <w:sz w:val="18"/>
                <w:szCs w:val="18"/>
              </w:rPr>
              <w:t xml:space="preserve"> Brunaud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Alternaria viticola</w:t>
            </w:r>
            <w:r>
              <w:rPr>
                <w:rFonts w:ascii="Helvetica" w:hAnsi="Helvetica" w:cs="Helvetica"/>
                <w:sz w:val="18"/>
                <w:szCs w:val="18"/>
              </w:rPr>
              <w:t xml:space="preserve"> mainly attacks young, tender stalks (Ma </w:t>
            </w:r>
            <w:r>
              <w:rPr>
                <w:rFonts w:ascii="Helvetica" w:hAnsi="Helvetica" w:cs="Helvetica"/>
                <w:i/>
                <w:sz w:val="18"/>
                <w:szCs w:val="18"/>
              </w:rPr>
              <w:t xml:space="preserve">et al. </w:t>
            </w:r>
            <w:r>
              <w:rPr>
                <w:rFonts w:ascii="Helvetica" w:hAnsi="Helvetica" w:cs="Helvetica"/>
                <w:sz w:val="18"/>
                <w:szCs w:val="18"/>
              </w:rPr>
              <w:t xml:space="preserve">2004). This fungus overwinters on tendrils, branches and in bud scales (Ma </w:t>
            </w:r>
            <w:r>
              <w:rPr>
                <w:rFonts w:ascii="Helvetica" w:hAnsi="Helvetica" w:cs="Helvetica"/>
                <w:i/>
                <w:sz w:val="18"/>
                <w:szCs w:val="18"/>
              </w:rPr>
              <w:t xml:space="preserve">et al. </w:t>
            </w:r>
            <w:r>
              <w:rPr>
                <w:rFonts w:ascii="Helvetica" w:hAnsi="Helvetica" w:cs="Helvetica"/>
                <w:sz w:val="18"/>
                <w:szCs w:val="18"/>
              </w:rPr>
              <w:t>2004).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i/>
                <w:sz w:val="18"/>
                <w:szCs w:val="18"/>
              </w:rPr>
              <w:t>Alternaria viticola</w:t>
            </w:r>
            <w:r>
              <w:rPr>
                <w:rFonts w:ascii="Helvetica" w:hAnsi="Helvetica" w:cs="Helvetica"/>
                <w:sz w:val="18"/>
                <w:szCs w:val="18"/>
              </w:rPr>
              <w:t xml:space="preserve">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(Ma </w:t>
            </w:r>
            <w:r>
              <w:rPr>
                <w:rFonts w:ascii="Helvetica" w:hAnsi="Helvetica" w:cs="Helvetica"/>
                <w:i/>
                <w:sz w:val="18"/>
                <w:szCs w:val="18"/>
              </w:rPr>
              <w:t xml:space="preserve">et al. </w:t>
            </w:r>
            <w:r>
              <w:rPr>
                <w:rFonts w:ascii="Helvetica" w:hAnsi="Helvetica" w:cs="Helvetica"/>
                <w:sz w:val="18"/>
                <w:szCs w:val="18"/>
              </w:rPr>
              <w:t xml:space="preserve">2004) and may spread naturally in infected propagative material. Therefore, this fungus has the potential for establishment and spread in Australia. </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i/>
                <w:sz w:val="18"/>
                <w:szCs w:val="18"/>
              </w:rPr>
              <w:t>Alternaria viticola</w:t>
            </w:r>
            <w:r>
              <w:rPr>
                <w:rFonts w:ascii="Helvetica" w:hAnsi="Helvetica" w:cs="Helvetica"/>
                <w:sz w:val="18"/>
                <w:szCs w:val="18"/>
              </w:rPr>
              <w:t xml:space="preserve"> can cause serious drop off of flowers and young fruit. Grape production has been seriously damaged in some areas of China. Yield losses of 30–40% have been reported from Xinjiang province (Ma </w:t>
            </w:r>
            <w:r>
              <w:rPr>
                <w:rFonts w:ascii="Helvetica" w:hAnsi="Helvetica" w:cs="Helvetica"/>
                <w:i/>
                <w:sz w:val="18"/>
                <w:szCs w:val="18"/>
              </w:rPr>
              <w:t>et al</w:t>
            </w:r>
            <w:r>
              <w:rPr>
                <w:rFonts w:ascii="Helvetica" w:hAnsi="Helvetica" w:cs="Helvetica"/>
                <w:sz w:val="18"/>
                <w:szCs w:val="18"/>
              </w:rPr>
              <w:t xml:space="preserve">. 2004) and 30–50% in southeast Shandong (Zhu </w:t>
            </w:r>
            <w:r>
              <w:rPr>
                <w:rFonts w:ascii="Helvetica" w:hAnsi="Helvetica" w:cs="Helvetica"/>
                <w:i/>
                <w:sz w:val="18"/>
                <w:szCs w:val="18"/>
              </w:rPr>
              <w:t>et al</w:t>
            </w:r>
            <w:r>
              <w:rPr>
                <w:rFonts w:ascii="Helvetica" w:hAnsi="Helvetica" w:cs="Helvetica"/>
                <w:sz w:val="18"/>
                <w:szCs w:val="18"/>
              </w:rPr>
              <w:t>. 2006). Therefore, this fungus has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Alternaria vitis</w:t>
            </w:r>
            <w:r>
              <w:rPr>
                <w:rFonts w:ascii="Helvetica" w:hAnsi="Helvetica" w:cs="Helvetica"/>
                <w:sz w:val="18"/>
                <w:szCs w:val="18"/>
              </w:rPr>
              <w:t xml:space="preserve"> Cavara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Alternaria vitis</w:t>
            </w:r>
            <w:r>
              <w:rPr>
                <w:rFonts w:ascii="Helvetica" w:hAnsi="Helvetica" w:cs="Helvetica"/>
                <w:sz w:val="18"/>
                <w:szCs w:val="18"/>
              </w:rPr>
              <w:t xml:space="preserve"> is associated with the foliage of grapevines (Suhag </w:t>
            </w:r>
            <w:r>
              <w:rPr>
                <w:rFonts w:ascii="Helvetica" w:hAnsi="Helvetica" w:cs="Helvetica"/>
                <w:i/>
                <w:sz w:val="18"/>
                <w:szCs w:val="18"/>
              </w:rPr>
              <w:t>et al</w:t>
            </w:r>
            <w:r>
              <w:rPr>
                <w:rFonts w:ascii="Helvetica" w:hAnsi="Helvetica" w:cs="Helvetica"/>
                <w:sz w:val="18"/>
                <w:szCs w:val="18"/>
              </w:rPr>
              <w:t>. 1982).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Amerosporium concinnum</w:t>
            </w:r>
            <w:r>
              <w:rPr>
                <w:rFonts w:ascii="Helvetica" w:hAnsi="Helvetica" w:cs="Helvetica"/>
                <w:sz w:val="18"/>
                <w:szCs w:val="18"/>
              </w:rPr>
              <w:t xml:space="preserve"> Petr. [</w:t>
            </w:r>
            <w:hyperlink r:id="rId44" w:history="1">
              <w:r>
                <w:rPr>
                  <w:rFonts w:ascii="Helvetica" w:hAnsi="Helvetica" w:cs="Helvetica"/>
                  <w:sz w:val="18"/>
                  <w:szCs w:val="18"/>
                </w:rPr>
                <w:t>Helotiales</w:t>
              </w:r>
            </w:hyperlink>
            <w:r>
              <w:rPr>
                <w:rFonts w:ascii="Helvetica" w:hAnsi="Helvetica" w:cs="Helvetica"/>
                <w:sz w:val="18"/>
                <w:szCs w:val="18"/>
              </w:rPr>
              <w:t>: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occurs on the dead stems of host plants (Hayova and Minter 2009).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Ampelomyces quisqualis</w:t>
            </w:r>
            <w:r>
              <w:rPr>
                <w:rFonts w:ascii="Helvetica" w:hAnsi="Helvetica" w:cs="Helvetica"/>
                <w:sz w:val="18"/>
                <w:szCs w:val="18"/>
              </w:rPr>
              <w:t xml:space="preserve"> Ces</w:t>
            </w:r>
            <w:r>
              <w:rPr>
                <w:rFonts w:ascii="Helvetica" w:hAnsi="Helvetica" w:cs="Helvetica"/>
                <w:i/>
                <w:iCs/>
                <w:sz w:val="18"/>
                <w:szCs w:val="18"/>
              </w:rPr>
              <w:t xml:space="preserve"> </w:t>
            </w:r>
            <w:r>
              <w:rPr>
                <w:rFonts w:ascii="Helvetica" w:hAnsi="Helvetica" w:cs="Helvetica"/>
                <w:sz w:val="18"/>
                <w:szCs w:val="18"/>
              </w:rPr>
              <w:t>[Anamorphic Phaeosphaeriaceae]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Amphisphaeria sylvana</w:t>
            </w:r>
            <w:r>
              <w:rPr>
                <w:rFonts w:ascii="Helvetica" w:hAnsi="Helvetica" w:cs="Helvetica"/>
                <w:sz w:val="18"/>
                <w:szCs w:val="18"/>
              </w:rPr>
              <w:t xml:space="preserve"> Saccardo &amp; Spegazzini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Members of this genus are associated with the dried stems of host plants (Rao 1965).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Apiospora montagnei </w:t>
            </w:r>
            <w:r>
              <w:rPr>
                <w:rFonts w:ascii="Helvetica" w:hAnsi="Helvetica" w:cs="Helvetica"/>
                <w:sz w:val="18"/>
                <w:szCs w:val="18"/>
              </w:rPr>
              <w:t>Saccardo [Incertae sedis: Apiosporaceae]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Aplosporella beaumontiana </w:t>
            </w:r>
            <w:r>
              <w:rPr>
                <w:rFonts w:ascii="Helvetica" w:hAnsi="Helvetica" w:cs="Helvetica"/>
                <w:sz w:val="18"/>
                <w:szCs w:val="18"/>
              </w:rPr>
              <w:t>S. Ahmad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Fungi in this genus are associated with thin dead twigs (Damm </w:t>
            </w:r>
            <w:r>
              <w:rPr>
                <w:rFonts w:ascii="Helvetica" w:hAnsi="Helvetica" w:cs="Helvetica"/>
                <w:i/>
                <w:sz w:val="18"/>
                <w:szCs w:val="18"/>
              </w:rPr>
              <w:t>et al</w:t>
            </w:r>
            <w:r>
              <w:rPr>
                <w:rFonts w:ascii="Helvetica" w:hAnsi="Helvetica" w:cs="Helvetica"/>
                <w:sz w:val="18"/>
                <w:szCs w:val="18"/>
              </w:rPr>
              <w:t>. 2007).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Aplosporella fabaeformis</w:t>
            </w:r>
            <w:r>
              <w:rPr>
                <w:rFonts w:ascii="Helvetica" w:hAnsi="Helvetica" w:cs="Helvetica"/>
                <w:sz w:val="18"/>
                <w:szCs w:val="18"/>
              </w:rPr>
              <w:t xml:space="preserve"> (Pass. &amp; Thüm.) Petr. &amp; Syd.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Armillaria limonea </w:t>
            </w:r>
            <w:r>
              <w:rPr>
                <w:rFonts w:ascii="Helvetica" w:hAnsi="Helvetica" w:cs="Helvetica"/>
                <w:sz w:val="18"/>
                <w:szCs w:val="18"/>
              </w:rPr>
              <w:t>(G. Stev.) Boesew. [Agaricales: Physalacriaceae]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Members of the genus </w:t>
            </w:r>
            <w:r>
              <w:rPr>
                <w:rFonts w:ascii="Helvetica" w:hAnsi="Helvetica" w:cs="Helvetica"/>
                <w:i/>
                <w:sz w:val="18"/>
                <w:szCs w:val="18"/>
              </w:rPr>
              <w:t>Armillaria</w:t>
            </w:r>
            <w:r>
              <w:rPr>
                <w:rFonts w:ascii="Helvetica" w:hAnsi="Helvetica" w:cs="Helvetica"/>
                <w:sz w:val="18"/>
                <w:szCs w:val="18"/>
              </w:rPr>
              <w:t xml:space="preserve"> occur in the roots of the host plant and cause root rot (Farr </w:t>
            </w:r>
            <w:r>
              <w:rPr>
                <w:rFonts w:ascii="Helvetica" w:hAnsi="Helvetica" w:cs="Helvetica"/>
                <w:i/>
                <w:sz w:val="18"/>
                <w:szCs w:val="18"/>
              </w:rPr>
              <w:t>et al</w:t>
            </w:r>
            <w:r>
              <w:rPr>
                <w:rFonts w:ascii="Helvetica" w:hAnsi="Helvetica" w:cs="Helvetica"/>
                <w:sz w:val="18"/>
                <w:szCs w:val="18"/>
              </w:rPr>
              <w:t>. 1989; van der Kamp and Hood 2002; CABI 2012a).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Armillaria luteobubalina </w:t>
            </w:r>
            <w:r>
              <w:rPr>
                <w:rFonts w:ascii="Helvetica" w:hAnsi="Helvetica" w:cs="Helvetica"/>
                <w:sz w:val="18"/>
                <w:szCs w:val="18"/>
              </w:rPr>
              <w:t>Watling &amp; Kile [Agaricales: Physalacriaceae]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Cook and Dubé</w:t>
            </w:r>
            <w:r>
              <w:rPr>
                <w:rFonts w:ascii="Helvetica" w:hAnsi="Helvetica" w:cs="Helvetica"/>
                <w:sz w:val="18"/>
                <w:szCs w:val="18"/>
              </w:rPr>
              <w:t xml:space="preserve">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r>
              <w:rPr>
                <w:rFonts w:ascii="Helvetica" w:hAnsi="Helvetica" w:cs="Helvetica"/>
                <w:sz w:val="18"/>
                <w:szCs w:val="18"/>
              </w:rPr>
              <w:t>.</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Armillaria mellea </w:t>
            </w:r>
            <w:r>
              <w:rPr>
                <w:rFonts w:ascii="Helvetica" w:hAnsi="Helvetica" w:cs="Helvetica"/>
                <w:sz w:val="18"/>
                <w:szCs w:val="18"/>
              </w:rPr>
              <w:t>(Vahl) P. Kumm. [Agaricales: Physalacriaceae]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soil-borne fungus survives in infected wood and roots below ground (Flaherty </w:t>
            </w:r>
            <w:r>
              <w:rPr>
                <w:rFonts w:ascii="Helvetica" w:hAnsi="Helvetica" w:cs="Helvetica"/>
                <w:i/>
                <w:sz w:val="18"/>
                <w:szCs w:val="18"/>
              </w:rPr>
              <w:t>et al</w:t>
            </w:r>
            <w:r>
              <w:rPr>
                <w:rFonts w:ascii="Helvetica" w:hAnsi="Helvetica" w:cs="Helvetica"/>
                <w:sz w:val="18"/>
                <w:szCs w:val="18"/>
              </w:rPr>
              <w:t xml:space="preserve">. 1992). Therefore, root free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Armillaria novae-zelandiae </w:t>
            </w:r>
            <w:r>
              <w:rPr>
                <w:rFonts w:ascii="Helvetica" w:hAnsi="Helvetica" w:cs="Helvetica"/>
                <w:sz w:val="18"/>
                <w:szCs w:val="18"/>
              </w:rPr>
              <w:t>(G. Stev.) Boesew. [Agaricales: Physalacriaceae]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Armillaria tabescens </w:t>
            </w:r>
            <w:r>
              <w:rPr>
                <w:rFonts w:ascii="Helvetica" w:hAnsi="Helvetica" w:cs="Helvetica"/>
                <w:sz w:val="18"/>
                <w:szCs w:val="18"/>
              </w:rPr>
              <w:t>(Scop.) Emel [Agaricales: Physalacriaceae]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Members of the genus </w:t>
            </w:r>
            <w:r>
              <w:rPr>
                <w:rFonts w:ascii="Helvetica" w:hAnsi="Helvetica" w:cs="Helvetica"/>
                <w:i/>
                <w:sz w:val="18"/>
                <w:szCs w:val="18"/>
              </w:rPr>
              <w:t>Armillaria</w:t>
            </w:r>
            <w:r>
              <w:rPr>
                <w:rFonts w:ascii="Helvetica" w:hAnsi="Helvetica" w:cs="Helvetica"/>
                <w:sz w:val="18"/>
                <w:szCs w:val="18"/>
              </w:rPr>
              <w:t xml:space="preserve"> occur in the roots of the host plant and cause root rot (Farr </w:t>
            </w:r>
            <w:r>
              <w:rPr>
                <w:rFonts w:ascii="Helvetica" w:hAnsi="Helvetica" w:cs="Helvetica"/>
                <w:i/>
                <w:sz w:val="18"/>
                <w:szCs w:val="18"/>
              </w:rPr>
              <w:t>et al</w:t>
            </w:r>
            <w:r>
              <w:rPr>
                <w:rFonts w:ascii="Helvetica" w:hAnsi="Helvetica" w:cs="Helvetica"/>
                <w:sz w:val="18"/>
                <w:szCs w:val="18"/>
              </w:rPr>
              <w:t>. 1989; van der Kamp and Hood 2002; CABI 2012a).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Arxiomyces vitis</w:t>
            </w:r>
            <w:r>
              <w:rPr>
                <w:rFonts w:ascii="Helvetica" w:hAnsi="Helvetica" w:cs="Helvetica"/>
                <w:sz w:val="18"/>
                <w:szCs w:val="18"/>
              </w:rPr>
              <w:t xml:space="preserve"> (Fuckel) P.F. Cannon &amp; D. Hawksw. [Melanosporales: Ceratostomataceae]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occurs on the bark of woody shrubs and trees (Ferreira </w:t>
            </w:r>
            <w:r>
              <w:rPr>
                <w:rFonts w:ascii="Helvetica" w:hAnsi="Helvetica" w:cs="Helvetica"/>
                <w:i/>
                <w:sz w:val="18"/>
                <w:szCs w:val="18"/>
              </w:rPr>
              <w:t>et al</w:t>
            </w:r>
            <w:r>
              <w:rPr>
                <w:rFonts w:ascii="Helvetica" w:hAnsi="Helvetica" w:cs="Helvetica"/>
                <w:sz w:val="18"/>
                <w:szCs w:val="18"/>
              </w:rPr>
              <w:t>. 2005).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Ascochyta ampelina</w:t>
            </w:r>
            <w:r>
              <w:rPr>
                <w:rFonts w:ascii="Helvetica" w:hAnsi="Helvetica" w:cs="Helvetica"/>
                <w:sz w:val="18"/>
                <w:szCs w:val="18"/>
              </w:rPr>
              <w:t xml:space="preserve"> Sacc. [Pleosporales:Incertae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Ascochyta ampelina</w:t>
            </w:r>
            <w:r>
              <w:rPr>
                <w:rFonts w:ascii="Helvetica" w:hAnsi="Helvetica" w:cs="Helvetica"/>
                <w:sz w:val="18"/>
                <w:szCs w:val="18"/>
              </w:rPr>
              <w:t xml:space="preserve"> has been recorded on grapes, causing leaf spot (Kiewnick 1989).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Ascospora viticola</w:t>
            </w:r>
            <w:r>
              <w:rPr>
                <w:rFonts w:ascii="Helvetica" w:hAnsi="Helvetica" w:cs="Helvetica"/>
                <w:sz w:val="18"/>
                <w:szCs w:val="18"/>
              </w:rPr>
              <w:t xml:space="preserve"> Nasyrov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 xml:space="preserve">Vitis </w:t>
            </w:r>
            <w:r>
              <w:rPr>
                <w:rFonts w:ascii="Helvetica" w:hAnsi="Helvetica" w:cs="Helvetica"/>
                <w:sz w:val="18"/>
                <w:szCs w:val="18"/>
              </w:rPr>
              <w:t>species, causing leaf spot (Farr and Rossman 2011).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Aspergillus aculeatus </w:t>
            </w:r>
            <w:r>
              <w:rPr>
                <w:rFonts w:ascii="Helvetica" w:hAnsi="Helvetica" w:cs="Helvetica"/>
                <w:sz w:val="18"/>
                <w:szCs w:val="18"/>
              </w:rPr>
              <w:t>Iizuka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 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Members of this genus occur on the fruits and seeds of the host plant, causing storage rot (Farr </w:t>
            </w:r>
            <w:r>
              <w:rPr>
                <w:rFonts w:ascii="Helvetica" w:hAnsi="Helvetica" w:cs="Helvetica"/>
                <w:i/>
                <w:sz w:val="18"/>
                <w:szCs w:val="18"/>
              </w:rPr>
              <w:t>et al</w:t>
            </w:r>
            <w:r>
              <w:rPr>
                <w:rFonts w:ascii="Helvetica" w:hAnsi="Helvetica" w:cs="Helvetica"/>
                <w:sz w:val="18"/>
                <w:szCs w:val="18"/>
              </w:rPr>
              <w:t xml:space="preserve">. 1989; Leong </w:t>
            </w:r>
            <w:r>
              <w:rPr>
                <w:rFonts w:ascii="Helvetica" w:hAnsi="Helvetica" w:cs="Helvetica"/>
                <w:i/>
                <w:sz w:val="18"/>
                <w:szCs w:val="18"/>
              </w:rPr>
              <w:t>et al</w:t>
            </w:r>
            <w:r>
              <w:rPr>
                <w:rFonts w:ascii="Helvetica" w:hAnsi="Helvetica" w:cs="Helvetica"/>
                <w:sz w:val="18"/>
                <w:szCs w:val="18"/>
              </w:rPr>
              <w:t>. 2006; CABI 2012a).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Aspergillus</w:t>
            </w:r>
            <w:r>
              <w:rPr>
                <w:rFonts w:ascii="Helvetica" w:hAnsi="Helvetica" w:cs="Helvetica"/>
                <w:sz w:val="18"/>
                <w:szCs w:val="18"/>
              </w:rPr>
              <w:t xml:space="preserve"> </w:t>
            </w:r>
            <w:r>
              <w:rPr>
                <w:rFonts w:ascii="Helvetica" w:hAnsi="Helvetica" w:cs="Helvetica"/>
                <w:i/>
                <w:sz w:val="18"/>
                <w:szCs w:val="18"/>
              </w:rPr>
              <w:t>carbonarius</w:t>
            </w:r>
            <w:r>
              <w:rPr>
                <w:rFonts w:ascii="Helvetica" w:hAnsi="Helvetica" w:cs="Helvetica"/>
                <w:sz w:val="18"/>
                <w:szCs w:val="18"/>
              </w:rPr>
              <w:t xml:space="preserve"> (Bainier) Thom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(Leong </w:t>
            </w:r>
            <w:r>
              <w:rPr>
                <w:rFonts w:ascii="Helvetica" w:hAnsi="Helvetica" w:cs="Helvetica"/>
                <w:i/>
                <w:sz w:val="18"/>
                <w:szCs w:val="18"/>
              </w:rPr>
              <w:t>et al</w:t>
            </w:r>
            <w:r>
              <w:rPr>
                <w:rFonts w:ascii="Helvetica" w:hAnsi="Helvetica" w:cs="Helvetica"/>
                <w:sz w:val="18"/>
                <w:szCs w:val="18"/>
              </w:rPr>
              <w:t>. 2006)</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Aspergillus flavus</w:t>
            </w:r>
            <w:r>
              <w:rPr>
                <w:rFonts w:ascii="Helvetica" w:hAnsi="Helvetica" w:cs="Helvetica"/>
                <w:sz w:val="18"/>
                <w:szCs w:val="18"/>
              </w:rPr>
              <w:t xml:space="preserve"> Link.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Aspergillus glaucus</w:t>
            </w:r>
            <w:r>
              <w:rPr>
                <w:rFonts w:ascii="Helvetica" w:hAnsi="Helvetica" w:cs="Helvetica"/>
                <w:sz w:val="18"/>
                <w:szCs w:val="18"/>
              </w:rPr>
              <w:t xml:space="preserve"> (L.) Link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Aspergillus niger</w:t>
            </w:r>
            <w:r>
              <w:rPr>
                <w:rFonts w:ascii="Helvetica" w:hAnsi="Helvetica" w:cs="Helvetica"/>
                <w:sz w:val="18"/>
                <w:szCs w:val="18"/>
                <w:lang w:val="de-DE"/>
              </w:rPr>
              <w:t xml:space="preserve"> var. </w:t>
            </w:r>
            <w:r>
              <w:rPr>
                <w:rFonts w:ascii="Helvetica" w:hAnsi="Helvetica" w:cs="Helvetica"/>
                <w:i/>
                <w:sz w:val="18"/>
                <w:szCs w:val="18"/>
                <w:lang w:val="de-DE"/>
              </w:rPr>
              <w:t>niger</w:t>
            </w:r>
            <w:r>
              <w:rPr>
                <w:rFonts w:ascii="Helvetica" w:hAnsi="Helvetica" w:cs="Helvetica"/>
                <w:sz w:val="18"/>
                <w:szCs w:val="18"/>
                <w:lang w:val="de-DE"/>
              </w:rPr>
              <w:t xml:space="preserve"> Tiegh.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Cook and Dubé</w:t>
            </w:r>
            <w:r>
              <w:rPr>
                <w:rFonts w:ascii="Helvetica" w:hAnsi="Helvetica" w:cs="Helvetica"/>
                <w:sz w:val="18"/>
                <w:szCs w:val="18"/>
              </w:rPr>
              <w:t xml:space="preserve">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 xml:space="preserve">Aspergillus wentii </w:t>
            </w:r>
            <w:r>
              <w:rPr>
                <w:rFonts w:ascii="Helvetica" w:hAnsi="Helvetica" w:cs="Helvetica"/>
                <w:sz w:val="18"/>
                <w:szCs w:val="18"/>
                <w:lang w:val="de-DE"/>
              </w:rPr>
              <w:t>Wehmer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Asperisporium minutulum </w:t>
            </w:r>
            <w:r>
              <w:rPr>
                <w:rFonts w:ascii="Helvetica" w:hAnsi="Helvetica" w:cs="Helvetica"/>
                <w:sz w:val="18"/>
                <w:szCs w:val="18"/>
              </w:rPr>
              <w:t>(Sacc.) Deighton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species occur on the leaves of the plant, causing leaf spot (Farr </w:t>
            </w:r>
            <w:r>
              <w:rPr>
                <w:rFonts w:ascii="Helvetica" w:hAnsi="Helvetica" w:cs="Helvetica"/>
                <w:i/>
                <w:sz w:val="18"/>
                <w:szCs w:val="18"/>
              </w:rPr>
              <w:t>et al</w:t>
            </w:r>
            <w:r>
              <w:rPr>
                <w:rFonts w:ascii="Helvetica" w:hAnsi="Helvetica" w:cs="Helvetica"/>
                <w:sz w:val="18"/>
                <w:szCs w:val="18"/>
              </w:rPr>
              <w:t xml:space="preserve">. 1989; Farr and Rossman 2011). </w:t>
            </w:r>
            <w:r>
              <w:rPr>
                <w:rFonts w:ascii="Helvetica" w:hAnsi="Helvetica" w:cs="Helvetica"/>
                <w:i/>
                <w:sz w:val="18"/>
                <w:szCs w:val="18"/>
              </w:rPr>
              <w:t>Asperisporium</w:t>
            </w:r>
            <w:r>
              <w:rPr>
                <w:rFonts w:ascii="Helvetica" w:hAnsi="Helvetica" w:cs="Helvetica"/>
                <w:sz w:val="18"/>
                <w:szCs w:val="18"/>
              </w:rPr>
              <w:t xml:space="preserve"> </w:t>
            </w:r>
            <w:r>
              <w:rPr>
                <w:rFonts w:ascii="Helvetica" w:hAnsi="Helvetica" w:cs="Helvetica"/>
                <w:i/>
                <w:sz w:val="18"/>
                <w:szCs w:val="18"/>
              </w:rPr>
              <w:t>vitiphyllum</w:t>
            </w:r>
            <w:r>
              <w:rPr>
                <w:rFonts w:ascii="Helvetica" w:hAnsi="Helvetica" w:cs="Helvetica"/>
                <w:sz w:val="18"/>
                <w:szCs w:val="18"/>
              </w:rPr>
              <w:t xml:space="preserve"> also occurs on fruit (USDA 2005).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Asperisporium vitiphyllum</w:t>
            </w:r>
            <w:r>
              <w:rPr>
                <w:rFonts w:ascii="Helvetica" w:hAnsi="Helvetica" w:cs="Helvetica"/>
                <w:sz w:val="18"/>
                <w:szCs w:val="18"/>
              </w:rPr>
              <w:t xml:space="preserve"> (Speschnew) Deighton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Asterina viticola</w:t>
            </w:r>
            <w:r>
              <w:rPr>
                <w:rFonts w:ascii="Helvetica" w:hAnsi="Helvetica" w:cs="Helvetica"/>
                <w:sz w:val="18"/>
                <w:szCs w:val="18"/>
              </w:rPr>
              <w:t xml:space="preserve"> AK Kar &amp; SN Ghosh [Capnodiales: Asterinaceae]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Asterina viticola</w:t>
            </w:r>
            <w:r>
              <w:rPr>
                <w:rFonts w:ascii="Helvetica" w:hAnsi="Helvetica" w:cs="Helvetica"/>
                <w:sz w:val="18"/>
                <w:szCs w:val="18"/>
              </w:rPr>
              <w:t xml:space="preserve"> has been recorded on leaves of </w:t>
            </w:r>
            <w:r>
              <w:rPr>
                <w:rFonts w:ascii="Helvetica" w:hAnsi="Helvetica" w:cs="Helvetica"/>
                <w:i/>
                <w:sz w:val="18"/>
                <w:szCs w:val="18"/>
              </w:rPr>
              <w:t>Vitis</w:t>
            </w:r>
            <w:r>
              <w:rPr>
                <w:rFonts w:ascii="Helvetica" w:hAnsi="Helvetica" w:cs="Helvetica"/>
                <w:sz w:val="18"/>
                <w:szCs w:val="18"/>
              </w:rPr>
              <w:t xml:space="preserve"> species (Hosagoudar 2003). Therefore, foliage free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Athelia arachnoidea</w:t>
            </w:r>
            <w:r>
              <w:rPr>
                <w:rFonts w:ascii="Helvetica" w:hAnsi="Helvetica" w:cs="Helvetica"/>
                <w:sz w:val="18"/>
                <w:szCs w:val="18"/>
              </w:rPr>
              <w:t xml:space="preserve"> (Berk.) Jülich [Atheliales: Atheliaceae]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occurs on the wood and roots of plants (Farr </w:t>
            </w:r>
            <w:r>
              <w:rPr>
                <w:rFonts w:ascii="Helvetica" w:hAnsi="Helvetica" w:cs="Helvetica"/>
                <w:i/>
                <w:sz w:val="18"/>
                <w:szCs w:val="18"/>
              </w:rPr>
              <w:t>et al.</w:t>
            </w:r>
            <w:r>
              <w:rPr>
                <w:rFonts w:ascii="Helvetica" w:hAnsi="Helvetica" w:cs="Helvetica"/>
                <w:sz w:val="18"/>
                <w:szCs w:val="18"/>
              </w:rPr>
              <w:t xml:space="preserve"> 1989; Farr and Rossman 2011).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Aureobasidium pullulans</w:t>
            </w:r>
            <w:r>
              <w:rPr>
                <w:rFonts w:ascii="Helvetica" w:hAnsi="Helvetica" w:cs="Helvetica"/>
                <w:sz w:val="18"/>
                <w:szCs w:val="18"/>
              </w:rPr>
              <w:t xml:space="preserve"> var. </w:t>
            </w:r>
            <w:r>
              <w:rPr>
                <w:rFonts w:ascii="Helvetica" w:hAnsi="Helvetica" w:cs="Helvetica"/>
                <w:i/>
                <w:iCs/>
                <w:sz w:val="18"/>
                <w:szCs w:val="18"/>
              </w:rPr>
              <w:t>pullulans</w:t>
            </w:r>
            <w:r>
              <w:rPr>
                <w:rFonts w:ascii="Helvetica" w:hAnsi="Helvetica" w:cs="Helvetica"/>
                <w:sz w:val="18"/>
                <w:szCs w:val="18"/>
              </w:rPr>
              <w:t xml:space="preserve"> (de Bary) G. Arnaud [Dothideales: Dothioraceae]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Simmonds 1966</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Bactrodesmium pallidum</w:t>
            </w:r>
            <w:r>
              <w:rPr>
                <w:rFonts w:ascii="Helvetica" w:hAnsi="Helvetica" w:cs="Helvetica"/>
                <w:sz w:val="18"/>
                <w:szCs w:val="18"/>
              </w:rPr>
              <w:t xml:space="preserve"> MB Ellis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occurs on wood (Tsui </w:t>
            </w:r>
            <w:r>
              <w:rPr>
                <w:rFonts w:ascii="Helvetica" w:hAnsi="Helvetica" w:cs="Helvetica"/>
                <w:i/>
                <w:sz w:val="18"/>
                <w:szCs w:val="18"/>
              </w:rPr>
              <w:t>et al.</w:t>
            </w:r>
            <w:r>
              <w:rPr>
                <w:rFonts w:ascii="Helvetica" w:hAnsi="Helvetica" w:cs="Helvetica"/>
                <w:sz w:val="18"/>
                <w:szCs w:val="18"/>
              </w:rPr>
              <w:t xml:space="preserve"> 2003).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Bartalinia robillardoides</w:t>
            </w:r>
            <w:r>
              <w:rPr>
                <w:rFonts w:ascii="Helvetica" w:hAnsi="Helvetica" w:cs="Helvetica"/>
                <w:sz w:val="18"/>
                <w:szCs w:val="18"/>
              </w:rPr>
              <w:t xml:space="preserve"> Tassi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Berkleasmium corticola</w:t>
            </w:r>
            <w:r>
              <w:rPr>
                <w:rFonts w:ascii="Helvetica" w:hAnsi="Helvetica" w:cs="Helvetica"/>
                <w:sz w:val="18"/>
                <w:szCs w:val="18"/>
              </w:rPr>
              <w:t xml:space="preserve"> (P. Karst.) R.T. Moore [Pelopsporales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occurs on dead wood (Farr </w:t>
            </w:r>
            <w:r>
              <w:rPr>
                <w:rFonts w:ascii="Helvetica" w:hAnsi="Helvetica" w:cs="Helvetica"/>
                <w:i/>
                <w:sz w:val="18"/>
                <w:szCs w:val="18"/>
              </w:rPr>
              <w:t>et al</w:t>
            </w:r>
            <w:r>
              <w:rPr>
                <w:rFonts w:ascii="Helvetica" w:hAnsi="Helvetica" w:cs="Helvetica"/>
                <w:sz w:val="18"/>
                <w:szCs w:val="18"/>
              </w:rPr>
              <w:t>. 1989).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Bertia vitis</w:t>
            </w:r>
            <w:r>
              <w:rPr>
                <w:rFonts w:ascii="Helvetica" w:hAnsi="Helvetica" w:cs="Helvetica"/>
                <w:sz w:val="18"/>
                <w:szCs w:val="18"/>
              </w:rPr>
              <w:t xml:space="preserve"> R. Schulzer [Coronophorales: Bertiaceae]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w:t>
            </w:r>
            <w:r>
              <w:rPr>
                <w:rFonts w:ascii="Helvetica" w:hAnsi="Helvetica" w:cs="Helvetica"/>
                <w:i/>
                <w:sz w:val="18"/>
                <w:szCs w:val="18"/>
              </w:rPr>
              <w:t>Bertia</w:t>
            </w:r>
            <w:r>
              <w:rPr>
                <w:rFonts w:ascii="Helvetica" w:hAnsi="Helvetica" w:cs="Helvetica"/>
                <w:sz w:val="18"/>
                <w:szCs w:val="18"/>
              </w:rPr>
              <w:t xml:space="preserve"> species are mainly associated with wood and dead limbs of forest trees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Bipolaris papendorfii</w:t>
            </w:r>
            <w:r>
              <w:rPr>
                <w:rFonts w:ascii="Helvetica" w:hAnsi="Helvetica" w:cs="Helvetica"/>
                <w:sz w:val="18"/>
                <w:szCs w:val="18"/>
              </w:rPr>
              <w:t xml:space="preserve"> (Aa) Alcorn [Pleosporales: </w:t>
            </w:r>
            <w:hyperlink r:id="rId45" w:history="1">
              <w:r>
                <w:rPr>
                  <w:rFonts w:ascii="Helvetica" w:hAnsi="Helvetica" w:cs="Helvetica"/>
                  <w:sz w:val="18"/>
                  <w:szCs w:val="18"/>
                </w:rPr>
                <w:t>Pleosporaceae</w:t>
              </w:r>
            </w:hyperlink>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Biscogniauxia capnodes</w:t>
            </w:r>
            <w:r>
              <w:rPr>
                <w:rFonts w:ascii="Helvetica" w:hAnsi="Helvetica" w:cs="Helvetica"/>
                <w:sz w:val="18"/>
                <w:szCs w:val="18"/>
              </w:rPr>
              <w:t xml:space="preserve"> var. </w:t>
            </w:r>
            <w:r>
              <w:rPr>
                <w:rFonts w:ascii="Helvetica" w:hAnsi="Helvetica" w:cs="Helvetica"/>
                <w:i/>
                <w:sz w:val="18"/>
                <w:szCs w:val="18"/>
              </w:rPr>
              <w:t>capnodes</w:t>
            </w:r>
            <w:r>
              <w:rPr>
                <w:rFonts w:ascii="Helvetica" w:hAnsi="Helvetica" w:cs="Helvetica"/>
                <w:sz w:val="18"/>
                <w:szCs w:val="18"/>
              </w:rPr>
              <w:t xml:space="preserve"> (Berk.) YM Ju &amp; JD Rogers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these fungi occur on wood (Farr and Rossman 2011).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Biscogniauxia mediterranea</w:t>
            </w:r>
            <w:r>
              <w:rPr>
                <w:rFonts w:ascii="Helvetica" w:hAnsi="Helvetica" w:cs="Helvetica"/>
                <w:sz w:val="18"/>
                <w:szCs w:val="18"/>
              </w:rPr>
              <w:t xml:space="preserve"> var. </w:t>
            </w:r>
            <w:r>
              <w:rPr>
                <w:rFonts w:ascii="Helvetica" w:hAnsi="Helvetica" w:cs="Helvetica"/>
                <w:i/>
                <w:sz w:val="18"/>
                <w:szCs w:val="18"/>
              </w:rPr>
              <w:t>mediterranea</w:t>
            </w:r>
            <w:r>
              <w:rPr>
                <w:rFonts w:ascii="Helvetica" w:hAnsi="Helvetica" w:cs="Helvetica"/>
                <w:sz w:val="18"/>
                <w:szCs w:val="18"/>
              </w:rPr>
              <w:t xml:space="preserve"> (De Not.) Kuntze [Xylariales: </w:t>
            </w:r>
            <w:hyperlink r:id="rId46" w:history="1">
              <w:r>
                <w:rPr>
                  <w:rFonts w:ascii="Helvetica" w:hAnsi="Helvetica" w:cs="Helvetica"/>
                  <w:sz w:val="18"/>
                  <w:szCs w:val="18"/>
                </w:rPr>
                <w:t>Xylariaceae</w:t>
              </w:r>
            </w:hyperlink>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Bispora antennata</w:t>
            </w:r>
            <w:r>
              <w:rPr>
                <w:rFonts w:ascii="Helvetica" w:hAnsi="Helvetica" w:cs="Helvetica"/>
                <w:sz w:val="18"/>
                <w:szCs w:val="18"/>
              </w:rPr>
              <w:t xml:space="preserve"> (Pers.) EW Mason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dematiaceous fungus is saprobic on wood (Ellis and Ellis 1997).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Botryodiplodia palmarum</w:t>
            </w:r>
            <w:r>
              <w:rPr>
                <w:rFonts w:ascii="Helvetica" w:hAnsi="Helvetica" w:cs="Helvetica"/>
                <w:sz w:val="18"/>
                <w:szCs w:val="18"/>
              </w:rPr>
              <w:t xml:space="preserve"> (Cooke) Petr. &amp; Syd. [Diaporthales: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fungus causes sett rot (Sharma and Sharma 2006).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Botryodiplodia vitis</w:t>
            </w:r>
            <w:r>
              <w:rPr>
                <w:rFonts w:ascii="Helvetica" w:hAnsi="Helvetica" w:cs="Helvetica"/>
                <w:sz w:val="18"/>
                <w:szCs w:val="18"/>
              </w:rPr>
              <w:t xml:space="preserve"> Sousa da Câmara [Diaporthales: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being reported on </w:t>
            </w:r>
            <w:r>
              <w:rPr>
                <w:rFonts w:ascii="Helvetica" w:hAnsi="Helvetica" w:cs="Helvetica"/>
                <w:i/>
                <w:sz w:val="18"/>
                <w:szCs w:val="18"/>
              </w:rPr>
              <w:t xml:space="preserve">Vitis </w:t>
            </w:r>
            <w:r>
              <w:rPr>
                <w:rFonts w:ascii="Helvetica" w:hAnsi="Helvetica" w:cs="Helvetica"/>
                <w:sz w:val="18"/>
                <w:szCs w:val="18"/>
              </w:rPr>
              <w:t>species in 1969 in Pakistan (Farr and Rossman 2011), it has not been reported from any other country. This indicates that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 australis</w:t>
            </w:r>
            <w:r>
              <w:rPr>
                <w:rFonts w:ascii="Helvetica" w:hAnsi="Helvetica" w:cs="Helvetica"/>
                <w:sz w:val="18"/>
                <w:szCs w:val="18"/>
              </w:rPr>
              <w:t xml:space="preserve"> Slippers </w:t>
            </w:r>
            <w:r>
              <w:rPr>
                <w:rFonts w:ascii="Helvetica" w:hAnsi="Helvetica" w:cs="Helvetica"/>
                <w:i/>
                <w:sz w:val="18"/>
                <w:szCs w:val="18"/>
              </w:rPr>
              <w:t>et al</w:t>
            </w:r>
            <w:r>
              <w:rPr>
                <w:rFonts w:ascii="Helvetica" w:hAnsi="Helvetica" w:cs="Helvetica"/>
                <w:sz w:val="18"/>
                <w:szCs w:val="18"/>
              </w:rPr>
              <w:t xml:space="preserve">. [Botryosphaeriales: </w:t>
            </w:r>
            <w:hyperlink r:id="rId47" w:history="1">
              <w:r>
                <w:rPr>
                  <w:rFonts w:ascii="Helvetica" w:hAnsi="Helvetica" w:cs="Helvetica"/>
                  <w:sz w:val="18"/>
                  <w:szCs w:val="18"/>
                </w:rPr>
                <w:t>Botryosphaeriaceae</w:t>
              </w:r>
            </w:hyperlink>
            <w:r>
              <w:rPr>
                <w:rFonts w:ascii="Helvetica" w:hAnsi="Helvetica" w:cs="Helvetica"/>
                <w:sz w:val="18"/>
                <w:szCs w:val="18"/>
              </w:rPr>
              <w:t xml:space="preserve">] (synonym: </w:t>
            </w:r>
            <w:r>
              <w:rPr>
                <w:rFonts w:ascii="Helvetica" w:hAnsi="Helvetica" w:cs="Helvetica"/>
                <w:i/>
                <w:sz w:val="18"/>
                <w:szCs w:val="18"/>
              </w:rPr>
              <w:t>Fusicoccum australe</w:t>
            </w:r>
            <w:r>
              <w:rPr>
                <w:rFonts w:ascii="Helvetica" w:hAnsi="Helvetica" w:cs="Helvetica"/>
                <w:sz w:val="18"/>
                <w:szCs w:val="18"/>
              </w:rPr>
              <w:t xml:space="preserve"> Slippers </w:t>
            </w:r>
            <w:r>
              <w:rPr>
                <w:rFonts w:ascii="Helvetica" w:hAnsi="Helvetica" w:cs="Helvetica"/>
                <w:i/>
                <w:sz w:val="18"/>
                <w:szCs w:val="18"/>
              </w:rPr>
              <w:t>et al</w:t>
            </w:r>
            <w:r>
              <w:rPr>
                <w:rFonts w:ascii="Helvetica" w:hAnsi="Helvetica" w:cs="Helvetica"/>
                <w:sz w:val="18"/>
                <w:szCs w:val="18"/>
              </w:rPr>
              <w:t xml:space="preserve">.; </w:t>
            </w:r>
            <w:r>
              <w:rPr>
                <w:rFonts w:ascii="Helvetica" w:hAnsi="Helvetica" w:cs="Helvetica"/>
                <w:i/>
                <w:sz w:val="18"/>
                <w:szCs w:val="18"/>
              </w:rPr>
              <w:t xml:space="preserve">Neofusicoccum australe </w:t>
            </w:r>
            <w:r>
              <w:rPr>
                <w:rFonts w:ascii="Helvetica" w:hAnsi="Helvetica" w:cs="Helvetica"/>
                <w:sz w:val="18"/>
                <w:szCs w:val="18"/>
              </w:rPr>
              <w:t xml:space="preserve">(Slippers </w:t>
            </w:r>
            <w:r>
              <w:rPr>
                <w:rFonts w:ascii="Helvetica" w:hAnsi="Helvetica" w:cs="Helvetica"/>
                <w:i/>
                <w:sz w:val="18"/>
                <w:szCs w:val="18"/>
              </w:rPr>
              <w:t>et al</w:t>
            </w:r>
            <w:r>
              <w:rPr>
                <w:rFonts w:ascii="Helvetica" w:hAnsi="Helvetica" w:cs="Helvetica"/>
                <w:sz w:val="18"/>
                <w:szCs w:val="18"/>
              </w:rPr>
              <w:t xml:space="preserve">.) Crous </w:t>
            </w:r>
            <w:r>
              <w:rPr>
                <w:rFonts w:ascii="Helvetica" w:hAnsi="Helvetica" w:cs="Helvetica"/>
                <w:i/>
                <w:sz w:val="18"/>
                <w:szCs w:val="18"/>
              </w:rPr>
              <w:t>et al</w:t>
            </w:r>
            <w:r>
              <w:rPr>
                <w:rFonts w:ascii="Helvetica" w:hAnsi="Helvetica" w:cs="Helvetica"/>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Taylor </w:t>
            </w:r>
            <w:r>
              <w:rPr>
                <w:rFonts w:ascii="Helvetica" w:hAnsi="Helvetica" w:cs="Helvetica"/>
                <w:bCs/>
                <w:i/>
                <w:sz w:val="18"/>
                <w:szCs w:val="18"/>
              </w:rPr>
              <w:t>et al</w:t>
            </w:r>
            <w:r>
              <w:rPr>
                <w:rFonts w:ascii="Helvetica" w:hAnsi="Helvetica" w:cs="Helvetica"/>
                <w:bCs/>
                <w:sz w:val="18"/>
                <w:szCs w:val="18"/>
              </w:rPr>
              <w:t>. 2005</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 xml:space="preserve">Botryosphaeria corticola </w:t>
            </w:r>
            <w:r>
              <w:rPr>
                <w:rFonts w:ascii="Helvetica" w:hAnsi="Helvetica" w:cs="Helvetica"/>
                <w:sz w:val="18"/>
                <w:szCs w:val="18"/>
              </w:rPr>
              <w:t xml:space="preserve">A.J.L. Phillips, A. Alves &amp; J. Luque [Botryosphaeriales: </w:t>
            </w:r>
            <w:hyperlink r:id="rId48" w:history="1">
              <w:r>
                <w:rPr>
                  <w:rFonts w:ascii="Helvetica" w:hAnsi="Helvetica" w:cs="Helvetica"/>
                  <w:sz w:val="18"/>
                  <w:szCs w:val="18"/>
                </w:rPr>
                <w:t>Botryosphaeriaceae</w:t>
              </w:r>
            </w:hyperlink>
            <w:r>
              <w:rPr>
                <w:rFonts w:ascii="Helvetica" w:hAnsi="Helvetica" w:cs="Helvetica"/>
                <w:sz w:val="18"/>
                <w:szCs w:val="18"/>
              </w:rPr>
              <w:t xml:space="preserve">] (synonym: </w:t>
            </w:r>
            <w:r>
              <w:rPr>
                <w:rFonts w:ascii="Helvetica" w:hAnsi="Helvetica" w:cs="Helvetica"/>
                <w:i/>
                <w:sz w:val="18"/>
                <w:szCs w:val="18"/>
              </w:rPr>
              <w:t>Diplodia corticola</w:t>
            </w:r>
            <w:r>
              <w:rPr>
                <w:rFonts w:ascii="Helvetica" w:hAnsi="Helvetica" w:cs="Helvetica"/>
                <w:sz w:val="18"/>
                <w:szCs w:val="18"/>
              </w:rPr>
              <w:t xml:space="preserve"> Phillips </w:t>
            </w:r>
            <w:r>
              <w:rPr>
                <w:rFonts w:ascii="Helvetica" w:hAnsi="Helvetica" w:cs="Helvetica"/>
                <w:i/>
                <w:sz w:val="18"/>
                <w:szCs w:val="18"/>
              </w:rPr>
              <w:t>et al</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has been recorded on </w:t>
            </w:r>
            <w:r>
              <w:rPr>
                <w:rFonts w:ascii="Helvetica" w:hAnsi="Helvetica" w:cs="Helvetica"/>
                <w:i/>
                <w:sz w:val="18"/>
                <w:szCs w:val="18"/>
              </w:rPr>
              <w:t xml:space="preserve">Vitis </w:t>
            </w:r>
            <w:r>
              <w:rPr>
                <w:rFonts w:ascii="Helvetica" w:hAnsi="Helvetica" w:cs="Helvetica"/>
                <w:sz w:val="18"/>
                <w:szCs w:val="18"/>
              </w:rPr>
              <w:t xml:space="preserve">species (Carlucci and Frisullo 2009). This fungus is reported to cause cankers in the vascular tissue of one year old canes, spurs and cordons in Texas (Úrbez-Torres </w:t>
            </w:r>
            <w:r>
              <w:rPr>
                <w:rFonts w:ascii="Helvetica" w:hAnsi="Helvetica" w:cs="Helvetica"/>
                <w:i/>
                <w:sz w:val="18"/>
                <w:szCs w:val="18"/>
              </w:rPr>
              <w:t>et al</w:t>
            </w:r>
            <w:r>
              <w:rPr>
                <w:rFonts w:ascii="Helvetica" w:hAnsi="Helvetica" w:cs="Helvetica"/>
                <w:sz w:val="18"/>
                <w:szCs w:val="18"/>
              </w:rPr>
              <w:t>. 2010b).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(Carlucci and Frisullo 2009, Úrbez-Torres </w:t>
            </w:r>
            <w:r>
              <w:rPr>
                <w:rFonts w:ascii="Helvetica" w:hAnsi="Helvetica" w:cs="Helvetica"/>
                <w:i/>
                <w:sz w:val="18"/>
                <w:szCs w:val="18"/>
              </w:rPr>
              <w:t>et al</w:t>
            </w:r>
            <w:r>
              <w:rPr>
                <w:rFonts w:ascii="Helvetica" w:hAnsi="Helvetica" w:cs="Helvetica"/>
                <w:sz w:val="18"/>
                <w:szCs w:val="18"/>
              </w:rPr>
              <w:t>. 2010b) and may spread naturally in infected propagative material. Therefore, this fungus has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 This fungus causes dieback of young shoots, defoliation, sub cortical brown streaks on the canes, and wedge-shaped necrotic areas within trunks and branches (Carlucci and Frisullo 2009). This fungus causes cankers, vascular necrosis and dieback in oak (</w:t>
            </w:r>
            <w:r>
              <w:rPr>
                <w:rFonts w:ascii="Helvetica" w:hAnsi="Helvetica" w:cs="Helvetica"/>
                <w:i/>
                <w:sz w:val="18"/>
                <w:szCs w:val="18"/>
              </w:rPr>
              <w:t>Quercus</w:t>
            </w:r>
            <w:r>
              <w:rPr>
                <w:rFonts w:ascii="Helvetica" w:hAnsi="Helvetica" w:cs="Helvetica"/>
                <w:sz w:val="18"/>
                <w:szCs w:val="18"/>
              </w:rPr>
              <w:t>)</w:t>
            </w:r>
            <w:r>
              <w:rPr>
                <w:rFonts w:ascii="Helvetica" w:hAnsi="Helvetica" w:cs="Helvetica"/>
                <w:i/>
                <w:sz w:val="18"/>
                <w:szCs w:val="18"/>
              </w:rPr>
              <w:t xml:space="preserve"> </w:t>
            </w:r>
            <w:r>
              <w:rPr>
                <w:rFonts w:ascii="Helvetica" w:hAnsi="Helvetica" w:cs="Helvetica"/>
                <w:sz w:val="18"/>
                <w:szCs w:val="18"/>
              </w:rPr>
              <w:t xml:space="preserve">species (Dreaden </w:t>
            </w:r>
            <w:r>
              <w:rPr>
                <w:rFonts w:ascii="Helvetica" w:hAnsi="Helvetica" w:cs="Helvetica"/>
                <w:i/>
                <w:sz w:val="18"/>
                <w:szCs w:val="18"/>
              </w:rPr>
              <w:t>et al</w:t>
            </w:r>
            <w:r>
              <w:rPr>
                <w:rFonts w:ascii="Helvetica" w:hAnsi="Helvetica" w:cs="Helvetica"/>
                <w:sz w:val="18"/>
                <w:szCs w:val="18"/>
              </w:rPr>
              <w:t xml:space="preserve">. 2011). While this species can have strong pathogenic effects on cork oak, the fungus only colonises decorticated trunks after cork extraction (Luque </w:t>
            </w:r>
            <w:r>
              <w:rPr>
                <w:rFonts w:ascii="Helvetica" w:hAnsi="Helvetica" w:cs="Helvetica"/>
                <w:i/>
                <w:sz w:val="18"/>
                <w:szCs w:val="18"/>
              </w:rPr>
              <w:t xml:space="preserve">et al. </w:t>
            </w:r>
            <w:r>
              <w:rPr>
                <w:rFonts w:ascii="Helvetica" w:hAnsi="Helvetica" w:cs="Helvetica"/>
                <w:sz w:val="18"/>
                <w:szCs w:val="18"/>
              </w:rPr>
              <w:t xml:space="preserve">2008). It is considered to be one of the less virulent of the </w:t>
            </w:r>
            <w:r>
              <w:rPr>
                <w:rFonts w:ascii="Helvetica" w:hAnsi="Helvetica" w:cs="Helvetica"/>
                <w:i/>
                <w:sz w:val="18"/>
                <w:szCs w:val="18"/>
              </w:rPr>
              <w:t xml:space="preserve">Botryosphaeriaceae </w:t>
            </w:r>
            <w:r>
              <w:rPr>
                <w:rFonts w:ascii="Helvetica" w:hAnsi="Helvetica" w:cs="Helvetica"/>
                <w:sz w:val="18"/>
                <w:szCs w:val="18"/>
              </w:rPr>
              <w:t xml:space="preserve">species (Gubler </w:t>
            </w:r>
            <w:r>
              <w:rPr>
                <w:rFonts w:ascii="Helvetica" w:hAnsi="Helvetica" w:cs="Helvetica"/>
                <w:i/>
                <w:sz w:val="18"/>
                <w:szCs w:val="18"/>
              </w:rPr>
              <w:t>et al</w:t>
            </w:r>
            <w:r>
              <w:rPr>
                <w:rFonts w:ascii="Helvetica" w:hAnsi="Helvetica" w:cs="Helvetica"/>
                <w:sz w:val="18"/>
                <w:szCs w:val="18"/>
              </w:rPr>
              <w:t>. 2010)</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b/>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 dothidea</w:t>
            </w:r>
            <w:r>
              <w:rPr>
                <w:rFonts w:ascii="Helvetica" w:hAnsi="Helvetica" w:cs="Helvetica"/>
                <w:sz w:val="18"/>
                <w:szCs w:val="18"/>
              </w:rPr>
              <w:t xml:space="preserve"> (Moug.) Ces. &amp; De Not. [Botryosphaeriales: </w:t>
            </w:r>
            <w:hyperlink r:id="rId49" w:history="1">
              <w:r>
                <w:rPr>
                  <w:rFonts w:ascii="Helvetica" w:hAnsi="Helvetica" w:cs="Helvetica"/>
                  <w:sz w:val="18"/>
                  <w:szCs w:val="18"/>
                </w:rPr>
                <w:t>Botryosphaeriaceae</w:t>
              </w:r>
            </w:hyperlink>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Yes (Pitt </w:t>
            </w:r>
            <w:r>
              <w:rPr>
                <w:rFonts w:ascii="Helvetica" w:hAnsi="Helvetica" w:cs="Helvetica"/>
                <w:i/>
                <w:sz w:val="18"/>
                <w:szCs w:val="18"/>
              </w:rPr>
              <w:t>et al</w:t>
            </w:r>
            <w:r>
              <w:rPr>
                <w:rFonts w:ascii="Helvetica" w:hAnsi="Helvetica" w:cs="Helvetica"/>
                <w:sz w:val="18"/>
                <w:szCs w:val="18"/>
              </w:rPr>
              <w:t>. 2009)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w:t>
            </w:r>
            <w:r>
              <w:rPr>
                <w:rFonts w:ascii="Helvetica" w:hAnsi="Helvetica" w:cs="Helvetica"/>
                <w:sz w:val="18"/>
                <w:szCs w:val="18"/>
              </w:rPr>
              <w:t xml:space="preserve"> </w:t>
            </w:r>
            <w:r>
              <w:rPr>
                <w:rFonts w:ascii="Helvetica" w:hAnsi="Helvetica" w:cs="Helvetica"/>
                <w:i/>
                <w:sz w:val="18"/>
                <w:szCs w:val="18"/>
              </w:rPr>
              <w:t>lutea</w:t>
            </w:r>
            <w:r>
              <w:rPr>
                <w:rFonts w:ascii="Helvetica" w:hAnsi="Helvetica" w:cs="Helvetica"/>
                <w:sz w:val="18"/>
                <w:szCs w:val="18"/>
              </w:rPr>
              <w:t xml:space="preserve"> AJL Phillips [Botryosphaeriales: Botryosphaeriaceae] (synonyms: </w:t>
            </w:r>
            <w:r>
              <w:rPr>
                <w:rFonts w:ascii="Helvetica" w:hAnsi="Helvetica" w:cs="Helvetica"/>
                <w:i/>
                <w:sz w:val="18"/>
                <w:szCs w:val="18"/>
              </w:rPr>
              <w:t>Fusicoccum luteum</w:t>
            </w:r>
            <w:r>
              <w:rPr>
                <w:rFonts w:ascii="Helvetica" w:hAnsi="Helvetica" w:cs="Helvetica"/>
                <w:sz w:val="18"/>
                <w:szCs w:val="18"/>
              </w:rPr>
              <w:t xml:space="preserve"> Pennycook &amp; Samuels; </w:t>
            </w:r>
            <w:r>
              <w:rPr>
                <w:rFonts w:ascii="Helvetica" w:hAnsi="Helvetica" w:cs="Helvetica"/>
                <w:i/>
                <w:sz w:val="18"/>
                <w:szCs w:val="18"/>
              </w:rPr>
              <w:t xml:space="preserve">Neofusicoccum luteum </w:t>
            </w:r>
            <w:r>
              <w:rPr>
                <w:rFonts w:ascii="Helvetica" w:hAnsi="Helvetica" w:cs="Helvetica"/>
                <w:sz w:val="18"/>
                <w:szCs w:val="18"/>
              </w:rPr>
              <w:t xml:space="preserve">(Pennycook &amp; Samuels) Crous </w:t>
            </w:r>
            <w:r>
              <w:rPr>
                <w:rFonts w:ascii="Helvetica" w:hAnsi="Helvetica" w:cs="Helvetica"/>
                <w:i/>
                <w:sz w:val="18"/>
                <w:szCs w:val="18"/>
              </w:rPr>
              <w:t>et al</w:t>
            </w:r>
            <w:r>
              <w:rPr>
                <w:rFonts w:ascii="Helvetica" w:hAnsi="Helvetica" w:cs="Helvetica"/>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Yes (Qui </w:t>
            </w:r>
            <w:r>
              <w:rPr>
                <w:rFonts w:ascii="Helvetica" w:hAnsi="Helvetica" w:cs="Helvetica"/>
                <w:i/>
                <w:sz w:val="18"/>
                <w:szCs w:val="18"/>
              </w:rPr>
              <w:t>et al</w:t>
            </w:r>
            <w:r>
              <w:rPr>
                <w:rFonts w:ascii="Helvetica" w:hAnsi="Helvetica" w:cs="Helvetica"/>
                <w:sz w:val="18"/>
                <w:szCs w:val="18"/>
              </w:rPr>
              <w:t>.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 obtusa</w:t>
            </w:r>
            <w:r>
              <w:rPr>
                <w:rFonts w:ascii="Helvetica" w:hAnsi="Helvetica" w:cs="Helvetica"/>
                <w:sz w:val="18"/>
                <w:szCs w:val="18"/>
              </w:rPr>
              <w:t xml:space="preserve"> (Schwein.) Shoemaker [Botryosphaeriales:  [Botryosphaeriaceae]</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Yes (Castillo-Pando </w:t>
            </w:r>
            <w:r>
              <w:rPr>
                <w:rFonts w:ascii="Helvetica" w:hAnsi="Helvetica" w:cs="Helvetica"/>
                <w:i/>
                <w:sz w:val="18"/>
                <w:szCs w:val="18"/>
              </w:rPr>
              <w:t>et al</w:t>
            </w:r>
            <w:r>
              <w:rPr>
                <w:rFonts w:ascii="Helvetica" w:hAnsi="Helvetica" w:cs="Helvetica"/>
                <w:sz w:val="18"/>
                <w:szCs w:val="18"/>
              </w:rPr>
              <w:t>.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 parva</w:t>
            </w:r>
            <w:r>
              <w:rPr>
                <w:rFonts w:ascii="Helvetica" w:hAnsi="Helvetica" w:cs="Helvetica"/>
                <w:sz w:val="18"/>
                <w:szCs w:val="18"/>
              </w:rPr>
              <w:t xml:space="preserve"> Pennycook &amp; Samuels) [Botryosphaeriales: Botryosphaeriaceae] (synonym: </w:t>
            </w:r>
            <w:r>
              <w:rPr>
                <w:rFonts w:ascii="Helvetica" w:hAnsi="Helvetica" w:cs="Helvetica"/>
                <w:i/>
                <w:sz w:val="18"/>
                <w:szCs w:val="18"/>
              </w:rPr>
              <w:t>Fusicoccum parvum</w:t>
            </w:r>
            <w:r>
              <w:rPr>
                <w:rFonts w:ascii="Helvetica" w:hAnsi="Helvetica" w:cs="Helvetica"/>
                <w:sz w:val="18"/>
                <w:szCs w:val="18"/>
              </w:rPr>
              <w:t xml:space="preserve"> Pennycook &amp; Samuels; </w:t>
            </w:r>
            <w:r>
              <w:rPr>
                <w:rFonts w:ascii="Helvetica" w:hAnsi="Helvetica" w:cs="Helvetica"/>
                <w:i/>
                <w:sz w:val="18"/>
                <w:szCs w:val="18"/>
              </w:rPr>
              <w:t xml:space="preserve">Neofusicoccum parvum </w:t>
            </w:r>
            <w:r>
              <w:rPr>
                <w:rFonts w:ascii="Helvetica" w:hAnsi="Helvetica" w:cs="Helvetica"/>
                <w:sz w:val="18"/>
                <w:szCs w:val="18"/>
              </w:rPr>
              <w:t xml:space="preserve">(Pennycook &amp; Samuels) Crous </w:t>
            </w:r>
            <w:r>
              <w:rPr>
                <w:rFonts w:ascii="Helvetica" w:hAnsi="Helvetica" w:cs="Helvetica"/>
                <w:i/>
                <w:sz w:val="18"/>
                <w:szCs w:val="18"/>
              </w:rPr>
              <w:t>et al</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(Pitt </w:t>
            </w:r>
            <w:r>
              <w:rPr>
                <w:rFonts w:ascii="Helvetica" w:hAnsi="Helvetica" w:cs="Helvetica"/>
                <w:i/>
                <w:sz w:val="18"/>
                <w:szCs w:val="18"/>
              </w:rPr>
              <w:t>et al</w:t>
            </w:r>
            <w:r>
              <w:rPr>
                <w:rFonts w:ascii="Helvetica" w:hAnsi="Helvetica" w:cs="Helvetica"/>
                <w:sz w:val="18"/>
                <w:szCs w:val="18"/>
              </w:rPr>
              <w:t>. 2009)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 rhodina</w:t>
            </w:r>
            <w:r>
              <w:rPr>
                <w:rFonts w:ascii="Helvetica" w:hAnsi="Helvetica" w:cs="Helvetica"/>
                <w:sz w:val="18"/>
                <w:szCs w:val="18"/>
              </w:rPr>
              <w:t xml:space="preserve"> (Berk. &amp; M.A. Curtis) Arx [Botryosphaeriales: [Botryosphaeriaceae] (synonym: </w:t>
            </w:r>
            <w:r>
              <w:rPr>
                <w:rFonts w:ascii="Helvetica" w:hAnsi="Helvetica" w:cs="Helvetica"/>
                <w:i/>
                <w:sz w:val="18"/>
                <w:szCs w:val="18"/>
              </w:rPr>
              <w:t>Lasiodiplodia theobromae</w:t>
            </w:r>
            <w:r>
              <w:rPr>
                <w:rFonts w:ascii="Helvetica" w:hAnsi="Helvetica" w:cs="Helvetica"/>
                <w:sz w:val="18"/>
                <w:szCs w:val="18"/>
              </w:rPr>
              <w:t xml:space="preserve"> (Pat.) Griffon &amp; Maubl.)</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(Taylor </w:t>
            </w:r>
            <w:r>
              <w:rPr>
                <w:rFonts w:ascii="Helvetica" w:hAnsi="Helvetica" w:cs="Helvetica"/>
                <w:i/>
                <w:sz w:val="18"/>
                <w:szCs w:val="18"/>
              </w:rPr>
              <w:t>et al</w:t>
            </w:r>
            <w:r>
              <w:rPr>
                <w:rFonts w:ascii="Helvetica" w:hAnsi="Helvetica" w:cs="Helvetica"/>
                <w:sz w:val="18"/>
                <w:szCs w:val="18"/>
              </w:rPr>
              <w:t>.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 ribis</w:t>
            </w:r>
            <w:r>
              <w:rPr>
                <w:rFonts w:ascii="Helvetica" w:hAnsi="Helvetica" w:cs="Helvetica"/>
                <w:sz w:val="18"/>
                <w:szCs w:val="18"/>
              </w:rPr>
              <w:t xml:space="preserve"> Grossenb. &amp; Duggar [Botryosphaeriales: Botryosphaeriaceae] (synonym: </w:t>
            </w:r>
            <w:r>
              <w:rPr>
                <w:rFonts w:ascii="Helvetica" w:hAnsi="Helvetica" w:cs="Helvetica"/>
                <w:i/>
                <w:sz w:val="18"/>
                <w:szCs w:val="18"/>
              </w:rPr>
              <w:t>Fusicoccum tingens</w:t>
            </w:r>
            <w:r>
              <w:rPr>
                <w:rFonts w:ascii="Helvetica" w:hAnsi="Helvetica" w:cs="Helvetica"/>
                <w:sz w:val="18"/>
                <w:szCs w:val="18"/>
              </w:rPr>
              <w:t xml:space="preserve"> Goid.)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(Constable and Drew 2004)</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 stevensii</w:t>
            </w:r>
            <w:r>
              <w:rPr>
                <w:rFonts w:ascii="Helvetica" w:hAnsi="Helvetica" w:cs="Helvetica"/>
                <w:sz w:val="18"/>
                <w:szCs w:val="18"/>
              </w:rPr>
              <w:t xml:space="preserve"> Shoemaker [Botryosphaeriales: Botryosphaeriaceae] (synonym: </w:t>
            </w:r>
            <w:r>
              <w:rPr>
                <w:rFonts w:ascii="Helvetica" w:hAnsi="Helvetica" w:cs="Helvetica"/>
                <w:i/>
                <w:sz w:val="18"/>
                <w:szCs w:val="18"/>
              </w:rPr>
              <w:t>Diplodia mutila</w:t>
            </w:r>
            <w:r>
              <w:rPr>
                <w:rFonts w:ascii="Helvetica" w:hAnsi="Helvetica" w:cs="Helvetica"/>
                <w:sz w:val="18"/>
                <w:szCs w:val="18"/>
              </w:rPr>
              <w:t xml:space="preserve"> (Fr.) Mont.)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(Taylor </w:t>
            </w:r>
            <w:r>
              <w:rPr>
                <w:rFonts w:ascii="Helvetica" w:hAnsi="Helvetica" w:cs="Helvetica"/>
                <w:i/>
                <w:sz w:val="18"/>
                <w:szCs w:val="18"/>
              </w:rPr>
              <w:t>et al</w:t>
            </w:r>
            <w:r>
              <w:rPr>
                <w:rFonts w:ascii="Helvetica" w:hAnsi="Helvetica" w:cs="Helvetica"/>
                <w:sz w:val="18"/>
                <w:szCs w:val="18"/>
              </w:rPr>
              <w:t>.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Botryosphaeria viticola</w:t>
            </w:r>
            <w:r>
              <w:rPr>
                <w:rFonts w:ascii="Helvetica" w:hAnsi="Helvetica" w:cs="Helvetica"/>
                <w:sz w:val="18"/>
                <w:szCs w:val="18"/>
              </w:rPr>
              <w:t xml:space="preserve"> AJL Phillips &amp; J Luque [Botryosphaeriales: Botryosphaeriaceae] (</w:t>
            </w:r>
            <w:r>
              <w:rPr>
                <w:rFonts w:ascii="Helvetica" w:hAnsi="Helvetica" w:cs="Helvetica"/>
                <w:i/>
                <w:sz w:val="18"/>
                <w:szCs w:val="18"/>
              </w:rPr>
              <w:t>Dothiorella viticola</w:t>
            </w:r>
            <w:r>
              <w:rPr>
                <w:rFonts w:ascii="Helvetica" w:hAnsi="Helvetica" w:cs="Helvetica"/>
                <w:sz w:val="18"/>
                <w:szCs w:val="18"/>
              </w:rPr>
              <w:t xml:space="preserve"> AJL Phillips &amp; J Luque)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(Wunderlich </w:t>
            </w:r>
            <w:r>
              <w:rPr>
                <w:rFonts w:ascii="Helvetica" w:hAnsi="Helvetica" w:cs="Helvetica"/>
                <w:i/>
                <w:sz w:val="18"/>
                <w:szCs w:val="18"/>
              </w:rPr>
              <w:t>et al</w:t>
            </w:r>
            <w:r>
              <w:rPr>
                <w:rFonts w:ascii="Helvetica" w:hAnsi="Helvetica" w:cs="Helvetica"/>
                <w:sz w:val="18"/>
                <w:szCs w:val="18"/>
              </w:rPr>
              <w:t>. 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Botrytis ampelophila</w:t>
            </w:r>
            <w:r>
              <w:rPr>
                <w:rFonts w:ascii="Helvetica" w:hAnsi="Helvetica" w:cs="Helvetica"/>
                <w:sz w:val="18"/>
                <w:szCs w:val="18"/>
              </w:rPr>
              <w:t xml:space="preserve"> Speg[Helotiales: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w:t>
            </w:r>
            <w:r>
              <w:rPr>
                <w:rFonts w:ascii="Helvetica" w:hAnsi="Helvetica" w:cs="Helvetica"/>
                <w:i/>
                <w:sz w:val="18"/>
                <w:szCs w:val="18"/>
              </w:rPr>
              <w:t>riparia</w:t>
            </w:r>
            <w:r>
              <w:rPr>
                <w:rFonts w:ascii="Helvetica" w:hAnsi="Helvetica" w:cs="Helvetica"/>
                <w:sz w:val="18"/>
                <w:szCs w:val="18"/>
              </w:rPr>
              <w:t xml:space="preserve"> (Farr and Rossman 2011), but affected plant parts are not mentioned. Since its report on </w:t>
            </w:r>
            <w:r>
              <w:rPr>
                <w:rFonts w:ascii="Helvetica" w:hAnsi="Helvetica" w:cs="Helvetica"/>
                <w:i/>
                <w:sz w:val="18"/>
                <w:szCs w:val="18"/>
              </w:rPr>
              <w:t xml:space="preserve">Vitis riparia </w:t>
            </w:r>
            <w:r>
              <w:rPr>
                <w:rFonts w:ascii="Helvetica" w:hAnsi="Helvetica" w:cs="Helvetica"/>
                <w:sz w:val="18"/>
                <w:szCs w:val="18"/>
              </w:rPr>
              <w:t>in 1973 in Argentina (Farr and Rossman 2011), it has not been reported from any other country, indicating that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Botrytis cinerea</w:t>
            </w:r>
            <w:r>
              <w:rPr>
                <w:rFonts w:ascii="Helvetica" w:hAnsi="Helvetica" w:cs="Helvetica"/>
                <w:sz w:val="18"/>
                <w:szCs w:val="18"/>
              </w:rPr>
              <w:t xml:space="preserve"> Pers. [</w:t>
            </w:r>
            <w:hyperlink r:id="rId50" w:history="1">
              <w:r>
                <w:rPr>
                  <w:rFonts w:ascii="Helvetica" w:hAnsi="Helvetica" w:cs="Helvetica"/>
                  <w:sz w:val="18"/>
                  <w:szCs w:val="18"/>
                </w:rPr>
                <w:t>Helotiales</w:t>
              </w:r>
            </w:hyperlink>
            <w:r>
              <w:rPr>
                <w:rFonts w:ascii="Helvetica" w:hAnsi="Helvetica" w:cs="Helvetica"/>
                <w:sz w:val="18"/>
                <w:szCs w:val="18"/>
              </w:rPr>
              <w:t>: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(Rogiers </w:t>
            </w:r>
            <w:r>
              <w:rPr>
                <w:rFonts w:ascii="Helvetica" w:hAnsi="Helvetica" w:cs="Helvetica"/>
                <w:i/>
                <w:sz w:val="18"/>
                <w:szCs w:val="18"/>
              </w:rPr>
              <w:t>et al</w:t>
            </w:r>
            <w:r>
              <w:rPr>
                <w:rFonts w:ascii="Helvetica" w:hAnsi="Helvetica" w:cs="Helvetica"/>
                <w:sz w:val="18"/>
                <w:szCs w:val="18"/>
              </w:rPr>
              <w:t>.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Briosia ampelophaga </w:t>
            </w:r>
            <w:r>
              <w:rPr>
                <w:rFonts w:ascii="Helvetica" w:hAnsi="Helvetica" w:cs="Helvetica"/>
                <w:sz w:val="18"/>
                <w:szCs w:val="18"/>
              </w:rPr>
              <w:t>Cavara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associated with foliage and causes leaf spot in </w:t>
            </w:r>
            <w:r>
              <w:rPr>
                <w:rFonts w:ascii="Helvetica" w:hAnsi="Helvetica" w:cs="Helvetica"/>
                <w:i/>
                <w:sz w:val="18"/>
                <w:szCs w:val="18"/>
              </w:rPr>
              <w:t>Vitis</w:t>
            </w:r>
            <w:r>
              <w:rPr>
                <w:rFonts w:ascii="Helvetica" w:hAnsi="Helvetica" w:cs="Helvetica"/>
                <w:sz w:val="18"/>
                <w:szCs w:val="18"/>
              </w:rPr>
              <w:t xml:space="preserve"> (Farr </w:t>
            </w:r>
            <w:r>
              <w:rPr>
                <w:rFonts w:ascii="Helvetica" w:hAnsi="Helvetica" w:cs="Helvetica"/>
                <w:i/>
                <w:sz w:val="18"/>
                <w:szCs w:val="18"/>
              </w:rPr>
              <w:t>et al</w:t>
            </w:r>
            <w:r>
              <w:rPr>
                <w:rFonts w:ascii="Helvetica" w:hAnsi="Helvetica" w:cs="Helvetica"/>
                <w:sz w:val="18"/>
                <w:szCs w:val="18"/>
              </w:rPr>
              <w:t>. 1989).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Cadophora luteo-olivacea </w:t>
            </w:r>
            <w:r>
              <w:rPr>
                <w:rFonts w:ascii="Helvetica" w:hAnsi="Helvetica" w:cs="Helvetica"/>
                <w:sz w:val="18"/>
                <w:szCs w:val="18"/>
              </w:rPr>
              <w:t xml:space="preserve">(JFH Beyma) TC Harr. &amp; McNew [Helotiales: Leotiomycetidae] (synonym: </w:t>
            </w:r>
            <w:r>
              <w:rPr>
                <w:rFonts w:ascii="Helvetica" w:hAnsi="Helvetica" w:cs="Helvetica"/>
                <w:i/>
                <w:sz w:val="18"/>
                <w:szCs w:val="18"/>
              </w:rPr>
              <w:t xml:space="preserve">Phialophora luteo-olivacea </w:t>
            </w:r>
            <w:r>
              <w:rPr>
                <w:rFonts w:ascii="Helvetica" w:hAnsi="Helvetica" w:cs="Helvetica"/>
                <w:sz w:val="18"/>
                <w:szCs w:val="18"/>
              </w:rPr>
              <w:t>JFH Beyma)</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endophytic fungus attacks young grapevines (Gramaje </w:t>
            </w:r>
            <w:r>
              <w:rPr>
                <w:rFonts w:ascii="Helvetica" w:hAnsi="Helvetica" w:cs="Helvetica"/>
                <w:i/>
                <w:sz w:val="18"/>
                <w:szCs w:val="18"/>
              </w:rPr>
              <w:t>et al</w:t>
            </w:r>
            <w:r>
              <w:rPr>
                <w:rFonts w:ascii="Helvetica" w:hAnsi="Helvetica" w:cs="Helvetica"/>
                <w:sz w:val="18"/>
                <w:szCs w:val="18"/>
              </w:rPr>
              <w:t xml:space="preserve">. 2010; Navarrete </w:t>
            </w:r>
            <w:r>
              <w:rPr>
                <w:rFonts w:ascii="Helvetica" w:hAnsi="Helvetica" w:cs="Helvetica"/>
                <w:i/>
                <w:sz w:val="18"/>
                <w:szCs w:val="18"/>
              </w:rPr>
              <w:t>et al</w:t>
            </w:r>
            <w:r>
              <w:rPr>
                <w:rFonts w:ascii="Helvetica" w:hAnsi="Helvetica" w:cs="Helvetica"/>
                <w:sz w:val="18"/>
                <w:szCs w:val="18"/>
              </w:rPr>
              <w:t xml:space="preserve">. 2010) and has been isolated from the vascular tissue of grapevines (Halleen </w:t>
            </w:r>
            <w:r>
              <w:rPr>
                <w:rFonts w:ascii="Helvetica" w:hAnsi="Helvetica" w:cs="Helvetica"/>
                <w:i/>
                <w:sz w:val="18"/>
                <w:szCs w:val="18"/>
              </w:rPr>
              <w:t>et al</w:t>
            </w:r>
            <w:r>
              <w:rPr>
                <w:rFonts w:ascii="Helvetica" w:hAnsi="Helvetica" w:cs="Helvetica"/>
                <w:sz w:val="18"/>
                <w:szCs w:val="18"/>
              </w:rPr>
              <w:t xml:space="preserve">. 2007). Infection of this fungus can be symptomatic (Navarrete </w:t>
            </w:r>
            <w:r>
              <w:rPr>
                <w:rFonts w:ascii="Helvetica" w:hAnsi="Helvetica" w:cs="Helvetica"/>
                <w:i/>
                <w:sz w:val="18"/>
                <w:szCs w:val="18"/>
              </w:rPr>
              <w:t>et al</w:t>
            </w:r>
            <w:r>
              <w:rPr>
                <w:rFonts w:ascii="Helvetica" w:hAnsi="Helvetica" w:cs="Helvetica"/>
                <w:sz w:val="18"/>
                <w:szCs w:val="18"/>
              </w:rPr>
              <w:t xml:space="preserve">. 2010) or asymptomatic (Halleen </w:t>
            </w:r>
            <w:r>
              <w:rPr>
                <w:rFonts w:ascii="Helvetica" w:hAnsi="Helvetica" w:cs="Helvetica"/>
                <w:i/>
                <w:sz w:val="18"/>
                <w:szCs w:val="18"/>
              </w:rPr>
              <w:t>et al</w:t>
            </w:r>
            <w:r>
              <w:rPr>
                <w:rFonts w:ascii="Helvetica" w:hAnsi="Helvetica" w:cs="Helvetica"/>
                <w:sz w:val="18"/>
                <w:szCs w:val="18"/>
              </w:rPr>
              <w:t>. 2007). Therefore, this fungus has the potential to be on the pathway of grapevine dormant cuttings.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(Prodi </w:t>
            </w:r>
            <w:r>
              <w:rPr>
                <w:rFonts w:ascii="Helvetica" w:hAnsi="Helvetica" w:cs="Helvetica"/>
                <w:i/>
                <w:sz w:val="18"/>
                <w:szCs w:val="18"/>
              </w:rPr>
              <w:t>et al</w:t>
            </w:r>
            <w:r>
              <w:rPr>
                <w:rFonts w:ascii="Helvetica" w:hAnsi="Helvetica" w:cs="Helvetica"/>
                <w:sz w:val="18"/>
                <w:szCs w:val="18"/>
              </w:rPr>
              <w:t xml:space="preserve">. 2008; Gramaje and Armengol 2011) and may spread naturally in infected propagative material. Therefore, this fungus has the potential for establishment and spread in Australia. </w:t>
            </w:r>
          </w:p>
        </w:tc>
        <w:tc>
          <w:tcPr>
            <w:tcW w:w="2863"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species is involved in the decline of young grapevines in vineyards and nurseries (Gramaje </w:t>
            </w:r>
            <w:r>
              <w:rPr>
                <w:rFonts w:ascii="Helvetica" w:hAnsi="Helvetica" w:cs="Helvetica"/>
                <w:i/>
                <w:sz w:val="18"/>
                <w:szCs w:val="18"/>
              </w:rPr>
              <w:t>et al</w:t>
            </w:r>
            <w:r>
              <w:rPr>
                <w:rFonts w:ascii="Helvetica" w:hAnsi="Helvetica" w:cs="Helvetica"/>
                <w:sz w:val="18"/>
                <w:szCs w:val="18"/>
              </w:rPr>
              <w:t xml:space="preserve">. 2010) and is common on grapevines affected by esca and Petri disease in parts of its current range (Gramaje and Armengol 2011). This species has also been reported as the causal agent of kiwifruit leader dieback (Riccioni </w:t>
            </w:r>
            <w:r>
              <w:rPr>
                <w:rFonts w:ascii="Helvetica" w:hAnsi="Helvetica" w:cs="Helvetica"/>
                <w:i/>
                <w:sz w:val="18"/>
                <w:szCs w:val="18"/>
              </w:rPr>
              <w:t>et al</w:t>
            </w:r>
            <w:r>
              <w:rPr>
                <w:rFonts w:ascii="Helvetica" w:hAnsi="Helvetica" w:cs="Helvetica"/>
                <w:sz w:val="18"/>
                <w:szCs w:val="18"/>
              </w:rPr>
              <w:t>. 2007;</w:t>
            </w:r>
            <w:r>
              <w:rPr>
                <w:rFonts w:ascii="Helvetica" w:hAnsi="Helvetica" w:cs="Helvetica"/>
                <w:i/>
                <w:sz w:val="18"/>
                <w:szCs w:val="18"/>
              </w:rPr>
              <w:t xml:space="preserve"> </w:t>
            </w:r>
            <w:r>
              <w:rPr>
                <w:rFonts w:ascii="Helvetica" w:hAnsi="Helvetica" w:cs="Helvetica"/>
                <w:sz w:val="18"/>
                <w:szCs w:val="18"/>
              </w:rPr>
              <w:t xml:space="preserve">Prodi </w:t>
            </w:r>
            <w:r>
              <w:rPr>
                <w:rFonts w:ascii="Helvetica" w:hAnsi="Helvetica" w:cs="Helvetica"/>
                <w:i/>
                <w:sz w:val="18"/>
                <w:szCs w:val="18"/>
              </w:rPr>
              <w:t>et al</w:t>
            </w:r>
            <w:r>
              <w:rPr>
                <w:rFonts w:ascii="Helvetica" w:hAnsi="Helvetica" w:cs="Helvetica"/>
                <w:sz w:val="18"/>
                <w:szCs w:val="18"/>
              </w:rPr>
              <w:t>. 2008). Therefore, this fungus has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FFFFF"/>
          </w:tcPr>
          <w:p>
            <w:pPr>
              <w:spacing w:before="20" w:line="240" w:lineRule="atLeast"/>
              <w:jc w:val="center"/>
              <w:rPr>
                <w:rFonts w:ascii="Helvetica" w:hAnsi="Helvetica" w:cs="Helvetica"/>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Cadophora melinii </w:t>
            </w:r>
            <w:r>
              <w:rPr>
                <w:rFonts w:ascii="Helvetica" w:hAnsi="Helvetica" w:cs="Helvetica"/>
                <w:sz w:val="18"/>
                <w:szCs w:val="18"/>
              </w:rPr>
              <w:t xml:space="preserve">Nannf. [Helotiales: Leotiomycetidae] (synonym: </w:t>
            </w:r>
            <w:r>
              <w:rPr>
                <w:rFonts w:ascii="Helvetica" w:hAnsi="Helvetica" w:cs="Helvetica"/>
                <w:i/>
                <w:sz w:val="18"/>
                <w:szCs w:val="18"/>
              </w:rPr>
              <w:t xml:space="preserve">Phialophora melinii </w:t>
            </w:r>
            <w:r>
              <w:rPr>
                <w:rFonts w:ascii="Helvetica" w:hAnsi="Helvetica" w:cs="Helvetica"/>
                <w:sz w:val="18"/>
                <w:szCs w:val="18"/>
              </w:rPr>
              <w:t>(Nannf.) Conant)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species is associated with trunk diseases of young grapevines (Gramaje </w:t>
            </w:r>
            <w:r>
              <w:rPr>
                <w:rFonts w:ascii="Helvetica" w:hAnsi="Helvetica" w:cs="Helvetica"/>
                <w:i/>
                <w:sz w:val="18"/>
                <w:szCs w:val="18"/>
              </w:rPr>
              <w:t>et al</w:t>
            </w:r>
            <w:r>
              <w:rPr>
                <w:rFonts w:ascii="Helvetica" w:hAnsi="Helvetica" w:cs="Helvetica"/>
                <w:sz w:val="18"/>
                <w:szCs w:val="18"/>
              </w:rPr>
              <w:t xml:space="preserve">. 2010). Therefore, this species has the potential to be on the pathway of dormant grapevine cuttings. </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(Prodi </w:t>
            </w:r>
            <w:r>
              <w:rPr>
                <w:rFonts w:ascii="Helvetica" w:hAnsi="Helvetica" w:cs="Helvetica"/>
                <w:i/>
                <w:sz w:val="18"/>
                <w:szCs w:val="18"/>
              </w:rPr>
              <w:t>et al</w:t>
            </w:r>
            <w:r>
              <w:rPr>
                <w:rFonts w:ascii="Helvetica" w:hAnsi="Helvetica" w:cs="Helvetica"/>
                <w:sz w:val="18"/>
                <w:szCs w:val="18"/>
              </w:rPr>
              <w:t xml:space="preserve">. 2008; Gramaje </w:t>
            </w:r>
            <w:r>
              <w:rPr>
                <w:rFonts w:ascii="Helvetica" w:hAnsi="Helvetica" w:cs="Helvetica"/>
                <w:i/>
                <w:sz w:val="18"/>
                <w:szCs w:val="18"/>
              </w:rPr>
              <w:t>et al</w:t>
            </w:r>
            <w:r>
              <w:rPr>
                <w:rFonts w:ascii="Helvetica" w:hAnsi="Helvetica" w:cs="Helvetica"/>
                <w:sz w:val="18"/>
                <w:szCs w:val="18"/>
              </w:rPr>
              <w:t xml:space="preserve">. 2010; Navarrete </w:t>
            </w:r>
            <w:r>
              <w:rPr>
                <w:rFonts w:ascii="Helvetica" w:hAnsi="Helvetica" w:cs="Helvetica"/>
                <w:i/>
                <w:sz w:val="18"/>
                <w:szCs w:val="18"/>
              </w:rPr>
              <w:t>et al</w:t>
            </w:r>
            <w:r>
              <w:rPr>
                <w:rFonts w:ascii="Helvetica" w:hAnsi="Helvetica" w:cs="Helvetica"/>
                <w:sz w:val="18"/>
                <w:szCs w:val="18"/>
              </w:rPr>
              <w:t xml:space="preserve">. 2010) and may spread naturally in infected propagative material. Therefore, this fungus has the potential for establishment and spread in Australia. </w:t>
            </w:r>
          </w:p>
        </w:tc>
        <w:tc>
          <w:tcPr>
            <w:tcW w:w="2863"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has been isolated from young grapevines affected by esca and Petri disease (Gamaje </w:t>
            </w:r>
            <w:r>
              <w:rPr>
                <w:rFonts w:ascii="Helvetica" w:hAnsi="Helvetica" w:cs="Helvetica"/>
                <w:i/>
                <w:sz w:val="18"/>
                <w:szCs w:val="18"/>
              </w:rPr>
              <w:t>et al</w:t>
            </w:r>
            <w:r>
              <w:rPr>
                <w:rFonts w:ascii="Helvetica" w:hAnsi="Helvetica" w:cs="Helvetica"/>
                <w:sz w:val="18"/>
                <w:szCs w:val="18"/>
              </w:rPr>
              <w:t xml:space="preserve">. 2010; Gramaje </w:t>
            </w:r>
            <w:r>
              <w:rPr>
                <w:rFonts w:ascii="Helvetica" w:hAnsi="Helvetica" w:cs="Helvetica"/>
                <w:i/>
                <w:sz w:val="18"/>
                <w:szCs w:val="18"/>
              </w:rPr>
              <w:t>et al</w:t>
            </w:r>
            <w:r>
              <w:rPr>
                <w:rFonts w:ascii="Helvetica" w:hAnsi="Helvetica" w:cs="Helvetica"/>
                <w:sz w:val="18"/>
                <w:szCs w:val="18"/>
              </w:rPr>
              <w:t xml:space="preserve">. 2011). There is no evidence that this species is an economically important pathogen of grapevines, however it is associated with trunk hypertrophy and elephantiasis in kiwifruit (Prodi </w:t>
            </w:r>
            <w:r>
              <w:rPr>
                <w:rFonts w:ascii="Helvetica" w:hAnsi="Helvetica" w:cs="Helvetica"/>
                <w:i/>
                <w:sz w:val="18"/>
                <w:szCs w:val="18"/>
              </w:rPr>
              <w:t>et al</w:t>
            </w:r>
            <w:r>
              <w:rPr>
                <w:rFonts w:ascii="Helvetica" w:hAnsi="Helvetica" w:cs="Helvetica"/>
                <w:sz w:val="18"/>
                <w:szCs w:val="18"/>
              </w:rPr>
              <w:t xml:space="preserve">. 2008; Gramaje </w:t>
            </w:r>
            <w:r>
              <w:rPr>
                <w:rFonts w:ascii="Helvetica" w:hAnsi="Helvetica" w:cs="Helvetica"/>
                <w:i/>
                <w:sz w:val="18"/>
                <w:szCs w:val="18"/>
              </w:rPr>
              <w:t>et al</w:t>
            </w:r>
            <w:r>
              <w:rPr>
                <w:rFonts w:ascii="Helvetica" w:hAnsi="Helvetica" w:cs="Helvetica"/>
                <w:sz w:val="18"/>
                <w:szCs w:val="18"/>
              </w:rPr>
              <w:t xml:space="preserve">. 2011; Spadaro </w:t>
            </w:r>
            <w:r>
              <w:rPr>
                <w:rFonts w:ascii="Helvetica" w:hAnsi="Helvetica" w:cs="Helvetica"/>
                <w:i/>
                <w:sz w:val="18"/>
                <w:szCs w:val="18"/>
              </w:rPr>
              <w:t>et al</w:t>
            </w:r>
            <w:r>
              <w:rPr>
                <w:rFonts w:ascii="Helvetica" w:hAnsi="Helvetica" w:cs="Helvetica"/>
                <w:sz w:val="18"/>
                <w:szCs w:val="18"/>
              </w:rPr>
              <w:t xml:space="preserve">. 2011) resulting in reduced foliage and small, unsalable fruits (Prodi </w:t>
            </w:r>
            <w:r>
              <w:rPr>
                <w:rFonts w:ascii="Helvetica" w:hAnsi="Helvetica" w:cs="Helvetica"/>
                <w:i/>
                <w:sz w:val="18"/>
                <w:szCs w:val="18"/>
              </w:rPr>
              <w:t>et al</w:t>
            </w:r>
            <w:r>
              <w:rPr>
                <w:rFonts w:ascii="Helvetica" w:hAnsi="Helvetica" w:cs="Helvetica"/>
                <w:sz w:val="18"/>
                <w:szCs w:val="18"/>
              </w:rPr>
              <w:t>. 2008). Therefore, this species has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FFFFF"/>
          </w:tcPr>
          <w:p>
            <w:pPr>
              <w:spacing w:before="20" w:line="240" w:lineRule="atLeast"/>
              <w:jc w:val="center"/>
              <w:rPr>
                <w:rFonts w:ascii="Helvetica" w:hAnsi="Helvetica" w:cs="Helvetica"/>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51" w:history="1">
              <w:r>
                <w:rPr>
                  <w:rFonts w:ascii="Helvetica" w:hAnsi="Helvetica" w:cs="Helvetica"/>
                  <w:i/>
                  <w:sz w:val="18"/>
                  <w:szCs w:val="18"/>
                </w:rPr>
                <w:t>Calonectria</w:t>
              </w:r>
            </w:hyperlink>
            <w:r>
              <w:rPr>
                <w:rFonts w:ascii="Helvetica" w:hAnsi="Helvetica" w:cs="Helvetica"/>
                <w:i/>
                <w:sz w:val="18"/>
                <w:szCs w:val="18"/>
              </w:rPr>
              <w:t xml:space="preserve"> kyotensis</w:t>
            </w:r>
            <w:r>
              <w:rPr>
                <w:rFonts w:ascii="Helvetica" w:hAnsi="Helvetica" w:cs="Helvetica"/>
                <w:sz w:val="18"/>
                <w:szCs w:val="18"/>
              </w:rPr>
              <w:t xml:space="preserve"> Terash. 1968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52" w:history="1">
              <w:r>
                <w:rPr>
                  <w:rFonts w:ascii="Helvetica" w:hAnsi="Helvetica" w:cs="Helvetica"/>
                  <w:i/>
                  <w:sz w:val="18"/>
                  <w:szCs w:val="18"/>
                </w:rPr>
                <w:t>Camarosporium</w:t>
              </w:r>
            </w:hyperlink>
            <w:r>
              <w:rPr>
                <w:rFonts w:ascii="Helvetica" w:hAnsi="Helvetica" w:cs="Helvetica"/>
                <w:i/>
                <w:sz w:val="18"/>
                <w:szCs w:val="18"/>
              </w:rPr>
              <w:t xml:space="preserve"> viniferum</w:t>
            </w:r>
            <w:r>
              <w:rPr>
                <w:rFonts w:ascii="Helvetica" w:hAnsi="Helvetica" w:cs="Helvetica"/>
                <w:sz w:val="18"/>
                <w:szCs w:val="18"/>
              </w:rPr>
              <w:t xml:space="preserve"> S. Ahmad [Botryosphaeriales: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species occurs on </w:t>
            </w:r>
            <w:r>
              <w:rPr>
                <w:rFonts w:ascii="Helvetica" w:hAnsi="Helvetica" w:cs="Helvetica"/>
                <w:i/>
                <w:iCs/>
                <w:sz w:val="18"/>
                <w:szCs w:val="18"/>
              </w:rPr>
              <w:t xml:space="preserve">Vitis </w:t>
            </w:r>
            <w:r>
              <w:rPr>
                <w:rFonts w:ascii="Helvetica" w:hAnsi="Helvetica" w:cs="Helvetica"/>
                <w:sz w:val="18"/>
                <w:szCs w:val="18"/>
              </w:rPr>
              <w:t>branches (Farr and Rossman 2011).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(Farr and Rossman 2011) and may spread naturally in infected propagative material. Therefore, this fungus has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There is no evidence that this species has the potential for economic consequences.</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Campylocarpon fasciculare</w:t>
            </w:r>
            <w:r>
              <w:rPr>
                <w:rFonts w:ascii="Helvetica" w:hAnsi="Helvetica" w:cs="Helvetica"/>
                <w:sz w:val="18"/>
                <w:szCs w:val="18"/>
              </w:rPr>
              <w:t xml:space="preserve"> Schroers </w:t>
            </w:r>
            <w:r>
              <w:rPr>
                <w:rFonts w:ascii="Helvetica" w:hAnsi="Helvetica" w:cs="Helvetica"/>
                <w:i/>
                <w:sz w:val="18"/>
                <w:szCs w:val="18"/>
              </w:rPr>
              <w:t>et al</w:t>
            </w:r>
            <w:r>
              <w:rPr>
                <w:rFonts w:ascii="Helvetica" w:hAnsi="Helvetica" w:cs="Helvetica"/>
                <w:sz w:val="18"/>
                <w:szCs w:val="18"/>
              </w:rPr>
              <w:t>.</w:t>
            </w:r>
            <w:r>
              <w:rPr>
                <w:rFonts w:ascii="Helvetica" w:hAnsi="Helvetica" w:cs="Helvetica"/>
                <w:i/>
                <w:sz w:val="18"/>
                <w:szCs w:val="18"/>
              </w:rPr>
              <w:t xml:space="preserve"> </w:t>
            </w:r>
            <w:r>
              <w:rPr>
                <w:rFonts w:ascii="Helvetica" w:hAnsi="Helvetica" w:cs="Helvetica"/>
                <w:sz w:val="18"/>
                <w:szCs w:val="18"/>
              </w:rPr>
              <w:t>[Hypocreales: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species are associated with grapevine roots causing sunken necrotic root lesions (Halleen </w:t>
            </w:r>
            <w:r>
              <w:rPr>
                <w:rFonts w:ascii="Helvetica" w:hAnsi="Helvetica" w:cs="Helvetica"/>
                <w:i/>
                <w:sz w:val="18"/>
                <w:szCs w:val="18"/>
              </w:rPr>
              <w:t>et al</w:t>
            </w:r>
            <w:r>
              <w:rPr>
                <w:rFonts w:ascii="Helvetica" w:hAnsi="Helvetica" w:cs="Helvetica"/>
                <w:sz w:val="18"/>
                <w:szCs w:val="18"/>
              </w:rPr>
              <w:t>. 2006a). Therefore, root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Campylocarpon pseudofasciculare</w:t>
            </w:r>
            <w:r>
              <w:rPr>
                <w:rFonts w:ascii="Helvetica" w:hAnsi="Helvetica" w:cs="Helvetica"/>
                <w:sz w:val="18"/>
                <w:szCs w:val="18"/>
              </w:rPr>
              <w:t xml:space="preserve"> Halleen </w:t>
            </w:r>
            <w:r>
              <w:rPr>
                <w:rFonts w:ascii="Helvetica" w:hAnsi="Helvetica" w:cs="Helvetica"/>
                <w:i/>
                <w:sz w:val="18"/>
                <w:szCs w:val="18"/>
              </w:rPr>
              <w:t>et al</w:t>
            </w:r>
            <w:r>
              <w:rPr>
                <w:rFonts w:ascii="Helvetica" w:hAnsi="Helvetica" w:cs="Helvetica"/>
                <w:sz w:val="18"/>
                <w:szCs w:val="18"/>
              </w:rPr>
              <w:t>.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53" w:history="1">
              <w:r>
                <w:rPr>
                  <w:rFonts w:ascii="Helvetica" w:hAnsi="Helvetica" w:cs="Helvetica"/>
                  <w:i/>
                  <w:sz w:val="18"/>
                  <w:szCs w:val="18"/>
                </w:rPr>
                <w:t>Capnodinula</w:t>
              </w:r>
            </w:hyperlink>
            <w:r>
              <w:rPr>
                <w:rFonts w:ascii="Helvetica" w:hAnsi="Helvetica" w:cs="Helvetica"/>
                <w:i/>
                <w:sz w:val="18"/>
                <w:szCs w:val="18"/>
              </w:rPr>
              <w:t xml:space="preserve"> tonduzii</w:t>
            </w:r>
            <w:r>
              <w:rPr>
                <w:rFonts w:ascii="Helvetica" w:hAnsi="Helvetica" w:cs="Helvetica"/>
                <w:sz w:val="18"/>
                <w:szCs w:val="18"/>
              </w:rPr>
              <w:t xml:space="preserve"> Speg. [Incertae sedis: Pseudoperisporiaceae]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report on </w:t>
            </w:r>
            <w:r>
              <w:rPr>
                <w:rFonts w:ascii="Helvetica" w:hAnsi="Helvetica" w:cs="Helvetica"/>
                <w:i/>
                <w:sz w:val="18"/>
                <w:szCs w:val="18"/>
              </w:rPr>
              <w:t xml:space="preserve">Vitis </w:t>
            </w:r>
            <w:r>
              <w:rPr>
                <w:rFonts w:ascii="Helvetica" w:hAnsi="Helvetica" w:cs="Helvetica"/>
                <w:sz w:val="18"/>
                <w:szCs w:val="18"/>
              </w:rPr>
              <w:t>species from Costa Rica in 1973 (Farr and Rossman 2011), it has not been reported from any other country, indicating that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54" w:history="1">
              <w:r>
                <w:rPr>
                  <w:rFonts w:ascii="Helvetica" w:hAnsi="Helvetica" w:cs="Helvetica"/>
                  <w:i/>
                  <w:sz w:val="18"/>
                  <w:szCs w:val="18"/>
                </w:rPr>
                <w:t>Capnodium</w:t>
              </w:r>
            </w:hyperlink>
            <w:r>
              <w:rPr>
                <w:rFonts w:ascii="Helvetica" w:hAnsi="Helvetica" w:cs="Helvetica"/>
                <w:i/>
                <w:sz w:val="18"/>
                <w:szCs w:val="18"/>
              </w:rPr>
              <w:t xml:space="preserve"> elongatum</w:t>
            </w:r>
            <w:r>
              <w:rPr>
                <w:rFonts w:ascii="Helvetica" w:hAnsi="Helvetica" w:cs="Helvetica"/>
                <w:sz w:val="18"/>
                <w:szCs w:val="18"/>
              </w:rPr>
              <w:t xml:space="preserve"> Berk. &amp; Desm. [Capnodiales: Capnodiaceae]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occurs on leaves (Farr and Rossman 2011).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55" w:history="1">
              <w:r>
                <w:rPr>
                  <w:rFonts w:ascii="Helvetica" w:hAnsi="Helvetica" w:cs="Helvetica"/>
                  <w:i/>
                  <w:sz w:val="18"/>
                  <w:szCs w:val="18"/>
                </w:rPr>
                <w:t>Capnodium</w:t>
              </w:r>
            </w:hyperlink>
            <w:r>
              <w:rPr>
                <w:rFonts w:ascii="Helvetica" w:hAnsi="Helvetica" w:cs="Helvetica"/>
                <w:i/>
                <w:sz w:val="18"/>
                <w:szCs w:val="18"/>
              </w:rPr>
              <w:t xml:space="preserve"> salicinum</w:t>
            </w:r>
            <w:r>
              <w:rPr>
                <w:rFonts w:ascii="Helvetica" w:hAnsi="Helvetica" w:cs="Helvetica"/>
                <w:sz w:val="18"/>
                <w:szCs w:val="18"/>
              </w:rPr>
              <w:t xml:space="preserve"> Mont [Capnodiales: Capnodiaceae]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hyperlink r:id="rId56" w:history="1">
              <w:r>
                <w:rPr>
                  <w:rFonts w:ascii="Helvetica" w:hAnsi="Helvetica" w:cs="Helvetica"/>
                  <w:i/>
                  <w:sz w:val="18"/>
                  <w:szCs w:val="18"/>
                  <w:lang w:val="de-DE"/>
                </w:rPr>
                <w:t>Capronia</w:t>
              </w:r>
            </w:hyperlink>
            <w:r>
              <w:rPr>
                <w:rFonts w:ascii="Helvetica" w:hAnsi="Helvetica" w:cs="Helvetica"/>
                <w:i/>
                <w:sz w:val="18"/>
                <w:szCs w:val="18"/>
                <w:lang w:val="de-DE"/>
              </w:rPr>
              <w:t xml:space="preserve"> mansonii </w:t>
            </w:r>
            <w:r>
              <w:rPr>
                <w:rFonts w:ascii="Helvetica" w:hAnsi="Helvetica" w:cs="Helvetica"/>
                <w:sz w:val="18"/>
                <w:szCs w:val="18"/>
                <w:lang w:val="de-DE"/>
              </w:rPr>
              <w:t xml:space="preserve">(Schol-Schwarz) Müller </w:t>
            </w:r>
            <w:r>
              <w:rPr>
                <w:rFonts w:ascii="Helvetica" w:hAnsi="Helvetica" w:cs="Helvetica"/>
                <w:i/>
                <w:sz w:val="18"/>
                <w:szCs w:val="18"/>
                <w:lang w:val="de-DE"/>
              </w:rPr>
              <w:t>et al</w:t>
            </w:r>
            <w:r>
              <w:rPr>
                <w:rFonts w:ascii="Helvetica" w:hAnsi="Helvetica" w:cs="Helvetica"/>
                <w:sz w:val="18"/>
                <w:szCs w:val="18"/>
                <w:lang w:val="de-DE"/>
              </w:rPr>
              <w:t>. [Chaetothyriales: Herpotrichiellaceae]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occurs on leaves (Farr and Rossman 2011).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Cephalotrichum microsporum</w:t>
            </w:r>
            <w:r>
              <w:rPr>
                <w:rFonts w:ascii="Helvetica" w:hAnsi="Helvetica" w:cs="Helvetica"/>
                <w:sz w:val="18"/>
                <w:szCs w:val="18"/>
              </w:rPr>
              <w:t xml:space="preserve"> (Sacc.) PM Kirk [Microascales: Microascaceae] (synonym: </w:t>
            </w:r>
            <w:r>
              <w:rPr>
                <w:rFonts w:ascii="Helvetica" w:hAnsi="Helvetica" w:cs="Helvetica"/>
                <w:i/>
                <w:sz w:val="18"/>
                <w:szCs w:val="18"/>
              </w:rPr>
              <w:t xml:space="preserve">Doratomyces microsporus </w:t>
            </w:r>
            <w:r>
              <w:rPr>
                <w:rFonts w:ascii="Helvetica" w:hAnsi="Helvetica" w:cs="Helvetica"/>
                <w:sz w:val="18"/>
                <w:szCs w:val="18"/>
              </w:rPr>
              <w:t>(Sacc.) F.J. Morton &amp; G. Sm.)</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(Eicker 1973;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pct5" w:color="auto" w:fill="auto"/>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pct5"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Cephalotrichum stemonitis</w:t>
            </w:r>
            <w:r>
              <w:rPr>
                <w:rFonts w:ascii="Helvetica" w:hAnsi="Helvetica" w:cs="Helvetica"/>
                <w:sz w:val="18"/>
                <w:szCs w:val="18"/>
              </w:rPr>
              <w:t xml:space="preserve"> (Pers.) Nees [Microascales: Microascaceae]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Cercospora coryneoides</w:t>
            </w:r>
            <w:r>
              <w:rPr>
                <w:rFonts w:ascii="Helvetica" w:hAnsi="Helvetica" w:cs="Helvetica"/>
                <w:sz w:val="18"/>
                <w:szCs w:val="18"/>
              </w:rPr>
              <w:t xml:space="preserve"> Săvul. &amp; Rayss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w:t>
            </w:r>
            <w:r>
              <w:rPr>
                <w:rFonts w:ascii="Helvetica" w:hAnsi="Helvetica" w:cs="Helvetica"/>
                <w:i/>
                <w:sz w:val="18"/>
                <w:szCs w:val="18"/>
              </w:rPr>
              <w:t xml:space="preserve">Cercospora </w:t>
            </w:r>
            <w:r>
              <w:rPr>
                <w:rFonts w:ascii="Helvetica" w:hAnsi="Helvetica" w:cs="Helvetica"/>
                <w:sz w:val="18"/>
                <w:szCs w:val="18"/>
              </w:rPr>
              <w:t xml:space="preserve">species have been recorded on </w:t>
            </w:r>
            <w:r>
              <w:rPr>
                <w:rFonts w:ascii="Helvetica" w:hAnsi="Helvetica" w:cs="Helvetica"/>
                <w:i/>
                <w:sz w:val="18"/>
                <w:szCs w:val="18"/>
              </w:rPr>
              <w:t>Vitis</w:t>
            </w:r>
            <w:r>
              <w:rPr>
                <w:rFonts w:ascii="Helvetica" w:hAnsi="Helvetica" w:cs="Helvetica"/>
                <w:sz w:val="18"/>
                <w:szCs w:val="18"/>
              </w:rPr>
              <w:t xml:space="preserve"> species (Farr and Rossman 2011). Generally, </w:t>
            </w:r>
            <w:r>
              <w:rPr>
                <w:rFonts w:ascii="Helvetica" w:hAnsi="Helvetica" w:cs="Helvetica"/>
                <w:i/>
                <w:sz w:val="18"/>
                <w:szCs w:val="18"/>
              </w:rPr>
              <w:t xml:space="preserve">Cercospora </w:t>
            </w:r>
            <w:r>
              <w:rPr>
                <w:rFonts w:ascii="Helvetica" w:hAnsi="Helvetica" w:cs="Helvetica"/>
                <w:sz w:val="18"/>
                <w:szCs w:val="18"/>
              </w:rPr>
              <w:t xml:space="preserve">species occur on the leaves of host plants and cause leaf spot (Farr </w:t>
            </w:r>
            <w:r>
              <w:rPr>
                <w:rFonts w:ascii="Helvetica" w:hAnsi="Helvetica" w:cs="Helvetica"/>
                <w:i/>
                <w:sz w:val="18"/>
                <w:szCs w:val="18"/>
              </w:rPr>
              <w:t>et al</w:t>
            </w:r>
            <w:r>
              <w:rPr>
                <w:rFonts w:ascii="Helvetica" w:hAnsi="Helvetica" w:cs="Helvetica"/>
                <w:sz w:val="18"/>
                <w:szCs w:val="18"/>
              </w:rPr>
              <w:t>. 1989).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57" w:history="1">
              <w:r>
                <w:rPr>
                  <w:rFonts w:ascii="Helvetica" w:hAnsi="Helvetica" w:cs="Helvetica"/>
                  <w:i/>
                  <w:sz w:val="18"/>
                  <w:szCs w:val="18"/>
                </w:rPr>
                <w:t>Cercospora daspurensis</w:t>
              </w:r>
              <w:r>
                <w:rPr>
                  <w:rFonts w:ascii="Helvetica" w:hAnsi="Helvetica" w:cs="Helvetica"/>
                  <w:sz w:val="18"/>
                  <w:szCs w:val="18"/>
                </w:rPr>
                <w:t xml:space="preserve"> AK Kar &amp; M Mandal </w:t>
              </w:r>
            </w:hyperlink>
            <w:r>
              <w:rPr>
                <w:rFonts w:ascii="Helvetica" w:hAnsi="Helvetica" w:cs="Helvetica"/>
                <w:sz w:val="18"/>
                <w:szCs w:val="18"/>
              </w:rPr>
              <w:t>[Capnodiales: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Cercospora fuckelii</w:t>
            </w:r>
            <w:r>
              <w:rPr>
                <w:rFonts w:ascii="Helvetica" w:hAnsi="Helvetica" w:cs="Helvetica"/>
                <w:sz w:val="18"/>
                <w:szCs w:val="18"/>
              </w:rPr>
              <w:t xml:space="preserve"> (Thüm.) Jacz.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Cercospora judaica</w:t>
            </w:r>
            <w:r>
              <w:rPr>
                <w:rFonts w:ascii="Helvetica" w:hAnsi="Helvetica" w:cs="Helvetica"/>
                <w:sz w:val="18"/>
                <w:szCs w:val="18"/>
              </w:rPr>
              <w:t xml:space="preserve"> Rayss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Cercospora sessilis</w:t>
            </w:r>
            <w:r>
              <w:rPr>
                <w:rFonts w:ascii="Helvetica" w:hAnsi="Helvetica" w:cs="Helvetica"/>
                <w:sz w:val="18"/>
                <w:szCs w:val="18"/>
              </w:rPr>
              <w:t xml:space="preserve"> Sorokīn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Cercospora truncata </w:t>
            </w:r>
            <w:r>
              <w:rPr>
                <w:rFonts w:ascii="Helvetica" w:hAnsi="Helvetica" w:cs="Helvetica"/>
                <w:sz w:val="18"/>
                <w:szCs w:val="18"/>
              </w:rPr>
              <w:t>Ellis &amp; Everh.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Cercospora truncatella</w:t>
            </w:r>
            <w:r>
              <w:rPr>
                <w:rFonts w:ascii="Helvetica" w:hAnsi="Helvetica" w:cs="Helvetica"/>
                <w:sz w:val="18"/>
                <w:szCs w:val="18"/>
              </w:rPr>
              <w:t xml:space="preserve"> G.F Atk.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Cercospora vitiphylla</w:t>
            </w:r>
            <w:r>
              <w:rPr>
                <w:rFonts w:ascii="Helvetica" w:hAnsi="Helvetica" w:cs="Helvetica"/>
                <w:sz w:val="18"/>
                <w:szCs w:val="18"/>
              </w:rPr>
              <w:t xml:space="preserve"> (Speschnew) Barbarin.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Cercospora vitis-heterophyllae</w:t>
            </w:r>
            <w:r>
              <w:rPr>
                <w:rFonts w:ascii="Helvetica" w:hAnsi="Helvetica" w:cs="Helvetica"/>
                <w:sz w:val="18"/>
                <w:szCs w:val="18"/>
              </w:rPr>
              <w:t xml:space="preserve"> Hennings.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Cercospora vulpinae</w:t>
            </w:r>
            <w:r>
              <w:rPr>
                <w:rFonts w:ascii="Helvetica" w:hAnsi="Helvetica" w:cs="Helvetica"/>
                <w:sz w:val="18"/>
                <w:szCs w:val="18"/>
              </w:rPr>
              <w:t xml:space="preserve"> Ellis &amp; Kellerm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Cercosporidium vitis</w:t>
            </w:r>
            <w:r>
              <w:rPr>
                <w:rFonts w:ascii="Helvetica" w:hAnsi="Helvetica" w:cs="Helvetica"/>
                <w:sz w:val="18"/>
                <w:szCs w:val="18"/>
              </w:rPr>
              <w:t xml:space="preserve"> MS Patil &amp; Sawant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w:t>
            </w:r>
            <w:r>
              <w:rPr>
                <w:rFonts w:ascii="Helvetica" w:hAnsi="Helvetica" w:cs="Helvetica"/>
                <w:i/>
                <w:sz w:val="18"/>
                <w:szCs w:val="18"/>
              </w:rPr>
              <w:t xml:space="preserve">Cercosporidium </w:t>
            </w:r>
            <w:r>
              <w:rPr>
                <w:rFonts w:ascii="Helvetica" w:hAnsi="Helvetica" w:cs="Helvetica"/>
                <w:sz w:val="18"/>
                <w:szCs w:val="18"/>
              </w:rPr>
              <w:t>species are associated with foliage and cause late leaf spot in host plants (Meena 2010).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Chaetospermum chaetosporum</w:t>
            </w:r>
            <w:r>
              <w:rPr>
                <w:rFonts w:ascii="Helvetica" w:hAnsi="Helvetica" w:cs="Helvetica"/>
                <w:sz w:val="18"/>
                <w:szCs w:val="18"/>
              </w:rPr>
              <w:t xml:space="preserve"> (Pat.) AL Smith &amp; Ramsb.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(PHA 2001)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58" w:history="1">
              <w:r>
                <w:rPr>
                  <w:rFonts w:ascii="Helvetica" w:hAnsi="Helvetica" w:cs="Helvetica"/>
                  <w:i/>
                  <w:sz w:val="18"/>
                  <w:szCs w:val="18"/>
                </w:rPr>
                <w:t>Chalara</w:t>
              </w:r>
            </w:hyperlink>
            <w:r>
              <w:rPr>
                <w:rFonts w:ascii="Helvetica" w:hAnsi="Helvetica" w:cs="Helvetica"/>
                <w:i/>
                <w:sz w:val="18"/>
                <w:szCs w:val="18"/>
              </w:rPr>
              <w:t xml:space="preserve"> ampullula </w:t>
            </w:r>
            <w:r>
              <w:rPr>
                <w:rFonts w:ascii="Helvetica" w:hAnsi="Helvetica" w:cs="Helvetica"/>
                <w:sz w:val="18"/>
                <w:szCs w:val="18"/>
              </w:rPr>
              <w:t>(Sacc.) Sacc.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w:t>
            </w:r>
            <w:r>
              <w:rPr>
                <w:rFonts w:ascii="Helvetica" w:hAnsi="Helvetica" w:cs="Helvetica"/>
                <w:i/>
                <w:sz w:val="18"/>
                <w:szCs w:val="18"/>
              </w:rPr>
              <w:t xml:space="preserve">Chalara </w:t>
            </w:r>
            <w:r>
              <w:rPr>
                <w:rFonts w:ascii="Helvetica" w:hAnsi="Helvetica" w:cs="Helvetica"/>
                <w:sz w:val="18"/>
                <w:szCs w:val="18"/>
              </w:rPr>
              <w:t xml:space="preserve">species are associated with wood and dead leaves in other host plants (Farr </w:t>
            </w:r>
            <w:r>
              <w:rPr>
                <w:rFonts w:ascii="Helvetica" w:hAnsi="Helvetica" w:cs="Helvetica"/>
                <w:i/>
                <w:sz w:val="18"/>
                <w:szCs w:val="18"/>
              </w:rPr>
              <w:t xml:space="preserve">et al. </w:t>
            </w:r>
            <w:r>
              <w:rPr>
                <w:rFonts w:ascii="Helvetica" w:hAnsi="Helvetica" w:cs="Helvetica"/>
                <w:sz w:val="18"/>
                <w:szCs w:val="18"/>
              </w:rPr>
              <w:t>1989).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lang w:val="de-DE"/>
              </w:rPr>
              <w:t>Cladosporium asperulatum</w:t>
            </w:r>
            <w:r>
              <w:rPr>
                <w:rFonts w:ascii="Helvetica" w:hAnsi="Helvetica" w:cs="Helvetica"/>
                <w:sz w:val="18"/>
                <w:szCs w:val="18"/>
                <w:lang w:val="de-DE"/>
              </w:rPr>
              <w:t xml:space="preserve"> Bensch </w:t>
            </w:r>
            <w:r>
              <w:rPr>
                <w:rFonts w:ascii="Helvetica" w:hAnsi="Helvetica" w:cs="Helvetica"/>
                <w:i/>
                <w:sz w:val="18"/>
                <w:szCs w:val="18"/>
                <w:lang w:val="de-DE"/>
              </w:rPr>
              <w:t>et al</w:t>
            </w:r>
            <w:r>
              <w:rPr>
                <w:rFonts w:ascii="Helvetica" w:hAnsi="Helvetica" w:cs="Helvetica"/>
                <w:sz w:val="18"/>
                <w:szCs w:val="18"/>
                <w:lang w:val="de-DE"/>
              </w:rPr>
              <w:t xml:space="preserve">. </w:t>
            </w:r>
            <w:r>
              <w:rPr>
                <w:rFonts w:ascii="Helvetica" w:hAnsi="Helvetica" w:cs="Helvetica"/>
                <w:sz w:val="18"/>
                <w:szCs w:val="18"/>
              </w:rPr>
              <w:t>[Capnodiales: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i/>
                <w:sz w:val="18"/>
                <w:szCs w:val="18"/>
              </w:rPr>
              <w:t>Cladosporium</w:t>
            </w:r>
            <w:r>
              <w:rPr>
                <w:rFonts w:ascii="Helvetica" w:hAnsi="Helvetica" w:cs="Helvetica"/>
                <w:sz w:val="18"/>
                <w:szCs w:val="18"/>
              </w:rPr>
              <w:t xml:space="preserve"> species are saprobic on dead plant material (Farr </w:t>
            </w:r>
            <w:r>
              <w:rPr>
                <w:rFonts w:ascii="Helvetica" w:hAnsi="Helvetica" w:cs="Helvetica"/>
                <w:i/>
                <w:iCs/>
                <w:sz w:val="18"/>
                <w:szCs w:val="18"/>
              </w:rPr>
              <w:t>et al</w:t>
            </w:r>
            <w:r>
              <w:rPr>
                <w:rFonts w:ascii="Helvetica" w:hAnsi="Helvetica" w:cs="Helvetica"/>
                <w:sz w:val="18"/>
                <w:szCs w:val="18"/>
              </w:rPr>
              <w:t>. 1989), are associated with foliage and cause leaf spot (Pearson and Goheen 1988; Farr and Rossman 2011) or are associated with canes (Pearson and Goheen 1988). Therefore, dormant cuttings may provide a pathway for these fungi.</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fungi have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(Farr and Rossman 2011) and may spread naturally in infected propagative material. Therefore, these fungi have the potential for establishment and spread in Australia.</w:t>
            </w:r>
          </w:p>
        </w:tc>
        <w:tc>
          <w:tcPr>
            <w:tcW w:w="2863"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Cladosporium</w:t>
            </w:r>
            <w:r>
              <w:rPr>
                <w:rFonts w:ascii="Helvetica" w:hAnsi="Helvetica" w:cs="Helvetica"/>
                <w:sz w:val="18"/>
                <w:szCs w:val="18"/>
              </w:rPr>
              <w:t xml:space="preserve"> species cause minor foliage diseases or fruit rot in storage (Pearson and Goheen 1988). Two </w:t>
            </w:r>
            <w:r>
              <w:rPr>
                <w:rFonts w:ascii="Helvetica" w:hAnsi="Helvetica" w:cs="Helvetica"/>
                <w:i/>
                <w:sz w:val="18"/>
                <w:szCs w:val="18"/>
              </w:rPr>
              <w:t>Caldopsorium</w:t>
            </w:r>
            <w:r>
              <w:rPr>
                <w:rFonts w:ascii="Helvetica" w:hAnsi="Helvetica" w:cs="Helvetica"/>
                <w:sz w:val="18"/>
                <w:szCs w:val="18"/>
              </w:rPr>
              <w:t xml:space="preserve"> species (</w:t>
            </w:r>
            <w:r>
              <w:rPr>
                <w:rFonts w:ascii="Helvetica" w:hAnsi="Helvetica" w:cs="Helvetica"/>
                <w:i/>
                <w:sz w:val="18"/>
                <w:szCs w:val="18"/>
              </w:rPr>
              <w:t>C. cladosporioides</w:t>
            </w:r>
            <w:r>
              <w:rPr>
                <w:rFonts w:ascii="Helvetica" w:hAnsi="Helvetica" w:cs="Helvetica"/>
                <w:sz w:val="18"/>
                <w:szCs w:val="18"/>
              </w:rPr>
              <w:t xml:space="preserve"> and </w:t>
            </w:r>
            <w:r>
              <w:rPr>
                <w:rFonts w:ascii="Helvetica" w:hAnsi="Helvetica" w:cs="Helvetica"/>
                <w:i/>
                <w:sz w:val="18"/>
                <w:szCs w:val="18"/>
              </w:rPr>
              <w:t>C. herbarum</w:t>
            </w:r>
            <w:r>
              <w:rPr>
                <w:rFonts w:ascii="Helvetica" w:hAnsi="Helvetica" w:cs="Helvetica"/>
                <w:sz w:val="18"/>
                <w:szCs w:val="18"/>
              </w:rPr>
              <w:t xml:space="preserve">) associated with berry rot causing yield losses and reducing wine quality (Briceño and Latorre 2008) are present in Australia. These species are not associated with berry rot (Briceño and Latorre 2008) and are therefore not economically important. </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Cladosporium autumnale</w:t>
            </w:r>
            <w:r>
              <w:rPr>
                <w:rFonts w:ascii="Helvetica" w:hAnsi="Helvetica" w:cs="Helvetica"/>
                <w:sz w:val="18"/>
                <w:szCs w:val="18"/>
                <w:lang w:val="de-DE"/>
              </w:rPr>
              <w:t xml:space="preserve"> Kübler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baccae</w:t>
            </w:r>
            <w:r>
              <w:rPr>
                <w:rFonts w:ascii="Helvetica" w:hAnsi="Helvetica" w:cs="Helvetica"/>
                <w:sz w:val="18"/>
                <w:szCs w:val="18"/>
              </w:rPr>
              <w:t xml:space="preserve"> Verwoerd &amp; Dippen.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cladosporioides</w:t>
            </w:r>
            <w:r>
              <w:rPr>
                <w:rFonts w:ascii="Helvetica" w:hAnsi="Helvetica" w:cs="Helvetica"/>
                <w:sz w:val="18"/>
                <w:szCs w:val="18"/>
              </w:rPr>
              <w:t xml:space="preserve"> (Fresen.) G.A. de Vries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fasciculatum</w:t>
            </w:r>
            <w:r>
              <w:rPr>
                <w:rFonts w:ascii="Helvetica" w:hAnsi="Helvetica" w:cs="Helvetica"/>
                <w:sz w:val="18"/>
                <w:szCs w:val="18"/>
              </w:rPr>
              <w:t xml:space="preserve"> Corda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i/>
                <w:sz w:val="18"/>
                <w:szCs w:val="18"/>
              </w:rPr>
              <w:t>Cladosporium</w:t>
            </w:r>
            <w:r>
              <w:rPr>
                <w:rFonts w:ascii="Helvetica" w:hAnsi="Helvetica" w:cs="Helvetica"/>
                <w:sz w:val="18"/>
                <w:szCs w:val="18"/>
              </w:rPr>
              <w:t xml:space="preserve"> species are saprobic on dead plant material (Farr </w:t>
            </w:r>
            <w:r>
              <w:rPr>
                <w:rFonts w:ascii="Helvetica" w:hAnsi="Helvetica" w:cs="Helvetica"/>
                <w:i/>
                <w:iCs/>
                <w:sz w:val="18"/>
                <w:szCs w:val="18"/>
              </w:rPr>
              <w:t>et al</w:t>
            </w:r>
            <w:r>
              <w:rPr>
                <w:rFonts w:ascii="Helvetica" w:hAnsi="Helvetica" w:cs="Helvetica"/>
                <w:sz w:val="18"/>
                <w:szCs w:val="18"/>
              </w:rPr>
              <w:t>. 1989), are associated with foliage and cause leaf spot (Pearson and Goheen 1988; Farr and Rossman 2011) or are associated with canes (Pearson and Goheen 1988).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i/>
                <w:sz w:val="18"/>
                <w:szCs w:val="18"/>
              </w:rPr>
              <w:t>Cladosporium</w:t>
            </w:r>
            <w:r>
              <w:rPr>
                <w:rFonts w:ascii="Helvetica" w:hAnsi="Helvetica" w:cs="Helvetica"/>
                <w:sz w:val="18"/>
                <w:szCs w:val="18"/>
              </w:rPr>
              <w:t xml:space="preserve"> species have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(Farr and Rossman 2011) and may spread naturally in infected propagative material. Therefore, these fungi have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Cladosporium</w:t>
            </w:r>
            <w:r>
              <w:rPr>
                <w:rFonts w:ascii="Helvetica" w:hAnsi="Helvetica" w:cs="Helvetica"/>
                <w:sz w:val="18"/>
                <w:szCs w:val="18"/>
              </w:rPr>
              <w:t xml:space="preserve"> species cause minor foliage diseases or fruit rot in storage (Pearson and Goheen 1988). The two </w:t>
            </w:r>
            <w:r>
              <w:rPr>
                <w:rFonts w:ascii="Helvetica" w:hAnsi="Helvetica" w:cs="Helvetica"/>
                <w:i/>
                <w:sz w:val="18"/>
                <w:szCs w:val="18"/>
              </w:rPr>
              <w:t>Cladopsorium</w:t>
            </w:r>
            <w:r>
              <w:rPr>
                <w:rFonts w:ascii="Helvetica" w:hAnsi="Helvetica" w:cs="Helvetica"/>
                <w:sz w:val="18"/>
                <w:szCs w:val="18"/>
              </w:rPr>
              <w:t xml:space="preserve"> species (</w:t>
            </w:r>
            <w:r>
              <w:rPr>
                <w:rFonts w:ascii="Helvetica" w:hAnsi="Helvetica" w:cs="Helvetica"/>
                <w:i/>
                <w:sz w:val="18"/>
                <w:szCs w:val="18"/>
              </w:rPr>
              <w:t>C. cladosporioides</w:t>
            </w:r>
            <w:r>
              <w:rPr>
                <w:rFonts w:ascii="Helvetica" w:hAnsi="Helvetica" w:cs="Helvetica"/>
                <w:sz w:val="18"/>
                <w:szCs w:val="18"/>
              </w:rPr>
              <w:t xml:space="preserve"> and </w:t>
            </w:r>
            <w:r>
              <w:rPr>
                <w:rFonts w:ascii="Helvetica" w:hAnsi="Helvetica" w:cs="Helvetica"/>
                <w:i/>
                <w:sz w:val="18"/>
                <w:szCs w:val="18"/>
              </w:rPr>
              <w:t>C. herbarum</w:t>
            </w:r>
            <w:r>
              <w:rPr>
                <w:rFonts w:ascii="Helvetica" w:hAnsi="Helvetica" w:cs="Helvetica"/>
                <w:sz w:val="18"/>
                <w:szCs w:val="18"/>
              </w:rPr>
              <w:t xml:space="preserve">) associated with berry rot, causing yield losses and reducing wine quality (Briceño and Latorre 2008), are present in Australia. </w:t>
            </w:r>
            <w:r>
              <w:rPr>
                <w:rFonts w:ascii="Helvetica" w:hAnsi="Helvetica" w:cs="Helvetica"/>
                <w:i/>
                <w:sz w:val="18"/>
                <w:szCs w:val="18"/>
              </w:rPr>
              <w:t xml:space="preserve">C. fasciculatum </w:t>
            </w:r>
            <w:r>
              <w:rPr>
                <w:rFonts w:ascii="Helvetica" w:hAnsi="Helvetica" w:cs="Helvetica"/>
                <w:sz w:val="18"/>
                <w:szCs w:val="18"/>
              </w:rPr>
              <w:t xml:space="preserve">is not associated with berry rot (Briceño and Latorre 2008) and is therefore not economically important. </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herbarum</w:t>
            </w:r>
            <w:r>
              <w:rPr>
                <w:rFonts w:ascii="Helvetica" w:hAnsi="Helvetica" w:cs="Helvetica"/>
                <w:sz w:val="18"/>
                <w:szCs w:val="18"/>
              </w:rPr>
              <w:t xml:space="preserve"> (Pers.) Link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Cook and Dubé</w:t>
            </w:r>
            <w:r>
              <w:rPr>
                <w:rFonts w:ascii="Helvetica" w:hAnsi="Helvetica" w:cs="Helvetica"/>
                <w:sz w:val="18"/>
                <w:szCs w:val="18"/>
              </w:rPr>
              <w:t xml:space="preserve">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longipes</w:t>
            </w:r>
            <w:r>
              <w:rPr>
                <w:rFonts w:ascii="Helvetica" w:hAnsi="Helvetica" w:cs="Helvetica"/>
                <w:sz w:val="18"/>
                <w:szCs w:val="18"/>
              </w:rPr>
              <w:t xml:space="preserve"> Sorokīn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records found</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i/>
                <w:sz w:val="18"/>
                <w:szCs w:val="18"/>
              </w:rPr>
              <w:t>Cladosporium</w:t>
            </w:r>
            <w:r>
              <w:rPr>
                <w:rFonts w:ascii="Helvetica" w:hAnsi="Helvetica" w:cs="Helvetica"/>
                <w:sz w:val="18"/>
                <w:szCs w:val="18"/>
              </w:rPr>
              <w:t xml:space="preserve"> species are saprobic on dead plant material (Farr </w:t>
            </w:r>
            <w:r>
              <w:rPr>
                <w:rFonts w:ascii="Helvetica" w:hAnsi="Helvetica" w:cs="Helvetica"/>
                <w:i/>
                <w:iCs/>
                <w:sz w:val="18"/>
                <w:szCs w:val="18"/>
              </w:rPr>
              <w:t>et al</w:t>
            </w:r>
            <w:r>
              <w:rPr>
                <w:rFonts w:ascii="Helvetica" w:hAnsi="Helvetica" w:cs="Helvetica"/>
                <w:sz w:val="18"/>
                <w:szCs w:val="18"/>
              </w:rPr>
              <w:t>. 1989), are associated with foliage and cause leaf spot (Pearson and Goheen 1988; Farr and Rossman 2011) or are associated with canes (Pearson and Goheen 1988).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i/>
                <w:sz w:val="18"/>
                <w:szCs w:val="18"/>
              </w:rPr>
              <w:t>Cladosporium</w:t>
            </w:r>
            <w:r>
              <w:rPr>
                <w:rFonts w:ascii="Helvetica" w:hAnsi="Helvetica" w:cs="Helvetica"/>
                <w:sz w:val="18"/>
                <w:szCs w:val="18"/>
              </w:rPr>
              <w:t xml:space="preserve"> species have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(Farr and Rossman 2011) and may spread naturally in infected propagative material. Therefore, these fungi have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Cladosporium</w:t>
            </w:r>
            <w:r>
              <w:rPr>
                <w:rFonts w:ascii="Helvetica" w:hAnsi="Helvetica" w:cs="Helvetica"/>
                <w:sz w:val="18"/>
                <w:szCs w:val="18"/>
              </w:rPr>
              <w:t xml:space="preserve"> species cause minor foliage diseases or fruit rot in storage (Pearson and Goheen 1988). The two </w:t>
            </w:r>
            <w:r>
              <w:rPr>
                <w:rFonts w:ascii="Helvetica" w:hAnsi="Helvetica" w:cs="Helvetica"/>
                <w:i/>
                <w:sz w:val="18"/>
                <w:szCs w:val="18"/>
              </w:rPr>
              <w:t>Cladopsorium</w:t>
            </w:r>
            <w:r>
              <w:rPr>
                <w:rFonts w:ascii="Helvetica" w:hAnsi="Helvetica" w:cs="Helvetica"/>
                <w:sz w:val="18"/>
                <w:szCs w:val="18"/>
              </w:rPr>
              <w:t xml:space="preserve"> species (</w:t>
            </w:r>
            <w:r>
              <w:rPr>
                <w:rFonts w:ascii="Helvetica" w:hAnsi="Helvetica" w:cs="Helvetica"/>
                <w:i/>
                <w:sz w:val="18"/>
                <w:szCs w:val="18"/>
              </w:rPr>
              <w:t>C. cladosporioides</w:t>
            </w:r>
            <w:r>
              <w:rPr>
                <w:rFonts w:ascii="Helvetica" w:hAnsi="Helvetica" w:cs="Helvetica"/>
                <w:sz w:val="18"/>
                <w:szCs w:val="18"/>
              </w:rPr>
              <w:t xml:space="preserve"> and </w:t>
            </w:r>
            <w:r>
              <w:rPr>
                <w:rFonts w:ascii="Helvetica" w:hAnsi="Helvetica" w:cs="Helvetica"/>
                <w:i/>
                <w:sz w:val="18"/>
                <w:szCs w:val="18"/>
              </w:rPr>
              <w:t>C. herbarum</w:t>
            </w:r>
            <w:r>
              <w:rPr>
                <w:rFonts w:ascii="Helvetica" w:hAnsi="Helvetica" w:cs="Helvetica"/>
                <w:sz w:val="18"/>
                <w:szCs w:val="18"/>
              </w:rPr>
              <w:t xml:space="preserve">) associated with berry rot, causing yield losses and reducing wine quality (Briceño and Latorre 2008), are present in Australia. </w:t>
            </w:r>
            <w:r>
              <w:rPr>
                <w:rFonts w:ascii="Helvetica" w:hAnsi="Helvetica" w:cs="Helvetica"/>
                <w:i/>
                <w:sz w:val="18"/>
                <w:szCs w:val="18"/>
              </w:rPr>
              <w:t xml:space="preserve">C. longipes </w:t>
            </w:r>
            <w:r>
              <w:rPr>
                <w:rFonts w:ascii="Helvetica" w:hAnsi="Helvetica" w:cs="Helvetica"/>
                <w:sz w:val="18"/>
                <w:szCs w:val="18"/>
              </w:rPr>
              <w:t>is not associated with berry rot (Briceño and Latorre 2008) and is therefore not economically important.</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Cladosporium macrocarpum </w:t>
            </w:r>
            <w:r>
              <w:rPr>
                <w:rFonts w:ascii="Helvetica" w:hAnsi="Helvetica" w:cs="Helvetica"/>
                <w:sz w:val="18"/>
                <w:szCs w:val="18"/>
              </w:rPr>
              <w:t>Preuss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oxysporum</w:t>
            </w:r>
            <w:r>
              <w:rPr>
                <w:rFonts w:ascii="Helvetica" w:hAnsi="Helvetica" w:cs="Helvetica"/>
                <w:sz w:val="18"/>
                <w:szCs w:val="18"/>
              </w:rPr>
              <w:t xml:space="preserve"> Berk. &amp; M.A. Curtis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roesleri</w:t>
            </w:r>
            <w:r>
              <w:rPr>
                <w:rFonts w:ascii="Helvetica" w:hAnsi="Helvetica" w:cs="Helvetica"/>
                <w:sz w:val="18"/>
                <w:szCs w:val="18"/>
              </w:rPr>
              <w:t xml:space="preserve"> Catt.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records found</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i/>
                <w:sz w:val="18"/>
                <w:szCs w:val="18"/>
              </w:rPr>
              <w:t>Cladosporium</w:t>
            </w:r>
            <w:r>
              <w:rPr>
                <w:rFonts w:ascii="Helvetica" w:hAnsi="Helvetica" w:cs="Helvetica"/>
                <w:sz w:val="18"/>
                <w:szCs w:val="18"/>
              </w:rPr>
              <w:t xml:space="preserve"> species are saprobic on dead plant material (Farr </w:t>
            </w:r>
            <w:r>
              <w:rPr>
                <w:rFonts w:ascii="Helvetica" w:hAnsi="Helvetica" w:cs="Helvetica"/>
                <w:i/>
                <w:iCs/>
                <w:sz w:val="18"/>
                <w:szCs w:val="18"/>
              </w:rPr>
              <w:t>et al</w:t>
            </w:r>
            <w:r>
              <w:rPr>
                <w:rFonts w:ascii="Helvetica" w:hAnsi="Helvetica" w:cs="Helvetica"/>
                <w:sz w:val="18"/>
                <w:szCs w:val="18"/>
              </w:rPr>
              <w:t>. 1989), are associated with foliage and cause leaf spot (Pearson and Goheen 1988; Farr and Rossman 2011) or are associated with canes (Pearson and Goheen 1988).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i/>
                <w:sz w:val="18"/>
                <w:szCs w:val="18"/>
              </w:rPr>
              <w:t>Cladosporium</w:t>
            </w:r>
            <w:r>
              <w:rPr>
                <w:rFonts w:ascii="Helvetica" w:hAnsi="Helvetica" w:cs="Helvetica"/>
                <w:sz w:val="18"/>
                <w:szCs w:val="18"/>
              </w:rPr>
              <w:t xml:space="preserve"> species have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(Farr and Rossman 2011) and may spread naturally in infected propagative material. Therefore, these fungi have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Cladosporium</w:t>
            </w:r>
            <w:r>
              <w:rPr>
                <w:rFonts w:ascii="Helvetica" w:hAnsi="Helvetica" w:cs="Helvetica"/>
                <w:sz w:val="18"/>
                <w:szCs w:val="18"/>
              </w:rPr>
              <w:t xml:space="preserve"> species cause minor foliage diseases or fruit rot in storage (Pearson and Goheen 1988). The two </w:t>
            </w:r>
            <w:r>
              <w:rPr>
                <w:rFonts w:ascii="Helvetica" w:hAnsi="Helvetica" w:cs="Helvetica"/>
                <w:i/>
                <w:sz w:val="18"/>
                <w:szCs w:val="18"/>
              </w:rPr>
              <w:t>Cladopsorium</w:t>
            </w:r>
            <w:r>
              <w:rPr>
                <w:rFonts w:ascii="Helvetica" w:hAnsi="Helvetica" w:cs="Helvetica"/>
                <w:sz w:val="18"/>
                <w:szCs w:val="18"/>
              </w:rPr>
              <w:t xml:space="preserve"> species (</w:t>
            </w:r>
            <w:r>
              <w:rPr>
                <w:rFonts w:ascii="Helvetica" w:hAnsi="Helvetica" w:cs="Helvetica"/>
                <w:i/>
                <w:sz w:val="18"/>
                <w:szCs w:val="18"/>
              </w:rPr>
              <w:t>C. cladosporioides</w:t>
            </w:r>
            <w:r>
              <w:rPr>
                <w:rFonts w:ascii="Helvetica" w:hAnsi="Helvetica" w:cs="Helvetica"/>
                <w:sz w:val="18"/>
                <w:szCs w:val="18"/>
              </w:rPr>
              <w:t xml:space="preserve"> and </w:t>
            </w:r>
            <w:r>
              <w:rPr>
                <w:rFonts w:ascii="Helvetica" w:hAnsi="Helvetica" w:cs="Helvetica"/>
                <w:i/>
                <w:sz w:val="18"/>
                <w:szCs w:val="18"/>
              </w:rPr>
              <w:t>C. herbarum</w:t>
            </w:r>
            <w:r>
              <w:rPr>
                <w:rFonts w:ascii="Helvetica" w:hAnsi="Helvetica" w:cs="Helvetica"/>
                <w:sz w:val="18"/>
                <w:szCs w:val="18"/>
              </w:rPr>
              <w:t xml:space="preserve">) associated with berry rot, causing yield losses and reducing wine quality (Briceño and Latorre 2008), are present in Australia. </w:t>
            </w:r>
            <w:r>
              <w:rPr>
                <w:rFonts w:ascii="Helvetica" w:hAnsi="Helvetica" w:cs="Helvetica"/>
                <w:i/>
                <w:sz w:val="18"/>
                <w:szCs w:val="18"/>
              </w:rPr>
              <w:t xml:space="preserve">C. roesleri </w:t>
            </w:r>
            <w:r>
              <w:rPr>
                <w:rFonts w:ascii="Helvetica" w:hAnsi="Helvetica" w:cs="Helvetica"/>
                <w:sz w:val="18"/>
                <w:szCs w:val="18"/>
              </w:rPr>
              <w:t>is not associated with berry rot (Briceño and Latorre 2008) and is therefore not economically important.</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Cladosporium tenuissimum </w:t>
            </w:r>
            <w:r>
              <w:rPr>
                <w:rFonts w:ascii="Helvetica" w:hAnsi="Helvetica" w:cs="Helvetica"/>
                <w:sz w:val="18"/>
                <w:szCs w:val="18"/>
              </w:rPr>
              <w:t>Cooke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uvarum</w:t>
            </w:r>
            <w:r>
              <w:rPr>
                <w:rFonts w:ascii="Helvetica" w:hAnsi="Helvetica" w:cs="Helvetica"/>
                <w:sz w:val="18"/>
                <w:szCs w:val="18"/>
              </w:rPr>
              <w:t xml:space="preserve"> McAlpine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(Dugan </w:t>
            </w:r>
            <w:r>
              <w:rPr>
                <w:rFonts w:ascii="Helvetica" w:hAnsi="Helvetica" w:cs="Helvetica"/>
                <w:i/>
                <w:sz w:val="18"/>
                <w:szCs w:val="18"/>
              </w:rPr>
              <w:t>et al</w:t>
            </w:r>
            <w:r>
              <w:rPr>
                <w:rFonts w:ascii="Helvetica" w:hAnsi="Helvetica" w:cs="Helvetica"/>
                <w:sz w:val="18"/>
                <w:szCs w:val="18"/>
              </w:rPr>
              <w:t>. 2004)</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Cladosporium viticola</w:t>
            </w:r>
            <w:r>
              <w:rPr>
                <w:rFonts w:ascii="Helvetica" w:hAnsi="Helvetica" w:cs="Helvetica"/>
                <w:sz w:val="18"/>
                <w:szCs w:val="18"/>
              </w:rPr>
              <w:t xml:space="preserve"> Ces. [Capnodiales: Davidiellaceae]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records found</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i/>
                <w:sz w:val="18"/>
                <w:szCs w:val="18"/>
              </w:rPr>
              <w:t>Cladosporium</w:t>
            </w:r>
            <w:r>
              <w:rPr>
                <w:rFonts w:ascii="Helvetica" w:hAnsi="Helvetica" w:cs="Helvetica"/>
                <w:sz w:val="18"/>
                <w:szCs w:val="18"/>
              </w:rPr>
              <w:t xml:space="preserve"> species are saprobic on dead plant material (Farr </w:t>
            </w:r>
            <w:r>
              <w:rPr>
                <w:rFonts w:ascii="Helvetica" w:hAnsi="Helvetica" w:cs="Helvetica"/>
                <w:i/>
                <w:iCs/>
                <w:sz w:val="18"/>
                <w:szCs w:val="18"/>
              </w:rPr>
              <w:t>et al</w:t>
            </w:r>
            <w:r>
              <w:rPr>
                <w:rFonts w:ascii="Helvetica" w:hAnsi="Helvetica" w:cs="Helvetica"/>
                <w:sz w:val="18"/>
                <w:szCs w:val="18"/>
              </w:rPr>
              <w:t>. 1989), are associated with foliage and cause leaf spot (Pearson and Goheen 1988; Farr and Rossman 2011) or are associated with canes (Pearson and Goheen 1988).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i/>
                <w:sz w:val="18"/>
                <w:szCs w:val="18"/>
              </w:rPr>
              <w:t>Cladosporium</w:t>
            </w:r>
            <w:r>
              <w:rPr>
                <w:rFonts w:ascii="Helvetica" w:hAnsi="Helvetica" w:cs="Helvetica"/>
                <w:sz w:val="18"/>
                <w:szCs w:val="18"/>
              </w:rPr>
              <w:t xml:space="preserve"> species have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(Farr and Rossman 2011) and may spread naturally in infected propagative material. Therefore, these fungi have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Cladosporium</w:t>
            </w:r>
            <w:r>
              <w:rPr>
                <w:rFonts w:ascii="Helvetica" w:hAnsi="Helvetica" w:cs="Helvetica"/>
                <w:sz w:val="18"/>
                <w:szCs w:val="18"/>
              </w:rPr>
              <w:t xml:space="preserve"> species cause minor foliage diseases or fruit rot in storage (Pearson and Goheen 1988). The two </w:t>
            </w:r>
            <w:r>
              <w:rPr>
                <w:rFonts w:ascii="Helvetica" w:hAnsi="Helvetica" w:cs="Helvetica"/>
                <w:i/>
                <w:sz w:val="18"/>
                <w:szCs w:val="18"/>
              </w:rPr>
              <w:t>Cladopsorium</w:t>
            </w:r>
            <w:r>
              <w:rPr>
                <w:rFonts w:ascii="Helvetica" w:hAnsi="Helvetica" w:cs="Helvetica"/>
                <w:sz w:val="18"/>
                <w:szCs w:val="18"/>
              </w:rPr>
              <w:t xml:space="preserve"> species (</w:t>
            </w:r>
            <w:r>
              <w:rPr>
                <w:rFonts w:ascii="Helvetica" w:hAnsi="Helvetica" w:cs="Helvetica"/>
                <w:i/>
                <w:sz w:val="18"/>
                <w:szCs w:val="18"/>
              </w:rPr>
              <w:t>C. cladosporioides</w:t>
            </w:r>
            <w:r>
              <w:rPr>
                <w:rFonts w:ascii="Helvetica" w:hAnsi="Helvetica" w:cs="Helvetica"/>
                <w:sz w:val="18"/>
                <w:szCs w:val="18"/>
              </w:rPr>
              <w:t xml:space="preserve"> and </w:t>
            </w:r>
            <w:r>
              <w:rPr>
                <w:rFonts w:ascii="Helvetica" w:hAnsi="Helvetica" w:cs="Helvetica"/>
                <w:i/>
                <w:sz w:val="18"/>
                <w:szCs w:val="18"/>
              </w:rPr>
              <w:t>C. herbarum</w:t>
            </w:r>
            <w:r>
              <w:rPr>
                <w:rFonts w:ascii="Helvetica" w:hAnsi="Helvetica" w:cs="Helvetica"/>
                <w:sz w:val="18"/>
                <w:szCs w:val="18"/>
              </w:rPr>
              <w:t xml:space="preserve">) associated with berry rot, causing yield losses and reducing wine quality (Briceño and Latorre 2008), are present in Australia. </w:t>
            </w:r>
            <w:r>
              <w:rPr>
                <w:rFonts w:ascii="Helvetica" w:hAnsi="Helvetica" w:cs="Helvetica"/>
                <w:i/>
                <w:sz w:val="18"/>
                <w:szCs w:val="18"/>
              </w:rPr>
              <w:t xml:space="preserve">C. viticola </w:t>
            </w:r>
            <w:r>
              <w:rPr>
                <w:rFonts w:ascii="Helvetica" w:hAnsi="Helvetica" w:cs="Helvetica"/>
                <w:sz w:val="18"/>
                <w:szCs w:val="18"/>
              </w:rPr>
              <w:t>is not associated with berry rot (Briceño and Latorre 2008) and is therefore not economically important.</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Clathrospora turkestanica</w:t>
            </w:r>
            <w:r>
              <w:rPr>
                <w:rFonts w:ascii="Helvetica" w:hAnsi="Helvetica" w:cs="Helvetica"/>
                <w:sz w:val="18"/>
                <w:szCs w:val="18"/>
              </w:rPr>
              <w:t xml:space="preserve"> Domashova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report on </w:t>
            </w:r>
            <w:r>
              <w:rPr>
                <w:rFonts w:ascii="Helvetica" w:hAnsi="Helvetica" w:cs="Helvetica"/>
                <w:i/>
                <w:sz w:val="18"/>
                <w:szCs w:val="18"/>
              </w:rPr>
              <w:t xml:space="preserve">Vitis </w:t>
            </w:r>
            <w:r>
              <w:rPr>
                <w:rFonts w:ascii="Helvetica" w:hAnsi="Helvetica" w:cs="Helvetica"/>
                <w:sz w:val="18"/>
                <w:szCs w:val="18"/>
              </w:rPr>
              <w:t>species from Central Asia in 1973 (Farr and Rossman 2011), it has not been reported from any other country, indicating that grapevine propagative material does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Cochliobolus bicolor</w:t>
            </w:r>
            <w:r>
              <w:rPr>
                <w:rFonts w:ascii="Helvetica" w:hAnsi="Helvetica" w:cs="Helvetica"/>
                <w:sz w:val="18"/>
                <w:szCs w:val="18"/>
              </w:rPr>
              <w:t xml:space="preserve"> AR Paul &amp; Parbery [Pleosporales: Pleosporaceae]</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keepNext/>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keepNext/>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keepNext/>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keepNext/>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Cochliobolus geniculatus</w:t>
            </w:r>
            <w:r>
              <w:rPr>
                <w:rFonts w:ascii="Helvetica" w:hAnsi="Helvetica" w:cs="Helvetica"/>
                <w:sz w:val="18"/>
                <w:szCs w:val="18"/>
              </w:rPr>
              <w:t xml:space="preserve"> RR Nelson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59" w:history="1">
              <w:r>
                <w:rPr>
                  <w:rFonts w:ascii="Helvetica" w:hAnsi="Helvetica" w:cs="Helvetica"/>
                  <w:i/>
                  <w:sz w:val="18"/>
                  <w:szCs w:val="18"/>
                </w:rPr>
                <w:t>Colletotrichum</w:t>
              </w:r>
            </w:hyperlink>
            <w:r>
              <w:rPr>
                <w:rFonts w:ascii="Helvetica" w:hAnsi="Helvetica" w:cs="Helvetica"/>
                <w:i/>
                <w:sz w:val="18"/>
                <w:szCs w:val="18"/>
              </w:rPr>
              <w:t xml:space="preserve"> acutatum</w:t>
            </w:r>
            <w:r>
              <w:rPr>
                <w:rFonts w:ascii="Helvetica" w:hAnsi="Helvetica" w:cs="Helvetica"/>
                <w:sz w:val="18"/>
                <w:szCs w:val="18"/>
              </w:rPr>
              <w:t xml:space="preserve"> J.H. Simmonds [Incertae sedis: Glomerellaceae]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Whitelaw-Weckert</w:t>
            </w:r>
            <w:r>
              <w:rPr>
                <w:rFonts w:ascii="Helvetica" w:hAnsi="Helvetica" w:cs="Helvetica"/>
                <w:sz w:val="18"/>
                <w:szCs w:val="18"/>
              </w:rPr>
              <w:t xml:space="preserve"> </w:t>
            </w:r>
            <w:r>
              <w:rPr>
                <w:rFonts w:ascii="Helvetica" w:hAnsi="Helvetica" w:cs="Helvetica"/>
                <w:i/>
                <w:sz w:val="18"/>
                <w:szCs w:val="18"/>
              </w:rPr>
              <w:t>et al</w:t>
            </w:r>
            <w:r>
              <w:rPr>
                <w:rFonts w:ascii="Helvetica" w:hAnsi="Helvetica" w:cs="Helvetica"/>
                <w:sz w:val="18"/>
                <w:szCs w:val="18"/>
              </w:rPr>
              <w:t>. 2007a)</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Colletotrichum ampelinum</w:t>
            </w:r>
            <w:r>
              <w:rPr>
                <w:rFonts w:ascii="Helvetica" w:hAnsi="Helvetica" w:cs="Helvetica"/>
                <w:sz w:val="18"/>
                <w:szCs w:val="18"/>
              </w:rPr>
              <w:t xml:space="preserve"> Cavara [Incertae sedis: Glomerellaceae]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 xml:space="preserve">Colletotrichum </w:t>
            </w:r>
            <w:r>
              <w:rPr>
                <w:rFonts w:ascii="Helvetica" w:hAnsi="Helvetica" w:cs="Helvetica"/>
                <w:sz w:val="18"/>
                <w:szCs w:val="18"/>
              </w:rPr>
              <w:t xml:space="preserve">species are foliar pathogens (Mohanan 2005). This fungus is associated with grapevines, causing anthracnose in China (Anon 2005). Therefore, foliage free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Colletotrichum capsici</w:t>
            </w:r>
            <w:r>
              <w:rPr>
                <w:rFonts w:ascii="Helvetica" w:hAnsi="Helvetica" w:cs="Helvetica"/>
                <w:sz w:val="18"/>
                <w:szCs w:val="18"/>
              </w:rPr>
              <w:t xml:space="preserve"> (Syd. &amp; P. Syd.) E.J. Butler &amp; Bisby [Incertae sedis: Glomerellaceae]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(Shivas 1989)</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Colletotrichum crassipes</w:t>
            </w:r>
            <w:r>
              <w:rPr>
                <w:rFonts w:ascii="Helvetica" w:hAnsi="Helvetica" w:cs="Helvetica"/>
                <w:sz w:val="18"/>
                <w:szCs w:val="18"/>
              </w:rPr>
              <w:t xml:space="preserve"> (Speg.) Arx [Incertae sedis: Glomerellaceae]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Colletotrichum gloeosporioides</w:t>
            </w:r>
            <w:r>
              <w:rPr>
                <w:rFonts w:ascii="Helvetica" w:hAnsi="Helvetica" w:cs="Helvetica"/>
                <w:sz w:val="18"/>
                <w:szCs w:val="18"/>
              </w:rPr>
              <w:t xml:space="preserve"> (Penz.) Penz. &amp; Sacc. [Incertae sedis: Glomerellaceae]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(Shivas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Colletotrichum simmondsii</w:t>
            </w:r>
            <w:r>
              <w:rPr>
                <w:rFonts w:ascii="Helvetica" w:hAnsi="Helvetica" w:cs="Helvetica"/>
                <w:sz w:val="18"/>
                <w:szCs w:val="18"/>
              </w:rPr>
              <w:t xml:space="preserve"> RG Shivas &amp; YP Tan [Incertae sedis: Glomerellaceae]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(Shivas and Tan 2009)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60" w:history="1">
              <w:r>
                <w:rPr>
                  <w:rFonts w:ascii="Helvetica" w:hAnsi="Helvetica" w:cs="Helvetica"/>
                  <w:i/>
                  <w:sz w:val="18"/>
                  <w:szCs w:val="18"/>
                </w:rPr>
                <w:t>Coniella</w:t>
              </w:r>
            </w:hyperlink>
            <w:r>
              <w:rPr>
                <w:rFonts w:ascii="Helvetica" w:hAnsi="Helvetica" w:cs="Helvetica"/>
                <w:i/>
                <w:sz w:val="18"/>
                <w:szCs w:val="18"/>
              </w:rPr>
              <w:t xml:space="preserve"> castaneicola</w:t>
            </w:r>
            <w:r>
              <w:rPr>
                <w:rFonts w:ascii="Helvetica" w:hAnsi="Helvetica" w:cs="Helvetica"/>
                <w:sz w:val="18"/>
                <w:szCs w:val="18"/>
              </w:rPr>
              <w:t xml:space="preserve"> (Ellis &amp; Everh.) B. Sutton [Diaporthales: Schizoparmaceae]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Coniella diplodiella</w:t>
            </w:r>
            <w:r>
              <w:rPr>
                <w:rFonts w:ascii="Helvetica" w:hAnsi="Helvetica" w:cs="Helvetica"/>
                <w:sz w:val="18"/>
                <w:szCs w:val="18"/>
                <w:lang w:val="de-DE"/>
              </w:rPr>
              <w:t xml:space="preserve"> (Speg.) Petr. &amp; Syd. [Diaporthales: Schizoparmaceae]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Coniella fragariae</w:t>
            </w:r>
            <w:r>
              <w:rPr>
                <w:rFonts w:ascii="Helvetica" w:hAnsi="Helvetica" w:cs="Helvetica"/>
                <w:sz w:val="18"/>
                <w:szCs w:val="18"/>
              </w:rPr>
              <w:t xml:space="preserve"> (Oudem.) B. Sutton [Diaporthales: Schizoparmaceae]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Coniella granati</w:t>
            </w:r>
            <w:r>
              <w:rPr>
                <w:rFonts w:ascii="Helvetica" w:hAnsi="Helvetica" w:cs="Helvetica"/>
                <w:sz w:val="18"/>
                <w:szCs w:val="18"/>
              </w:rPr>
              <w:t xml:space="preserve"> (Sacc.) Petr. &amp; Syd. [Diaporthales: Schizoparmaceae]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Coniella petrakii </w:t>
            </w:r>
            <w:r>
              <w:rPr>
                <w:rFonts w:ascii="Helvetica" w:hAnsi="Helvetica" w:cs="Helvetica"/>
                <w:sz w:val="18"/>
                <w:szCs w:val="18"/>
              </w:rPr>
              <w:t>B. Sutton [Diaporthales: Schizoparmaceae]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soil-borne fungus has been recorded on </w:t>
            </w:r>
            <w:r>
              <w:rPr>
                <w:rFonts w:ascii="Helvetica" w:hAnsi="Helvetica" w:cs="Helvetica"/>
                <w:i/>
                <w:sz w:val="18"/>
                <w:szCs w:val="18"/>
              </w:rPr>
              <w:t xml:space="preserve">Vitis </w:t>
            </w:r>
            <w:r>
              <w:rPr>
                <w:rFonts w:ascii="Helvetica" w:hAnsi="Helvetica" w:cs="Helvetica"/>
                <w:sz w:val="18"/>
                <w:szCs w:val="18"/>
              </w:rPr>
              <w:t xml:space="preserve">species, causing white root rot (König </w:t>
            </w:r>
            <w:r>
              <w:rPr>
                <w:rFonts w:ascii="Helvetica" w:hAnsi="Helvetica" w:cs="Helvetica"/>
                <w:i/>
                <w:sz w:val="18"/>
                <w:szCs w:val="18"/>
              </w:rPr>
              <w:t xml:space="preserve">et al. </w:t>
            </w:r>
            <w:r>
              <w:rPr>
                <w:rFonts w:ascii="Helvetica" w:hAnsi="Helvetica" w:cs="Helvetica"/>
                <w:sz w:val="18"/>
                <w:szCs w:val="18"/>
              </w:rPr>
              <w:t>2009).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Assessment not required </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Corticium cremeoalbidum</w:t>
            </w:r>
            <w:r>
              <w:rPr>
                <w:rFonts w:ascii="Helvetica" w:hAnsi="Helvetica" w:cs="Helvetica"/>
                <w:sz w:val="18"/>
                <w:szCs w:val="18"/>
              </w:rPr>
              <w:t xml:space="preserve"> (MJ Larsen &amp; Nakasone) MJ Larsen [Corticiales: Corticiaceae] (synonym: </w:t>
            </w:r>
            <w:r>
              <w:rPr>
                <w:rFonts w:ascii="Helvetica" w:hAnsi="Helvetica" w:cs="Helvetica"/>
                <w:i/>
                <w:sz w:val="18"/>
                <w:szCs w:val="18"/>
              </w:rPr>
              <w:t xml:space="preserve">Laeticorticium cremeoalbidum </w:t>
            </w:r>
            <w:r>
              <w:rPr>
                <w:rFonts w:ascii="Helvetica" w:hAnsi="Helvetica" w:cs="Helvetica"/>
                <w:sz w:val="18"/>
                <w:szCs w:val="18"/>
              </w:rPr>
              <w:t>MJ Larsen &amp; Nakasone)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the wood of </w:t>
            </w:r>
            <w:r>
              <w:rPr>
                <w:rFonts w:ascii="Helvetica" w:hAnsi="Helvetica" w:cs="Helvetica"/>
                <w:i/>
                <w:sz w:val="18"/>
                <w:szCs w:val="18"/>
              </w:rPr>
              <w:t>Vitis</w:t>
            </w:r>
            <w:r>
              <w:rPr>
                <w:rFonts w:ascii="Helvetica" w:hAnsi="Helvetica" w:cs="Helvetica"/>
                <w:sz w:val="18"/>
                <w:szCs w:val="18"/>
              </w:rPr>
              <w:t xml:space="preserve"> species (CABI 2012b). There is no evidence that this species occurs on the young stems of grapevines.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Coryneopsis microsticta</w:t>
            </w:r>
            <w:r>
              <w:rPr>
                <w:rFonts w:ascii="Helvetica" w:hAnsi="Helvetica" w:cs="Helvetica"/>
                <w:sz w:val="18"/>
                <w:szCs w:val="18"/>
              </w:rPr>
              <w:t xml:space="preserve"> Grove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61" w:history="1">
              <w:r>
                <w:rPr>
                  <w:rFonts w:ascii="Helvetica" w:hAnsi="Helvetica" w:cs="Helvetica"/>
                  <w:i/>
                  <w:sz w:val="18"/>
                  <w:szCs w:val="18"/>
                </w:rPr>
                <w:t>Corynespora</w:t>
              </w:r>
            </w:hyperlink>
            <w:r>
              <w:rPr>
                <w:rFonts w:ascii="Helvetica" w:hAnsi="Helvetica" w:cs="Helvetica"/>
                <w:i/>
                <w:sz w:val="18"/>
                <w:szCs w:val="18"/>
              </w:rPr>
              <w:t xml:space="preserve"> calicioidea</w:t>
            </w:r>
            <w:r>
              <w:rPr>
                <w:rFonts w:ascii="Helvetica" w:hAnsi="Helvetica" w:cs="Helvetica"/>
                <w:sz w:val="18"/>
                <w:szCs w:val="18"/>
              </w:rPr>
              <w:t xml:space="preserve"> (Berk. &amp; Broome) M.B. Ellis [Pleosporales: Corynesporascaceae]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other </w:t>
            </w:r>
            <w:r>
              <w:rPr>
                <w:rFonts w:ascii="Helvetica" w:hAnsi="Helvetica" w:cs="Helvetica"/>
                <w:i/>
                <w:sz w:val="18"/>
                <w:szCs w:val="18"/>
              </w:rPr>
              <w:t xml:space="preserve">Corynespora </w:t>
            </w:r>
            <w:r>
              <w:rPr>
                <w:rFonts w:ascii="Helvetica" w:hAnsi="Helvetica" w:cs="Helvetica"/>
                <w:sz w:val="18"/>
                <w:szCs w:val="18"/>
              </w:rPr>
              <w:t>species are</w:t>
            </w:r>
            <w:r>
              <w:rPr>
                <w:rFonts w:ascii="Helvetica" w:hAnsi="Helvetica" w:cs="Helvetica"/>
                <w:i/>
                <w:sz w:val="18"/>
                <w:szCs w:val="18"/>
              </w:rPr>
              <w:t xml:space="preserve"> </w:t>
            </w:r>
            <w:r>
              <w:rPr>
                <w:rFonts w:ascii="Helvetica" w:hAnsi="Helvetica" w:cs="Helvetica"/>
                <w:sz w:val="18"/>
                <w:szCs w:val="18"/>
              </w:rPr>
              <w:t>associated with wood, bark and dead wood (Farr and Rossman 2011).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Corynespora kamatii</w:t>
            </w:r>
            <w:r>
              <w:rPr>
                <w:rFonts w:ascii="Helvetica" w:hAnsi="Helvetica" w:cs="Helvetica"/>
                <w:sz w:val="18"/>
                <w:szCs w:val="18"/>
              </w:rPr>
              <w:t xml:space="preserve"> (VG Rao) MB Ellis. [Pleosporales: Corynesporascaceae]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62" w:history="1">
              <w:r>
                <w:rPr>
                  <w:rFonts w:ascii="Helvetica" w:hAnsi="Helvetica" w:cs="Helvetica"/>
                  <w:i/>
                  <w:sz w:val="18"/>
                  <w:szCs w:val="18"/>
                </w:rPr>
                <w:t>Coryneum</w:t>
              </w:r>
            </w:hyperlink>
            <w:r>
              <w:rPr>
                <w:rFonts w:ascii="Helvetica" w:hAnsi="Helvetica" w:cs="Helvetica"/>
                <w:i/>
                <w:sz w:val="18"/>
                <w:szCs w:val="18"/>
              </w:rPr>
              <w:t xml:space="preserve"> discolor</w:t>
            </w:r>
            <w:r>
              <w:rPr>
                <w:rFonts w:ascii="Helvetica" w:hAnsi="Helvetica" w:cs="Helvetica"/>
                <w:sz w:val="18"/>
                <w:szCs w:val="18"/>
              </w:rPr>
              <w:t xml:space="preserve"> Fautrey [Diaporthales: Pseudovalsaceae]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w:t>
            </w:r>
            <w:r>
              <w:rPr>
                <w:rFonts w:ascii="Helvetica" w:hAnsi="Helvetica" w:cs="Helvetica"/>
                <w:i/>
                <w:sz w:val="18"/>
                <w:szCs w:val="18"/>
              </w:rPr>
              <w:t>Coryn</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m</w:t>
            </w:r>
            <w:r>
              <w:rPr>
                <w:rFonts w:ascii="Helvetica" w:hAnsi="Helvetica" w:cs="Helvetica"/>
                <w:sz w:val="18"/>
                <w:szCs w:val="18"/>
              </w:rPr>
              <w:t xml:space="preserve"> species occur on twigs and foliage of other hosts (Schloemann 2003-2004; Farr and Rossman 2011). Therefore, foliage free dormant cuttings do not provide a pathway for these fungi.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Coryn</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m microstictum</w:t>
            </w:r>
            <w:r>
              <w:rPr>
                <w:rFonts w:ascii="Helvetica" w:hAnsi="Helvetica" w:cs="Helvetica"/>
                <w:sz w:val="18"/>
                <w:szCs w:val="18"/>
              </w:rPr>
              <w:t xml:space="preserve"> Berk. &amp; Broome [Diaporthales: Pseudovalsaceae]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Coryneum vitiphyllum</w:t>
            </w:r>
            <w:r>
              <w:rPr>
                <w:rFonts w:ascii="Helvetica" w:hAnsi="Helvetica" w:cs="Helvetica"/>
                <w:sz w:val="18"/>
                <w:szCs w:val="18"/>
              </w:rPr>
              <w:t xml:space="preserve"> Speschnew [Diaporthales: Pseudovalsaceae]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hyperlink r:id="rId63" w:history="1">
              <w:r>
                <w:rPr>
                  <w:rFonts w:ascii="Helvetica" w:hAnsi="Helvetica" w:cs="Helvetica"/>
                  <w:i/>
                  <w:iCs/>
                  <w:sz w:val="18"/>
                  <w:szCs w:val="18"/>
                </w:rPr>
                <w:t>Crepidotus</w:t>
              </w:r>
            </w:hyperlink>
            <w:r>
              <w:rPr>
                <w:rFonts w:ascii="Helvetica" w:hAnsi="Helvetica" w:cs="Helvetica"/>
                <w:i/>
                <w:iCs/>
                <w:sz w:val="18"/>
                <w:szCs w:val="18"/>
              </w:rPr>
              <w:t xml:space="preserve"> amarus </w:t>
            </w:r>
            <w:r>
              <w:rPr>
                <w:rFonts w:ascii="Helvetica" w:hAnsi="Helvetica" w:cs="Helvetica"/>
                <w:sz w:val="18"/>
                <w:szCs w:val="18"/>
              </w:rPr>
              <w:t>Murrill [Agaricales: Inocybaceae]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w:t>
            </w:r>
            <w:r>
              <w:rPr>
                <w:rFonts w:ascii="Helvetica" w:hAnsi="Helvetica" w:cs="Helvetica"/>
                <w:i/>
                <w:sz w:val="18"/>
                <w:szCs w:val="18"/>
              </w:rPr>
              <w:t>Crepidotus</w:t>
            </w:r>
            <w:r>
              <w:rPr>
                <w:rFonts w:ascii="Helvetica" w:hAnsi="Helvetica" w:cs="Helvetica"/>
                <w:sz w:val="18"/>
                <w:szCs w:val="18"/>
              </w:rPr>
              <w:t xml:space="preserve"> species occur on bark and wood of hardwoods on other hosts (Farr and Rossman 2011).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Cryptophaeella trematosphaeriicola</w:t>
            </w:r>
            <w:r>
              <w:rPr>
                <w:rFonts w:ascii="Helvetica" w:hAnsi="Helvetica" w:cs="Helvetica"/>
                <w:sz w:val="18"/>
                <w:szCs w:val="18"/>
              </w:rPr>
              <w:t xml:space="preserve"> Frolov [Pleosporales: Montagnulaceae]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report on </w:t>
            </w:r>
            <w:r>
              <w:rPr>
                <w:rFonts w:ascii="Helvetica" w:hAnsi="Helvetica" w:cs="Helvetica"/>
                <w:i/>
                <w:sz w:val="18"/>
                <w:szCs w:val="18"/>
              </w:rPr>
              <w:t xml:space="preserve">Vitis </w:t>
            </w:r>
            <w:r>
              <w:rPr>
                <w:rFonts w:ascii="Helvetica" w:hAnsi="Helvetica" w:cs="Helvetica"/>
                <w:sz w:val="18"/>
                <w:szCs w:val="18"/>
              </w:rPr>
              <w:t>species from Central Asia in 1973 (Farr and Rossman 2011), it has not been reported from any other country. This indicates that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Cryptosphaeria pullmanensis</w:t>
            </w:r>
            <w:r>
              <w:rPr>
                <w:rFonts w:ascii="Helvetica" w:hAnsi="Helvetica" w:cs="Helvetica"/>
                <w:sz w:val="18"/>
                <w:szCs w:val="18"/>
              </w:rPr>
              <w:t xml:space="preserve"> Glawe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 xml:space="preserve">Vitis </w:t>
            </w:r>
            <w:r>
              <w:rPr>
                <w:rFonts w:ascii="Helvetica" w:hAnsi="Helvetica" w:cs="Helvetica"/>
                <w:sz w:val="18"/>
                <w:szCs w:val="18"/>
              </w:rPr>
              <w:t xml:space="preserve">species and has been isolated from cankered wood (Trouillas and Gubler 2010). Generally, </w:t>
            </w:r>
            <w:r>
              <w:rPr>
                <w:rFonts w:ascii="Helvetica" w:hAnsi="Helvetica" w:cs="Helvetica"/>
                <w:i/>
                <w:sz w:val="18"/>
                <w:szCs w:val="18"/>
              </w:rPr>
              <w:t xml:space="preserve">Cryptosphaeria </w:t>
            </w:r>
            <w:r>
              <w:rPr>
                <w:rFonts w:ascii="Helvetica" w:hAnsi="Helvetica" w:cs="Helvetica"/>
                <w:sz w:val="18"/>
                <w:szCs w:val="18"/>
              </w:rPr>
              <w:t>species occur on bark of host plants (Romero and Carmaran 2003).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64" w:history="1">
              <w:r>
                <w:rPr>
                  <w:rFonts w:ascii="Helvetica" w:hAnsi="Helvetica" w:cs="Helvetica"/>
                  <w:i/>
                  <w:sz w:val="18"/>
                  <w:szCs w:val="18"/>
                </w:rPr>
                <w:t>Cryptostictis</w:t>
              </w:r>
            </w:hyperlink>
            <w:r>
              <w:rPr>
                <w:rFonts w:ascii="Helvetica" w:hAnsi="Helvetica" w:cs="Helvetica"/>
                <w:i/>
                <w:sz w:val="18"/>
                <w:szCs w:val="18"/>
              </w:rPr>
              <w:t xml:space="preserve"> hysterioides</w:t>
            </w:r>
            <w:r>
              <w:rPr>
                <w:rFonts w:ascii="Helvetica" w:hAnsi="Helvetica" w:cs="Helvetica"/>
                <w:sz w:val="18"/>
                <w:szCs w:val="18"/>
              </w:rPr>
              <w:t xml:space="preserve"> Fuckel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Cryptostictis</w:t>
            </w:r>
            <w:r>
              <w:rPr>
                <w:rFonts w:ascii="Helvetica" w:hAnsi="Helvetica" w:cs="Helvetica"/>
                <w:sz w:val="18"/>
                <w:szCs w:val="18"/>
              </w:rPr>
              <w:t xml:space="preserve"> </w:t>
            </w:r>
            <w:r>
              <w:rPr>
                <w:rFonts w:ascii="Helvetica" w:hAnsi="Helvetica" w:cs="Helvetica"/>
                <w:i/>
                <w:sz w:val="18"/>
                <w:szCs w:val="18"/>
              </w:rPr>
              <w:t>inaequalis</w:t>
            </w:r>
            <w:r>
              <w:rPr>
                <w:rFonts w:ascii="Helvetica" w:hAnsi="Helvetica" w:cs="Helvetica"/>
                <w:sz w:val="18"/>
                <w:szCs w:val="18"/>
              </w:rPr>
              <w:t xml:space="preserve"> Tehon &amp; Stout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occurs on the leaves (Farr and Rossman 2011).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Cryptovalsa</w:t>
            </w:r>
            <w:r>
              <w:rPr>
                <w:rFonts w:ascii="Helvetica" w:hAnsi="Helvetica" w:cs="Helvetica"/>
                <w:sz w:val="18"/>
                <w:szCs w:val="18"/>
              </w:rPr>
              <w:t xml:space="preserve"> </w:t>
            </w:r>
            <w:r>
              <w:rPr>
                <w:rFonts w:ascii="Helvetica" w:hAnsi="Helvetica" w:cs="Helvetica"/>
                <w:i/>
                <w:sz w:val="18"/>
                <w:szCs w:val="18"/>
              </w:rPr>
              <w:t>ampelina</w:t>
            </w:r>
            <w:r>
              <w:rPr>
                <w:rFonts w:ascii="Helvetica" w:hAnsi="Helvetica" w:cs="Helvetica"/>
                <w:sz w:val="18"/>
                <w:szCs w:val="18"/>
              </w:rPr>
              <w:t xml:space="preserve"> Fuckel [Incertae sedis: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Sosnowski </w:t>
            </w:r>
            <w:r>
              <w:rPr>
                <w:rFonts w:ascii="Helvetica" w:hAnsi="Helvetica" w:cs="Helvetica"/>
                <w:bCs/>
                <w:i/>
                <w:sz w:val="18"/>
                <w:szCs w:val="18"/>
              </w:rPr>
              <w:t>et al</w:t>
            </w:r>
            <w:r>
              <w:rPr>
                <w:rFonts w:ascii="Helvetica" w:hAnsi="Helvetica" w:cs="Helvetica"/>
                <w:bCs/>
                <w:sz w:val="18"/>
                <w:szCs w:val="18"/>
              </w:rPr>
              <w:t>. 2007)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Cryptovalsa protracta</w:t>
            </w:r>
            <w:r>
              <w:rPr>
                <w:rFonts w:ascii="Helvetica" w:hAnsi="Helvetica" w:cs="Helvetica"/>
                <w:sz w:val="18"/>
                <w:szCs w:val="18"/>
              </w:rPr>
              <w:t xml:space="preserve"> (Pers.) De Not.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(Yuan 1996)</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Cryptovalsa rabenhorstii</w:t>
            </w:r>
            <w:r>
              <w:rPr>
                <w:rFonts w:ascii="Helvetica" w:hAnsi="Helvetica" w:cs="Helvetica"/>
                <w:sz w:val="18"/>
                <w:szCs w:val="18"/>
              </w:rPr>
              <w:t xml:space="preserve"> (Nitschke) Sacc.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(Trouillas </w:t>
            </w:r>
            <w:r>
              <w:rPr>
                <w:rFonts w:ascii="Helvetica" w:hAnsi="Helvetica" w:cs="Helvetica"/>
                <w:i/>
                <w:sz w:val="18"/>
                <w:szCs w:val="18"/>
              </w:rPr>
              <w:t>et al</w:t>
            </w:r>
            <w:r>
              <w:rPr>
                <w:rFonts w:ascii="Helvetica" w:hAnsi="Helvetica" w:cs="Helvetica"/>
                <w:sz w:val="18"/>
                <w:szCs w:val="18"/>
              </w:rPr>
              <w:t>.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65" w:history="1">
              <w:r>
                <w:rPr>
                  <w:rFonts w:ascii="Helvetica" w:hAnsi="Helvetica" w:cs="Helvetica"/>
                  <w:i/>
                  <w:sz w:val="18"/>
                  <w:szCs w:val="18"/>
                </w:rPr>
                <w:t>Cylindrocarpon</w:t>
              </w:r>
            </w:hyperlink>
            <w:r>
              <w:rPr>
                <w:rFonts w:ascii="Helvetica" w:hAnsi="Helvetica" w:cs="Helvetica"/>
                <w:i/>
                <w:sz w:val="18"/>
                <w:szCs w:val="18"/>
              </w:rPr>
              <w:t xml:space="preserve"> destructans</w:t>
            </w:r>
            <w:r>
              <w:rPr>
                <w:rFonts w:ascii="Helvetica" w:hAnsi="Helvetica" w:cs="Helvetica"/>
                <w:sz w:val="18"/>
                <w:szCs w:val="18"/>
              </w:rPr>
              <w:t xml:space="preserve"> var. </w:t>
            </w:r>
            <w:r>
              <w:rPr>
                <w:rFonts w:ascii="Helvetica" w:hAnsi="Helvetica" w:cs="Helvetica"/>
                <w:i/>
                <w:sz w:val="18"/>
                <w:szCs w:val="18"/>
              </w:rPr>
              <w:t>destructans</w:t>
            </w:r>
            <w:r>
              <w:rPr>
                <w:rFonts w:ascii="Helvetica" w:hAnsi="Helvetica" w:cs="Helvetica"/>
                <w:sz w:val="18"/>
                <w:szCs w:val="18"/>
              </w:rPr>
              <w:t xml:space="preserve"> (Zinssm.) Scholten [Hypocreales: Nectriaceae]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(Sweetingham 1983)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bCs/>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Cylindrocarpon lichenicola</w:t>
            </w:r>
            <w:r>
              <w:rPr>
                <w:rFonts w:ascii="Helvetica" w:hAnsi="Helvetica" w:cs="Helvetica"/>
                <w:sz w:val="18"/>
                <w:szCs w:val="18"/>
              </w:rPr>
              <w:t xml:space="preserve"> (C. Massal.) D. Hawksw.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(Brayford 1987)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Cylindrocarpon liriodendri</w:t>
            </w:r>
            <w:r>
              <w:rPr>
                <w:rFonts w:ascii="Helvetica" w:hAnsi="Helvetica" w:cs="Helvetica"/>
                <w:sz w:val="18"/>
                <w:szCs w:val="18"/>
              </w:rPr>
              <w:t xml:space="preserve"> JD MacDonald &amp; EE Butler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(Whitelaw-Weckert </w:t>
            </w:r>
            <w:r>
              <w:rPr>
                <w:rFonts w:ascii="Helvetica" w:hAnsi="Helvetica" w:cs="Helvetica"/>
                <w:i/>
                <w:sz w:val="18"/>
                <w:szCs w:val="18"/>
              </w:rPr>
              <w:t>et al</w:t>
            </w:r>
            <w:r>
              <w:rPr>
                <w:rFonts w:ascii="Helvetica" w:hAnsi="Helvetica" w:cs="Helvetica"/>
                <w:sz w:val="18"/>
                <w:szCs w:val="18"/>
              </w:rPr>
              <w:t>. 2007b)</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66" w:history="1">
              <w:r>
                <w:rPr>
                  <w:rFonts w:ascii="Helvetica" w:hAnsi="Helvetica" w:cs="Helvetica"/>
                  <w:i/>
                  <w:sz w:val="18"/>
                  <w:szCs w:val="18"/>
                </w:rPr>
                <w:t>Cylindrocarpon</w:t>
              </w:r>
            </w:hyperlink>
            <w:r>
              <w:rPr>
                <w:rFonts w:ascii="Helvetica" w:hAnsi="Helvetica" w:cs="Helvetica"/>
                <w:i/>
                <w:sz w:val="18"/>
                <w:szCs w:val="18"/>
              </w:rPr>
              <w:t xml:space="preserve"> macrodidymum</w:t>
            </w:r>
            <w:r>
              <w:rPr>
                <w:rFonts w:ascii="Helvetica" w:hAnsi="Helvetica" w:cs="Helvetica"/>
                <w:sz w:val="18"/>
                <w:szCs w:val="18"/>
              </w:rPr>
              <w:t xml:space="preserve"> Schroers </w:t>
            </w:r>
            <w:r>
              <w:rPr>
                <w:rFonts w:ascii="Helvetica" w:hAnsi="Helvetica" w:cs="Helvetica"/>
                <w:i/>
                <w:sz w:val="18"/>
                <w:szCs w:val="18"/>
              </w:rPr>
              <w:t>et al</w:t>
            </w:r>
            <w:r>
              <w:rPr>
                <w:rFonts w:ascii="Helvetica" w:hAnsi="Helvetica" w:cs="Helvetica"/>
                <w:sz w:val="18"/>
                <w:szCs w:val="18"/>
              </w:rPr>
              <w:t>.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Whitelaw-Weckert</w:t>
            </w:r>
            <w:r>
              <w:rPr>
                <w:rFonts w:ascii="Helvetica" w:hAnsi="Helvetica" w:cs="Helvetica"/>
                <w:sz w:val="18"/>
                <w:szCs w:val="18"/>
              </w:rPr>
              <w:t xml:space="preserve"> 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Cylindrocarpon obtusisporum</w:t>
            </w:r>
            <w:r>
              <w:rPr>
                <w:rFonts w:ascii="Helvetica" w:hAnsi="Helvetica" w:cs="Helvetica"/>
                <w:sz w:val="18"/>
                <w:szCs w:val="18"/>
              </w:rPr>
              <w:t xml:space="preserve"> (Cooke &amp; Harkn.) Wollenw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Cylindrocarpon pauciseptatum</w:t>
            </w:r>
            <w:r>
              <w:rPr>
                <w:rFonts w:ascii="Helvetica" w:hAnsi="Helvetica" w:cs="Helvetica"/>
                <w:sz w:val="18"/>
                <w:szCs w:val="18"/>
              </w:rPr>
              <w:t xml:space="preserve"> Schroers &amp; Crous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w:t>
            </w:r>
            <w:r>
              <w:rPr>
                <w:rFonts w:ascii="Helvetica" w:hAnsi="Helvetica" w:cs="Helvetica"/>
                <w:b/>
                <w:sz w:val="18"/>
                <w:szCs w:val="18"/>
              </w:rPr>
              <w:t>:</w:t>
            </w:r>
            <w:r>
              <w:rPr>
                <w:rFonts w:ascii="Helvetica" w:hAnsi="Helvetica" w:cs="Helvetica"/>
                <w:sz w:val="18"/>
                <w:szCs w:val="18"/>
              </w:rPr>
              <w:t xml:space="preserve"> This species is associated with black foot disease in grapevines (Schroers </w:t>
            </w:r>
            <w:r>
              <w:rPr>
                <w:rFonts w:ascii="Helvetica" w:hAnsi="Helvetica" w:cs="Helvetica"/>
                <w:i/>
                <w:sz w:val="18"/>
                <w:szCs w:val="18"/>
              </w:rPr>
              <w:t>et al</w:t>
            </w:r>
            <w:r>
              <w:rPr>
                <w:rFonts w:ascii="Helvetica" w:hAnsi="Helvetica" w:cs="Helvetica"/>
                <w:sz w:val="18"/>
                <w:szCs w:val="18"/>
              </w:rPr>
              <w:t xml:space="preserve">. 2008; Martin </w:t>
            </w:r>
            <w:r>
              <w:rPr>
                <w:rFonts w:ascii="Helvetica" w:hAnsi="Helvetica" w:cs="Helvetica"/>
                <w:i/>
                <w:sz w:val="18"/>
                <w:szCs w:val="18"/>
              </w:rPr>
              <w:t>et al</w:t>
            </w:r>
            <w:r>
              <w:rPr>
                <w:rFonts w:ascii="Helvetica" w:hAnsi="Helvetica" w:cs="Helvetica"/>
                <w:sz w:val="18"/>
                <w:szCs w:val="18"/>
              </w:rPr>
              <w:t xml:space="preserve">. 2011a). This fungus has reported to occur in the roots (Alaniz </w:t>
            </w:r>
            <w:r>
              <w:rPr>
                <w:rFonts w:ascii="Helvetica" w:hAnsi="Helvetica" w:cs="Helvetica"/>
                <w:i/>
                <w:sz w:val="18"/>
                <w:szCs w:val="18"/>
              </w:rPr>
              <w:t>et al</w:t>
            </w:r>
            <w:r>
              <w:rPr>
                <w:rFonts w:ascii="Helvetica" w:hAnsi="Helvetica" w:cs="Helvetica"/>
                <w:sz w:val="18"/>
                <w:szCs w:val="18"/>
              </w:rPr>
              <w:t xml:space="preserve">. 2007), stem vascular tissue and brown wood of young grapevines (Martin </w:t>
            </w:r>
            <w:r>
              <w:rPr>
                <w:rFonts w:ascii="Helvetica" w:hAnsi="Helvetica" w:cs="Helvetica"/>
                <w:i/>
                <w:sz w:val="18"/>
                <w:szCs w:val="18"/>
              </w:rPr>
              <w:t>et al</w:t>
            </w:r>
            <w:r>
              <w:rPr>
                <w:rFonts w:ascii="Helvetica" w:hAnsi="Helvetica" w:cs="Helvetica"/>
                <w:sz w:val="18"/>
                <w:szCs w:val="18"/>
              </w:rPr>
              <w:t>. 2011a). Semi-hardwood, root free dormant cuttings therefore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Cylindrocladiella lageniformis</w:t>
            </w:r>
            <w:r>
              <w:rPr>
                <w:rFonts w:ascii="Helvetica" w:hAnsi="Helvetica" w:cs="Helvetica"/>
                <w:sz w:val="18"/>
                <w:szCs w:val="18"/>
              </w:rPr>
              <w:t xml:space="preserve"> Crous </w:t>
            </w:r>
            <w:r>
              <w:rPr>
                <w:rFonts w:ascii="Helvetica" w:hAnsi="Helvetica" w:cs="Helvetica"/>
                <w:i/>
                <w:sz w:val="18"/>
                <w:szCs w:val="18"/>
              </w:rPr>
              <w:t>et al</w:t>
            </w:r>
            <w:r>
              <w:rPr>
                <w:rFonts w:ascii="Helvetica" w:hAnsi="Helvetica" w:cs="Helvetica"/>
                <w:sz w:val="18"/>
                <w:szCs w:val="18"/>
              </w:rPr>
              <w:t>.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these fungi occur on the roots (van-Coller </w:t>
            </w:r>
            <w:r>
              <w:rPr>
                <w:rFonts w:ascii="Helvetica" w:hAnsi="Helvetica" w:cs="Helvetica"/>
                <w:i/>
                <w:sz w:val="18"/>
                <w:szCs w:val="18"/>
              </w:rPr>
              <w:t>et al</w:t>
            </w:r>
            <w:r>
              <w:rPr>
                <w:rFonts w:ascii="Helvetica" w:hAnsi="Helvetica" w:cs="Helvetica"/>
                <w:sz w:val="18"/>
                <w:szCs w:val="18"/>
              </w:rPr>
              <w:t>. 2005). Therefore, root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Cylindrocladiella parva</w:t>
            </w:r>
            <w:r>
              <w:rPr>
                <w:rFonts w:ascii="Helvetica" w:hAnsi="Helvetica" w:cs="Helvetica"/>
                <w:sz w:val="18"/>
                <w:szCs w:val="18"/>
              </w:rPr>
              <w:t xml:space="preserve"> (P.J. Anderson) Boesew [Hypocreales: Nectriaceae]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Cylindrocladiella peruviana</w:t>
            </w:r>
            <w:r>
              <w:rPr>
                <w:rFonts w:ascii="Helvetica" w:hAnsi="Helvetica" w:cs="Helvetica"/>
                <w:sz w:val="18"/>
                <w:szCs w:val="18"/>
              </w:rPr>
              <w:t xml:space="preserve"> (Bat. </w:t>
            </w:r>
            <w:r>
              <w:rPr>
                <w:rFonts w:ascii="Helvetica" w:hAnsi="Helvetica" w:cs="Helvetica"/>
                <w:i/>
                <w:sz w:val="18"/>
                <w:szCs w:val="18"/>
              </w:rPr>
              <w:t>et al.</w:t>
            </w:r>
            <w:r>
              <w:rPr>
                <w:rFonts w:ascii="Helvetica" w:hAnsi="Helvetica" w:cs="Helvetica"/>
                <w:sz w:val="18"/>
                <w:szCs w:val="18"/>
              </w:rPr>
              <w:t>) Boesew)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Daldinia concentrica</w:t>
            </w:r>
            <w:r>
              <w:rPr>
                <w:rFonts w:ascii="Helvetica" w:hAnsi="Helvetica" w:cs="Helvetica"/>
                <w:sz w:val="18"/>
                <w:szCs w:val="18"/>
              </w:rPr>
              <w:t xml:space="preserve"> sensu auct.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Daldinia vernicosa</w:t>
            </w:r>
            <w:r>
              <w:rPr>
                <w:rFonts w:ascii="Helvetica" w:hAnsi="Helvetica" w:cs="Helvetica"/>
                <w:sz w:val="18"/>
                <w:szCs w:val="18"/>
              </w:rPr>
              <w:t xml:space="preserve"> (Schwein.) Ces. &amp; De Not.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occurs on burnt wood (Rhoads 1918; Whalley and Watling 1980; Farr and Rossman 2011).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Dendrophoma pleurospora</w:t>
            </w:r>
            <w:r>
              <w:rPr>
                <w:rFonts w:ascii="Helvetica" w:hAnsi="Helvetica" w:cs="Helvetica"/>
                <w:sz w:val="18"/>
                <w:szCs w:val="18"/>
              </w:rPr>
              <w:t xml:space="preserve"> Sacc [Xylariales: Xylariaceae] (synonym: </w:t>
            </w:r>
            <w:r>
              <w:rPr>
                <w:rFonts w:ascii="Helvetica" w:hAnsi="Helvetica" w:cs="Helvetica"/>
                <w:i/>
                <w:sz w:val="18"/>
                <w:szCs w:val="18"/>
              </w:rPr>
              <w:t xml:space="preserve">Dinemasporium pluerospora </w:t>
            </w:r>
            <w:r>
              <w:rPr>
                <w:rFonts w:ascii="Helvetica" w:hAnsi="Helvetica" w:cs="Helvetica"/>
                <w:sz w:val="18"/>
                <w:szCs w:val="18"/>
              </w:rPr>
              <w:t>(Sacc.) Shkarupa)</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is associated with </w:t>
            </w:r>
            <w:r>
              <w:rPr>
                <w:rFonts w:ascii="Helvetica" w:hAnsi="Helvetica" w:cs="Helvetica"/>
                <w:i/>
                <w:sz w:val="18"/>
                <w:szCs w:val="18"/>
              </w:rPr>
              <w:t>Vitis</w:t>
            </w:r>
            <w:r>
              <w:rPr>
                <w:rFonts w:ascii="Helvetica" w:hAnsi="Helvetica" w:cs="Helvetica"/>
                <w:sz w:val="18"/>
                <w:szCs w:val="18"/>
              </w:rPr>
              <w:t xml:space="preserve"> species and has been isolated from the necrotic and healthy stem tissue of older grapevines (Serra </w:t>
            </w:r>
            <w:r>
              <w:rPr>
                <w:rFonts w:ascii="Helvetica" w:hAnsi="Helvetica" w:cs="Helvetica"/>
                <w:i/>
                <w:sz w:val="18"/>
                <w:szCs w:val="18"/>
              </w:rPr>
              <w:t>et al</w:t>
            </w:r>
            <w:r>
              <w:rPr>
                <w:rFonts w:ascii="Helvetica" w:hAnsi="Helvetica" w:cs="Helvetica"/>
                <w:sz w:val="18"/>
                <w:szCs w:val="18"/>
              </w:rPr>
              <w:t>. 2000).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Dendryphiella infuscans</w:t>
            </w:r>
            <w:r>
              <w:rPr>
                <w:rFonts w:ascii="Helvetica" w:hAnsi="Helvetica" w:cs="Helvetica"/>
                <w:sz w:val="18"/>
                <w:szCs w:val="18"/>
              </w:rPr>
              <w:t xml:space="preserve"> (Thüm.) M.B. Ellis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occurs on dead stems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Dendryphion acinorum</w:t>
            </w:r>
            <w:r>
              <w:rPr>
                <w:rFonts w:ascii="Helvetica" w:hAnsi="Helvetica" w:cs="Helvetica"/>
                <w:sz w:val="18"/>
                <w:szCs w:val="18"/>
              </w:rPr>
              <w:t xml:space="preserve"> Ellis &amp; Everh.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their report on </w:t>
            </w:r>
            <w:r>
              <w:rPr>
                <w:rFonts w:ascii="Helvetica" w:hAnsi="Helvetica" w:cs="Helvetica"/>
                <w:i/>
                <w:sz w:val="18"/>
                <w:szCs w:val="18"/>
              </w:rPr>
              <w:t xml:space="preserve">Vitis </w:t>
            </w:r>
            <w:r>
              <w:rPr>
                <w:rFonts w:ascii="Helvetica" w:hAnsi="Helvetica" w:cs="Helvetica"/>
                <w:sz w:val="18"/>
                <w:szCs w:val="18"/>
              </w:rPr>
              <w:t>species in the United States in 1952 (Farr and Rossman 2011), they have not been reported from any other country indicating that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Dendryphion harknessii</w:t>
            </w:r>
            <w:r>
              <w:rPr>
                <w:rFonts w:ascii="Helvetica" w:hAnsi="Helvetica" w:cs="Helvetica"/>
                <w:sz w:val="18"/>
                <w:szCs w:val="18"/>
              </w:rPr>
              <w:t xml:space="preserve"> var. </w:t>
            </w:r>
            <w:r>
              <w:rPr>
                <w:rFonts w:ascii="Helvetica" w:hAnsi="Helvetica" w:cs="Helvetica"/>
                <w:i/>
                <w:sz w:val="18"/>
                <w:szCs w:val="18"/>
              </w:rPr>
              <w:t>leptaleum</w:t>
            </w:r>
            <w:r>
              <w:rPr>
                <w:rFonts w:ascii="Helvetica" w:hAnsi="Helvetica" w:cs="Helvetica"/>
                <w:sz w:val="18"/>
                <w:szCs w:val="18"/>
              </w:rPr>
              <w:t xml:space="preserve"> Ellis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67" w:history="1">
              <w:r>
                <w:rPr>
                  <w:rFonts w:ascii="Helvetica" w:hAnsi="Helvetica" w:cs="Helvetica"/>
                  <w:i/>
                  <w:sz w:val="18"/>
                  <w:szCs w:val="18"/>
                </w:rPr>
                <w:t>Dermatella</w:t>
              </w:r>
            </w:hyperlink>
            <w:r>
              <w:rPr>
                <w:rFonts w:ascii="Helvetica" w:hAnsi="Helvetica" w:cs="Helvetica"/>
                <w:i/>
                <w:sz w:val="18"/>
                <w:szCs w:val="18"/>
              </w:rPr>
              <w:t xml:space="preserve"> viticola</w:t>
            </w:r>
            <w:r>
              <w:rPr>
                <w:rFonts w:ascii="Helvetica" w:hAnsi="Helvetica" w:cs="Helvetica"/>
                <w:sz w:val="18"/>
                <w:szCs w:val="18"/>
              </w:rPr>
              <w:t xml:space="preserve"> Ellis &amp; Everh. [</w:t>
            </w:r>
            <w:hyperlink r:id="rId68" w:history="1">
              <w:r>
                <w:rPr>
                  <w:rFonts w:ascii="Helvetica" w:hAnsi="Helvetica" w:cs="Helvetica"/>
                  <w:sz w:val="18"/>
                  <w:szCs w:val="18"/>
                </w:rPr>
                <w:t>Helotiales</w:t>
              </w:r>
            </w:hyperlink>
            <w:r>
              <w:rPr>
                <w:rFonts w:ascii="Helvetica" w:hAnsi="Helvetica" w:cs="Helvetica"/>
                <w:sz w:val="18"/>
                <w:szCs w:val="18"/>
              </w:rPr>
              <w:t>: Dermateaceae]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is associated with dead shoots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Diaporthe australafricana </w:t>
            </w:r>
            <w:r>
              <w:rPr>
                <w:rFonts w:ascii="Helvetica" w:hAnsi="Helvetica" w:cs="Helvetica"/>
                <w:sz w:val="18"/>
                <w:szCs w:val="18"/>
              </w:rPr>
              <w:t>Crous &amp; Niekerk [Diaporthales: Diaporthaceae]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Van Niekerk </w:t>
            </w:r>
            <w:r>
              <w:rPr>
                <w:rFonts w:ascii="Helvetica" w:hAnsi="Helvetica" w:cs="Helvetica"/>
                <w:bCs/>
                <w:i/>
                <w:sz w:val="18"/>
                <w:szCs w:val="18"/>
              </w:rPr>
              <w:t>et al</w:t>
            </w:r>
            <w:r>
              <w:rPr>
                <w:rFonts w:ascii="Helvetica" w:hAnsi="Helvetica" w:cs="Helvetica"/>
                <w:bCs/>
                <w:sz w:val="18"/>
                <w:szCs w:val="18"/>
              </w:rPr>
              <w:t>. 2005</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Diaporthe eres</w:t>
            </w:r>
            <w:r>
              <w:rPr>
                <w:rFonts w:ascii="Helvetica" w:hAnsi="Helvetica" w:cs="Helvetica"/>
                <w:sz w:val="18"/>
                <w:szCs w:val="18"/>
              </w:rPr>
              <w:t xml:space="preserve"> Nitschke [Diaporthales: Diaporthaceae] (synonym </w:t>
            </w:r>
            <w:r>
              <w:rPr>
                <w:rFonts w:ascii="Helvetica" w:hAnsi="Helvetica" w:cs="Helvetica"/>
                <w:i/>
                <w:sz w:val="18"/>
                <w:szCs w:val="18"/>
              </w:rPr>
              <w:t xml:space="preserve">Diaporthe ambigua </w:t>
            </w:r>
            <w:r>
              <w:rPr>
                <w:rFonts w:ascii="Helvetica" w:hAnsi="Helvetica" w:cs="Helvetica"/>
                <w:sz w:val="18"/>
                <w:szCs w:val="18"/>
              </w:rPr>
              <w:t>Nitschke)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Diaporthe kyushuensis</w:t>
            </w:r>
            <w:r>
              <w:rPr>
                <w:rFonts w:ascii="Helvetica" w:hAnsi="Helvetica" w:cs="Helvetica"/>
                <w:sz w:val="18"/>
                <w:szCs w:val="18"/>
              </w:rPr>
              <w:t xml:space="preserve"> Kajitani &amp; Kanem [Diaporthales: Diaporthaceae]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is associated with </w:t>
            </w:r>
            <w:r>
              <w:rPr>
                <w:rFonts w:ascii="Helvetica" w:hAnsi="Helvetica" w:cs="Helvetica"/>
                <w:i/>
                <w:sz w:val="18"/>
                <w:szCs w:val="18"/>
              </w:rPr>
              <w:t>Vitis</w:t>
            </w:r>
            <w:r>
              <w:rPr>
                <w:rFonts w:ascii="Helvetica" w:hAnsi="Helvetica" w:cs="Helvetica"/>
                <w:sz w:val="18"/>
                <w:szCs w:val="18"/>
              </w:rPr>
              <w:t xml:space="preserve"> species, causing leaf and cane spot (Kajitani and Kanematsu 2000). Small black spots appear at the base of the green shoot which later coalesces to form a blackened zone (Kajitani and Kanematsu 2000). Infection may also be latent (Kajitani and Kanematsu 2000).  Therefore, propagative material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This fungus </w:t>
            </w:r>
            <w:r>
              <w:rPr>
                <w:rFonts w:ascii="Helvetica" w:hAnsi="Helvetica" w:cs="Helvetica"/>
                <w:sz w:val="18"/>
                <w:szCs w:val="18"/>
              </w:rPr>
              <w:t>has established in areas with a wide range of climatic conditions and it can spread naturally in infected propagative material (Kajitani and Kanematsu 2000). Propagation and distribution of infected material will help spread this fungus within Australia. Therefore, this fungus has the potential to establish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has been reported on grapes, causing canker in the1960s in Japan (Kajitani and Kanematsu 2000). Since then, no economic losses have been reported. Therefore, this fungus is not of economic concern for host plants. </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Diaporthe medusaea</w:t>
            </w:r>
            <w:r>
              <w:rPr>
                <w:rFonts w:ascii="Helvetica" w:hAnsi="Helvetica" w:cs="Helvetica"/>
                <w:sz w:val="18"/>
                <w:szCs w:val="18"/>
              </w:rPr>
              <w:t xml:space="preserve"> Nitschke [Diaporthales: Diaporthaceae]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Diaporthe perjuncta</w:t>
            </w:r>
            <w:r>
              <w:rPr>
                <w:rFonts w:ascii="Helvetica" w:hAnsi="Helvetica" w:cs="Helvetica"/>
                <w:sz w:val="18"/>
                <w:szCs w:val="18"/>
              </w:rPr>
              <w:t xml:space="preserve"> Niessl. [Diaporthales: Diaporthaceae]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Van Niekerk </w:t>
            </w:r>
            <w:r>
              <w:rPr>
                <w:rFonts w:ascii="Helvetica" w:hAnsi="Helvetica" w:cs="Helvetica"/>
                <w:bCs/>
                <w:i/>
                <w:sz w:val="18"/>
                <w:szCs w:val="18"/>
              </w:rPr>
              <w:t>et al</w:t>
            </w:r>
            <w:r>
              <w:rPr>
                <w:rFonts w:ascii="Helvetica" w:hAnsi="Helvetica" w:cs="Helvetica"/>
                <w:bCs/>
                <w:sz w:val="18"/>
                <w:szCs w:val="18"/>
              </w:rPr>
              <w:t>. 2005</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Diaporthe viticola</w:t>
            </w:r>
            <w:r>
              <w:rPr>
                <w:rFonts w:ascii="Helvetica" w:hAnsi="Helvetica" w:cs="Helvetica"/>
                <w:sz w:val="18"/>
                <w:szCs w:val="18"/>
              </w:rPr>
              <w:t xml:space="preserve"> Nitschke [Diaporthales: Diaporthaceae]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(Scheper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2000)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69" w:history="1">
              <w:r>
                <w:rPr>
                  <w:rFonts w:ascii="Helvetica" w:hAnsi="Helvetica" w:cs="Helvetica"/>
                  <w:i/>
                  <w:sz w:val="18"/>
                  <w:szCs w:val="18"/>
                </w:rPr>
                <w:t>Diatrype</w:t>
              </w:r>
            </w:hyperlink>
            <w:r>
              <w:rPr>
                <w:rFonts w:ascii="Helvetica" w:hAnsi="Helvetica" w:cs="Helvetica"/>
                <w:i/>
                <w:sz w:val="18"/>
                <w:szCs w:val="18"/>
              </w:rPr>
              <w:t xml:space="preserve"> nigerrima</w:t>
            </w:r>
            <w:r>
              <w:rPr>
                <w:rFonts w:ascii="Helvetica" w:hAnsi="Helvetica" w:cs="Helvetica"/>
                <w:sz w:val="18"/>
                <w:szCs w:val="18"/>
              </w:rPr>
              <w:t xml:space="preserve"> Ellis &amp; Everh.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Most species of diatrypaceous fungi have been regarded as saprobes (Glawe and Rogers 1984). Species in the Diatrypaceae family have been isolated from the cankered wood of grapevines (Trouillas and Gubler 2010). Therefore, semi-hardwood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autoSpaceDE w:val="0"/>
              <w:autoSpaceDN w:val="0"/>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Diatrype oregonensis</w:t>
            </w:r>
            <w:r>
              <w:rPr>
                <w:rFonts w:ascii="Helvetica" w:hAnsi="Helvetica" w:cs="Helvetica"/>
                <w:sz w:val="18"/>
                <w:szCs w:val="18"/>
              </w:rPr>
              <w:t xml:space="preserve"> (Wehm.) Rappaz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0" w:history="1">
              <w:r>
                <w:rPr>
                  <w:rFonts w:ascii="Helvetica" w:hAnsi="Helvetica" w:cs="Helvetica"/>
                  <w:i/>
                  <w:sz w:val="18"/>
                  <w:szCs w:val="18"/>
                </w:rPr>
                <w:t>Diatrype</w:t>
              </w:r>
            </w:hyperlink>
            <w:r>
              <w:rPr>
                <w:rFonts w:ascii="Helvetica" w:hAnsi="Helvetica" w:cs="Helvetica"/>
                <w:i/>
                <w:sz w:val="18"/>
                <w:szCs w:val="18"/>
              </w:rPr>
              <w:t xml:space="preserve"> stigma</w:t>
            </w:r>
            <w:r>
              <w:rPr>
                <w:rFonts w:ascii="Helvetica" w:hAnsi="Helvetica" w:cs="Helvetica"/>
                <w:sz w:val="18"/>
                <w:szCs w:val="18"/>
              </w:rPr>
              <w:t xml:space="preserve"> (Hoffm.) Fr.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Diatrype vitis</w:t>
            </w:r>
            <w:r>
              <w:rPr>
                <w:rFonts w:ascii="Helvetica" w:hAnsi="Helvetica" w:cs="Helvetica"/>
                <w:sz w:val="18"/>
                <w:szCs w:val="18"/>
              </w:rPr>
              <w:t xml:space="preserve"> Ellis &amp; Everh.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Diatrype whitmanensis</w:t>
            </w:r>
            <w:r>
              <w:rPr>
                <w:rFonts w:ascii="Helvetica" w:hAnsi="Helvetica" w:cs="Helvetica"/>
                <w:sz w:val="18"/>
                <w:szCs w:val="18"/>
              </w:rPr>
              <w:t xml:space="preserve"> J.D. Rogers &amp; Glawe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Diatrypella verruciformis</w:t>
            </w:r>
            <w:r>
              <w:rPr>
                <w:rFonts w:ascii="Helvetica" w:hAnsi="Helvetica" w:cs="Helvetica"/>
                <w:sz w:val="18"/>
                <w:szCs w:val="18"/>
              </w:rPr>
              <w:t xml:space="preserve"> (Ehrh.) Fr.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Species in the Diatrypaceae family have been isolated from the cankered wood of grapevines (Trouillas and Gubler 2010). Pathogenicity studies indicate that this species is saprophytic rather than pathogenic on grapes (Trouillas and Gubler 2010).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 xml:space="preserve">Diatrypella vulgaris </w:t>
            </w:r>
            <w:r>
              <w:rPr>
                <w:rFonts w:ascii="Helvetica" w:hAnsi="Helvetica" w:cs="Helvetica"/>
                <w:sz w:val="18"/>
                <w:szCs w:val="18"/>
              </w:rPr>
              <w:t xml:space="preserve">Trouillas </w:t>
            </w:r>
            <w:r>
              <w:rPr>
                <w:rFonts w:ascii="Helvetica" w:hAnsi="Helvetica" w:cs="Helvetica"/>
                <w:i/>
                <w:sz w:val="18"/>
                <w:szCs w:val="18"/>
              </w:rPr>
              <w:t>et al</w:t>
            </w:r>
            <w:r>
              <w:rPr>
                <w:rFonts w:ascii="Helvetica" w:hAnsi="Helvetica" w:cs="Helvetica"/>
                <w:sz w:val="18"/>
                <w:szCs w:val="18"/>
              </w:rPr>
              <w:t>.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(Trouillas </w:t>
            </w:r>
            <w:r>
              <w:rPr>
                <w:rFonts w:ascii="Helvetica" w:hAnsi="Helvetica" w:cs="Helvetica"/>
                <w:i/>
                <w:sz w:val="18"/>
                <w:szCs w:val="18"/>
              </w:rPr>
              <w:t>et al</w:t>
            </w:r>
            <w:r>
              <w:rPr>
                <w:rFonts w:ascii="Helvetica" w:hAnsi="Helvetica" w:cs="Helvetica"/>
                <w:sz w:val="18"/>
                <w:szCs w:val="18"/>
              </w:rPr>
              <w:t>. 2011)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1" w:history="1">
              <w:r>
                <w:rPr>
                  <w:rFonts w:ascii="Helvetica" w:hAnsi="Helvetica" w:cs="Helvetica"/>
                  <w:i/>
                  <w:sz w:val="18"/>
                  <w:szCs w:val="18"/>
                </w:rPr>
                <w:t>Dichomera</w:t>
              </w:r>
            </w:hyperlink>
            <w:r>
              <w:rPr>
                <w:rFonts w:ascii="Helvetica" w:hAnsi="Helvetica" w:cs="Helvetica"/>
                <w:i/>
                <w:sz w:val="18"/>
                <w:szCs w:val="18"/>
              </w:rPr>
              <w:t xml:space="preserve"> viticola</w:t>
            </w:r>
            <w:r>
              <w:rPr>
                <w:rFonts w:ascii="Helvetica" w:hAnsi="Helvetica" w:cs="Helvetica"/>
                <w:sz w:val="18"/>
                <w:szCs w:val="18"/>
              </w:rPr>
              <w:t xml:space="preserve"> Cooke &amp; Harkn.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occurs on the dead stems of the plant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2" w:history="1">
              <w:r>
                <w:rPr>
                  <w:rFonts w:ascii="Helvetica" w:hAnsi="Helvetica" w:cs="Helvetica"/>
                  <w:i/>
                  <w:sz w:val="18"/>
                  <w:szCs w:val="18"/>
                </w:rPr>
                <w:t>Dictyosporium</w:t>
              </w:r>
            </w:hyperlink>
            <w:r>
              <w:rPr>
                <w:rFonts w:ascii="Helvetica" w:hAnsi="Helvetica" w:cs="Helvetica"/>
                <w:i/>
                <w:sz w:val="18"/>
                <w:szCs w:val="18"/>
              </w:rPr>
              <w:t xml:space="preserve"> elegans</w:t>
            </w:r>
            <w:r>
              <w:rPr>
                <w:rFonts w:ascii="Helvetica" w:hAnsi="Helvetica" w:cs="Helvetica"/>
                <w:sz w:val="18"/>
                <w:szCs w:val="18"/>
              </w:rPr>
              <w:t xml:space="preserve"> Corda [Pleosporales: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Didymosphaeria sarmenti</w:t>
            </w:r>
            <w:r>
              <w:rPr>
                <w:rFonts w:ascii="Helvetica" w:hAnsi="Helvetica" w:cs="Helvetica"/>
                <w:sz w:val="18"/>
                <w:szCs w:val="18"/>
              </w:rPr>
              <w:t xml:space="preserve"> (Cooke &amp; Harkness) Berl. &amp; Voglino [Pleosporales: Didymosphaeriaceae]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the majority of </w:t>
            </w:r>
            <w:r>
              <w:rPr>
                <w:rFonts w:ascii="Helvetica" w:hAnsi="Helvetica" w:cs="Helvetica"/>
                <w:i/>
                <w:sz w:val="18"/>
                <w:szCs w:val="18"/>
              </w:rPr>
              <w:t xml:space="preserve">Didymosphaeria </w:t>
            </w:r>
            <w:r>
              <w:rPr>
                <w:rFonts w:ascii="Helvetica" w:hAnsi="Helvetica" w:cs="Helvetica"/>
                <w:sz w:val="18"/>
                <w:szCs w:val="18"/>
              </w:rPr>
              <w:t>species are saprobes that grow mostly on dead plant material (Aptroot 1995). Therefore, dormant cuttings are unlikely to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Diplodia ampelina</w:t>
            </w:r>
            <w:r>
              <w:rPr>
                <w:rFonts w:ascii="Helvetica" w:hAnsi="Helvetica" w:cs="Helvetica"/>
                <w:sz w:val="18"/>
                <w:szCs w:val="18"/>
              </w:rPr>
              <w:t xml:space="preserve"> (Cooke )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species have been isolated from cankered grapevines (Phillips </w:t>
            </w:r>
            <w:r>
              <w:rPr>
                <w:rFonts w:ascii="Helvetica" w:hAnsi="Helvetica" w:cs="Helvetica"/>
                <w:i/>
                <w:iCs/>
                <w:sz w:val="18"/>
                <w:szCs w:val="18"/>
              </w:rPr>
              <w:t>et al</w:t>
            </w:r>
            <w:r>
              <w:rPr>
                <w:rFonts w:ascii="Helvetica" w:hAnsi="Helvetica" w:cs="Helvetica"/>
                <w:sz w:val="18"/>
                <w:szCs w:val="18"/>
              </w:rPr>
              <w:t xml:space="preserve">. 2008; Úrbez-Torres and Gubler 2009). These species are endophytic (Paoletti </w:t>
            </w:r>
            <w:r>
              <w:rPr>
                <w:rFonts w:ascii="Helvetica" w:hAnsi="Helvetica" w:cs="Helvetica"/>
                <w:i/>
                <w:sz w:val="18"/>
                <w:szCs w:val="18"/>
              </w:rPr>
              <w:t>et al</w:t>
            </w:r>
            <w:r>
              <w:rPr>
                <w:rFonts w:ascii="Helvetica" w:hAnsi="Helvetica" w:cs="Helvetica"/>
                <w:sz w:val="18"/>
                <w:szCs w:val="18"/>
              </w:rPr>
              <w:t xml:space="preserve">. 2007) and both saprophytic and pathogenic (Úrbez-Torres 2011) and have isolated from the shoots of grapevines (Aroca </w:t>
            </w:r>
            <w:r>
              <w:rPr>
                <w:rFonts w:ascii="Helvetica" w:hAnsi="Helvetica" w:cs="Helvetica"/>
                <w:i/>
                <w:sz w:val="18"/>
                <w:szCs w:val="18"/>
              </w:rPr>
              <w:t>et al</w:t>
            </w:r>
            <w:r>
              <w:rPr>
                <w:rFonts w:ascii="Helvetica" w:hAnsi="Helvetica" w:cs="Helvetica"/>
                <w:sz w:val="18"/>
                <w:szCs w:val="18"/>
              </w:rPr>
              <w:t>. 2010). Therefore, dormant cuttings may provide a pathway for these fungi.</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These species occur in a wide range of climates (Farr and Rossman 2011). Therefore, parts of Australia will be suitable for the establishment and spread of these species. Distribution of infected propagative material will assist the establishment and spread these fungi in Australia.</w:t>
            </w:r>
          </w:p>
        </w:tc>
        <w:tc>
          <w:tcPr>
            <w:tcW w:w="2863"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There is no evidence that these species cause significant economic consequences. Therefore, these species do not have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Diplodia porosum </w:t>
            </w:r>
            <w:r>
              <w:rPr>
                <w:rFonts w:ascii="Helvetica" w:hAnsi="Helvetica" w:cs="Helvetica"/>
                <w:sz w:val="18"/>
                <w:szCs w:val="18"/>
              </w:rPr>
              <w:t xml:space="preserve">Van Niekerk &amp; Crous [Botryosphaeriales: Botryosphaeriaceae] (synonym: </w:t>
            </w:r>
            <w:r>
              <w:rPr>
                <w:rFonts w:ascii="Helvetica" w:hAnsi="Helvetica" w:cs="Helvetica"/>
                <w:i/>
                <w:sz w:val="18"/>
                <w:szCs w:val="18"/>
              </w:rPr>
              <w:t xml:space="preserve">Phaeobotryosphaeria porosa </w:t>
            </w:r>
            <w:r>
              <w:rPr>
                <w:rFonts w:ascii="Helvetica" w:hAnsi="Helvetica" w:cs="Helvetica"/>
                <w:sz w:val="18"/>
                <w:szCs w:val="18"/>
              </w:rPr>
              <w:t>(Van Niekerk &amp; Crous) Crous &amp; A.J.L. Phillips)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Diplodia seriata</w:t>
            </w:r>
            <w:r>
              <w:rPr>
                <w:rFonts w:ascii="Helvetica" w:hAnsi="Helvetica" w:cs="Helvetica"/>
                <w:sz w:val="18"/>
                <w:szCs w:val="18"/>
              </w:rPr>
              <w:t xml:space="preserve"> De Not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(Pitt </w:t>
            </w:r>
            <w:r>
              <w:rPr>
                <w:rFonts w:ascii="Helvetica" w:hAnsi="Helvetica" w:cs="Helvetica"/>
                <w:i/>
                <w:sz w:val="18"/>
                <w:szCs w:val="18"/>
              </w:rPr>
              <w:t>et al</w:t>
            </w:r>
            <w:r>
              <w:rPr>
                <w:rFonts w:ascii="Helvetica" w:hAnsi="Helvetica" w:cs="Helvetica"/>
                <w:sz w:val="18"/>
                <w:szCs w:val="18"/>
              </w:rPr>
              <w:t>. 2009)</w:t>
            </w:r>
          </w:p>
        </w:tc>
        <w:tc>
          <w:tcPr>
            <w:tcW w:w="2640" w:type="dxa"/>
            <w:tcBorders>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Diplodina vitis</w:t>
            </w:r>
            <w:r>
              <w:rPr>
                <w:rFonts w:ascii="Helvetica" w:hAnsi="Helvetica" w:cs="Helvetica"/>
                <w:sz w:val="18"/>
                <w:szCs w:val="18"/>
              </w:rPr>
              <w:t xml:space="preserve"> Brunaud [Diaporthales: Gnomoniaceae]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report on </w:t>
            </w:r>
            <w:r>
              <w:rPr>
                <w:rFonts w:ascii="Helvetica" w:hAnsi="Helvetica" w:cs="Helvetica"/>
                <w:i/>
                <w:sz w:val="18"/>
                <w:szCs w:val="18"/>
              </w:rPr>
              <w:t xml:space="preserve">Vitis </w:t>
            </w:r>
            <w:r>
              <w:rPr>
                <w:rFonts w:ascii="Helvetica" w:hAnsi="Helvetica" w:cs="Helvetica"/>
                <w:sz w:val="18"/>
                <w:szCs w:val="18"/>
              </w:rPr>
              <w:t>species in Central Asia in 1973 (Farr and Rossman 2011), it has not been reported from any other country, indicating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Discohainesia</w:t>
            </w:r>
            <w:r>
              <w:rPr>
                <w:rFonts w:ascii="Helvetica" w:hAnsi="Helvetica" w:cs="Helvetica"/>
                <w:sz w:val="18"/>
                <w:szCs w:val="18"/>
              </w:rPr>
              <w:t xml:space="preserve"> </w:t>
            </w:r>
            <w:r>
              <w:rPr>
                <w:rFonts w:ascii="Helvetica" w:hAnsi="Helvetica" w:cs="Helvetica"/>
                <w:i/>
                <w:sz w:val="18"/>
                <w:szCs w:val="18"/>
              </w:rPr>
              <w:t>oenotherae</w:t>
            </w:r>
            <w:r>
              <w:rPr>
                <w:rFonts w:ascii="Helvetica" w:hAnsi="Helvetica" w:cs="Helvetica"/>
                <w:sz w:val="18"/>
                <w:szCs w:val="18"/>
              </w:rPr>
              <w:t xml:space="preserve"> (Cooke &amp; Ellis) Nannf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3" w:history="1">
              <w:r>
                <w:rPr>
                  <w:rFonts w:ascii="Helvetica" w:hAnsi="Helvetica" w:cs="Helvetica"/>
                  <w:i/>
                  <w:sz w:val="18"/>
                  <w:szCs w:val="18"/>
                </w:rPr>
                <w:t>Discosia</w:t>
              </w:r>
            </w:hyperlink>
            <w:r>
              <w:rPr>
                <w:rFonts w:ascii="Helvetica" w:hAnsi="Helvetica" w:cs="Helvetica"/>
                <w:i/>
                <w:sz w:val="18"/>
                <w:szCs w:val="18"/>
              </w:rPr>
              <w:t xml:space="preserve"> artocreas</w:t>
            </w:r>
            <w:r>
              <w:rPr>
                <w:rFonts w:ascii="Helvetica" w:hAnsi="Helvetica" w:cs="Helvetica"/>
                <w:sz w:val="18"/>
                <w:szCs w:val="18"/>
              </w:rPr>
              <w:t xml:space="preserve"> (Tode) Fr.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w:t>
            </w:r>
            <w:r>
              <w:rPr>
                <w:rFonts w:ascii="Helvetica" w:hAnsi="Helvetica" w:cs="Helvetica"/>
                <w:i/>
                <w:iCs/>
                <w:sz w:val="18"/>
                <w:szCs w:val="18"/>
              </w:rPr>
              <w:t>Discosia</w:t>
            </w:r>
            <w:r>
              <w:rPr>
                <w:rFonts w:ascii="Helvetica" w:hAnsi="Helvetica" w:cs="Helvetica"/>
                <w:sz w:val="18"/>
                <w:szCs w:val="18"/>
              </w:rPr>
              <w:t xml:space="preserve"> species occur on leaves (Farr and Rossman 2011).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4" w:history="1">
              <w:r>
                <w:rPr>
                  <w:rFonts w:ascii="Helvetica" w:hAnsi="Helvetica" w:cs="Helvetica"/>
                  <w:i/>
                  <w:sz w:val="18"/>
                  <w:szCs w:val="18"/>
                </w:rPr>
                <w:t>Discosia</w:t>
              </w:r>
            </w:hyperlink>
            <w:r>
              <w:rPr>
                <w:rFonts w:ascii="Helvetica" w:hAnsi="Helvetica" w:cs="Helvetica"/>
                <w:i/>
                <w:sz w:val="18"/>
                <w:szCs w:val="18"/>
              </w:rPr>
              <w:t xml:space="preserve"> vitis</w:t>
            </w:r>
            <w:r>
              <w:rPr>
                <w:rFonts w:ascii="Helvetica" w:hAnsi="Helvetica" w:cs="Helvetica"/>
                <w:sz w:val="18"/>
                <w:szCs w:val="18"/>
              </w:rPr>
              <w:t xml:space="preserve"> Schulzer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Discostroma</w:t>
            </w:r>
            <w:r>
              <w:rPr>
                <w:rFonts w:ascii="Helvetica" w:hAnsi="Helvetica" w:cs="Helvetica"/>
                <w:sz w:val="18"/>
                <w:szCs w:val="18"/>
              </w:rPr>
              <w:t xml:space="preserve"> </w:t>
            </w:r>
            <w:r>
              <w:rPr>
                <w:rFonts w:ascii="Helvetica" w:hAnsi="Helvetica" w:cs="Helvetica"/>
                <w:i/>
                <w:sz w:val="18"/>
                <w:szCs w:val="18"/>
              </w:rPr>
              <w:t>corticola</w:t>
            </w:r>
            <w:r>
              <w:rPr>
                <w:rFonts w:ascii="Helvetica" w:hAnsi="Helvetica" w:cs="Helvetica"/>
                <w:sz w:val="18"/>
                <w:szCs w:val="18"/>
              </w:rPr>
              <w:t xml:space="preserve"> (Fuckel) Brockmann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5" w:history="1">
              <w:r>
                <w:rPr>
                  <w:rFonts w:ascii="Helvetica" w:hAnsi="Helvetica" w:cs="Helvetica"/>
                  <w:i/>
                  <w:sz w:val="18"/>
                  <w:szCs w:val="18"/>
                </w:rPr>
                <w:t>Dothidella</w:t>
              </w:r>
            </w:hyperlink>
            <w:r>
              <w:rPr>
                <w:rFonts w:ascii="Helvetica" w:hAnsi="Helvetica" w:cs="Helvetica"/>
                <w:i/>
                <w:sz w:val="18"/>
                <w:szCs w:val="18"/>
              </w:rPr>
              <w:t xml:space="preserve"> confluens </w:t>
            </w:r>
            <w:r>
              <w:rPr>
                <w:rFonts w:ascii="Helvetica" w:hAnsi="Helvetica" w:cs="Helvetica"/>
                <w:sz w:val="18"/>
                <w:szCs w:val="18"/>
              </w:rPr>
              <w:t>(Welw. &amp; Curr.) Sacc. [Incertae sedis: Polystomellaceae]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is associated with foliage and causes leaf spot (Chee 1976).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Dothiorella americana</w:t>
            </w:r>
            <w:r>
              <w:rPr>
                <w:rFonts w:ascii="Helvetica" w:hAnsi="Helvetica" w:cs="Helvetica"/>
                <w:sz w:val="18"/>
                <w:szCs w:val="18"/>
              </w:rPr>
              <w:t xml:space="preserve"> Úrbez-Torres </w:t>
            </w:r>
            <w:r>
              <w:rPr>
                <w:rFonts w:ascii="Helvetica" w:hAnsi="Helvetica" w:cs="Helvetica"/>
                <w:i/>
                <w:sz w:val="18"/>
                <w:szCs w:val="18"/>
              </w:rPr>
              <w:t>et al</w:t>
            </w:r>
            <w:r>
              <w:rPr>
                <w:rFonts w:ascii="Helvetica" w:hAnsi="Helvetica" w:cs="Helvetica"/>
                <w:sz w:val="18"/>
                <w:szCs w:val="18"/>
              </w:rPr>
              <w:t>. sp. nov.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is associated with die-back of </w:t>
            </w:r>
            <w:r>
              <w:rPr>
                <w:rFonts w:ascii="Helvetica" w:hAnsi="Helvetica" w:cs="Helvetica"/>
                <w:i/>
                <w:sz w:val="18"/>
                <w:szCs w:val="18"/>
              </w:rPr>
              <w:t xml:space="preserve">Vitis </w:t>
            </w:r>
            <w:r>
              <w:rPr>
                <w:rFonts w:ascii="Helvetica" w:hAnsi="Helvetica" w:cs="Helvetica"/>
                <w:sz w:val="18"/>
                <w:szCs w:val="18"/>
              </w:rPr>
              <w:t xml:space="preserve">species and has been isolated from grapevine vascular tissue (Urbez-Torres </w:t>
            </w:r>
            <w:r>
              <w:rPr>
                <w:rFonts w:ascii="Helvetica" w:hAnsi="Helvetica" w:cs="Helvetica"/>
                <w:i/>
                <w:sz w:val="18"/>
                <w:szCs w:val="18"/>
              </w:rPr>
              <w:t>et al</w:t>
            </w:r>
            <w:r>
              <w:rPr>
                <w:rFonts w:ascii="Helvetica" w:hAnsi="Helvetica" w:cs="Helvetica"/>
                <w:sz w:val="18"/>
                <w:szCs w:val="18"/>
              </w:rPr>
              <w:t>. 2012).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This fungus </w:t>
            </w:r>
            <w:r>
              <w:rPr>
                <w:rFonts w:ascii="Helvetica" w:hAnsi="Helvetica" w:cs="Helvetica"/>
                <w:sz w:val="18"/>
                <w:szCs w:val="18"/>
              </w:rPr>
              <w:t xml:space="preserve">has established in areas with a wide range of climatic conditions (Urbez-Torres </w:t>
            </w:r>
            <w:r>
              <w:rPr>
                <w:rFonts w:ascii="Helvetica" w:hAnsi="Helvetica" w:cs="Helvetica"/>
                <w:i/>
                <w:sz w:val="18"/>
                <w:szCs w:val="18"/>
              </w:rPr>
              <w:t>et al</w:t>
            </w:r>
            <w:r>
              <w:rPr>
                <w:rFonts w:ascii="Helvetica" w:hAnsi="Helvetica" w:cs="Helvetica"/>
                <w:sz w:val="18"/>
                <w:szCs w:val="18"/>
              </w:rPr>
              <w:t>. 2012). Propagation and distribution of infected material will help spread this fungus within Australia. Therefore, this fungus has the potential to establish and spread in Australia.</w:t>
            </w:r>
          </w:p>
        </w:tc>
        <w:tc>
          <w:tcPr>
            <w:tcW w:w="2863"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Although this fungus is associated with die-back, it is considered a weak pathogen of grapevines (Urbez-Torres </w:t>
            </w:r>
            <w:r>
              <w:rPr>
                <w:rFonts w:ascii="Helvetica" w:hAnsi="Helvetica" w:cs="Helvetica"/>
                <w:i/>
                <w:sz w:val="18"/>
                <w:szCs w:val="18"/>
              </w:rPr>
              <w:t>et al</w:t>
            </w:r>
            <w:r>
              <w:rPr>
                <w:rFonts w:ascii="Helvetica" w:hAnsi="Helvetica" w:cs="Helvetica"/>
                <w:sz w:val="18"/>
                <w:szCs w:val="18"/>
              </w:rPr>
              <w:t xml:space="preserve">. 2012). Other </w:t>
            </w:r>
            <w:r>
              <w:rPr>
                <w:rFonts w:ascii="Helvetica" w:hAnsi="Helvetica" w:cs="Helvetica"/>
                <w:i/>
                <w:sz w:val="18"/>
                <w:szCs w:val="18"/>
              </w:rPr>
              <w:t>Dothiorella</w:t>
            </w:r>
            <w:r>
              <w:rPr>
                <w:rFonts w:ascii="Helvetica" w:hAnsi="Helvetica" w:cs="Helvetica"/>
                <w:sz w:val="18"/>
                <w:szCs w:val="18"/>
              </w:rPr>
              <w:t xml:space="preserve"> species</w:t>
            </w:r>
            <w:r>
              <w:rPr>
                <w:rFonts w:ascii="Helvetica" w:hAnsi="Helvetica" w:cs="Helvetica"/>
                <w:i/>
                <w:sz w:val="18"/>
                <w:szCs w:val="18"/>
              </w:rPr>
              <w:t xml:space="preserve"> </w:t>
            </w:r>
            <w:r>
              <w:rPr>
                <w:rFonts w:ascii="Helvetica" w:hAnsi="Helvetica" w:cs="Helvetica"/>
                <w:sz w:val="18"/>
                <w:szCs w:val="18"/>
              </w:rPr>
              <w:t xml:space="preserve">are also generally considered weak pathogens of grapevines (Urbez-Torres </w:t>
            </w:r>
            <w:r>
              <w:rPr>
                <w:rFonts w:ascii="Helvetica" w:hAnsi="Helvetica" w:cs="Helvetica"/>
                <w:i/>
                <w:sz w:val="18"/>
                <w:szCs w:val="18"/>
              </w:rPr>
              <w:t>et al</w:t>
            </w:r>
            <w:r>
              <w:rPr>
                <w:rFonts w:ascii="Helvetica" w:hAnsi="Helvetica" w:cs="Helvetica"/>
                <w:sz w:val="18"/>
                <w:szCs w:val="18"/>
              </w:rPr>
              <w:t xml:space="preserve">. 2006; Urbez-Torres and Gubler 2009). This </w:t>
            </w:r>
            <w:r>
              <w:rPr>
                <w:rFonts w:ascii="Helvetica" w:hAnsi="Helvetica" w:cs="Helvetica"/>
                <w:i/>
                <w:sz w:val="18"/>
                <w:szCs w:val="18"/>
              </w:rPr>
              <w:t>Dothiorella</w:t>
            </w:r>
            <w:r>
              <w:rPr>
                <w:rFonts w:ascii="Helvetica" w:hAnsi="Helvetica" w:cs="Helvetica"/>
                <w:sz w:val="18"/>
                <w:szCs w:val="18"/>
              </w:rPr>
              <w:t xml:space="preserve"> species</w:t>
            </w:r>
            <w:r>
              <w:rPr>
                <w:rFonts w:ascii="Helvetica" w:hAnsi="Helvetica" w:cs="Helvetica"/>
                <w:i/>
                <w:sz w:val="18"/>
                <w:szCs w:val="18"/>
              </w:rPr>
              <w:t xml:space="preserve"> </w:t>
            </w:r>
            <w:r>
              <w:rPr>
                <w:rFonts w:ascii="Helvetica" w:hAnsi="Helvetica" w:cs="Helvetica"/>
                <w:sz w:val="18"/>
                <w:szCs w:val="18"/>
              </w:rPr>
              <w:t>has not been recorded to have economic consequences. Therefore, this fungus is not of economic concern to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Dothiorella iberica</w:t>
            </w:r>
            <w:r>
              <w:rPr>
                <w:rFonts w:ascii="Helvetica" w:hAnsi="Helvetica" w:cs="Helvetica"/>
                <w:sz w:val="18"/>
                <w:szCs w:val="18"/>
              </w:rPr>
              <w:t xml:space="preserve"> Phillips </w:t>
            </w:r>
            <w:r>
              <w:rPr>
                <w:rFonts w:ascii="Helvetica" w:hAnsi="Helvetica" w:cs="Helvetica"/>
                <w:i/>
                <w:sz w:val="18"/>
                <w:szCs w:val="18"/>
              </w:rPr>
              <w:t>et al</w:t>
            </w:r>
            <w:r>
              <w:rPr>
                <w:rFonts w:ascii="Helvetica" w:hAnsi="Helvetica" w:cs="Helvetica"/>
                <w:sz w:val="18"/>
                <w:szCs w:val="18"/>
              </w:rPr>
              <w:t>.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sz w:val="18"/>
                <w:szCs w:val="18"/>
                <w:lang w:val="de-DE"/>
              </w:rPr>
              <w:t xml:space="preserve">Yes (Wunderlich </w:t>
            </w:r>
            <w:r>
              <w:rPr>
                <w:rFonts w:ascii="Helvetica" w:hAnsi="Helvetica" w:cs="Helvetica"/>
                <w:i/>
                <w:sz w:val="18"/>
                <w:szCs w:val="18"/>
                <w:lang w:val="de-DE"/>
              </w:rPr>
              <w:t>et al</w:t>
            </w:r>
            <w:r>
              <w:rPr>
                <w:rFonts w:ascii="Helvetica" w:hAnsi="Helvetica" w:cs="Helvetica"/>
                <w:sz w:val="18"/>
                <w:szCs w:val="18"/>
                <w:lang w:val="de-DE"/>
              </w:rPr>
              <w:t xml:space="preserve">. 2008, Pitt </w:t>
            </w:r>
            <w:r>
              <w:rPr>
                <w:rFonts w:ascii="Helvetica" w:hAnsi="Helvetica" w:cs="Helvetica"/>
                <w:i/>
                <w:sz w:val="18"/>
                <w:szCs w:val="18"/>
                <w:lang w:val="de-DE"/>
              </w:rPr>
              <w:t>et al</w:t>
            </w:r>
            <w:r>
              <w:rPr>
                <w:rFonts w:ascii="Helvetica" w:hAnsi="Helvetica" w:cs="Helvetica"/>
                <w:sz w:val="18"/>
                <w:szCs w:val="18"/>
                <w:lang w:val="de-DE"/>
              </w:rPr>
              <w:t>. 2009)</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i/>
                <w:sz w:val="18"/>
                <w:szCs w:val="18"/>
              </w:rPr>
            </w:pPr>
            <w:r>
              <w:rPr>
                <w:rFonts w:ascii="Helvetica" w:hAnsi="Helvetica" w:cs="Helvetica"/>
                <w:i/>
                <w:sz w:val="18"/>
                <w:szCs w:val="18"/>
              </w:rPr>
              <w:t xml:space="preserve">Dothiorella sarmentorum </w:t>
            </w:r>
            <w:r>
              <w:rPr>
                <w:rFonts w:ascii="Helvetica" w:hAnsi="Helvetica" w:cs="Helvetica"/>
                <w:sz w:val="18"/>
                <w:szCs w:val="18"/>
              </w:rPr>
              <w:t xml:space="preserve">(Fr.) Phillips </w:t>
            </w:r>
            <w:r>
              <w:rPr>
                <w:rFonts w:ascii="Helvetica" w:hAnsi="Helvetica" w:cs="Helvetica"/>
                <w:i/>
                <w:sz w:val="18"/>
                <w:szCs w:val="18"/>
              </w:rPr>
              <w:t>et al</w:t>
            </w:r>
            <w:r>
              <w:rPr>
                <w:rFonts w:ascii="Helvetica" w:hAnsi="Helvetica" w:cs="Helvetica"/>
                <w:sz w:val="18"/>
                <w:szCs w:val="18"/>
              </w:rPr>
              <w:t xml:space="preserve">. [Botryosphaeriales: Botryosphaeriaceae] (synonym </w:t>
            </w:r>
            <w:r>
              <w:rPr>
                <w:rFonts w:ascii="Helvetica" w:hAnsi="Helvetica" w:cs="Helvetica"/>
                <w:i/>
                <w:sz w:val="18"/>
                <w:szCs w:val="18"/>
              </w:rPr>
              <w:t>Diplodia sarmentorum</w:t>
            </w:r>
            <w:r>
              <w:rPr>
                <w:rFonts w:ascii="Helvetica" w:hAnsi="Helvetica" w:cs="Helvetica"/>
                <w:sz w:val="18"/>
                <w:szCs w:val="18"/>
              </w:rPr>
              <w:t xml:space="preserve"> (Fr.) Fr.)</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This species has been isolated from the trunks of grapevines (Gramaje </w:t>
            </w:r>
            <w:r>
              <w:rPr>
                <w:rFonts w:ascii="Helvetica" w:hAnsi="Helvetica" w:cs="Helvetica"/>
                <w:i/>
                <w:sz w:val="18"/>
                <w:szCs w:val="18"/>
              </w:rPr>
              <w:t>et al</w:t>
            </w:r>
            <w:r>
              <w:rPr>
                <w:rFonts w:ascii="Helvetica" w:hAnsi="Helvetica" w:cs="Helvetica"/>
                <w:sz w:val="18"/>
                <w:szCs w:val="18"/>
              </w:rPr>
              <w:t xml:space="preserve">. 2009b). </w:t>
            </w:r>
            <w:r>
              <w:rPr>
                <w:rFonts w:ascii="Helvetica" w:hAnsi="Helvetica" w:cs="Helvetica"/>
                <w:i/>
                <w:sz w:val="18"/>
                <w:szCs w:val="18"/>
              </w:rPr>
              <w:t xml:space="preserve">Dothiorella </w:t>
            </w:r>
            <w:r>
              <w:rPr>
                <w:rFonts w:ascii="Helvetica" w:hAnsi="Helvetica" w:cs="Helvetica"/>
                <w:sz w:val="18"/>
                <w:szCs w:val="18"/>
              </w:rPr>
              <w:t xml:space="preserve">species have been isolated from the vascular tissue of grapevines (Urbez-Torres </w:t>
            </w:r>
            <w:r>
              <w:rPr>
                <w:rFonts w:ascii="Helvetica" w:hAnsi="Helvetica" w:cs="Helvetica"/>
                <w:i/>
                <w:sz w:val="18"/>
                <w:szCs w:val="18"/>
              </w:rPr>
              <w:t>et al</w:t>
            </w:r>
            <w:r>
              <w:rPr>
                <w:rFonts w:ascii="Helvetica" w:hAnsi="Helvetica" w:cs="Helvetica"/>
                <w:sz w:val="18"/>
                <w:szCs w:val="18"/>
              </w:rPr>
              <w:t>. 2012). Therefore, dormant cuttings may provide a pathway for this fungus.</w:t>
            </w:r>
          </w:p>
        </w:tc>
        <w:tc>
          <w:tcPr>
            <w:tcW w:w="2640" w:type="dxa"/>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This species is distributed across a wide range of climates (Gramaje </w:t>
            </w:r>
            <w:r>
              <w:rPr>
                <w:rFonts w:ascii="Helvetica" w:hAnsi="Helvetica" w:cs="Helvetica"/>
                <w:i/>
                <w:sz w:val="18"/>
                <w:szCs w:val="18"/>
              </w:rPr>
              <w:t>et al</w:t>
            </w:r>
            <w:r>
              <w:rPr>
                <w:rFonts w:ascii="Helvetica" w:hAnsi="Helvetica" w:cs="Helvetica"/>
                <w:sz w:val="18"/>
                <w:szCs w:val="18"/>
              </w:rPr>
              <w:t>. 2009b; Farr and Rossman 2011). Parts of Australia have suitable climatic conditions for the establishment and spread of this species. Propagation and distribution of infected material will help spread this fungus within Australia.</w:t>
            </w:r>
          </w:p>
        </w:tc>
        <w:tc>
          <w:tcPr>
            <w:tcW w:w="2863"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occurs on a range of hosts, including elms, grapevines, </w:t>
            </w:r>
            <w:r>
              <w:rPr>
                <w:rFonts w:ascii="Helvetica" w:hAnsi="Helvetica" w:cs="Helvetica"/>
                <w:i/>
                <w:sz w:val="18"/>
                <w:szCs w:val="18"/>
              </w:rPr>
              <w:t xml:space="preserve">Malus </w:t>
            </w:r>
            <w:r>
              <w:rPr>
                <w:rFonts w:ascii="Helvetica" w:hAnsi="Helvetica" w:cs="Helvetica"/>
                <w:sz w:val="18"/>
                <w:szCs w:val="18"/>
              </w:rPr>
              <w:t xml:space="preserve">species and </w:t>
            </w:r>
            <w:r>
              <w:rPr>
                <w:rFonts w:ascii="Helvetica" w:hAnsi="Helvetica" w:cs="Helvetica"/>
                <w:i/>
                <w:sz w:val="18"/>
                <w:szCs w:val="18"/>
              </w:rPr>
              <w:t xml:space="preserve">Prunus </w:t>
            </w:r>
            <w:r>
              <w:rPr>
                <w:rFonts w:ascii="Helvetica" w:hAnsi="Helvetica" w:cs="Helvetica"/>
                <w:sz w:val="18"/>
                <w:szCs w:val="18"/>
              </w:rPr>
              <w:t xml:space="preserve">species (Phillips </w:t>
            </w:r>
            <w:r>
              <w:rPr>
                <w:rFonts w:ascii="Helvetica" w:hAnsi="Helvetica" w:cs="Helvetica"/>
                <w:i/>
                <w:sz w:val="18"/>
                <w:szCs w:val="18"/>
              </w:rPr>
              <w:t>et al</w:t>
            </w:r>
            <w:r>
              <w:rPr>
                <w:rFonts w:ascii="Helvetica" w:hAnsi="Helvetica" w:cs="Helvetica"/>
                <w:sz w:val="18"/>
                <w:szCs w:val="18"/>
              </w:rPr>
              <w:t xml:space="preserve">. 2008; Gramaje </w:t>
            </w:r>
            <w:r>
              <w:rPr>
                <w:rFonts w:ascii="Helvetica" w:hAnsi="Helvetica" w:cs="Helvetica"/>
                <w:i/>
                <w:sz w:val="18"/>
                <w:szCs w:val="18"/>
              </w:rPr>
              <w:t>et al</w:t>
            </w:r>
            <w:r>
              <w:rPr>
                <w:rFonts w:ascii="Helvetica" w:hAnsi="Helvetica" w:cs="Helvetica"/>
                <w:sz w:val="18"/>
                <w:szCs w:val="18"/>
              </w:rPr>
              <w:t xml:space="preserve">. 2009b; Gramaje </w:t>
            </w:r>
            <w:r>
              <w:rPr>
                <w:rFonts w:ascii="Helvetica" w:hAnsi="Helvetica" w:cs="Helvetica"/>
                <w:i/>
                <w:sz w:val="18"/>
                <w:szCs w:val="18"/>
              </w:rPr>
              <w:t>et al</w:t>
            </w:r>
            <w:r>
              <w:rPr>
                <w:rFonts w:ascii="Helvetica" w:hAnsi="Helvetica" w:cs="Helvetica"/>
                <w:sz w:val="18"/>
                <w:szCs w:val="18"/>
              </w:rPr>
              <w:t xml:space="preserve">. 2012). </w:t>
            </w:r>
            <w:r>
              <w:rPr>
                <w:rFonts w:ascii="Helvetica" w:hAnsi="Helvetica" w:cs="Helvetica"/>
                <w:i/>
                <w:sz w:val="18"/>
                <w:szCs w:val="18"/>
              </w:rPr>
              <w:t>Dothiorella</w:t>
            </w:r>
            <w:r>
              <w:rPr>
                <w:rFonts w:ascii="Helvetica" w:hAnsi="Helvetica" w:cs="Helvetica"/>
                <w:sz w:val="18"/>
                <w:szCs w:val="18"/>
              </w:rPr>
              <w:t xml:space="preserve"> species</w:t>
            </w:r>
            <w:r>
              <w:rPr>
                <w:rFonts w:ascii="Helvetica" w:hAnsi="Helvetica" w:cs="Helvetica"/>
                <w:i/>
                <w:sz w:val="18"/>
                <w:szCs w:val="18"/>
              </w:rPr>
              <w:t xml:space="preserve"> </w:t>
            </w:r>
            <w:r>
              <w:rPr>
                <w:rFonts w:ascii="Helvetica" w:hAnsi="Helvetica" w:cs="Helvetica"/>
                <w:sz w:val="18"/>
                <w:szCs w:val="18"/>
              </w:rPr>
              <w:t xml:space="preserve">are generally considered weak pathogens of grapevines (Urbez-Torres </w:t>
            </w:r>
            <w:r>
              <w:rPr>
                <w:rFonts w:ascii="Helvetica" w:hAnsi="Helvetica" w:cs="Helvetica"/>
                <w:i/>
                <w:sz w:val="18"/>
                <w:szCs w:val="18"/>
              </w:rPr>
              <w:t>et al</w:t>
            </w:r>
            <w:r>
              <w:rPr>
                <w:rFonts w:ascii="Helvetica" w:hAnsi="Helvetica" w:cs="Helvetica"/>
                <w:sz w:val="18"/>
                <w:szCs w:val="18"/>
              </w:rPr>
              <w:t xml:space="preserve">. 2006; Urbez-Torres and Gubler 2009). This </w:t>
            </w:r>
            <w:r>
              <w:rPr>
                <w:rFonts w:ascii="Helvetica" w:hAnsi="Helvetica" w:cs="Helvetica"/>
                <w:i/>
                <w:sz w:val="18"/>
                <w:szCs w:val="18"/>
              </w:rPr>
              <w:t>Dothiorella</w:t>
            </w:r>
            <w:r>
              <w:rPr>
                <w:rFonts w:ascii="Helvetica" w:hAnsi="Helvetica" w:cs="Helvetica"/>
                <w:sz w:val="18"/>
                <w:szCs w:val="18"/>
              </w:rPr>
              <w:t xml:space="preserve"> species</w:t>
            </w:r>
            <w:r>
              <w:rPr>
                <w:rFonts w:ascii="Helvetica" w:hAnsi="Helvetica" w:cs="Helvetica"/>
                <w:i/>
                <w:sz w:val="18"/>
                <w:szCs w:val="18"/>
              </w:rPr>
              <w:t xml:space="preserve"> </w:t>
            </w:r>
            <w:r>
              <w:rPr>
                <w:rFonts w:ascii="Helvetica" w:hAnsi="Helvetica" w:cs="Helvetica"/>
                <w:sz w:val="18"/>
                <w:szCs w:val="18"/>
              </w:rPr>
              <w:t>has not been recorded to have significant economic consequences. Therefore, this fungus is not of economic concern to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6" w:history="1">
              <w:r>
                <w:rPr>
                  <w:rFonts w:ascii="Helvetica" w:hAnsi="Helvetica" w:cs="Helvetica"/>
                  <w:i/>
                  <w:sz w:val="18"/>
                  <w:szCs w:val="18"/>
                </w:rPr>
                <w:t>Drechslera</w:t>
              </w:r>
            </w:hyperlink>
            <w:r>
              <w:rPr>
                <w:rFonts w:ascii="Helvetica" w:hAnsi="Helvetica" w:cs="Helvetica"/>
                <w:i/>
                <w:sz w:val="18"/>
                <w:szCs w:val="18"/>
              </w:rPr>
              <w:t xml:space="preserve"> tetramera </w:t>
            </w:r>
            <w:r>
              <w:rPr>
                <w:rFonts w:ascii="Helvetica" w:hAnsi="Helvetica" w:cs="Helvetica"/>
                <w:sz w:val="18"/>
                <w:szCs w:val="18"/>
              </w:rPr>
              <w:t>(McKinney) Subram. &amp; B.L. Jain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is associated with roots (Nan 1995).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Ellisembia</w:t>
            </w:r>
            <w:r>
              <w:rPr>
                <w:rFonts w:ascii="Helvetica" w:hAnsi="Helvetica" w:cs="Helvetica"/>
                <w:sz w:val="18"/>
                <w:szCs w:val="18"/>
              </w:rPr>
              <w:t xml:space="preserve"> </w:t>
            </w:r>
            <w:r>
              <w:rPr>
                <w:rFonts w:ascii="Helvetica" w:hAnsi="Helvetica" w:cs="Helvetica"/>
                <w:i/>
                <w:sz w:val="18"/>
                <w:szCs w:val="18"/>
              </w:rPr>
              <w:t>brachypus</w:t>
            </w:r>
            <w:r>
              <w:rPr>
                <w:rFonts w:ascii="Helvetica" w:hAnsi="Helvetica" w:cs="Helvetica"/>
                <w:sz w:val="18"/>
                <w:szCs w:val="18"/>
              </w:rPr>
              <w:t xml:space="preserve"> (Ellis &amp; Everh.) Subram.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species occurs on dead wood (Sivichai </w:t>
            </w:r>
            <w:r>
              <w:rPr>
                <w:rFonts w:ascii="Helvetica" w:hAnsi="Helvetica" w:cs="Helvetica"/>
                <w:i/>
                <w:iCs/>
                <w:sz w:val="18"/>
                <w:szCs w:val="18"/>
              </w:rPr>
              <w:t>et al</w:t>
            </w:r>
            <w:r>
              <w:rPr>
                <w:rFonts w:ascii="Helvetica" w:hAnsi="Helvetica" w:cs="Helvetica"/>
                <w:sz w:val="18"/>
                <w:szCs w:val="18"/>
              </w:rPr>
              <w:t>. 2000).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Elsinoë ampelina</w:t>
            </w:r>
            <w:r>
              <w:rPr>
                <w:rFonts w:ascii="Helvetica" w:hAnsi="Helvetica" w:cs="Helvetica"/>
                <w:sz w:val="18"/>
                <w:szCs w:val="18"/>
              </w:rPr>
              <w:t xml:space="preserve"> Shear [Myriangiales: Elsinoaceae]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(Magarey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 xml:space="preserve">al. </w:t>
            </w:r>
            <w:r>
              <w:rPr>
                <w:rFonts w:ascii="Helvetica" w:hAnsi="Helvetica" w:cs="Helvetica"/>
                <w:sz w:val="18"/>
                <w:szCs w:val="18"/>
              </w:rPr>
              <w:t>1993)</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Endothia radicalis</w:t>
            </w:r>
            <w:r>
              <w:rPr>
                <w:rFonts w:ascii="Helvetica" w:hAnsi="Helvetica" w:cs="Helvetica"/>
                <w:sz w:val="18"/>
                <w:szCs w:val="18"/>
              </w:rPr>
              <w:t xml:space="preserve"> (Schwein.) De Not. [Diaporthales: Cryphonectriaceae]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this species is saprophytic and occurs in dead stems on other hosts (Hoegger </w:t>
            </w:r>
            <w:r>
              <w:rPr>
                <w:rFonts w:ascii="Helvetica" w:hAnsi="Helvetica" w:cs="Helvetica"/>
                <w:i/>
                <w:sz w:val="18"/>
                <w:szCs w:val="18"/>
              </w:rPr>
              <w:t>et al</w:t>
            </w:r>
            <w:r>
              <w:rPr>
                <w:rFonts w:ascii="Helvetica" w:hAnsi="Helvetica" w:cs="Helvetica"/>
                <w:sz w:val="18"/>
                <w:szCs w:val="18"/>
              </w:rPr>
              <w:t>. 2002).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Epicoccum nigrum</w:t>
            </w:r>
            <w:r>
              <w:rPr>
                <w:rFonts w:ascii="Helvetica" w:hAnsi="Helvetica" w:cs="Helvetica"/>
                <w:sz w:val="18"/>
                <w:szCs w:val="18"/>
              </w:rPr>
              <w:t xml:space="preserve"> Link [Pleosporales: Pleosporaceae] (synonym: </w:t>
            </w:r>
            <w:r>
              <w:rPr>
                <w:rFonts w:ascii="Helvetica" w:hAnsi="Helvetica" w:cs="Helvetica"/>
                <w:i/>
                <w:sz w:val="18"/>
                <w:szCs w:val="18"/>
              </w:rPr>
              <w:t>Epicoccum granulatum</w:t>
            </w:r>
            <w:r>
              <w:rPr>
                <w:rFonts w:ascii="Helvetica" w:hAnsi="Helvetica" w:cs="Helvetica"/>
                <w:sz w:val="18"/>
                <w:szCs w:val="18"/>
              </w:rPr>
              <w:t xml:space="preserve"> Penz.)</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Eriosphaeria oenotria</w:t>
            </w:r>
            <w:r>
              <w:rPr>
                <w:rFonts w:ascii="Helvetica" w:hAnsi="Helvetica" w:cs="Helvetica"/>
                <w:sz w:val="18"/>
                <w:szCs w:val="18"/>
              </w:rPr>
              <w:t xml:space="preserve"> Sacc. &amp; Speg. [Trichosphaeriales: Trichosphaeriaceae]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report on </w:t>
            </w:r>
            <w:r>
              <w:rPr>
                <w:rFonts w:ascii="Helvetica" w:hAnsi="Helvetica" w:cs="Helvetica"/>
                <w:i/>
                <w:sz w:val="18"/>
                <w:szCs w:val="18"/>
              </w:rPr>
              <w:t xml:space="preserve">Vitis </w:t>
            </w:r>
            <w:r>
              <w:rPr>
                <w:rFonts w:ascii="Helvetica" w:hAnsi="Helvetica" w:cs="Helvetica"/>
                <w:sz w:val="18"/>
                <w:szCs w:val="18"/>
              </w:rPr>
              <w:t>species in Italy in 1973 (Farr and Rossman 2011), it has not been reported from any other country, indicating that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7" w:history="1">
              <w:r>
                <w:rPr>
                  <w:rFonts w:ascii="Helvetica" w:hAnsi="Helvetica" w:cs="Helvetica"/>
                  <w:i/>
                  <w:sz w:val="18"/>
                  <w:szCs w:val="18"/>
                </w:rPr>
                <w:t>Erysiphe</w:t>
              </w:r>
            </w:hyperlink>
            <w:r>
              <w:rPr>
                <w:rFonts w:ascii="Helvetica" w:hAnsi="Helvetica" w:cs="Helvetica"/>
                <w:i/>
                <w:sz w:val="18"/>
                <w:szCs w:val="18"/>
              </w:rPr>
              <w:t xml:space="preserve"> necator</w:t>
            </w:r>
            <w:r>
              <w:rPr>
                <w:rFonts w:ascii="Helvetica" w:hAnsi="Helvetica" w:cs="Helvetica"/>
                <w:sz w:val="18"/>
                <w:szCs w:val="18"/>
              </w:rPr>
              <w:t xml:space="preserve"> Schwein. [Erysiphales: Erysiphaceae]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(Magarey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1997)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8" w:history="1">
              <w:r>
                <w:rPr>
                  <w:rFonts w:ascii="Helvetica" w:hAnsi="Helvetica" w:cs="Helvetica"/>
                  <w:i/>
                  <w:sz w:val="18"/>
                  <w:szCs w:val="18"/>
                </w:rPr>
                <w:t>Eutypa</w:t>
              </w:r>
            </w:hyperlink>
            <w:r>
              <w:rPr>
                <w:rFonts w:ascii="Helvetica" w:hAnsi="Helvetica" w:cs="Helvetica"/>
                <w:i/>
                <w:sz w:val="18"/>
                <w:szCs w:val="18"/>
              </w:rPr>
              <w:t xml:space="preserve"> lata </w:t>
            </w:r>
            <w:r>
              <w:rPr>
                <w:rFonts w:ascii="Helvetica" w:hAnsi="Helvetica" w:cs="Helvetica"/>
                <w:sz w:val="18"/>
                <w:szCs w:val="18"/>
              </w:rPr>
              <w:t>(Pers.) Tul. &amp; C. Tul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(Constable and Drew 2004)</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Eutypa leptoplaca</w:t>
            </w:r>
            <w:r>
              <w:rPr>
                <w:rFonts w:ascii="Helvetica" w:hAnsi="Helvetica" w:cs="Helvetica"/>
                <w:sz w:val="18"/>
                <w:szCs w:val="18"/>
              </w:rPr>
              <w:t xml:space="preserve"> (Mont.) Rappaz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(Trouillas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2010)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Eutypa ludibunda </w:t>
            </w:r>
            <w:r>
              <w:rPr>
                <w:rFonts w:ascii="Helvetica" w:hAnsi="Helvetica" w:cs="Helvetica"/>
                <w:sz w:val="18"/>
                <w:szCs w:val="18"/>
              </w:rPr>
              <w:t>Sacc.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fungus occurs on the dead wood of host plants (Rolshausen 2004).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Eutypella citricola</w:t>
            </w:r>
            <w:r>
              <w:rPr>
                <w:rFonts w:ascii="Helvetica" w:hAnsi="Helvetica" w:cs="Helvetica"/>
                <w:sz w:val="18"/>
                <w:szCs w:val="18"/>
              </w:rPr>
              <w:t xml:space="preserve"> Speg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Trouillas </w:t>
            </w:r>
            <w:r>
              <w:rPr>
                <w:rFonts w:ascii="Helvetica" w:hAnsi="Helvetica" w:cs="Helvetica"/>
                <w:bCs/>
                <w:i/>
                <w:sz w:val="18"/>
                <w:szCs w:val="18"/>
              </w:rPr>
              <w:t>et</w:t>
            </w:r>
            <w:r>
              <w:rPr>
                <w:rFonts w:ascii="Helvetica" w:hAnsi="Helvetica" w:cs="Helvetica"/>
                <w:bCs/>
                <w:sz w:val="18"/>
                <w:szCs w:val="18"/>
              </w:rPr>
              <w:t xml:space="preserve"> </w:t>
            </w:r>
            <w:r>
              <w:rPr>
                <w:rFonts w:ascii="Helvetica" w:hAnsi="Helvetica" w:cs="Helvetica"/>
                <w:bCs/>
                <w:i/>
                <w:sz w:val="18"/>
                <w:szCs w:val="18"/>
              </w:rPr>
              <w:t>al</w:t>
            </w:r>
            <w:r>
              <w:rPr>
                <w:rFonts w:ascii="Helvetica" w:hAnsi="Helvetica" w:cs="Helvetica"/>
                <w:bCs/>
                <w:sz w:val="18"/>
                <w:szCs w:val="18"/>
              </w:rPr>
              <w:t>. 2011)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Eutypella</w:t>
            </w:r>
            <w:r>
              <w:rPr>
                <w:rFonts w:ascii="Helvetica" w:hAnsi="Helvetica" w:cs="Helvetica"/>
                <w:sz w:val="18"/>
                <w:szCs w:val="18"/>
              </w:rPr>
              <w:t xml:space="preserve"> </w:t>
            </w:r>
            <w:r>
              <w:rPr>
                <w:rFonts w:ascii="Helvetica" w:hAnsi="Helvetica" w:cs="Helvetica"/>
                <w:i/>
                <w:sz w:val="18"/>
                <w:szCs w:val="18"/>
              </w:rPr>
              <w:t>fraxinicola</w:t>
            </w:r>
            <w:r>
              <w:rPr>
                <w:rFonts w:ascii="Helvetica" w:hAnsi="Helvetica" w:cs="Helvetica"/>
                <w:sz w:val="18"/>
                <w:szCs w:val="18"/>
              </w:rPr>
              <w:t xml:space="preserve"> (Cooke &amp; Peck) Sacc.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Cs/>
                <w:sz w:val="18"/>
                <w:szCs w:val="18"/>
              </w:rPr>
              <w:t xml:space="preserve">No: </w:t>
            </w:r>
            <w:r>
              <w:rPr>
                <w:rFonts w:ascii="Helvetica" w:hAnsi="Helvetica" w:cs="Helvetica"/>
                <w:sz w:val="18"/>
                <w:szCs w:val="18"/>
              </w:rPr>
              <w:t xml:space="preserve">This fungus has been recorded on </w:t>
            </w:r>
            <w:r>
              <w:rPr>
                <w:rFonts w:ascii="Helvetica" w:hAnsi="Helvetica" w:cs="Helvetica"/>
                <w:i/>
                <w:iCs/>
                <w:sz w:val="18"/>
                <w:szCs w:val="18"/>
              </w:rPr>
              <w:t xml:space="preserve">Vitis </w:t>
            </w:r>
            <w:r>
              <w:rPr>
                <w:rFonts w:ascii="Helvetica" w:hAnsi="Helvetica" w:cs="Helvetica"/>
                <w:iCs/>
                <w:sz w:val="18"/>
                <w:szCs w:val="18"/>
              </w:rPr>
              <w:t xml:space="preserve">species </w:t>
            </w:r>
            <w:r>
              <w:rPr>
                <w:rFonts w:ascii="Helvetica" w:hAnsi="Helvetica" w:cs="Helvetica"/>
                <w:sz w:val="18"/>
                <w:szCs w:val="18"/>
              </w:rPr>
              <w:t xml:space="preserve">(Farr and Rossman 2011), but affected plant parts are not mentioned. Generally, this fungus occurs on dead branches of </w:t>
            </w:r>
            <w:r>
              <w:rPr>
                <w:rFonts w:ascii="Helvetica" w:hAnsi="Helvetica" w:cs="Helvetica"/>
                <w:i/>
                <w:iCs/>
                <w:sz w:val="18"/>
                <w:szCs w:val="18"/>
              </w:rPr>
              <w:t>Fraxinus</w:t>
            </w:r>
            <w:r>
              <w:rPr>
                <w:rFonts w:ascii="Helvetica" w:hAnsi="Helvetica" w:cs="Helvetica"/>
                <w:sz w:val="18"/>
                <w:szCs w:val="18"/>
              </w:rPr>
              <w:t xml:space="preserve"> and </w:t>
            </w:r>
            <w:r>
              <w:rPr>
                <w:rFonts w:ascii="Helvetica" w:hAnsi="Helvetica" w:cs="Helvetica"/>
                <w:i/>
                <w:iCs/>
                <w:sz w:val="18"/>
                <w:szCs w:val="18"/>
              </w:rPr>
              <w:t xml:space="preserve">Ulmus </w:t>
            </w:r>
            <w:r>
              <w:rPr>
                <w:rFonts w:ascii="Helvetica" w:hAnsi="Helvetica" w:cs="Helvetica"/>
                <w:sz w:val="18"/>
                <w:szCs w:val="18"/>
              </w:rPr>
              <w:t>species (Vasilyeva and Stephenson 2006;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Eutypella</w:t>
            </w:r>
            <w:r>
              <w:rPr>
                <w:rFonts w:ascii="Helvetica" w:hAnsi="Helvetica" w:cs="Helvetica"/>
                <w:sz w:val="18"/>
                <w:szCs w:val="18"/>
              </w:rPr>
              <w:t xml:space="preserve"> </w:t>
            </w:r>
            <w:r>
              <w:rPr>
                <w:rFonts w:ascii="Helvetica" w:hAnsi="Helvetica" w:cs="Helvetica"/>
                <w:i/>
                <w:sz w:val="18"/>
                <w:szCs w:val="18"/>
              </w:rPr>
              <w:t>leprosa</w:t>
            </w:r>
            <w:r>
              <w:rPr>
                <w:rFonts w:ascii="Helvetica" w:hAnsi="Helvetica" w:cs="Helvetica"/>
                <w:sz w:val="18"/>
                <w:szCs w:val="18"/>
              </w:rPr>
              <w:t xml:space="preserve"> (Pers.) Berl.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This fungus has been isolated from grapevines showing canker symptoms and vascular necrosis of trunks, arms and spurs (Diaz </w:t>
            </w:r>
            <w:r>
              <w:rPr>
                <w:rFonts w:ascii="Helvetica" w:hAnsi="Helvetica" w:cs="Helvetica"/>
                <w:i/>
                <w:sz w:val="18"/>
                <w:szCs w:val="18"/>
              </w:rPr>
              <w:t>et al</w:t>
            </w:r>
            <w:r>
              <w:rPr>
                <w:rFonts w:ascii="Helvetica" w:hAnsi="Helvetica" w:cs="Helvetica"/>
                <w:sz w:val="18"/>
                <w:szCs w:val="18"/>
              </w:rPr>
              <w:t>. 2011).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This fungus </w:t>
            </w:r>
            <w:r>
              <w:rPr>
                <w:rFonts w:ascii="Helvetica" w:hAnsi="Helvetica" w:cs="Helvetica"/>
                <w:sz w:val="18"/>
                <w:szCs w:val="18"/>
              </w:rPr>
              <w:t xml:space="preserve">has established in areas with a wide range of climatic conditions (Diaz </w:t>
            </w:r>
            <w:r>
              <w:rPr>
                <w:rFonts w:ascii="Helvetica" w:hAnsi="Helvetica" w:cs="Helvetica"/>
                <w:i/>
                <w:sz w:val="18"/>
                <w:szCs w:val="18"/>
              </w:rPr>
              <w:t>et al</w:t>
            </w:r>
            <w:r>
              <w:rPr>
                <w:rFonts w:ascii="Helvetica" w:hAnsi="Helvetica" w:cs="Helvetica"/>
                <w:sz w:val="18"/>
                <w:szCs w:val="18"/>
              </w:rPr>
              <w:t>. 2011; Farr and Rossman 2011) and it may spread naturally in infected propagative material. Therefore, this fungus has the potential to establish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bCs/>
                <w:sz w:val="18"/>
                <w:szCs w:val="18"/>
              </w:rPr>
              <w:t xml:space="preserve">Yes: </w:t>
            </w:r>
            <w:r>
              <w:rPr>
                <w:rFonts w:ascii="Helvetica" w:hAnsi="Helvetica" w:cs="Helvetica"/>
                <w:iCs/>
                <w:sz w:val="18"/>
                <w:szCs w:val="18"/>
              </w:rPr>
              <w:t xml:space="preserve">This fungus </w:t>
            </w:r>
            <w:r>
              <w:rPr>
                <w:rFonts w:ascii="Helvetica" w:hAnsi="Helvetica" w:cs="Helvetica"/>
                <w:sz w:val="18"/>
                <w:szCs w:val="18"/>
              </w:rPr>
              <w:t xml:space="preserve">causes cankers and vascular necrosis of trunks, arms and spurs, along with general decline and dieback of grapevines (Diaz </w:t>
            </w:r>
            <w:r>
              <w:rPr>
                <w:rFonts w:ascii="Helvetica" w:hAnsi="Helvetica" w:cs="Helvetica"/>
                <w:i/>
                <w:iCs/>
                <w:sz w:val="18"/>
                <w:szCs w:val="18"/>
              </w:rPr>
              <w:t>et al</w:t>
            </w:r>
            <w:r>
              <w:rPr>
                <w:rFonts w:ascii="Helvetica" w:hAnsi="Helvetica" w:cs="Helvetica"/>
                <w:sz w:val="18"/>
                <w:szCs w:val="18"/>
              </w:rPr>
              <w:t>. 2011). Therefore, this fungus has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Eutypella microtheca</w:t>
            </w:r>
            <w:r>
              <w:rPr>
                <w:rFonts w:ascii="Helvetica" w:hAnsi="Helvetica" w:cs="Helvetica"/>
                <w:sz w:val="18"/>
                <w:szCs w:val="18"/>
              </w:rPr>
              <w:t xml:space="preserve"> Trouillas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[Xylariales: Diatrypaceae]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Trouillas </w:t>
            </w:r>
            <w:r>
              <w:rPr>
                <w:rFonts w:ascii="Helvetica" w:hAnsi="Helvetica" w:cs="Helvetica"/>
                <w:bCs/>
                <w:i/>
                <w:sz w:val="18"/>
                <w:szCs w:val="18"/>
              </w:rPr>
              <w:t>et</w:t>
            </w:r>
            <w:r>
              <w:rPr>
                <w:rFonts w:ascii="Helvetica" w:hAnsi="Helvetica" w:cs="Helvetica"/>
                <w:bCs/>
                <w:sz w:val="18"/>
                <w:szCs w:val="18"/>
              </w:rPr>
              <w:t xml:space="preserve"> </w:t>
            </w:r>
            <w:r>
              <w:rPr>
                <w:rFonts w:ascii="Helvetica" w:hAnsi="Helvetica" w:cs="Helvetica"/>
                <w:bCs/>
                <w:i/>
                <w:sz w:val="18"/>
                <w:szCs w:val="18"/>
              </w:rPr>
              <w:t>al</w:t>
            </w:r>
            <w:r>
              <w:rPr>
                <w:rFonts w:ascii="Helvetica" w:hAnsi="Helvetica" w:cs="Helvetica"/>
                <w:bCs/>
                <w:sz w:val="18"/>
                <w:szCs w:val="18"/>
              </w:rPr>
              <w:t>. 2011)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Eutypella vitis</w:t>
            </w:r>
            <w:r>
              <w:rPr>
                <w:rFonts w:ascii="Helvetica" w:hAnsi="Helvetica" w:cs="Helvetica"/>
                <w:sz w:val="18"/>
                <w:szCs w:val="18"/>
              </w:rPr>
              <w:t xml:space="preserve"> (Schwein.Fr.) Ellis &amp; Everhart [Xylariales: Diatrypaceae] (synonym: </w:t>
            </w:r>
            <w:r>
              <w:rPr>
                <w:rFonts w:ascii="Helvetica" w:hAnsi="Helvetica" w:cs="Helvetica"/>
                <w:i/>
                <w:sz w:val="18"/>
                <w:szCs w:val="18"/>
              </w:rPr>
              <w:t>Eutypella aequilinearis</w:t>
            </w:r>
            <w:r>
              <w:rPr>
                <w:rFonts w:ascii="Helvetica" w:hAnsi="Helvetica" w:cs="Helvetica"/>
                <w:sz w:val="18"/>
                <w:szCs w:val="18"/>
              </w:rPr>
              <w:t xml:space="preserve"> (Schwein. Fr.) Starb.)</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is associated with Eutypa dieback and has been isolated from the trunks and branches of </w:t>
            </w:r>
            <w:r>
              <w:rPr>
                <w:rFonts w:ascii="Helvetica" w:hAnsi="Helvetica" w:cs="Helvetica"/>
                <w:i/>
                <w:sz w:val="18"/>
                <w:szCs w:val="18"/>
              </w:rPr>
              <w:t xml:space="preserve">Vitis </w:t>
            </w:r>
            <w:r>
              <w:rPr>
                <w:rFonts w:ascii="Helvetica" w:hAnsi="Helvetica" w:cs="Helvetica"/>
                <w:sz w:val="18"/>
                <w:szCs w:val="18"/>
              </w:rPr>
              <w:t xml:space="preserve">species (Catal </w:t>
            </w:r>
            <w:r>
              <w:rPr>
                <w:rFonts w:ascii="Helvetica" w:hAnsi="Helvetica" w:cs="Helvetica"/>
                <w:i/>
                <w:sz w:val="18"/>
                <w:szCs w:val="18"/>
              </w:rPr>
              <w:t>et al</w:t>
            </w:r>
            <w:r>
              <w:rPr>
                <w:rFonts w:ascii="Helvetica" w:hAnsi="Helvetica" w:cs="Helvetica"/>
                <w:sz w:val="18"/>
                <w:szCs w:val="18"/>
              </w:rPr>
              <w:t xml:space="preserve">. 2007). Therefore, dormant cuttings may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This fungus </w:t>
            </w:r>
            <w:r>
              <w:rPr>
                <w:rFonts w:ascii="Helvetica" w:hAnsi="Helvetica" w:cs="Helvetica"/>
                <w:sz w:val="18"/>
                <w:szCs w:val="18"/>
              </w:rPr>
              <w:t xml:space="preserve">has established in areas with a wide range of climatic conditions (Catal </w:t>
            </w:r>
            <w:r>
              <w:rPr>
                <w:rFonts w:ascii="Helvetica" w:hAnsi="Helvetica" w:cs="Helvetica"/>
                <w:i/>
                <w:iCs/>
                <w:sz w:val="18"/>
                <w:szCs w:val="18"/>
              </w:rPr>
              <w:t>et al</w:t>
            </w:r>
            <w:r>
              <w:rPr>
                <w:rFonts w:ascii="Helvetica" w:hAnsi="Helvetica" w:cs="Helvetica"/>
                <w:sz w:val="18"/>
                <w:szCs w:val="18"/>
              </w:rPr>
              <w:t>. 2007; Farr and Rossman 2011) and it may spread naturally in infected propagative material. Therefore, this fungus has the potential to establish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Eutypella vitis</w:t>
            </w:r>
            <w:r>
              <w:rPr>
                <w:rFonts w:ascii="Helvetica" w:hAnsi="Helvetica" w:cs="Helvetica"/>
                <w:sz w:val="18"/>
                <w:szCs w:val="18"/>
              </w:rPr>
              <w:t xml:space="preserve"> has been identified as an additional causal agent of Eutypa dieback, an important disease of grapevine (Navarrete </w:t>
            </w:r>
            <w:r>
              <w:rPr>
                <w:rFonts w:ascii="Helvetica" w:hAnsi="Helvetica" w:cs="Helvetica"/>
                <w:i/>
                <w:sz w:val="18"/>
                <w:szCs w:val="18"/>
              </w:rPr>
              <w:t>et al</w:t>
            </w:r>
            <w:r>
              <w:rPr>
                <w:rFonts w:ascii="Helvetica" w:hAnsi="Helvetica" w:cs="Helvetica"/>
                <w:sz w:val="18"/>
                <w:szCs w:val="18"/>
              </w:rPr>
              <w:t>. 2010). Therefore, this fungus has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79" w:history="1">
              <w:r>
                <w:rPr>
                  <w:rFonts w:ascii="Helvetica" w:hAnsi="Helvetica" w:cs="Helvetica"/>
                  <w:i/>
                  <w:sz w:val="18"/>
                  <w:szCs w:val="18"/>
                </w:rPr>
                <w:t>Exosporium</w:t>
              </w:r>
            </w:hyperlink>
            <w:r>
              <w:rPr>
                <w:rFonts w:ascii="Helvetica" w:hAnsi="Helvetica" w:cs="Helvetica"/>
                <w:i/>
                <w:sz w:val="18"/>
                <w:szCs w:val="18"/>
              </w:rPr>
              <w:t xml:space="preserve"> sultanae</w:t>
            </w:r>
            <w:r>
              <w:rPr>
                <w:rFonts w:ascii="Helvetica" w:hAnsi="Helvetica" w:cs="Helvetica"/>
                <w:sz w:val="18"/>
                <w:szCs w:val="18"/>
              </w:rPr>
              <w:t xml:space="preserve"> Du Plessis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w:t>
            </w:r>
            <w:r>
              <w:rPr>
                <w:rFonts w:ascii="Helvetica" w:hAnsi="Helvetica" w:cs="Helvetica"/>
                <w:i/>
                <w:sz w:val="18"/>
                <w:szCs w:val="18"/>
              </w:rPr>
              <w:t xml:space="preserve">Exosporium </w:t>
            </w:r>
            <w:r>
              <w:rPr>
                <w:rFonts w:ascii="Helvetica" w:hAnsi="Helvetica" w:cs="Helvetica"/>
                <w:sz w:val="18"/>
                <w:szCs w:val="18"/>
              </w:rPr>
              <w:t>species occur on the leaves of other hosts (Pitta 1994).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iCs/>
                <w:sz w:val="18"/>
                <w:szCs w:val="18"/>
              </w:rPr>
              <w:t>Favolus tenuiculus</w:t>
            </w:r>
            <w:r>
              <w:rPr>
                <w:rFonts w:ascii="Helvetica" w:hAnsi="Helvetica" w:cs="Helvetica"/>
                <w:sz w:val="18"/>
                <w:szCs w:val="18"/>
              </w:rPr>
              <w:t xml:space="preserve"> P. Beauv.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this saprobic mushroom species occurs on decaying hardwood (Ruan-Soto </w:t>
            </w:r>
            <w:r>
              <w:rPr>
                <w:rFonts w:ascii="Helvetica" w:hAnsi="Helvetica" w:cs="Helvetica"/>
                <w:i/>
                <w:sz w:val="18"/>
                <w:szCs w:val="18"/>
              </w:rPr>
              <w:t>et al</w:t>
            </w:r>
            <w:r>
              <w:rPr>
                <w:rFonts w:ascii="Helvetica" w:hAnsi="Helvetica" w:cs="Helvetica"/>
                <w:sz w:val="18"/>
                <w:szCs w:val="18"/>
              </w:rPr>
              <w:t>. 2006).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Fomes fomentarius</w:t>
            </w:r>
            <w:r>
              <w:rPr>
                <w:rFonts w:ascii="Helvetica" w:hAnsi="Helvetica" w:cs="Helvetica"/>
                <w:sz w:val="18"/>
                <w:szCs w:val="18"/>
              </w:rPr>
              <w:t xml:space="preserve"> (L.) J. Kickx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this mushroom species occurs on decaying hardwood (Monthey and Cross 2000).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80" w:history="1">
              <w:r>
                <w:rPr>
                  <w:rFonts w:ascii="Helvetica" w:hAnsi="Helvetica" w:cs="Helvetica"/>
                  <w:i/>
                  <w:sz w:val="18"/>
                  <w:szCs w:val="18"/>
                  <w:lang w:val="de-DE"/>
                </w:rPr>
                <w:t>Fomitiporia australiensis</w:t>
              </w:r>
            </w:hyperlink>
            <w:r>
              <w:rPr>
                <w:rFonts w:ascii="Helvetica" w:hAnsi="Helvetica" w:cs="Helvetica"/>
                <w:sz w:val="18"/>
                <w:szCs w:val="18"/>
                <w:lang w:val="de-DE"/>
              </w:rPr>
              <w:t xml:space="preserve"> Fischer </w:t>
            </w:r>
            <w:r>
              <w:rPr>
                <w:rFonts w:ascii="Helvetica" w:hAnsi="Helvetica" w:cs="Helvetica"/>
                <w:i/>
                <w:sz w:val="18"/>
                <w:szCs w:val="18"/>
                <w:lang w:val="de-DE"/>
              </w:rPr>
              <w:t>et al</w:t>
            </w:r>
            <w:r>
              <w:rPr>
                <w:rFonts w:ascii="Helvetica" w:hAnsi="Helvetica" w:cs="Helvetica"/>
                <w:sz w:val="18"/>
                <w:szCs w:val="18"/>
                <w:lang w:val="de-DE"/>
              </w:rPr>
              <w:t xml:space="preserve">. </w:t>
            </w:r>
            <w:r>
              <w:rPr>
                <w:rFonts w:ascii="Helvetica" w:hAnsi="Helvetica" w:cs="Helvetica"/>
                <w:sz w:val="18"/>
                <w:szCs w:val="18"/>
              </w:rPr>
              <w:t>[Hymenochaetales: Hymenochaetaceae]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(Pascoe </w:t>
            </w:r>
            <w:r>
              <w:rPr>
                <w:rFonts w:ascii="Helvetica" w:hAnsi="Helvetica" w:cs="Helvetica"/>
                <w:i/>
                <w:sz w:val="18"/>
                <w:szCs w:val="18"/>
              </w:rPr>
              <w:t>et al</w:t>
            </w:r>
            <w:r>
              <w:rPr>
                <w:rFonts w:ascii="Helvetica" w:hAnsi="Helvetica" w:cs="Helvetica"/>
                <w:sz w:val="18"/>
                <w:szCs w:val="18"/>
              </w:rPr>
              <w:t>.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Fomitiporia mediterranea</w:t>
            </w:r>
            <w:r>
              <w:rPr>
                <w:rFonts w:ascii="Helvetica" w:hAnsi="Helvetica" w:cs="Helvetica"/>
                <w:sz w:val="18"/>
                <w:szCs w:val="18"/>
              </w:rPr>
              <w:t xml:space="preserve"> M. Fischer </w:t>
            </w:r>
            <w:r>
              <w:rPr>
                <w:rStyle w:val="FootnoteReference"/>
                <w:rFonts w:ascii="Helvetica" w:hAnsi="Helvetica" w:cs="Helvetica"/>
                <w:szCs w:val="18"/>
              </w:rPr>
              <w:footnoteReference w:id="12"/>
            </w:r>
            <w:r>
              <w:rPr>
                <w:rFonts w:ascii="Helvetica" w:hAnsi="Helvetica" w:cs="Helvetica"/>
                <w:sz w:val="18"/>
                <w:szCs w:val="18"/>
              </w:rPr>
              <w:t xml:space="preserve"> [Hymenochaetales: Hymenochaetaceae]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Fomitiporia</w:t>
            </w:r>
            <w:r>
              <w:rPr>
                <w:rFonts w:ascii="Helvetica" w:hAnsi="Helvetica" w:cs="Helvetica"/>
                <w:sz w:val="18"/>
                <w:szCs w:val="18"/>
              </w:rPr>
              <w:t xml:space="preserve"> species are associated with wood decay of grapevines showing esca symptoms (Cortesi </w:t>
            </w:r>
            <w:r>
              <w:rPr>
                <w:rFonts w:ascii="Helvetica" w:hAnsi="Helvetica" w:cs="Helvetica"/>
                <w:i/>
                <w:sz w:val="18"/>
                <w:szCs w:val="18"/>
              </w:rPr>
              <w:t>et al</w:t>
            </w:r>
            <w:r>
              <w:rPr>
                <w:rFonts w:ascii="Helvetica" w:hAnsi="Helvetica" w:cs="Helvetica"/>
                <w:sz w:val="18"/>
                <w:szCs w:val="18"/>
              </w:rPr>
              <w:t xml:space="preserve">. 2000; Sparapano </w:t>
            </w:r>
            <w:r>
              <w:rPr>
                <w:rFonts w:ascii="Helvetica" w:hAnsi="Helvetica" w:cs="Helvetica"/>
                <w:i/>
                <w:sz w:val="18"/>
                <w:szCs w:val="18"/>
              </w:rPr>
              <w:t>et al</w:t>
            </w:r>
            <w:r>
              <w:rPr>
                <w:rFonts w:ascii="Helvetica" w:hAnsi="Helvetica" w:cs="Helvetica"/>
                <w:sz w:val="18"/>
                <w:szCs w:val="18"/>
              </w:rPr>
              <w:t xml:space="preserve">. 2000; Ciccarone </w:t>
            </w:r>
            <w:r>
              <w:rPr>
                <w:rFonts w:ascii="Helvetica" w:hAnsi="Helvetica" w:cs="Helvetica"/>
                <w:i/>
                <w:sz w:val="18"/>
                <w:szCs w:val="18"/>
              </w:rPr>
              <w:t>et al</w:t>
            </w:r>
            <w:r>
              <w:rPr>
                <w:rFonts w:ascii="Helvetica" w:hAnsi="Helvetica" w:cs="Helvetica"/>
                <w:sz w:val="18"/>
                <w:szCs w:val="18"/>
              </w:rPr>
              <w:t xml:space="preserve">. 2004; Fischer 2006; Amalfi </w:t>
            </w:r>
            <w:r>
              <w:rPr>
                <w:rFonts w:ascii="Helvetica" w:hAnsi="Helvetica" w:cs="Helvetica"/>
                <w:i/>
                <w:sz w:val="18"/>
                <w:szCs w:val="18"/>
              </w:rPr>
              <w:t>et al</w:t>
            </w:r>
            <w:r>
              <w:rPr>
                <w:rFonts w:ascii="Helvetica" w:hAnsi="Helvetica" w:cs="Helvetica"/>
                <w:sz w:val="18"/>
                <w:szCs w:val="18"/>
              </w:rPr>
              <w:t xml:space="preserve">. 2010). </w:t>
            </w:r>
            <w:r>
              <w:rPr>
                <w:rFonts w:ascii="Helvetica" w:hAnsi="Helvetica" w:cs="Helvetica"/>
                <w:i/>
                <w:sz w:val="18"/>
                <w:szCs w:val="18"/>
              </w:rPr>
              <w:t>Fomitiporia</w:t>
            </w:r>
            <w:r>
              <w:rPr>
                <w:rFonts w:ascii="Helvetica" w:hAnsi="Helvetica" w:cs="Helvetica"/>
                <w:sz w:val="18"/>
                <w:szCs w:val="18"/>
              </w:rPr>
              <w:t xml:space="preserve"> species cause spongy wood decay in the trunks of growing </w:t>
            </w:r>
            <w:r>
              <w:rPr>
                <w:rFonts w:ascii="Helvetica" w:hAnsi="Helvetica" w:cs="Helvetica"/>
                <w:i/>
                <w:sz w:val="18"/>
                <w:szCs w:val="18"/>
              </w:rPr>
              <w:t>Vitis</w:t>
            </w:r>
            <w:r>
              <w:rPr>
                <w:rFonts w:ascii="Helvetica" w:hAnsi="Helvetica" w:cs="Helvetica"/>
                <w:sz w:val="18"/>
                <w:szCs w:val="18"/>
              </w:rPr>
              <w:t xml:space="preserve"> plants (Sparapano </w:t>
            </w:r>
            <w:r>
              <w:rPr>
                <w:rFonts w:ascii="Helvetica" w:hAnsi="Helvetica" w:cs="Helvetica"/>
                <w:i/>
                <w:sz w:val="18"/>
                <w:szCs w:val="18"/>
              </w:rPr>
              <w:t>et al</w:t>
            </w:r>
            <w:r>
              <w:rPr>
                <w:rFonts w:ascii="Helvetica" w:hAnsi="Helvetica" w:cs="Helvetica"/>
                <w:sz w:val="18"/>
                <w:szCs w:val="18"/>
              </w:rPr>
              <w:t xml:space="preserve">. 2000; Amalfi </w:t>
            </w:r>
            <w:r>
              <w:rPr>
                <w:rFonts w:ascii="Helvetica" w:hAnsi="Helvetica" w:cs="Helvetica"/>
                <w:i/>
                <w:sz w:val="18"/>
                <w:szCs w:val="18"/>
              </w:rPr>
              <w:t>et al</w:t>
            </w:r>
            <w:r>
              <w:rPr>
                <w:rFonts w:ascii="Helvetica" w:hAnsi="Helvetica" w:cs="Helvetica"/>
                <w:sz w:val="18"/>
                <w:szCs w:val="18"/>
              </w:rPr>
              <w:t>. 2010). Therefore, dormant cuttings may provide a pathway for these fungi.</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fungi have been established in areas with a wide range of climatic conditions (Cortesi </w:t>
            </w:r>
            <w:r>
              <w:rPr>
                <w:rFonts w:ascii="Helvetica" w:hAnsi="Helvetica" w:cs="Helvetica"/>
                <w:i/>
                <w:sz w:val="18"/>
                <w:szCs w:val="18"/>
              </w:rPr>
              <w:t>et al</w:t>
            </w:r>
            <w:r>
              <w:rPr>
                <w:rFonts w:ascii="Helvetica" w:hAnsi="Helvetica" w:cs="Helvetica"/>
                <w:sz w:val="18"/>
                <w:szCs w:val="18"/>
              </w:rPr>
              <w:t xml:space="preserve">. 2000; Sparapano </w:t>
            </w:r>
            <w:r>
              <w:rPr>
                <w:rFonts w:ascii="Helvetica" w:hAnsi="Helvetica" w:cs="Helvetica"/>
                <w:i/>
                <w:sz w:val="18"/>
                <w:szCs w:val="18"/>
              </w:rPr>
              <w:t>et al</w:t>
            </w:r>
            <w:r>
              <w:rPr>
                <w:rFonts w:ascii="Helvetica" w:hAnsi="Helvetica" w:cs="Helvetica"/>
                <w:sz w:val="18"/>
                <w:szCs w:val="18"/>
              </w:rPr>
              <w:t xml:space="preserve">. 2000; Ciccarone </w:t>
            </w:r>
            <w:r>
              <w:rPr>
                <w:rFonts w:ascii="Helvetica" w:hAnsi="Helvetica" w:cs="Helvetica"/>
                <w:i/>
                <w:sz w:val="18"/>
                <w:szCs w:val="18"/>
              </w:rPr>
              <w:t>et al</w:t>
            </w:r>
            <w:r>
              <w:rPr>
                <w:rFonts w:ascii="Helvetica" w:hAnsi="Helvetica" w:cs="Helvetica"/>
                <w:sz w:val="18"/>
                <w:szCs w:val="18"/>
              </w:rPr>
              <w:t xml:space="preserve">. 2004; Fischer 2006; Amalfi </w:t>
            </w:r>
            <w:r>
              <w:rPr>
                <w:rFonts w:ascii="Helvetica" w:hAnsi="Helvetica" w:cs="Helvetica"/>
                <w:i/>
                <w:sz w:val="18"/>
                <w:szCs w:val="18"/>
              </w:rPr>
              <w:t>et al</w:t>
            </w:r>
            <w:r>
              <w:rPr>
                <w:rFonts w:ascii="Helvetica" w:hAnsi="Helvetica" w:cs="Helvetica"/>
                <w:sz w:val="18"/>
                <w:szCs w:val="18"/>
              </w:rPr>
              <w:t>. 2010) and may spread naturally in infected propagative material. Propagation and distribution of infected material will help spread these fungi within Australia. Therefore, these fungi have the potential to establish and spread in Australia.</w:t>
            </w:r>
          </w:p>
        </w:tc>
        <w:tc>
          <w:tcPr>
            <w:tcW w:w="2863"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Fomitiporia</w:t>
            </w:r>
            <w:r>
              <w:rPr>
                <w:rFonts w:ascii="Helvetica" w:hAnsi="Helvetica" w:cs="Helvetica"/>
                <w:sz w:val="18"/>
                <w:szCs w:val="18"/>
              </w:rPr>
              <w:t xml:space="preserve"> species constitute the complex of pathogens associated with the diseases forming the esca complex (Abou-Mansour </w:t>
            </w:r>
            <w:r>
              <w:rPr>
                <w:rFonts w:ascii="Helvetica" w:hAnsi="Helvetica" w:cs="Helvetica"/>
                <w:i/>
                <w:sz w:val="18"/>
                <w:szCs w:val="18"/>
              </w:rPr>
              <w:t>et al</w:t>
            </w:r>
            <w:r>
              <w:rPr>
                <w:rFonts w:ascii="Helvetica" w:hAnsi="Helvetica" w:cs="Helvetica"/>
                <w:sz w:val="18"/>
                <w:szCs w:val="18"/>
              </w:rPr>
              <w:t xml:space="preserve">. 2009). Esca is a complex trunk disease including a vascular disease and an internal white rot of the trunk, which gradually changes the hard wood to a soft, friable, spongy mass (Graniti </w:t>
            </w:r>
            <w:r>
              <w:rPr>
                <w:rFonts w:ascii="Helvetica" w:hAnsi="Helvetica" w:cs="Helvetica"/>
                <w:i/>
                <w:sz w:val="18"/>
                <w:szCs w:val="18"/>
              </w:rPr>
              <w:t>et al</w:t>
            </w:r>
            <w:r>
              <w:rPr>
                <w:rFonts w:ascii="Helvetica" w:hAnsi="Helvetica" w:cs="Helvetica"/>
                <w:sz w:val="18"/>
                <w:szCs w:val="18"/>
              </w:rPr>
              <w:t xml:space="preserve">. 1994; Mugnai </w:t>
            </w:r>
            <w:r>
              <w:rPr>
                <w:rFonts w:ascii="Helvetica" w:hAnsi="Helvetica" w:cs="Helvetica"/>
                <w:i/>
                <w:sz w:val="18"/>
                <w:szCs w:val="18"/>
              </w:rPr>
              <w:t>et al</w:t>
            </w:r>
            <w:r>
              <w:rPr>
                <w:rFonts w:ascii="Helvetica" w:hAnsi="Helvetica" w:cs="Helvetica"/>
                <w:sz w:val="18"/>
                <w:szCs w:val="18"/>
              </w:rPr>
              <w:t xml:space="preserve">. 1999). Grapevine trunk diseases cause a slow decline and yield loss in grapevines at all stages of growth, the death of spurs, arms, and cordons, and the eventual death of the vines due to a progressive wood necrosis and decay of plant tissue (Andolfi </w:t>
            </w:r>
            <w:r>
              <w:rPr>
                <w:rFonts w:ascii="Helvetica" w:hAnsi="Helvetica" w:cs="Helvetica"/>
                <w:i/>
                <w:sz w:val="18"/>
                <w:szCs w:val="18"/>
              </w:rPr>
              <w:t>et al</w:t>
            </w:r>
            <w:r>
              <w:rPr>
                <w:rFonts w:ascii="Helvetica" w:hAnsi="Helvetica" w:cs="Helvetica"/>
                <w:sz w:val="18"/>
                <w:szCs w:val="18"/>
              </w:rPr>
              <w:t>. 2011). Therefore, these fungi have potential for economic consequences in parts of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Fomitiporia polymorpha</w:t>
            </w:r>
            <w:r>
              <w:rPr>
                <w:rFonts w:ascii="Helvetica" w:hAnsi="Helvetica" w:cs="Helvetica"/>
                <w:sz w:val="18"/>
                <w:szCs w:val="18"/>
              </w:rPr>
              <w:t xml:space="preserve"> M. Fisch. [Hymenochaetales: Hymenochaetaceae]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Fusarium acuminatum </w:t>
            </w:r>
            <w:r>
              <w:rPr>
                <w:rFonts w:ascii="Helvetica" w:hAnsi="Helvetica" w:cs="Helvetica"/>
                <w:sz w:val="18"/>
                <w:szCs w:val="18"/>
              </w:rPr>
              <w:t xml:space="preserve">Ellis &amp; Everh </w:t>
            </w:r>
            <w:r>
              <w:rPr>
                <w:rFonts w:ascii="Helvetica" w:hAnsi="Helvetica" w:cs="Helvetica"/>
                <w:bCs/>
                <w:sz w:val="18"/>
                <w:szCs w:val="18"/>
              </w:rPr>
              <w:t>[Hypocreales: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(Wong </w:t>
            </w:r>
            <w:r>
              <w:rPr>
                <w:rFonts w:ascii="Helvetica" w:hAnsi="Helvetica" w:cs="Helvetica"/>
                <w:i/>
                <w:sz w:val="18"/>
                <w:szCs w:val="18"/>
              </w:rPr>
              <w:t>et al</w:t>
            </w:r>
            <w:r>
              <w:rPr>
                <w:rFonts w:ascii="Helvetica" w:hAnsi="Helvetica" w:cs="Helvetica"/>
                <w:sz w:val="18"/>
                <w:szCs w:val="18"/>
              </w:rPr>
              <w:t>.</w:t>
            </w:r>
            <w:r>
              <w:rPr>
                <w:rFonts w:ascii="Helvetica" w:hAnsi="Helvetica" w:cs="Helvetica"/>
                <w:i/>
                <w:sz w:val="18"/>
                <w:szCs w:val="18"/>
              </w:rPr>
              <w:t xml:space="preserve"> </w:t>
            </w:r>
            <w:r>
              <w:rPr>
                <w:rFonts w:ascii="Helvetica" w:hAnsi="Helvetica" w:cs="Helvetica"/>
                <w:sz w:val="18"/>
                <w:szCs w:val="18"/>
              </w:rPr>
              <w:t>1985)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81" w:history="1">
              <w:r>
                <w:rPr>
                  <w:rFonts w:ascii="Helvetica" w:hAnsi="Helvetica" w:cs="Helvetica"/>
                  <w:i/>
                  <w:sz w:val="18"/>
                  <w:szCs w:val="18"/>
                  <w:lang w:val="de-DE"/>
                </w:rPr>
                <w:t>Fusarium</w:t>
              </w:r>
              <w:r>
                <w:rPr>
                  <w:rFonts w:ascii="Helvetica" w:hAnsi="Helvetica" w:cs="Helvetica"/>
                  <w:sz w:val="18"/>
                  <w:szCs w:val="18"/>
                  <w:lang w:val="de-DE"/>
                </w:rPr>
                <w:t xml:space="preserve"> </w:t>
              </w:r>
              <w:r>
                <w:rPr>
                  <w:rFonts w:ascii="Helvetica" w:hAnsi="Helvetica" w:cs="Helvetica"/>
                  <w:i/>
                  <w:sz w:val="18"/>
                  <w:szCs w:val="18"/>
                  <w:lang w:val="de-DE"/>
                </w:rPr>
                <w:t>anthophilum</w:t>
              </w:r>
            </w:hyperlink>
            <w:r>
              <w:rPr>
                <w:rFonts w:ascii="Helvetica" w:hAnsi="Helvetica" w:cs="Helvetica"/>
                <w:sz w:val="18"/>
                <w:szCs w:val="18"/>
                <w:lang w:val="de-DE"/>
              </w:rPr>
              <w:t xml:space="preserve"> (A. Braun) Wollenw. </w:t>
            </w:r>
            <w:r>
              <w:rPr>
                <w:rFonts w:ascii="Helvetica" w:hAnsi="Helvetica" w:cs="Helvetica"/>
                <w:sz w:val="18"/>
                <w:szCs w:val="18"/>
              </w:rPr>
              <w:t>[Hypocreales: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Fusarium avenac</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 xml:space="preserve">m </w:t>
            </w:r>
            <w:r>
              <w:rPr>
                <w:rFonts w:ascii="Helvetica" w:hAnsi="Helvetica" w:cs="Helvetica"/>
                <w:sz w:val="18"/>
                <w:szCs w:val="18"/>
              </w:rPr>
              <w:t>(</w:t>
            </w:r>
            <w:r>
              <w:rPr>
                <w:rFonts w:ascii="Helvetica" w:hAnsi="Helvetica" w:cs="Helvetica"/>
                <w:bCs/>
                <w:sz w:val="18"/>
                <w:szCs w:val="18"/>
              </w:rPr>
              <w:t>Fr.) Sacc.</w:t>
            </w:r>
            <w:r>
              <w:rPr>
                <w:rFonts w:ascii="Helvetica" w:hAnsi="Helvetica" w:cs="Helvetica"/>
                <w:sz w:val="18"/>
                <w:szCs w:val="18"/>
              </w:rPr>
              <w:t xml:space="preserve"> </w:t>
            </w:r>
            <w:r>
              <w:rPr>
                <w:rFonts w:ascii="Helvetica" w:hAnsi="Helvetica" w:cs="Helvetica"/>
                <w:bCs/>
                <w:sz w:val="18"/>
                <w:szCs w:val="18"/>
              </w:rPr>
              <w:t>[Hypocreales: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(Summerell </w:t>
            </w:r>
            <w:r>
              <w:rPr>
                <w:rFonts w:ascii="Helvetica" w:hAnsi="Helvetica" w:cs="Helvetica"/>
                <w:i/>
                <w:sz w:val="18"/>
                <w:szCs w:val="18"/>
              </w:rPr>
              <w:t>et al</w:t>
            </w:r>
            <w:r>
              <w:rPr>
                <w:rFonts w:ascii="Helvetica" w:hAnsi="Helvetica" w:cs="Helvetica"/>
                <w:sz w:val="18"/>
                <w:szCs w:val="18"/>
              </w:rPr>
              <w:t>.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w:t>
            </w:r>
            <w:r>
              <w:rPr>
                <w:rFonts w:ascii="Helvetica" w:hAnsi="Helvetica" w:cs="Helvetica"/>
                <w:sz w:val="18"/>
                <w:szCs w:val="18"/>
              </w:rPr>
              <w:t xml:space="preserve"> </w:t>
            </w:r>
            <w:r>
              <w:rPr>
                <w:rFonts w:ascii="Helvetica" w:hAnsi="Helvetica" w:cs="Helvetica"/>
                <w:i/>
                <w:sz w:val="18"/>
                <w:szCs w:val="18"/>
              </w:rPr>
              <w:t>culmorum</w:t>
            </w:r>
            <w:r>
              <w:rPr>
                <w:rFonts w:ascii="Helvetica" w:hAnsi="Helvetica" w:cs="Helvetica"/>
                <w:sz w:val="18"/>
                <w:szCs w:val="18"/>
              </w:rPr>
              <w:t xml:space="preserve"> (W.G. Sm.) Sacc.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(Summerell </w:t>
            </w:r>
            <w:r>
              <w:rPr>
                <w:rFonts w:ascii="Helvetica" w:hAnsi="Helvetica" w:cs="Helvetica"/>
                <w:i/>
                <w:sz w:val="18"/>
                <w:szCs w:val="18"/>
              </w:rPr>
              <w:t>et al</w:t>
            </w:r>
            <w:r>
              <w:rPr>
                <w:rFonts w:ascii="Helvetica" w:hAnsi="Helvetica" w:cs="Helvetica"/>
                <w:sz w:val="18"/>
                <w:szCs w:val="18"/>
              </w:rPr>
              <w:t>.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 equiseti</w:t>
            </w:r>
            <w:r>
              <w:rPr>
                <w:rFonts w:ascii="Helvetica" w:hAnsi="Helvetica" w:cs="Helvetica"/>
                <w:sz w:val="18"/>
                <w:szCs w:val="18"/>
              </w:rPr>
              <w:t xml:space="preserve"> (Corda) Sacc.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(Wong </w:t>
            </w:r>
            <w:r>
              <w:rPr>
                <w:rFonts w:ascii="Helvetica" w:hAnsi="Helvetica" w:cs="Helvetica"/>
                <w:i/>
                <w:sz w:val="18"/>
                <w:szCs w:val="18"/>
              </w:rPr>
              <w:t>et al</w:t>
            </w:r>
            <w:r>
              <w:rPr>
                <w:rFonts w:ascii="Helvetica" w:hAnsi="Helvetica" w:cs="Helvetica"/>
                <w:sz w:val="18"/>
                <w:szCs w:val="18"/>
              </w:rPr>
              <w:t>.</w:t>
            </w:r>
            <w:r>
              <w:rPr>
                <w:rFonts w:ascii="Helvetica" w:hAnsi="Helvetica" w:cs="Helvetica"/>
                <w:i/>
                <w:sz w:val="18"/>
                <w:szCs w:val="18"/>
              </w:rPr>
              <w:t xml:space="preserve"> </w:t>
            </w:r>
            <w:r>
              <w:rPr>
                <w:rFonts w:ascii="Helvetica" w:hAnsi="Helvetica" w:cs="Helvetica"/>
                <w:sz w:val="18"/>
                <w:szCs w:val="18"/>
              </w:rPr>
              <w:t>1985)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Fusarium moniliforme </w:t>
            </w:r>
            <w:r>
              <w:rPr>
                <w:rFonts w:ascii="Helvetica" w:hAnsi="Helvetica" w:cs="Helvetica"/>
                <w:sz w:val="18"/>
                <w:szCs w:val="18"/>
              </w:rPr>
              <w:t>J. Sheld.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 oxysporum</w:t>
            </w:r>
            <w:r>
              <w:rPr>
                <w:rFonts w:ascii="Helvetica" w:hAnsi="Helvetica" w:cs="Helvetica"/>
                <w:sz w:val="18"/>
                <w:szCs w:val="18"/>
              </w:rPr>
              <w:t xml:space="preserve"> f. sp. </w:t>
            </w:r>
            <w:r>
              <w:rPr>
                <w:rFonts w:ascii="Helvetica" w:hAnsi="Helvetica" w:cs="Helvetica"/>
                <w:i/>
                <w:sz w:val="18"/>
                <w:szCs w:val="18"/>
              </w:rPr>
              <w:t>herbemontis</w:t>
            </w:r>
            <w:r>
              <w:rPr>
                <w:rFonts w:ascii="Helvetica" w:hAnsi="Helvetica" w:cs="Helvetica"/>
                <w:sz w:val="18"/>
                <w:szCs w:val="18"/>
              </w:rPr>
              <w:t xml:space="preserve"> (Tochetto) W.L. Gordon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fungus is associated with grapevines causing Fusarium wilt (</w:t>
            </w:r>
            <w:r>
              <w:rPr>
                <w:rFonts w:ascii="Helvetica" w:hAnsi="Helvetica" w:cs="Helvetica"/>
                <w:sz w:val="18"/>
                <w:szCs w:val="18"/>
                <w:shd w:val="clear" w:color="auto" w:fill="FFFFFF"/>
              </w:rPr>
              <w:t xml:space="preserve">de Andrade </w:t>
            </w:r>
            <w:r>
              <w:rPr>
                <w:rFonts w:ascii="Helvetica" w:hAnsi="Helvetica" w:cs="Helvetica"/>
                <w:i/>
                <w:sz w:val="18"/>
                <w:szCs w:val="18"/>
                <w:shd w:val="clear" w:color="auto" w:fill="FFFFFF"/>
              </w:rPr>
              <w:t>et al.</w:t>
            </w:r>
            <w:r>
              <w:rPr>
                <w:rFonts w:ascii="Helvetica" w:hAnsi="Helvetica" w:cs="Helvetica"/>
                <w:sz w:val="18"/>
                <w:szCs w:val="18"/>
                <w:shd w:val="clear" w:color="auto" w:fill="FFFFFF"/>
              </w:rPr>
              <w:t xml:space="preserve"> 1995). It </w:t>
            </w:r>
            <w:r>
              <w:rPr>
                <w:rFonts w:ascii="Helvetica" w:hAnsi="Helvetica" w:cs="Helvetica"/>
                <w:sz w:val="18"/>
                <w:szCs w:val="18"/>
              </w:rPr>
              <w:t>occurs in the root vascular system of the plant, causing vascular root discolouration (Gallotti 1991).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 oxysporum</w:t>
            </w:r>
            <w:r>
              <w:rPr>
                <w:rFonts w:ascii="Helvetica" w:hAnsi="Helvetica" w:cs="Helvetica"/>
                <w:sz w:val="18"/>
                <w:szCs w:val="18"/>
              </w:rPr>
              <w:t xml:space="preserve"> Schltdl.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(Summerell </w:t>
            </w:r>
            <w:r>
              <w:rPr>
                <w:rFonts w:ascii="Helvetica" w:hAnsi="Helvetica" w:cs="Helvetica"/>
                <w:i/>
                <w:sz w:val="18"/>
                <w:szCs w:val="18"/>
              </w:rPr>
              <w:t>et al</w:t>
            </w:r>
            <w:r>
              <w:rPr>
                <w:rFonts w:ascii="Helvetica" w:hAnsi="Helvetica" w:cs="Helvetica"/>
                <w:sz w:val="18"/>
                <w:szCs w:val="18"/>
              </w:rPr>
              <w:t>.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 poae</w:t>
            </w:r>
            <w:r>
              <w:rPr>
                <w:rFonts w:ascii="Helvetica" w:hAnsi="Helvetica" w:cs="Helvetica"/>
                <w:sz w:val="18"/>
                <w:szCs w:val="18"/>
              </w:rPr>
              <w:t xml:space="preserve"> (Peck) Wollenw.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Fusarium proliferatum</w:t>
            </w:r>
            <w:r>
              <w:rPr>
                <w:rFonts w:ascii="Helvetica" w:hAnsi="Helvetica" w:cs="Helvetica"/>
                <w:sz w:val="18"/>
                <w:szCs w:val="18"/>
                <w:lang w:val="de-DE"/>
              </w:rPr>
              <w:t xml:space="preserve"> (Matsush.) Nirenberg ex Gerlach &amp; Nirenberg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 schweinitzii</w:t>
            </w:r>
            <w:r>
              <w:rPr>
                <w:rFonts w:ascii="Helvetica" w:hAnsi="Helvetica" w:cs="Helvetica"/>
                <w:sz w:val="18"/>
                <w:szCs w:val="18"/>
              </w:rPr>
              <w:t xml:space="preserve"> Ell. &amp; Hark.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the dead wood of </w:t>
            </w:r>
            <w:r>
              <w:rPr>
                <w:rFonts w:ascii="Helvetica" w:hAnsi="Helvetica" w:cs="Helvetica"/>
                <w:i/>
                <w:sz w:val="18"/>
                <w:szCs w:val="18"/>
              </w:rPr>
              <w:t xml:space="preserve">Vitis </w:t>
            </w:r>
            <w:r>
              <w:rPr>
                <w:rFonts w:ascii="Helvetica" w:hAnsi="Helvetica" w:cs="Helvetica"/>
                <w:sz w:val="18"/>
                <w:szCs w:val="18"/>
              </w:rPr>
              <w:t>species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 solani</w:t>
            </w:r>
            <w:r>
              <w:rPr>
                <w:rFonts w:ascii="Helvetica" w:hAnsi="Helvetica" w:cs="Helvetica"/>
                <w:sz w:val="18"/>
                <w:szCs w:val="18"/>
              </w:rPr>
              <w:t xml:space="preserve"> (Mart.) Sacc.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(Summerell </w:t>
            </w:r>
            <w:r>
              <w:rPr>
                <w:rFonts w:ascii="Helvetica" w:hAnsi="Helvetica" w:cs="Helvetica"/>
                <w:i/>
                <w:sz w:val="18"/>
                <w:szCs w:val="18"/>
              </w:rPr>
              <w:t>et al</w:t>
            </w:r>
            <w:r>
              <w:rPr>
                <w:rFonts w:ascii="Helvetica" w:hAnsi="Helvetica" w:cs="Helvetica"/>
                <w:sz w:val="18"/>
                <w:szCs w:val="18"/>
              </w:rPr>
              <w:t>.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w:t>
            </w:r>
            <w:r>
              <w:rPr>
                <w:rFonts w:ascii="Helvetica" w:hAnsi="Helvetica" w:cs="Helvetica"/>
                <w:sz w:val="18"/>
                <w:szCs w:val="18"/>
              </w:rPr>
              <w:t xml:space="preserve"> </w:t>
            </w:r>
            <w:r>
              <w:rPr>
                <w:rFonts w:ascii="Helvetica" w:hAnsi="Helvetica" w:cs="Helvetica"/>
                <w:i/>
                <w:sz w:val="18"/>
                <w:szCs w:val="18"/>
              </w:rPr>
              <w:t>sporotrichioides</w:t>
            </w:r>
            <w:r>
              <w:rPr>
                <w:rFonts w:ascii="Helvetica" w:hAnsi="Helvetica" w:cs="Helvetica"/>
                <w:sz w:val="18"/>
                <w:szCs w:val="18"/>
              </w:rPr>
              <w:t xml:space="preserve"> Sherb.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w:t>
            </w:r>
            <w:r>
              <w:rPr>
                <w:rFonts w:ascii="Helvetica" w:hAnsi="Helvetica" w:cs="Helvetica"/>
                <w:sz w:val="18"/>
                <w:szCs w:val="18"/>
              </w:rPr>
              <w:t xml:space="preserve"> </w:t>
            </w:r>
            <w:r>
              <w:rPr>
                <w:rFonts w:ascii="Helvetica" w:hAnsi="Helvetica" w:cs="Helvetica"/>
                <w:i/>
                <w:sz w:val="18"/>
                <w:szCs w:val="18"/>
              </w:rPr>
              <w:t>subglutinans</w:t>
            </w:r>
            <w:r>
              <w:rPr>
                <w:rFonts w:ascii="Helvetica" w:hAnsi="Helvetica" w:cs="Helvetica"/>
                <w:sz w:val="18"/>
                <w:szCs w:val="18"/>
              </w:rPr>
              <w:t xml:space="preserve"> (Wollenw. &amp; Reinking) Nelson </w:t>
            </w:r>
            <w:r>
              <w:rPr>
                <w:rFonts w:ascii="Helvetica" w:hAnsi="Helvetica" w:cs="Helvetica"/>
                <w:i/>
                <w:sz w:val="18"/>
                <w:szCs w:val="18"/>
              </w:rPr>
              <w:t>et al</w:t>
            </w:r>
            <w:r>
              <w:rPr>
                <w:rFonts w:ascii="Helvetica" w:hAnsi="Helvetica" w:cs="Helvetica"/>
                <w:sz w:val="18"/>
                <w:szCs w:val="18"/>
              </w:rPr>
              <w:t>.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Fusarium volutella</w:t>
            </w:r>
            <w:r>
              <w:rPr>
                <w:rFonts w:ascii="Helvetica" w:hAnsi="Helvetica" w:cs="Helvetica"/>
                <w:sz w:val="18"/>
                <w:szCs w:val="18"/>
              </w:rPr>
              <w:t xml:space="preserve"> Ellis &amp; Everh.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 xml:space="preserve">Vitis </w:t>
            </w:r>
            <w:r>
              <w:rPr>
                <w:rFonts w:ascii="Helvetica" w:hAnsi="Helvetica" w:cs="Helvetica"/>
                <w:sz w:val="18"/>
                <w:szCs w:val="18"/>
              </w:rPr>
              <w:t xml:space="preserve">species (Farr and Rossman 2011). </w:t>
            </w:r>
            <w:r>
              <w:rPr>
                <w:rFonts w:ascii="Helvetica" w:hAnsi="Helvetica" w:cs="Helvetica"/>
                <w:i/>
                <w:iCs/>
                <w:sz w:val="18"/>
                <w:szCs w:val="18"/>
              </w:rPr>
              <w:t xml:space="preserve">Fusarium </w:t>
            </w:r>
            <w:r>
              <w:rPr>
                <w:rFonts w:ascii="Helvetica" w:hAnsi="Helvetica" w:cs="Helvetica"/>
                <w:sz w:val="18"/>
                <w:szCs w:val="18"/>
              </w:rPr>
              <w:t xml:space="preserve">species are soil-borne, causing root rot (Lew </w:t>
            </w:r>
            <w:r>
              <w:rPr>
                <w:rFonts w:ascii="Helvetica" w:hAnsi="Helvetica" w:cs="Helvetica"/>
                <w:i/>
                <w:iCs/>
                <w:sz w:val="18"/>
                <w:szCs w:val="18"/>
              </w:rPr>
              <w:t>et al.</w:t>
            </w:r>
            <w:r>
              <w:rPr>
                <w:rFonts w:ascii="Helvetica" w:hAnsi="Helvetica" w:cs="Helvetica"/>
                <w:sz w:val="18"/>
                <w:szCs w:val="18"/>
              </w:rPr>
              <w:t xml:space="preserve"> 1996; Farr and Rossman 2011).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Fusicladium viticis</w:t>
            </w:r>
            <w:r>
              <w:rPr>
                <w:rFonts w:ascii="Helvetica" w:hAnsi="Helvetica" w:cs="Helvetica"/>
                <w:sz w:val="18"/>
                <w:szCs w:val="18"/>
              </w:rPr>
              <w:t xml:space="preserve"> M.B. Ellis [Pleosporales: Venturiaceae]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 xml:space="preserve">Fusicladium </w:t>
            </w:r>
            <w:r>
              <w:rPr>
                <w:rFonts w:ascii="Helvetica" w:hAnsi="Helvetica" w:cs="Helvetica"/>
                <w:sz w:val="18"/>
                <w:szCs w:val="18"/>
              </w:rPr>
              <w:t>species occur on foliage (Farr and Rossman 2011).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Fusicoccum macroclavatum</w:t>
            </w:r>
            <w:r>
              <w:rPr>
                <w:rFonts w:ascii="Helvetica" w:hAnsi="Helvetica" w:cs="Helvetica"/>
                <w:sz w:val="18"/>
                <w:szCs w:val="18"/>
              </w:rPr>
              <w:t xml:space="preserve"> Burgess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xml:space="preserve">. [Botryosphaeriales: Botryosphaeriaceae] (synonym: </w:t>
            </w:r>
            <w:r>
              <w:rPr>
                <w:rFonts w:ascii="Helvetica" w:hAnsi="Helvetica" w:cs="Helvetica"/>
                <w:i/>
                <w:sz w:val="18"/>
                <w:szCs w:val="18"/>
              </w:rPr>
              <w:t>Neofusicoccum macroclavatum</w:t>
            </w:r>
            <w:r>
              <w:rPr>
                <w:rFonts w:ascii="Helvetica" w:hAnsi="Helvetica" w:cs="Helvetica"/>
                <w:sz w:val="18"/>
                <w:szCs w:val="18"/>
              </w:rPr>
              <w:t xml:space="preserve"> (Burgess</w:t>
            </w:r>
            <w:r>
              <w:rPr>
                <w:rFonts w:ascii="Helvetica" w:hAnsi="Helvetica" w:cs="Helvetica"/>
                <w:i/>
                <w:sz w:val="18"/>
                <w:szCs w:val="18"/>
              </w:rPr>
              <w:t xml:space="preserve"> et al.</w:t>
            </w:r>
            <w:r>
              <w:rPr>
                <w:rFonts w:ascii="Helvetica" w:hAnsi="Helvetica" w:cs="Helvetica"/>
                <w:sz w:val="18"/>
                <w:szCs w:val="18"/>
              </w:rPr>
              <w:t>)</w:t>
            </w:r>
            <w:r>
              <w:rPr>
                <w:rFonts w:ascii="Helvetica" w:hAnsi="Helvetica" w:cs="Helvetica"/>
                <w:i/>
                <w:sz w:val="18"/>
                <w:szCs w:val="18"/>
              </w:rPr>
              <w:t xml:space="preserve"> </w:t>
            </w:r>
            <w:r>
              <w:rPr>
                <w:rFonts w:ascii="Helvetica" w:hAnsi="Helvetica" w:cs="Helvetica"/>
                <w:sz w:val="18"/>
                <w:szCs w:val="18"/>
              </w:rPr>
              <w:t>Burgess</w:t>
            </w:r>
            <w:r>
              <w:rPr>
                <w:rFonts w:ascii="Helvetica" w:hAnsi="Helvetica" w:cs="Helvetica"/>
                <w:i/>
                <w:sz w:val="18"/>
                <w:szCs w:val="18"/>
              </w:rPr>
              <w:t xml:space="preserve"> et al.</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(Burgess </w:t>
            </w:r>
            <w:r>
              <w:rPr>
                <w:rFonts w:ascii="Helvetica" w:hAnsi="Helvetica" w:cs="Helvetica"/>
                <w:i/>
                <w:sz w:val="18"/>
                <w:szCs w:val="18"/>
              </w:rPr>
              <w:t>et al</w:t>
            </w:r>
            <w:r>
              <w:rPr>
                <w:rFonts w:ascii="Helvetica" w:hAnsi="Helvetica" w:cs="Helvetica"/>
                <w:sz w:val="18"/>
                <w:szCs w:val="18"/>
              </w:rPr>
              <w:t>. 2005)</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r>
              <w:rPr>
                <w:rFonts w:ascii="Helvetica" w:hAnsi="Helvetica" w:cs="Helvetica"/>
                <w:bCs/>
                <w:sz w:val="18"/>
                <w:szCs w:val="18"/>
              </w:rPr>
              <w:t xml:space="preserve"> </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i/>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Fusicoccum viticlavatum</w:t>
            </w:r>
            <w:r>
              <w:rPr>
                <w:rFonts w:ascii="Helvetica" w:hAnsi="Helvetica" w:cs="Helvetica"/>
                <w:sz w:val="18"/>
                <w:szCs w:val="18"/>
              </w:rPr>
              <w:t xml:space="preserve"> Niekerk &amp; Crous [Botryosphaeriales: Botryosphaeriaceae] (synonym: </w:t>
            </w:r>
            <w:r>
              <w:rPr>
                <w:rFonts w:ascii="Helvetica" w:hAnsi="Helvetica" w:cs="Helvetica"/>
                <w:i/>
                <w:sz w:val="18"/>
                <w:szCs w:val="18"/>
              </w:rPr>
              <w:t>Neofusicoccum viticlavatum</w:t>
            </w:r>
            <w:r>
              <w:rPr>
                <w:rFonts w:ascii="Helvetica" w:hAnsi="Helvetica" w:cs="Helvetica"/>
                <w:sz w:val="18"/>
                <w:szCs w:val="18"/>
              </w:rPr>
              <w:t xml:space="preserve"> (Van Niekerk &amp; Crous) Crous </w:t>
            </w:r>
            <w:r>
              <w:rPr>
                <w:rFonts w:ascii="Helvetica" w:hAnsi="Helvetica" w:cs="Helvetica"/>
                <w:i/>
                <w:sz w:val="18"/>
                <w:szCs w:val="18"/>
              </w:rPr>
              <w:t>et al</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fungi have been recorded on </w:t>
            </w:r>
            <w:r>
              <w:rPr>
                <w:rFonts w:ascii="Helvetica" w:hAnsi="Helvetica" w:cs="Helvetica"/>
                <w:i/>
                <w:sz w:val="18"/>
                <w:szCs w:val="18"/>
              </w:rPr>
              <w:t xml:space="preserve">Vitis </w:t>
            </w:r>
            <w:r>
              <w:rPr>
                <w:rFonts w:ascii="Helvetica" w:hAnsi="Helvetica" w:cs="Helvetica"/>
                <w:sz w:val="18"/>
                <w:szCs w:val="18"/>
              </w:rPr>
              <w:t xml:space="preserve">species causing brown wood streaking and internal necrotic lesions (Van Niekerk </w:t>
            </w:r>
            <w:r>
              <w:rPr>
                <w:rFonts w:ascii="Helvetica" w:hAnsi="Helvetica" w:cs="Helvetica"/>
                <w:i/>
                <w:iCs/>
                <w:sz w:val="18"/>
                <w:szCs w:val="18"/>
              </w:rPr>
              <w:t>et al</w:t>
            </w:r>
            <w:r>
              <w:rPr>
                <w:rFonts w:ascii="Helvetica" w:hAnsi="Helvetica" w:cs="Helvetica"/>
                <w:sz w:val="18"/>
                <w:szCs w:val="18"/>
              </w:rPr>
              <w:t>. 2004). Therefore, dormant cuttings may provide a pathway for these fungi.</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fungi have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(Van Niekerk </w:t>
            </w:r>
            <w:r>
              <w:rPr>
                <w:rFonts w:ascii="Helvetica" w:hAnsi="Helvetica" w:cs="Helvetica"/>
                <w:i/>
                <w:iCs/>
                <w:sz w:val="18"/>
                <w:szCs w:val="18"/>
              </w:rPr>
              <w:t>et al</w:t>
            </w:r>
            <w:r>
              <w:rPr>
                <w:rFonts w:ascii="Helvetica" w:hAnsi="Helvetica" w:cs="Helvetica"/>
                <w:sz w:val="18"/>
                <w:szCs w:val="18"/>
              </w:rPr>
              <w:t>. 2004) and may spread naturally in infected propagative material. Therefore, these fungi have the potential for establishment and spread in Australia.</w:t>
            </w:r>
          </w:p>
        </w:tc>
        <w:tc>
          <w:tcPr>
            <w:tcW w:w="2863"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species have been recorded on grapevines causing canker in association with other species (Van Niekerk </w:t>
            </w:r>
            <w:r>
              <w:rPr>
                <w:rFonts w:ascii="Helvetica" w:hAnsi="Helvetica" w:cs="Helvetica"/>
                <w:i/>
                <w:iCs/>
                <w:sz w:val="18"/>
                <w:szCs w:val="18"/>
              </w:rPr>
              <w:t>et al</w:t>
            </w:r>
            <w:r>
              <w:rPr>
                <w:rFonts w:ascii="Helvetica" w:hAnsi="Helvetica" w:cs="Helvetica"/>
                <w:sz w:val="18"/>
                <w:szCs w:val="18"/>
              </w:rPr>
              <w:t>. 2004). However, no information is available on the losses caused by these pathogens. Therefore, these fungi are not of economic concern for host plants.</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Fusicoccum vitifusiforme</w:t>
            </w:r>
            <w:r>
              <w:rPr>
                <w:rFonts w:ascii="Helvetica" w:hAnsi="Helvetica" w:cs="Helvetica"/>
                <w:sz w:val="18"/>
                <w:szCs w:val="18"/>
              </w:rPr>
              <w:t xml:space="preserve"> Niekerk &amp; Crous [Botryosphaeriales: Botryosphaeriaceae] (synonym: </w:t>
            </w:r>
            <w:r>
              <w:rPr>
                <w:rFonts w:ascii="Helvetica" w:hAnsi="Helvetica" w:cs="Helvetica"/>
                <w:i/>
                <w:sz w:val="18"/>
                <w:szCs w:val="18"/>
              </w:rPr>
              <w:t>Neofusicoccum vitifusiforme</w:t>
            </w:r>
            <w:r>
              <w:rPr>
                <w:rFonts w:ascii="Helvetica" w:hAnsi="Helvetica" w:cs="Helvetica"/>
                <w:sz w:val="18"/>
                <w:szCs w:val="18"/>
              </w:rPr>
              <w:t xml:space="preserve"> (Van Niekerk &amp; Crous) Crous </w:t>
            </w:r>
            <w:r>
              <w:rPr>
                <w:rFonts w:ascii="Helvetica" w:hAnsi="Helvetica" w:cs="Helvetica"/>
                <w:i/>
                <w:sz w:val="18"/>
                <w:szCs w:val="18"/>
              </w:rPr>
              <w:t>et al</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Gliocladium roseum</w:t>
            </w:r>
            <w:r>
              <w:rPr>
                <w:rFonts w:ascii="Helvetica" w:hAnsi="Helvetica" w:cs="Helvetica"/>
                <w:sz w:val="18"/>
                <w:szCs w:val="18"/>
              </w:rPr>
              <w:t xml:space="preserve"> Bainier [Hypocreales: Hypocreaceae] (synonym </w:t>
            </w:r>
            <w:r>
              <w:rPr>
                <w:rFonts w:ascii="Helvetica" w:hAnsi="Helvetica" w:cs="Helvetica"/>
                <w:i/>
                <w:sz w:val="18"/>
                <w:szCs w:val="18"/>
              </w:rPr>
              <w:t xml:space="preserve">Clonostachys rosea </w:t>
            </w:r>
            <w:r>
              <w:rPr>
                <w:rFonts w:ascii="Helvetica" w:hAnsi="Helvetica" w:cs="Helvetica"/>
                <w:sz w:val="18"/>
                <w:szCs w:val="18"/>
              </w:rPr>
              <w:t xml:space="preserve">(Link) Schroers </w:t>
            </w:r>
            <w:r>
              <w:rPr>
                <w:rFonts w:ascii="Helvetica" w:hAnsi="Helvetica" w:cs="Helvetica"/>
                <w:i/>
                <w:sz w:val="18"/>
                <w:szCs w:val="18"/>
              </w:rPr>
              <w:t>et al</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Gloeosporium sarmenticola</w:t>
            </w:r>
            <w:r>
              <w:rPr>
                <w:rFonts w:ascii="Helvetica" w:hAnsi="Helvetica" w:cs="Helvetica"/>
                <w:sz w:val="18"/>
                <w:szCs w:val="18"/>
              </w:rPr>
              <w:t xml:space="preserve"> Speg. [</w:t>
            </w:r>
            <w:hyperlink r:id="rId82" w:history="1">
              <w:r>
                <w:rPr>
                  <w:rFonts w:ascii="Helvetica" w:hAnsi="Helvetica" w:cs="Helvetica"/>
                  <w:sz w:val="18"/>
                  <w:szCs w:val="18"/>
                </w:rPr>
                <w:t>Helotiales</w:t>
              </w:r>
            </w:hyperlink>
            <w:r>
              <w:rPr>
                <w:rFonts w:ascii="Helvetica" w:hAnsi="Helvetica" w:cs="Helvetica"/>
                <w:sz w:val="18"/>
                <w:szCs w:val="18"/>
              </w:rPr>
              <w:t>: Dermateaceae]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records found</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report on </w:t>
            </w:r>
            <w:r>
              <w:rPr>
                <w:rFonts w:ascii="Helvetica" w:hAnsi="Helvetica" w:cs="Helvetica"/>
                <w:i/>
                <w:sz w:val="18"/>
                <w:szCs w:val="18"/>
              </w:rPr>
              <w:t xml:space="preserve">Vitis </w:t>
            </w:r>
            <w:r>
              <w:rPr>
                <w:rFonts w:ascii="Helvetica" w:hAnsi="Helvetica" w:cs="Helvetica"/>
                <w:sz w:val="18"/>
                <w:szCs w:val="18"/>
              </w:rPr>
              <w:t>species in Argentina in 1973 (Farr and Rossman 2011), it has not been reported from any other country, indicating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Glonium clavisporum</w:t>
            </w:r>
            <w:r>
              <w:rPr>
                <w:rFonts w:ascii="Helvetica" w:hAnsi="Helvetica" w:cs="Helvetica"/>
                <w:sz w:val="18"/>
                <w:szCs w:val="18"/>
              </w:rPr>
              <w:t xml:space="preserve"> Seaver [Hysteriales: Hysteriaceae]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w:t>
            </w:r>
            <w:r>
              <w:rPr>
                <w:rFonts w:ascii="Helvetica" w:hAnsi="Helvetica" w:cs="Helvetica"/>
                <w:i/>
                <w:iCs/>
                <w:sz w:val="18"/>
                <w:szCs w:val="18"/>
              </w:rPr>
              <w:t xml:space="preserve">Glonium </w:t>
            </w:r>
            <w:r>
              <w:rPr>
                <w:rFonts w:ascii="Helvetica" w:hAnsi="Helvetica" w:cs="Helvetica"/>
                <w:iCs/>
                <w:sz w:val="18"/>
                <w:szCs w:val="18"/>
              </w:rPr>
              <w:t xml:space="preserve">species </w:t>
            </w:r>
            <w:r>
              <w:rPr>
                <w:rFonts w:ascii="Helvetica" w:hAnsi="Helvetica" w:cs="Helvetica"/>
                <w:sz w:val="18"/>
                <w:szCs w:val="18"/>
              </w:rPr>
              <w:t xml:space="preserve">occur on bark and dead wood (Farr </w:t>
            </w:r>
            <w:r>
              <w:rPr>
                <w:rFonts w:ascii="Helvetica" w:hAnsi="Helvetica" w:cs="Helvetica"/>
                <w:i/>
                <w:iCs/>
                <w:sz w:val="18"/>
                <w:szCs w:val="18"/>
              </w:rPr>
              <w:t xml:space="preserve">et al. </w:t>
            </w:r>
            <w:r>
              <w:rPr>
                <w:rFonts w:ascii="Helvetica" w:hAnsi="Helvetica" w:cs="Helvetica"/>
                <w:iCs/>
                <w:sz w:val="18"/>
                <w:szCs w:val="18"/>
              </w:rPr>
              <w:t>1</w:t>
            </w:r>
            <w:r>
              <w:rPr>
                <w:rFonts w:ascii="Helvetica" w:hAnsi="Helvetica" w:cs="Helvetica"/>
                <w:sz w:val="18"/>
                <w:szCs w:val="18"/>
              </w:rPr>
              <w:t>989; Farr and Rossman 2011). Therefore, dormant grapevine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Greeneria uvicola</w:t>
            </w:r>
            <w:r>
              <w:rPr>
                <w:rFonts w:ascii="Helvetica" w:hAnsi="Helvetica" w:cs="Helvetica"/>
                <w:sz w:val="18"/>
                <w:szCs w:val="18"/>
              </w:rPr>
              <w:t xml:space="preserve"> (Berkley &amp; M.A. Curtis) Punithalingam [Diaporthales: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(Castillo-Pando </w:t>
            </w:r>
            <w:r>
              <w:rPr>
                <w:rFonts w:ascii="Helvetica" w:hAnsi="Helvetica" w:cs="Helvetica"/>
                <w:i/>
                <w:sz w:val="18"/>
                <w:szCs w:val="18"/>
              </w:rPr>
              <w:t>et al</w:t>
            </w:r>
            <w:r>
              <w:rPr>
                <w:rFonts w:ascii="Helvetica" w:hAnsi="Helvetica" w:cs="Helvetica"/>
                <w:sz w:val="18"/>
                <w:szCs w:val="18"/>
              </w:rPr>
              <w:t xml:space="preserve">. 1999; Sergeeva </w:t>
            </w:r>
            <w:r>
              <w:rPr>
                <w:rFonts w:ascii="Helvetica" w:hAnsi="Helvetica" w:cs="Helvetica"/>
                <w:i/>
                <w:sz w:val="18"/>
                <w:szCs w:val="18"/>
              </w:rPr>
              <w:t>et al</w:t>
            </w:r>
            <w:r>
              <w:rPr>
                <w:rFonts w:ascii="Helvetica" w:hAnsi="Helvetica" w:cs="Helvetica"/>
                <w:sz w:val="18"/>
                <w:szCs w:val="18"/>
              </w:rPr>
              <w:t>.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83" w:history="1">
              <w:r>
                <w:rPr>
                  <w:rFonts w:ascii="Helvetica" w:hAnsi="Helvetica" w:cs="Helvetica"/>
                  <w:i/>
                  <w:sz w:val="18"/>
                  <w:szCs w:val="18"/>
                </w:rPr>
                <w:t>Grovesinia pyramidalis</w:t>
              </w:r>
            </w:hyperlink>
            <w:r>
              <w:rPr>
                <w:rFonts w:ascii="Helvetica" w:hAnsi="Helvetica" w:cs="Helvetica"/>
                <w:sz w:val="18"/>
                <w:szCs w:val="18"/>
              </w:rPr>
              <w:t xml:space="preserve"> M.N. Cline, J.L. Crane &amp; S.D. Cline [</w:t>
            </w:r>
            <w:hyperlink r:id="rId84" w:history="1">
              <w:r>
                <w:rPr>
                  <w:rFonts w:ascii="Helvetica" w:hAnsi="Helvetica" w:cs="Helvetica"/>
                  <w:sz w:val="18"/>
                  <w:szCs w:val="18"/>
                </w:rPr>
                <w:t>Helotiales</w:t>
              </w:r>
            </w:hyperlink>
            <w:r>
              <w:rPr>
                <w:rFonts w:ascii="Helvetica" w:hAnsi="Helvetica" w:cs="Helvetica"/>
                <w:sz w:val="18"/>
                <w:szCs w:val="18"/>
              </w:rPr>
              <w:t>: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causes leaf spot (Farr and Rossman 2011).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Guignardia bidwellii</w:t>
            </w:r>
            <w:r>
              <w:rPr>
                <w:rFonts w:ascii="Helvetica" w:hAnsi="Helvetica" w:cs="Helvetica"/>
                <w:sz w:val="18"/>
                <w:szCs w:val="18"/>
              </w:rPr>
              <w:t xml:space="preserve"> (Ellis) Viala &amp; Ravaz [Botryosphaeriales: Botryosphaeriaceae] (synonym: </w:t>
            </w:r>
            <w:r>
              <w:rPr>
                <w:rFonts w:ascii="Helvetica" w:hAnsi="Helvetica" w:cs="Helvetica"/>
                <w:i/>
                <w:sz w:val="18"/>
                <w:szCs w:val="18"/>
              </w:rPr>
              <w:t xml:space="preserve">Greenaria uvicola </w:t>
            </w:r>
            <w:r>
              <w:rPr>
                <w:rFonts w:ascii="Helvetica" w:hAnsi="Helvetica" w:cs="Helvetica"/>
                <w:sz w:val="18"/>
                <w:szCs w:val="18"/>
              </w:rPr>
              <w:t xml:space="preserve">(Berk. &amp; M.A. Curtis) Punith.)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fungi are associated with the foliage, shoots, tendrils, cluster stems and fruit of </w:t>
            </w:r>
            <w:r>
              <w:rPr>
                <w:rFonts w:ascii="Helvetica" w:hAnsi="Helvetica" w:cs="Helvetica"/>
                <w:i/>
                <w:sz w:val="18"/>
                <w:szCs w:val="18"/>
              </w:rPr>
              <w:t xml:space="preserve">Vitis </w:t>
            </w:r>
            <w:r>
              <w:rPr>
                <w:rFonts w:ascii="Helvetica" w:hAnsi="Helvetica" w:cs="Helvetica"/>
                <w:sz w:val="18"/>
                <w:szCs w:val="18"/>
              </w:rPr>
              <w:t xml:space="preserve">species (University of Illinois 2001; Ellis 2008; Ullrich </w:t>
            </w:r>
            <w:r>
              <w:rPr>
                <w:rFonts w:ascii="Helvetica" w:hAnsi="Helvetica" w:cs="Helvetica"/>
                <w:i/>
                <w:sz w:val="18"/>
                <w:szCs w:val="18"/>
              </w:rPr>
              <w:t>et al</w:t>
            </w:r>
            <w:r>
              <w:rPr>
                <w:rFonts w:ascii="Helvetica" w:hAnsi="Helvetica" w:cs="Helvetica"/>
                <w:sz w:val="18"/>
                <w:szCs w:val="18"/>
              </w:rPr>
              <w:t xml:space="preserve">. 2009). These fungi overwinter in infected canes, tendrils, fallen leaves and in mummified fruit on vines or on the ground (Kummuang 1996; Ellis 2008). </w:t>
            </w:r>
            <w:r>
              <w:rPr>
                <w:rFonts w:ascii="Helvetica" w:hAnsi="Helvetica" w:cs="Helvetica"/>
                <w:bCs/>
                <w:sz w:val="18"/>
                <w:szCs w:val="18"/>
              </w:rPr>
              <w:t>Therefore, dormant grapevine cuttings may provide a pathway for these fungi.</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bCs/>
                <w:sz w:val="18"/>
                <w:szCs w:val="18"/>
              </w:rPr>
              <w:t xml:space="preserve">: These fungi have </w:t>
            </w:r>
            <w:r>
              <w:rPr>
                <w:rFonts w:ascii="Helvetica" w:hAnsi="Helvetica" w:cs="Helvetica"/>
                <w:sz w:val="18"/>
                <w:szCs w:val="18"/>
              </w:rPr>
              <w:t>established in areas with a wide range of climatic conditions</w:t>
            </w:r>
            <w:r>
              <w:rPr>
                <w:rFonts w:ascii="Helvetica" w:hAnsi="Helvetica" w:cs="Helvetica"/>
                <w:i/>
                <w:iCs/>
                <w:sz w:val="18"/>
                <w:szCs w:val="18"/>
              </w:rPr>
              <w:t xml:space="preserve"> </w:t>
            </w:r>
            <w:r>
              <w:rPr>
                <w:rFonts w:ascii="Helvetica" w:hAnsi="Helvetica" w:cs="Helvetica"/>
                <w:bCs/>
                <w:sz w:val="18"/>
                <w:szCs w:val="18"/>
              </w:rPr>
              <w:t>(</w:t>
            </w:r>
            <w:r>
              <w:rPr>
                <w:rFonts w:ascii="Helvetica" w:hAnsi="Helvetica" w:cs="Helvetica"/>
                <w:sz w:val="18"/>
                <w:szCs w:val="18"/>
              </w:rPr>
              <w:t>Farr and Rossman 2011) and can spread naturally in infected propagative material.</w:t>
            </w:r>
            <w:r>
              <w:rPr>
                <w:rFonts w:ascii="Helvetica" w:hAnsi="Helvetica" w:cs="Helvetica"/>
                <w:bCs/>
                <w:sz w:val="18"/>
                <w:szCs w:val="18"/>
              </w:rPr>
              <w:t xml:space="preserve"> Multiplication and marketing of infected propagative material will help spread these fungi within Australia. </w:t>
            </w:r>
            <w:r>
              <w:rPr>
                <w:rFonts w:ascii="Helvetica" w:hAnsi="Helvetica" w:cs="Helvetica"/>
                <w:sz w:val="18"/>
                <w:szCs w:val="18"/>
              </w:rPr>
              <w:t>Ascospores and conidia are the primary inoculum and are spread by air and rain (Pearson and Goheen 1988).</w:t>
            </w:r>
            <w:r>
              <w:rPr>
                <w:rFonts w:ascii="Helvetica" w:hAnsi="Helvetica" w:cs="Helvetica"/>
                <w:bCs/>
                <w:sz w:val="18"/>
                <w:szCs w:val="18"/>
              </w:rPr>
              <w:t>Therefore, these fungi have the potential to establish and spread in Australia.</w:t>
            </w:r>
          </w:p>
        </w:tc>
        <w:tc>
          <w:tcPr>
            <w:tcW w:w="2863"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fungi cause black rot, an important disease of grapevine that affects the foliage, petioles, shoots, tendrils, cluster stems and fruit (University of Illinois 2001; Ellis 2008; Ullrich </w:t>
            </w:r>
            <w:r>
              <w:rPr>
                <w:rFonts w:ascii="Helvetica" w:hAnsi="Helvetica" w:cs="Helvetica"/>
                <w:i/>
                <w:sz w:val="18"/>
                <w:szCs w:val="18"/>
              </w:rPr>
              <w:t>et al</w:t>
            </w:r>
            <w:r>
              <w:rPr>
                <w:rFonts w:ascii="Helvetica" w:hAnsi="Helvetica" w:cs="Helvetica"/>
                <w:sz w:val="18"/>
                <w:szCs w:val="18"/>
              </w:rPr>
              <w:t xml:space="preserve">. 2009). These fungi can cause substantial economic losses (Ramsdell and Milholland 1988; Wilcox 2003). For instance, crop loss due to black rot can range from 5–100% (Kummuang </w:t>
            </w:r>
            <w:r>
              <w:rPr>
                <w:rFonts w:ascii="Helvetica" w:hAnsi="Helvetica" w:cs="Helvetica"/>
                <w:i/>
                <w:sz w:val="18"/>
                <w:szCs w:val="18"/>
              </w:rPr>
              <w:t>et al</w:t>
            </w:r>
            <w:r>
              <w:rPr>
                <w:rFonts w:ascii="Helvetica" w:hAnsi="Helvetica" w:cs="Helvetica"/>
                <w:sz w:val="18"/>
                <w:szCs w:val="18"/>
              </w:rPr>
              <w:t xml:space="preserve">. 1996; Eyres </w:t>
            </w:r>
            <w:r>
              <w:rPr>
                <w:rFonts w:ascii="Helvetica" w:hAnsi="Helvetica" w:cs="Helvetica"/>
                <w:i/>
                <w:sz w:val="18"/>
                <w:szCs w:val="18"/>
              </w:rPr>
              <w:t>et al</w:t>
            </w:r>
            <w:r>
              <w:rPr>
                <w:rFonts w:ascii="Helvetica" w:hAnsi="Helvetica" w:cs="Helvetica"/>
                <w:sz w:val="18"/>
                <w:szCs w:val="18"/>
              </w:rPr>
              <w:t>. 2006). Therefore, these fungi have the potential for significant economic consequences in parts of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Guignardia bidwellii </w:t>
            </w:r>
            <w:r>
              <w:rPr>
                <w:rFonts w:ascii="Helvetica" w:hAnsi="Helvetica" w:cs="Helvetica"/>
                <w:sz w:val="18"/>
                <w:szCs w:val="18"/>
              </w:rPr>
              <w:t xml:space="preserve">f. </w:t>
            </w:r>
            <w:r>
              <w:rPr>
                <w:rFonts w:ascii="Helvetica" w:hAnsi="Helvetica" w:cs="Helvetica"/>
                <w:i/>
                <w:sz w:val="18"/>
                <w:szCs w:val="18"/>
              </w:rPr>
              <w:t>euvitis</w:t>
            </w:r>
            <w:r>
              <w:rPr>
                <w:rFonts w:ascii="Helvetica" w:hAnsi="Helvetica" w:cs="Helvetica"/>
                <w:sz w:val="18"/>
                <w:szCs w:val="18"/>
              </w:rPr>
              <w:t xml:space="preserve"> Luttrell  [Botryosphaeriales: Botryosphaeriaceae]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Guignardia</w:t>
            </w:r>
            <w:r>
              <w:rPr>
                <w:rFonts w:ascii="Helvetica" w:hAnsi="Helvetica" w:cs="Helvetica"/>
                <w:sz w:val="18"/>
                <w:szCs w:val="18"/>
              </w:rPr>
              <w:t xml:space="preserve"> </w:t>
            </w:r>
            <w:r>
              <w:rPr>
                <w:rFonts w:ascii="Helvetica" w:hAnsi="Helvetica" w:cs="Helvetica"/>
                <w:i/>
                <w:sz w:val="18"/>
                <w:szCs w:val="18"/>
              </w:rPr>
              <w:t>bidwellii</w:t>
            </w:r>
            <w:r>
              <w:rPr>
                <w:rFonts w:ascii="Helvetica" w:hAnsi="Helvetica" w:cs="Helvetica"/>
                <w:sz w:val="18"/>
                <w:szCs w:val="18"/>
              </w:rPr>
              <w:t xml:space="preserve"> f. </w:t>
            </w:r>
            <w:r>
              <w:rPr>
                <w:rFonts w:ascii="Helvetica" w:hAnsi="Helvetica" w:cs="Helvetica"/>
                <w:i/>
                <w:sz w:val="18"/>
                <w:szCs w:val="18"/>
              </w:rPr>
              <w:t>muscadinii</w:t>
            </w:r>
            <w:r>
              <w:rPr>
                <w:rFonts w:ascii="Helvetica" w:hAnsi="Helvetica" w:cs="Helvetica"/>
                <w:sz w:val="18"/>
                <w:szCs w:val="18"/>
              </w:rPr>
              <w:t xml:space="preserve"> Luttrell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Hapalopilus</w:t>
            </w:r>
            <w:r>
              <w:rPr>
                <w:rFonts w:ascii="Helvetica" w:hAnsi="Helvetica" w:cs="Helvetica"/>
                <w:sz w:val="18"/>
                <w:szCs w:val="18"/>
              </w:rPr>
              <w:t xml:space="preserve"> </w:t>
            </w:r>
            <w:r>
              <w:rPr>
                <w:rFonts w:ascii="Helvetica" w:hAnsi="Helvetica" w:cs="Helvetica"/>
                <w:i/>
                <w:sz w:val="18"/>
                <w:szCs w:val="18"/>
              </w:rPr>
              <w:t>nidulans</w:t>
            </w:r>
            <w:r>
              <w:rPr>
                <w:rFonts w:ascii="Helvetica" w:hAnsi="Helvetica" w:cs="Helvetica"/>
                <w:sz w:val="18"/>
                <w:szCs w:val="18"/>
              </w:rPr>
              <w:t xml:space="preserve"> (Fr.) P. Karst.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this species grows on decaying logs, sticks or hardwood debris and causes white rot (Kuo 2003).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85" w:history="1">
              <w:r>
                <w:rPr>
                  <w:rFonts w:ascii="Helvetica" w:hAnsi="Helvetica" w:cs="Helvetica"/>
                  <w:i/>
                  <w:sz w:val="18"/>
                  <w:szCs w:val="18"/>
                </w:rPr>
                <w:t>Helicobasidium</w:t>
              </w:r>
            </w:hyperlink>
            <w:r>
              <w:rPr>
                <w:rFonts w:ascii="Helvetica" w:hAnsi="Helvetica" w:cs="Helvetica"/>
                <w:i/>
                <w:sz w:val="18"/>
                <w:szCs w:val="18"/>
              </w:rPr>
              <w:t xml:space="preserve"> mompa</w:t>
            </w:r>
            <w:r>
              <w:rPr>
                <w:rFonts w:ascii="Helvetica" w:hAnsi="Helvetica" w:cs="Helvetica"/>
                <w:sz w:val="18"/>
                <w:szCs w:val="18"/>
              </w:rPr>
              <w:t xml:space="preserve"> Nobuj. Tanaka [Helicobasidiales: Helicobasidiaceae]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this species infects the below ground part of a variety of host plants (Matsubara </w:t>
            </w:r>
            <w:r>
              <w:rPr>
                <w:rFonts w:ascii="Helvetica" w:hAnsi="Helvetica" w:cs="Helvetica"/>
                <w:i/>
                <w:iCs/>
                <w:sz w:val="18"/>
                <w:szCs w:val="18"/>
              </w:rPr>
              <w:t>et al</w:t>
            </w:r>
            <w:r>
              <w:rPr>
                <w:rFonts w:ascii="Helvetica" w:hAnsi="Helvetica" w:cs="Helvetica"/>
                <w:sz w:val="18"/>
                <w:szCs w:val="18"/>
              </w:rPr>
              <w:t xml:space="preserve">. 2000). Therefore, root free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Helminthosporium decacuminatum</w:t>
            </w:r>
            <w:r>
              <w:rPr>
                <w:rFonts w:ascii="Helvetica" w:hAnsi="Helvetica" w:cs="Helvetica"/>
                <w:sz w:val="18"/>
                <w:szCs w:val="18"/>
              </w:rPr>
              <w:t xml:space="preserve"> Thüm. &amp; Pass. [Pleosporales: Massarinaceae]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these fungi occur on dead and dying plant material (Farr </w:t>
            </w:r>
            <w:r>
              <w:rPr>
                <w:rFonts w:ascii="Helvetica" w:hAnsi="Helvetica" w:cs="Helvetica"/>
                <w:i/>
                <w:iCs/>
                <w:sz w:val="18"/>
                <w:szCs w:val="18"/>
              </w:rPr>
              <w:t>et al</w:t>
            </w:r>
            <w:r>
              <w:rPr>
                <w:rFonts w:ascii="Helvetica" w:hAnsi="Helvetica" w:cs="Helvetica"/>
                <w:sz w:val="18"/>
                <w:szCs w:val="18"/>
              </w:rPr>
              <w:t xml:space="preserve">. 1989). Therefore, dormant cuttings do not provide a pathway for these fungi.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Helminthosporium siliquosum</w:t>
            </w:r>
            <w:r>
              <w:rPr>
                <w:rFonts w:ascii="Helvetica" w:hAnsi="Helvetica" w:cs="Helvetica"/>
                <w:sz w:val="18"/>
                <w:szCs w:val="18"/>
              </w:rPr>
              <w:t xml:space="preserve"> Berk. &amp; MA Curtis [Pleosporales: Massarinaceae]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Helminthosporium velutinum</w:t>
            </w:r>
            <w:r>
              <w:rPr>
                <w:rFonts w:ascii="Helvetica" w:hAnsi="Helvetica" w:cs="Helvetica"/>
                <w:sz w:val="18"/>
                <w:szCs w:val="18"/>
              </w:rPr>
              <w:t xml:space="preserve"> Link [Pleosporales: Massarinaceae]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86" w:history="1">
              <w:r>
                <w:rPr>
                  <w:rFonts w:ascii="Helvetica" w:hAnsi="Helvetica" w:cs="Helvetica"/>
                  <w:i/>
                  <w:sz w:val="18"/>
                  <w:szCs w:val="18"/>
                </w:rPr>
                <w:t>Helotium</w:t>
              </w:r>
            </w:hyperlink>
            <w:r>
              <w:rPr>
                <w:rFonts w:ascii="Helvetica" w:hAnsi="Helvetica" w:cs="Helvetica"/>
                <w:i/>
                <w:sz w:val="18"/>
                <w:szCs w:val="18"/>
              </w:rPr>
              <w:t xml:space="preserve"> sarmentorum</w:t>
            </w:r>
            <w:r>
              <w:rPr>
                <w:rFonts w:ascii="Helvetica" w:hAnsi="Helvetica" w:cs="Helvetica"/>
                <w:sz w:val="18"/>
                <w:szCs w:val="18"/>
              </w:rPr>
              <w:t xml:space="preserve"> De Not [</w:t>
            </w:r>
            <w:hyperlink r:id="rId87" w:history="1">
              <w:r>
                <w:rPr>
                  <w:rFonts w:ascii="Helvetica" w:hAnsi="Helvetica" w:cs="Helvetica"/>
                  <w:sz w:val="18"/>
                  <w:szCs w:val="18"/>
                </w:rPr>
                <w:t>Helotiales</w:t>
              </w:r>
            </w:hyperlink>
            <w:r>
              <w:rPr>
                <w:rFonts w:ascii="Helvetica" w:hAnsi="Helvetica" w:cs="Helvetica"/>
                <w:sz w:val="18"/>
                <w:szCs w:val="18"/>
              </w:rPr>
              <w:t>: Helotiaceae]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report on </w:t>
            </w:r>
            <w:r>
              <w:rPr>
                <w:rFonts w:ascii="Helvetica" w:hAnsi="Helvetica" w:cs="Helvetica"/>
                <w:i/>
                <w:sz w:val="18"/>
                <w:szCs w:val="18"/>
              </w:rPr>
              <w:t xml:space="preserve">Vitis </w:t>
            </w:r>
            <w:r>
              <w:rPr>
                <w:rFonts w:ascii="Helvetica" w:hAnsi="Helvetica" w:cs="Helvetica"/>
                <w:sz w:val="18"/>
                <w:szCs w:val="18"/>
              </w:rPr>
              <w:t>species in Portugal in 1941 (Farr and Rossman 2011), it has not been reported from any other country, indicating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Hendersonia cookeana</w:t>
            </w:r>
            <w:r>
              <w:rPr>
                <w:rFonts w:ascii="Helvetica" w:hAnsi="Helvetica" w:cs="Helvetica"/>
                <w:sz w:val="18"/>
                <w:szCs w:val="18"/>
              </w:rPr>
              <w:t xml:space="preserve"> Speg. [Pleosporales: Phaeosphaeriaceae]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Species of the genus are foliar pathogens (Sinclair </w:t>
            </w:r>
            <w:r>
              <w:rPr>
                <w:rFonts w:ascii="Helvetica" w:hAnsi="Helvetica" w:cs="Helvetica"/>
                <w:i/>
                <w:sz w:val="18"/>
                <w:szCs w:val="18"/>
              </w:rPr>
              <w:t>et al</w:t>
            </w:r>
            <w:r>
              <w:rPr>
                <w:rFonts w:ascii="Helvetica" w:hAnsi="Helvetica" w:cs="Helvetica"/>
                <w:sz w:val="18"/>
                <w:szCs w:val="18"/>
              </w:rPr>
              <w:t xml:space="preserve">. 1987; Farr </w:t>
            </w:r>
            <w:r>
              <w:rPr>
                <w:rFonts w:ascii="Helvetica" w:hAnsi="Helvetica" w:cs="Helvetica"/>
                <w:i/>
                <w:sz w:val="18"/>
                <w:szCs w:val="18"/>
              </w:rPr>
              <w:t>et al</w:t>
            </w:r>
            <w:r>
              <w:rPr>
                <w:rFonts w:ascii="Helvetica" w:hAnsi="Helvetica" w:cs="Helvetica"/>
                <w:sz w:val="18"/>
                <w:szCs w:val="18"/>
              </w:rPr>
              <w:t>. 1989).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Hendersonia corticalis</w:t>
            </w:r>
            <w:r>
              <w:rPr>
                <w:rFonts w:ascii="Helvetica" w:hAnsi="Helvetica" w:cs="Helvetica"/>
                <w:sz w:val="18"/>
                <w:szCs w:val="18"/>
              </w:rPr>
              <w:t xml:space="preserve"> Ellis &amp; Everhart [Pleosporales: Phaeosphaeriaceae]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Hendersonia sarmentorum</w:t>
            </w:r>
            <w:r>
              <w:rPr>
                <w:rFonts w:ascii="Helvetica" w:hAnsi="Helvetica" w:cs="Helvetica"/>
                <w:sz w:val="18"/>
                <w:szCs w:val="18"/>
              </w:rPr>
              <w:t xml:space="preserve"> Westend. [Pleosporales: Phaeosphaeriaceae]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Hendersonia tenuipes</w:t>
            </w:r>
            <w:r>
              <w:rPr>
                <w:rFonts w:ascii="Helvetica" w:hAnsi="Helvetica" w:cs="Helvetica"/>
                <w:sz w:val="18"/>
                <w:szCs w:val="18"/>
              </w:rPr>
              <w:t xml:space="preserve"> McAlpine [Pleosporales: Phaeosphaeriaceae]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Hendersonia viticola</w:t>
            </w:r>
            <w:r>
              <w:rPr>
                <w:rFonts w:ascii="Helvetica" w:hAnsi="Helvetica" w:cs="Helvetica"/>
                <w:sz w:val="18"/>
                <w:szCs w:val="18"/>
              </w:rPr>
              <w:t xml:space="preserve"> S. Ahmad [Pleosporales: Phaeosphaeriaceae]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Hinomyces moricola</w:t>
            </w:r>
            <w:r>
              <w:rPr>
                <w:rFonts w:ascii="Helvetica" w:hAnsi="Helvetica" w:cs="Helvetica"/>
                <w:sz w:val="18"/>
                <w:szCs w:val="18"/>
              </w:rPr>
              <w:t xml:space="preserve"> (I. Hino) Narumi &amp; Y. Harada [</w:t>
            </w:r>
            <w:hyperlink r:id="rId88" w:history="1">
              <w:r>
                <w:rPr>
                  <w:rFonts w:ascii="Helvetica" w:hAnsi="Helvetica" w:cs="Helvetica"/>
                  <w:sz w:val="18"/>
                  <w:szCs w:val="18"/>
                </w:rPr>
                <w:t>Helotiales</w:t>
              </w:r>
            </w:hyperlink>
            <w:r>
              <w:rPr>
                <w:rFonts w:ascii="Helvetica" w:hAnsi="Helvetica" w:cs="Helvetica"/>
                <w:sz w:val="18"/>
                <w:szCs w:val="18"/>
              </w:rPr>
              <w:t xml:space="preserve">: Sclerotiniaceae]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has been recorded on </w:t>
            </w:r>
            <w:r>
              <w:rPr>
                <w:rFonts w:ascii="Helvetica" w:hAnsi="Helvetica" w:cs="Helvetica"/>
                <w:i/>
                <w:sz w:val="18"/>
                <w:szCs w:val="18"/>
              </w:rPr>
              <w:t xml:space="preserve">Vitis </w:t>
            </w:r>
            <w:r>
              <w:rPr>
                <w:rFonts w:ascii="Helvetica" w:hAnsi="Helvetica" w:cs="Helvetica"/>
                <w:sz w:val="18"/>
                <w:szCs w:val="18"/>
              </w:rPr>
              <w:t>species causing leaf spot (Li 2004).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Hyphodontia pruni</w:t>
            </w:r>
            <w:r>
              <w:rPr>
                <w:rFonts w:ascii="Helvetica" w:hAnsi="Helvetica" w:cs="Helvetica"/>
                <w:sz w:val="18"/>
                <w:szCs w:val="18"/>
              </w:rPr>
              <w:t xml:space="preserve"> (Lasch) Svrček [Hymenochaetales: Schizoporaceae]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this fungus causes wood rot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89" w:history="1">
              <w:r>
                <w:rPr>
                  <w:rFonts w:ascii="Helvetica" w:hAnsi="Helvetica" w:cs="Helvetica"/>
                  <w:i/>
                  <w:sz w:val="18"/>
                  <w:szCs w:val="18"/>
                </w:rPr>
                <w:t>Hypocrea</w:t>
              </w:r>
              <w:r>
                <w:rPr>
                  <w:rFonts w:ascii="Helvetica" w:hAnsi="Helvetica" w:cs="Helvetica"/>
                  <w:sz w:val="18"/>
                  <w:szCs w:val="18"/>
                </w:rPr>
                <w:t xml:space="preserve"> </w:t>
              </w:r>
              <w:r>
                <w:rPr>
                  <w:rFonts w:ascii="Helvetica" w:hAnsi="Helvetica" w:cs="Helvetica"/>
                  <w:i/>
                  <w:sz w:val="18"/>
                  <w:szCs w:val="18"/>
                </w:rPr>
                <w:t>gelatinosa</w:t>
              </w:r>
            </w:hyperlink>
            <w:r>
              <w:rPr>
                <w:rFonts w:ascii="Helvetica" w:hAnsi="Helvetica" w:cs="Helvetica"/>
                <w:sz w:val="18"/>
                <w:szCs w:val="18"/>
              </w:rPr>
              <w:t xml:space="preserve"> (Tode) Fr. [Hypocreales: Hypocreaceae]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this species occurs on dead wood and other decaying matter on other hosts (Farr </w:t>
            </w:r>
            <w:r>
              <w:rPr>
                <w:rFonts w:ascii="Helvetica" w:hAnsi="Helvetica" w:cs="Helvetica"/>
                <w:i/>
                <w:iCs/>
                <w:sz w:val="18"/>
                <w:szCs w:val="18"/>
              </w:rPr>
              <w:t>et al.</w:t>
            </w:r>
            <w:r>
              <w:rPr>
                <w:rFonts w:ascii="Helvetica" w:hAnsi="Helvetica" w:cs="Helvetica"/>
                <w:sz w:val="18"/>
                <w:szCs w:val="18"/>
              </w:rPr>
              <w:t xml:space="preserve"> 1989).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Hypoderma</w:t>
            </w:r>
            <w:r>
              <w:rPr>
                <w:rFonts w:ascii="Helvetica" w:hAnsi="Helvetica" w:cs="Helvetica"/>
                <w:sz w:val="18"/>
                <w:szCs w:val="18"/>
              </w:rPr>
              <w:t xml:space="preserve"> </w:t>
            </w:r>
            <w:r>
              <w:rPr>
                <w:rFonts w:ascii="Helvetica" w:hAnsi="Helvetica" w:cs="Helvetica"/>
                <w:i/>
                <w:sz w:val="18"/>
                <w:szCs w:val="18"/>
              </w:rPr>
              <w:t>commune</w:t>
            </w:r>
            <w:r>
              <w:rPr>
                <w:rFonts w:ascii="Helvetica" w:hAnsi="Helvetica" w:cs="Helvetica"/>
                <w:sz w:val="18"/>
                <w:szCs w:val="18"/>
              </w:rPr>
              <w:t xml:space="preserve"> (Fr.) Duby [Rhytismatales: Rhytismataceae]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this species occurs on dead stems of many herbaceous plants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Hypoxylon rubiginosum</w:t>
            </w:r>
            <w:r>
              <w:rPr>
                <w:rFonts w:ascii="Helvetica" w:hAnsi="Helvetica" w:cs="Helvetica"/>
                <w:sz w:val="18"/>
                <w:szCs w:val="18"/>
              </w:rPr>
              <w:t xml:space="preserve"> var. </w:t>
            </w:r>
            <w:r>
              <w:rPr>
                <w:rFonts w:ascii="Helvetica" w:hAnsi="Helvetica" w:cs="Helvetica"/>
                <w:i/>
                <w:sz w:val="18"/>
                <w:szCs w:val="18"/>
              </w:rPr>
              <w:t>rubiginosum</w:t>
            </w:r>
            <w:r>
              <w:rPr>
                <w:rFonts w:ascii="Helvetica" w:hAnsi="Helvetica" w:cs="Helvetica"/>
                <w:sz w:val="18"/>
                <w:szCs w:val="18"/>
              </w:rPr>
              <w:t xml:space="preserve"> (Pers.) Fr. [Xylariales: Xylariaceae]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these species occur on hardwoods and cause heart rot (Farr and Rossman 2011). Therefore, semi-hardwood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Hypoxylon tinctor</w:t>
            </w:r>
            <w:r>
              <w:rPr>
                <w:rFonts w:ascii="Helvetica" w:hAnsi="Helvetica" w:cs="Helvetica"/>
                <w:sz w:val="18"/>
                <w:szCs w:val="18"/>
              </w:rPr>
              <w:t xml:space="preserve"> (Berk.) Cooke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hyperlink r:id="rId90" w:history="1">
              <w:r>
                <w:rPr>
                  <w:rFonts w:ascii="Helvetica" w:hAnsi="Helvetica" w:cs="Helvetica"/>
                  <w:i/>
                  <w:sz w:val="18"/>
                  <w:szCs w:val="18"/>
                  <w:lang w:val="de-DE"/>
                </w:rPr>
                <w:t>Hysterographium</w:t>
              </w:r>
              <w:r>
                <w:rPr>
                  <w:rFonts w:ascii="Helvetica" w:hAnsi="Helvetica" w:cs="Helvetica"/>
                  <w:sz w:val="18"/>
                  <w:szCs w:val="18"/>
                  <w:lang w:val="de-DE"/>
                </w:rPr>
                <w:t xml:space="preserve"> </w:t>
              </w:r>
              <w:r>
                <w:rPr>
                  <w:rFonts w:ascii="Helvetica" w:hAnsi="Helvetica" w:cs="Helvetica"/>
                  <w:i/>
                  <w:sz w:val="18"/>
                  <w:szCs w:val="18"/>
                  <w:lang w:val="de-DE"/>
                </w:rPr>
                <w:t>flexuosum</w:t>
              </w:r>
            </w:hyperlink>
            <w:r>
              <w:rPr>
                <w:rFonts w:ascii="Helvetica" w:hAnsi="Helvetica" w:cs="Helvetica"/>
                <w:sz w:val="18"/>
                <w:szCs w:val="18"/>
                <w:lang w:val="de-DE"/>
              </w:rPr>
              <w:t xml:space="preserve"> (Schwein.) Sacc. [Hysteriales: Hysteriaceae]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congeneric species are saprobic or hemibiotrophic (Barr 1990) on wood and bark or on fallen branches (Lorenzo and Messuti 2009).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Hysterographium mori</w:t>
            </w:r>
            <w:r>
              <w:rPr>
                <w:rFonts w:ascii="Helvetica" w:hAnsi="Helvetica" w:cs="Helvetica"/>
                <w:sz w:val="18"/>
                <w:szCs w:val="18"/>
                <w:lang w:val="de-DE"/>
              </w:rPr>
              <w:t xml:space="preserve"> (Schwein.) Rehm [Hysteriales: Hysteriaceae]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Hysterographium viticola</w:t>
            </w:r>
            <w:r>
              <w:rPr>
                <w:rFonts w:ascii="Helvetica" w:hAnsi="Helvetica" w:cs="Helvetica"/>
                <w:sz w:val="18"/>
                <w:szCs w:val="18"/>
              </w:rPr>
              <w:t xml:space="preserve"> (Cooke &amp; Peck) Rehm [Hysteriales: Hysteriaceae]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species of this fungus are saprobic or hemibiotrophic (Barr 1990) on wood and bark or on fallen branches (Lorenzo and Messuti 2009). Therefore, semi-hardwood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Hysterographium vulvatum</w:t>
            </w:r>
            <w:r>
              <w:rPr>
                <w:rFonts w:ascii="Helvetica" w:hAnsi="Helvetica" w:cs="Helvetica"/>
                <w:sz w:val="18"/>
                <w:szCs w:val="18"/>
                <w:lang w:val="de-DE"/>
              </w:rPr>
              <w:t xml:space="preserve"> (Schwein.) Rehm [Hysteriales: Hysteriaceae]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Inocutis jamaicensis</w:t>
            </w:r>
            <w:r>
              <w:rPr>
                <w:rFonts w:ascii="Helvetica" w:hAnsi="Helvetica" w:cs="Helvetica"/>
                <w:sz w:val="18"/>
                <w:szCs w:val="18"/>
              </w:rPr>
              <w:t xml:space="preserve"> (Murrill) Gottlieb </w:t>
            </w:r>
            <w:r>
              <w:rPr>
                <w:rFonts w:ascii="Helvetica" w:hAnsi="Helvetica" w:cs="Helvetica"/>
                <w:i/>
                <w:sz w:val="18"/>
                <w:szCs w:val="18"/>
              </w:rPr>
              <w:t>et al</w:t>
            </w:r>
            <w:r>
              <w:rPr>
                <w:rFonts w:ascii="Helvetica" w:hAnsi="Helvetica" w:cs="Helvetica"/>
                <w:sz w:val="18"/>
                <w:szCs w:val="18"/>
              </w:rPr>
              <w:t>. [</w:t>
            </w:r>
            <w:r>
              <w:rPr>
                <w:rFonts w:ascii="Helvetica" w:hAnsi="Helvetica" w:cs="Helvetica"/>
                <w:sz w:val="18"/>
                <w:szCs w:val="18"/>
                <w:lang w:val="de-DE"/>
              </w:rPr>
              <w:t>Hymenochaetales: Hymenochaetaceae]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species is associated with grapevines, causing white rot in the trunk and main branches (Pérez </w:t>
            </w:r>
            <w:r>
              <w:rPr>
                <w:rFonts w:ascii="Helvetica" w:hAnsi="Helvetica" w:cs="Helvetica"/>
                <w:i/>
                <w:sz w:val="18"/>
                <w:szCs w:val="18"/>
              </w:rPr>
              <w:t>et al</w:t>
            </w:r>
            <w:r>
              <w:rPr>
                <w:rFonts w:ascii="Helvetica" w:hAnsi="Helvetica" w:cs="Helvetica"/>
                <w:sz w:val="18"/>
                <w:szCs w:val="18"/>
              </w:rPr>
              <w:t>. 2008) and has also been isolated from esca-affected grapevine stems (Fischer 2006).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 fungus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w:t>
            </w:r>
            <w:r>
              <w:rPr>
                <w:rFonts w:ascii="Helvetica" w:hAnsi="Helvetica" w:cs="Helvetica"/>
                <w:sz w:val="18"/>
                <w:szCs w:val="18"/>
              </w:rPr>
              <w:t xml:space="preserve">Fischer 2006; Pérez </w:t>
            </w:r>
            <w:r>
              <w:rPr>
                <w:rFonts w:ascii="Helvetica" w:hAnsi="Helvetica" w:cs="Helvetica"/>
                <w:i/>
                <w:iCs/>
                <w:sz w:val="18"/>
                <w:szCs w:val="18"/>
              </w:rPr>
              <w:t>et al.</w:t>
            </w:r>
            <w:r>
              <w:rPr>
                <w:rFonts w:ascii="Helvetica" w:hAnsi="Helvetica" w:cs="Helvetica"/>
                <w:sz w:val="18"/>
                <w:szCs w:val="18"/>
              </w:rPr>
              <w:t xml:space="preserve"> 2008</w:t>
            </w:r>
            <w:r>
              <w:rPr>
                <w:rFonts w:ascii="Helvetica" w:hAnsi="Helvetica" w:cs="Helvetica"/>
                <w:sz w:val="18"/>
                <w:szCs w:val="18"/>
                <w:lang w:eastAsia="en-AU"/>
              </w:rPr>
              <w:t xml:space="preserve">) </w:t>
            </w:r>
            <w:r>
              <w:rPr>
                <w:rFonts w:ascii="Helvetica" w:hAnsi="Helvetica" w:cs="Helvetica"/>
                <w:sz w:val="18"/>
                <w:szCs w:val="18"/>
              </w:rPr>
              <w:t>and may spread naturally in infected propagative material. Multiplication and marketing of infected propagative material would help spread this fungus into new areas. Therefore, this fungus has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is associated with Esca disease of grapevine, which is one of the most important diseases of grapevine worldwide (Romanazzi </w:t>
            </w:r>
            <w:r>
              <w:rPr>
                <w:rFonts w:ascii="Helvetica" w:hAnsi="Helvetica" w:cs="Helvetica"/>
                <w:i/>
                <w:sz w:val="18"/>
                <w:szCs w:val="18"/>
              </w:rPr>
              <w:t>et al</w:t>
            </w:r>
            <w:r>
              <w:rPr>
                <w:rFonts w:ascii="Helvetica" w:hAnsi="Helvetica" w:cs="Helvetica"/>
                <w:sz w:val="18"/>
                <w:szCs w:val="18"/>
              </w:rPr>
              <w:t xml:space="preserve">. 2009).This fungus is able to colonise wide variety of hosts, including grapevine and </w:t>
            </w:r>
            <w:r>
              <w:rPr>
                <w:rFonts w:ascii="Helvetica" w:hAnsi="Helvetica" w:cs="Helvetica"/>
                <w:i/>
                <w:sz w:val="18"/>
                <w:szCs w:val="18"/>
              </w:rPr>
              <w:t>Eucalyptus</w:t>
            </w:r>
            <w:r>
              <w:rPr>
                <w:rFonts w:ascii="Helvetica" w:hAnsi="Helvetica" w:cs="Helvetica"/>
                <w:sz w:val="18"/>
                <w:szCs w:val="18"/>
              </w:rPr>
              <w:t xml:space="preserve">, in diverse conditions (Pérez </w:t>
            </w:r>
            <w:r>
              <w:rPr>
                <w:rFonts w:ascii="Helvetica" w:hAnsi="Helvetica" w:cs="Helvetica"/>
                <w:i/>
                <w:sz w:val="18"/>
                <w:szCs w:val="18"/>
              </w:rPr>
              <w:t>et al</w:t>
            </w:r>
            <w:r>
              <w:rPr>
                <w:rFonts w:ascii="Helvetica" w:hAnsi="Helvetica" w:cs="Helvetica"/>
                <w:sz w:val="18"/>
                <w:szCs w:val="18"/>
              </w:rPr>
              <w:t xml:space="preserve">. 2008). The wine industry and native </w:t>
            </w:r>
            <w:r>
              <w:rPr>
                <w:rFonts w:ascii="Helvetica" w:hAnsi="Helvetica" w:cs="Helvetica"/>
                <w:i/>
                <w:sz w:val="18"/>
                <w:szCs w:val="18"/>
              </w:rPr>
              <w:t xml:space="preserve">Eucalyptus </w:t>
            </w:r>
            <w:r>
              <w:rPr>
                <w:rFonts w:ascii="Helvetica" w:hAnsi="Helvetica" w:cs="Helvetica"/>
                <w:sz w:val="18"/>
                <w:szCs w:val="18"/>
              </w:rPr>
              <w:t>plantations in Australia could be severely affected by this fungus. Therefore, this fungus has potential for economic consequences in parts of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91" w:history="1">
              <w:r>
                <w:rPr>
                  <w:rFonts w:ascii="Helvetica" w:hAnsi="Helvetica" w:cs="Helvetica"/>
                  <w:i/>
                  <w:sz w:val="18"/>
                  <w:szCs w:val="18"/>
                </w:rPr>
                <w:t>Irpex</w:t>
              </w:r>
            </w:hyperlink>
            <w:r>
              <w:rPr>
                <w:rFonts w:ascii="Helvetica" w:hAnsi="Helvetica" w:cs="Helvetica"/>
                <w:i/>
                <w:sz w:val="18"/>
                <w:szCs w:val="18"/>
              </w:rPr>
              <w:t xml:space="preserve"> lact</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s</w:t>
            </w:r>
            <w:r>
              <w:rPr>
                <w:rFonts w:ascii="Helvetica" w:hAnsi="Helvetica" w:cs="Helvetica"/>
                <w:sz w:val="18"/>
                <w:szCs w:val="18"/>
              </w:rPr>
              <w:t xml:space="preserve"> (Fr.) Fr. [Polyporales: Meruliaceae]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this species occurs on trunks, dead stems and wood of host plants (Farr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1989).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Isariopsis clavispora</w:t>
            </w:r>
            <w:r>
              <w:rPr>
                <w:rFonts w:ascii="Helvetica" w:hAnsi="Helvetica" w:cs="Helvetica"/>
                <w:sz w:val="18"/>
                <w:szCs w:val="18"/>
              </w:rPr>
              <w:t xml:space="preserve"> (Berk. &amp; MA Curtis) Sacc.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Isariopsis fuckelii</w:t>
            </w:r>
            <w:r>
              <w:rPr>
                <w:rFonts w:ascii="Helvetica" w:hAnsi="Helvetica" w:cs="Helvetica"/>
                <w:sz w:val="18"/>
                <w:szCs w:val="18"/>
              </w:rPr>
              <w:t xml:space="preserve"> (Thüm.) du Plessis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this species is associated with the foliage of host plants (Farr and Rossman 2011).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92" w:history="1">
              <w:r>
                <w:rPr>
                  <w:rFonts w:ascii="Helvetica" w:hAnsi="Helvetica" w:cs="Helvetica"/>
                  <w:i/>
                  <w:sz w:val="18"/>
                  <w:szCs w:val="18"/>
                  <w:lang w:val="de-DE"/>
                </w:rPr>
                <w:t>Kuehneola</w:t>
              </w:r>
            </w:hyperlink>
            <w:r>
              <w:rPr>
                <w:rFonts w:ascii="Helvetica" w:hAnsi="Helvetica" w:cs="Helvetica"/>
                <w:i/>
                <w:sz w:val="18"/>
                <w:szCs w:val="18"/>
                <w:lang w:val="de-DE"/>
              </w:rPr>
              <w:t xml:space="preserve"> vitis</w:t>
            </w:r>
            <w:r>
              <w:rPr>
                <w:rFonts w:ascii="Helvetica" w:hAnsi="Helvetica" w:cs="Helvetica"/>
                <w:sz w:val="18"/>
                <w:szCs w:val="18"/>
                <w:lang w:val="de-DE"/>
              </w:rPr>
              <w:t xml:space="preserve"> (E.J. Butler) Syd. </w:t>
            </w:r>
            <w:r>
              <w:rPr>
                <w:rFonts w:ascii="Helvetica" w:hAnsi="Helvetica" w:cs="Helvetica"/>
                <w:sz w:val="18"/>
                <w:szCs w:val="18"/>
              </w:rPr>
              <w:t>&amp; P. Syd. [Pucciniales: Phragmidiaceae]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fungus infects fully grown leaves or older leaves and may cause leaf rust (Papademetriou and Dent 2001).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iCs/>
                <w:sz w:val="18"/>
                <w:szCs w:val="18"/>
                <w:lang w:val="de-DE"/>
              </w:rPr>
              <w:t>Lachnella alboviolascen</w:t>
            </w:r>
            <w:r>
              <w:rPr>
                <w:rFonts w:ascii="Helvetica" w:hAnsi="Helvetica" w:cs="Helvetica"/>
                <w:sz w:val="18"/>
                <w:szCs w:val="18"/>
                <w:lang w:val="de-DE"/>
              </w:rPr>
              <w:t>s (Alb. &amp; Schwein.) Fr. [</w:t>
            </w:r>
            <w:r>
              <w:rPr>
                <w:rFonts w:ascii="Helvetica" w:hAnsi="Helvetica" w:cs="Helvetica"/>
                <w:sz w:val="18"/>
                <w:szCs w:val="18"/>
              </w:rPr>
              <w:t xml:space="preserve">Agaricales: </w:t>
            </w:r>
            <w:r>
              <w:rPr>
                <w:rFonts w:ascii="Helvetica" w:hAnsi="Helvetica" w:cs="Helvetica"/>
                <w:sz w:val="18"/>
                <w:szCs w:val="18"/>
                <w:lang w:val="de-DE"/>
              </w:rPr>
              <w:t>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hyperlink r:id="rId93" w:history="1">
              <w:r>
                <w:rPr>
                  <w:rFonts w:ascii="Helvetica" w:hAnsi="Helvetica" w:cs="Helvetica"/>
                  <w:i/>
                  <w:iCs/>
                  <w:sz w:val="18"/>
                  <w:szCs w:val="18"/>
                </w:rPr>
                <w:t>Lachnella macrochaeta</w:t>
              </w:r>
            </w:hyperlink>
            <w:r>
              <w:rPr>
                <w:rFonts w:ascii="Helvetica" w:hAnsi="Helvetica" w:cs="Helvetica"/>
                <w:i/>
                <w:iCs/>
                <w:sz w:val="18"/>
                <w:szCs w:val="18"/>
              </w:rPr>
              <w:t xml:space="preserve"> </w:t>
            </w:r>
            <w:r>
              <w:rPr>
                <w:rFonts w:ascii="Helvetica" w:hAnsi="Helvetica" w:cs="Helvetica"/>
                <w:sz w:val="18"/>
                <w:szCs w:val="18"/>
              </w:rPr>
              <w:t xml:space="preserve">Speg. [Agaricales: Niaceae] (synonym </w:t>
            </w:r>
            <w:r>
              <w:rPr>
                <w:rFonts w:ascii="Helvetica" w:hAnsi="Helvetica" w:cs="Helvetica"/>
                <w:i/>
                <w:sz w:val="18"/>
                <w:szCs w:val="18"/>
              </w:rPr>
              <w:t xml:space="preserve">Trichopezizella macrochaeta </w:t>
            </w:r>
            <w:r>
              <w:rPr>
                <w:rFonts w:ascii="Helvetica" w:hAnsi="Helvetica" w:cs="Helvetica"/>
                <w:sz w:val="18"/>
                <w:szCs w:val="18"/>
              </w:rPr>
              <w:t>(Speg.) Gamundí)</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There is little information on the biology of these species. However, generally </w:t>
            </w:r>
            <w:r>
              <w:rPr>
                <w:rFonts w:ascii="Helvetica" w:hAnsi="Helvetica" w:cs="Helvetica"/>
                <w:i/>
                <w:iCs/>
                <w:sz w:val="18"/>
                <w:szCs w:val="18"/>
              </w:rPr>
              <w:t xml:space="preserve">Lachnella </w:t>
            </w:r>
            <w:r>
              <w:rPr>
                <w:rFonts w:ascii="Helvetica" w:hAnsi="Helvetica" w:cs="Helvetica"/>
                <w:sz w:val="18"/>
                <w:szCs w:val="18"/>
              </w:rPr>
              <w:t xml:space="preserve">species occur on dead twigs, dead shoots, dead stems and bark (Ellis and Everhart 1897; Seaver 1911). Some </w:t>
            </w:r>
            <w:r>
              <w:rPr>
                <w:rFonts w:ascii="Helvetica" w:hAnsi="Helvetica" w:cs="Helvetica"/>
                <w:i/>
                <w:sz w:val="18"/>
                <w:szCs w:val="18"/>
              </w:rPr>
              <w:t xml:space="preserve">Lachnella </w:t>
            </w:r>
            <w:r>
              <w:rPr>
                <w:rFonts w:ascii="Helvetica" w:hAnsi="Helvetica" w:cs="Helvetica"/>
                <w:sz w:val="18"/>
                <w:szCs w:val="18"/>
              </w:rPr>
              <w:t>species have also been reported to occur on the young shoots of herbaceous species such as senecio (McKenzie and Foggo 1989), but are not reported to occur on the living stems or shoots of grapevines.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hyperlink r:id="rId94" w:history="1">
              <w:r>
                <w:rPr>
                  <w:rFonts w:ascii="Helvetica" w:hAnsi="Helvetica" w:cs="Helvetica"/>
                  <w:i/>
                  <w:iCs/>
                  <w:sz w:val="18"/>
                  <w:szCs w:val="18"/>
                </w:rPr>
                <w:t>Lachnella myceliosa</w:t>
              </w:r>
            </w:hyperlink>
            <w:r>
              <w:rPr>
                <w:rFonts w:ascii="Helvetica" w:hAnsi="Helvetica" w:cs="Helvetica"/>
                <w:i/>
                <w:iCs/>
                <w:sz w:val="18"/>
                <w:szCs w:val="18"/>
              </w:rPr>
              <w:t xml:space="preserve"> </w:t>
            </w:r>
            <w:r>
              <w:rPr>
                <w:rFonts w:ascii="Helvetica" w:hAnsi="Helvetica" w:cs="Helvetica"/>
                <w:sz w:val="18"/>
                <w:szCs w:val="18"/>
              </w:rPr>
              <w:t>WB Cooke [Agaricales: 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Lasiodiplodia crassispora</w:t>
            </w:r>
            <w:r>
              <w:rPr>
                <w:rFonts w:ascii="Helvetica" w:hAnsi="Helvetica" w:cs="Helvetica"/>
                <w:sz w:val="18"/>
                <w:szCs w:val="18"/>
              </w:rPr>
              <w:t xml:space="preserve"> TI Burgess &amp; Barber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(Burgess </w:t>
            </w:r>
            <w:r>
              <w:rPr>
                <w:rFonts w:ascii="Helvetica" w:hAnsi="Helvetica" w:cs="Helvetica"/>
                <w:i/>
                <w:sz w:val="18"/>
                <w:szCs w:val="18"/>
              </w:rPr>
              <w:t>et al</w:t>
            </w:r>
            <w:r>
              <w:rPr>
                <w:rFonts w:ascii="Helvetica" w:hAnsi="Helvetica" w:cs="Helvetica"/>
                <w:sz w:val="18"/>
                <w:szCs w:val="18"/>
              </w:rPr>
              <w:t>. 2006)</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Lasiodiplodia missouriana</w:t>
            </w:r>
            <w:r>
              <w:rPr>
                <w:rFonts w:ascii="Helvetica" w:hAnsi="Helvetica" w:cs="Helvetica"/>
                <w:sz w:val="18"/>
                <w:szCs w:val="18"/>
              </w:rPr>
              <w:t xml:space="preserve"> Úrbez-Torres </w:t>
            </w:r>
            <w:r>
              <w:rPr>
                <w:rFonts w:ascii="Helvetica" w:hAnsi="Helvetica" w:cs="Helvetica"/>
                <w:i/>
                <w:sz w:val="18"/>
                <w:szCs w:val="18"/>
              </w:rPr>
              <w:t>et al</w:t>
            </w:r>
            <w:r>
              <w:rPr>
                <w:rFonts w:ascii="Helvetica" w:hAnsi="Helvetica" w:cs="Helvetica"/>
                <w:sz w:val="18"/>
                <w:szCs w:val="18"/>
              </w:rPr>
              <w:t>.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species cause cankers in the vascular tissue of grapevines (Úrbez-Torres </w:t>
            </w:r>
            <w:r>
              <w:rPr>
                <w:rFonts w:ascii="Helvetica" w:hAnsi="Helvetica" w:cs="Helvetica"/>
                <w:i/>
                <w:sz w:val="18"/>
                <w:szCs w:val="18"/>
              </w:rPr>
              <w:t>et al</w:t>
            </w:r>
            <w:r>
              <w:rPr>
                <w:rFonts w:ascii="Helvetica" w:hAnsi="Helvetica" w:cs="Helvetica"/>
                <w:sz w:val="18"/>
                <w:szCs w:val="18"/>
              </w:rPr>
              <w:t>. 2012). Therefore, dormant cuttings may provide a pathway for these fungi.</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fungi have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(Úrbez-Torres </w:t>
            </w:r>
            <w:r>
              <w:rPr>
                <w:rFonts w:ascii="Helvetica" w:hAnsi="Helvetica" w:cs="Helvetica"/>
                <w:i/>
                <w:sz w:val="18"/>
                <w:szCs w:val="18"/>
              </w:rPr>
              <w:t>et al</w:t>
            </w:r>
            <w:r>
              <w:rPr>
                <w:rFonts w:ascii="Helvetica" w:hAnsi="Helvetica" w:cs="Helvetica"/>
                <w:sz w:val="18"/>
                <w:szCs w:val="18"/>
              </w:rPr>
              <w:t>. 2012) and may spread naturally in infected propagative material. Therefore, these fungi have the potential for establishment and spread in Australia.</w:t>
            </w:r>
          </w:p>
        </w:tc>
        <w:tc>
          <w:tcPr>
            <w:tcW w:w="2863"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species have been recorded on grapevines causing canker in association with other species (Úrbez-Torres </w:t>
            </w:r>
            <w:r>
              <w:rPr>
                <w:rFonts w:ascii="Helvetica" w:hAnsi="Helvetica" w:cs="Helvetica"/>
                <w:i/>
                <w:sz w:val="18"/>
                <w:szCs w:val="18"/>
              </w:rPr>
              <w:t>et al</w:t>
            </w:r>
            <w:r>
              <w:rPr>
                <w:rFonts w:ascii="Helvetica" w:hAnsi="Helvetica" w:cs="Helvetica"/>
                <w:sz w:val="18"/>
                <w:szCs w:val="18"/>
              </w:rPr>
              <w:t>. 2012). However, no information is available on the losses caused by these pathogens. Therefore, these fungi are not of economic concern for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Lasiodiplodia viticola</w:t>
            </w:r>
            <w:r>
              <w:rPr>
                <w:rFonts w:ascii="Helvetica" w:hAnsi="Helvetica" w:cs="Helvetica"/>
                <w:sz w:val="18"/>
                <w:szCs w:val="18"/>
              </w:rPr>
              <w:t xml:space="preserve"> Úrbez-Torres </w:t>
            </w:r>
            <w:r>
              <w:rPr>
                <w:rFonts w:ascii="Helvetica" w:hAnsi="Helvetica" w:cs="Helvetica"/>
                <w:i/>
                <w:sz w:val="18"/>
                <w:szCs w:val="18"/>
              </w:rPr>
              <w:t>et al</w:t>
            </w:r>
            <w:r>
              <w:rPr>
                <w:rFonts w:ascii="Helvetica" w:hAnsi="Helvetica" w:cs="Helvetica"/>
                <w:sz w:val="18"/>
                <w:szCs w:val="18"/>
              </w:rPr>
              <w:t>.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typa cupressi</w:t>
            </w:r>
            <w:r>
              <w:rPr>
                <w:rFonts w:ascii="Helvetica" w:hAnsi="Helvetica" w:cs="Helvetica"/>
                <w:sz w:val="18"/>
                <w:szCs w:val="18"/>
              </w:rPr>
              <w:t xml:space="preserve"> (Nattrass </w:t>
            </w:r>
            <w:r>
              <w:rPr>
                <w:rFonts w:ascii="Helvetica" w:hAnsi="Helvetica" w:cs="Helvetica"/>
                <w:i/>
                <w:sz w:val="18"/>
                <w:szCs w:val="18"/>
              </w:rPr>
              <w:t>et al</w:t>
            </w:r>
            <w:r>
              <w:rPr>
                <w:rFonts w:ascii="Helvetica" w:hAnsi="Helvetica" w:cs="Helvetica"/>
                <w:sz w:val="18"/>
                <w:szCs w:val="18"/>
              </w:rPr>
              <w:t xml:space="preserve">.) HJ Swart [Xylariales: Amphisphaeriaceae] (synonym: </w:t>
            </w:r>
            <w:r>
              <w:rPr>
                <w:rFonts w:ascii="Helvetica" w:hAnsi="Helvetica" w:cs="Helvetica"/>
                <w:i/>
                <w:sz w:val="18"/>
                <w:szCs w:val="18"/>
              </w:rPr>
              <w:t>Monochaetia unicornis</w:t>
            </w:r>
            <w:r>
              <w:rPr>
                <w:rFonts w:ascii="Helvetica" w:hAnsi="Helvetica" w:cs="Helvetica"/>
                <w:sz w:val="18"/>
                <w:szCs w:val="18"/>
              </w:rPr>
              <w:t xml:space="preserve"> (Cooke &amp; Ellis) Sacc. &amp; D. Sacc.)</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ampelina</w:t>
            </w:r>
            <w:r>
              <w:rPr>
                <w:rFonts w:ascii="Helvetica" w:hAnsi="Helvetica" w:cs="Helvetica"/>
                <w:sz w:val="18"/>
                <w:szCs w:val="18"/>
              </w:rPr>
              <w:t xml:space="preserve"> Curzi &amp; Barbaini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w:t>
            </w:r>
            <w:r>
              <w:rPr>
                <w:rFonts w:ascii="Helvetica" w:hAnsi="Helvetica" w:cs="Helvetica"/>
                <w:i/>
                <w:iCs/>
                <w:sz w:val="18"/>
                <w:szCs w:val="18"/>
              </w:rPr>
              <w:t xml:space="preserve">Leptosphaeria </w:t>
            </w:r>
            <w:r>
              <w:rPr>
                <w:rFonts w:ascii="Helvetica" w:hAnsi="Helvetica" w:cs="Helvetica"/>
                <w:sz w:val="18"/>
                <w:szCs w:val="18"/>
              </w:rPr>
              <w:t>species occur on dead stems and dry runners of grapevine and on wood and dead plant material (Grand and Vernia 2004; Farr and Rossman 2011).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cerlettii</w:t>
            </w:r>
            <w:r>
              <w:rPr>
                <w:rFonts w:ascii="Helvetica" w:hAnsi="Helvetica" w:cs="Helvetica"/>
                <w:sz w:val="18"/>
                <w:szCs w:val="18"/>
              </w:rPr>
              <w:t xml:space="preserve"> Speg.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Leptosphaeria chaetostoma </w:t>
            </w:r>
            <w:r>
              <w:rPr>
                <w:rFonts w:ascii="Helvetica" w:hAnsi="Helvetica" w:cs="Helvetica"/>
                <w:sz w:val="18"/>
                <w:szCs w:val="18"/>
              </w:rPr>
              <w:t>Sacc.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cirricola</w:t>
            </w:r>
            <w:r>
              <w:rPr>
                <w:rFonts w:ascii="Helvetica" w:hAnsi="Helvetica" w:cs="Helvetica"/>
                <w:sz w:val="18"/>
                <w:szCs w:val="18"/>
              </w:rPr>
              <w:t xml:space="preserve"> Pass.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Leptosphaeria cookei </w:t>
            </w:r>
            <w:r>
              <w:rPr>
                <w:rFonts w:ascii="Helvetica" w:hAnsi="Helvetica" w:cs="Helvetica"/>
                <w:sz w:val="18"/>
                <w:szCs w:val="18"/>
              </w:rPr>
              <w:t>Pirotta [Pleosporales: Leptosphaeriaceae]</w:t>
            </w:r>
            <w:r>
              <w:rPr>
                <w:rStyle w:val="FootnoteReference"/>
                <w:rFonts w:ascii="Helvetica" w:hAnsi="Helvetica" w:cs="Helvetica"/>
                <w:szCs w:val="18"/>
              </w:rPr>
              <w:footnoteReference w:id="13"/>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(Shivas 1989)</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gibelliana</w:t>
            </w:r>
            <w:r>
              <w:rPr>
                <w:rFonts w:ascii="Helvetica" w:hAnsi="Helvetica" w:cs="Helvetica"/>
                <w:sz w:val="18"/>
                <w:szCs w:val="18"/>
              </w:rPr>
              <w:t xml:space="preserve"> Pirotta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w:t>
            </w:r>
            <w:r>
              <w:rPr>
                <w:rFonts w:ascii="Helvetica" w:hAnsi="Helvetica" w:cs="Helvetica"/>
                <w:i/>
                <w:iCs/>
                <w:sz w:val="18"/>
                <w:szCs w:val="18"/>
              </w:rPr>
              <w:t xml:space="preserve">Leptosphaeria </w:t>
            </w:r>
            <w:r>
              <w:rPr>
                <w:rFonts w:ascii="Helvetica" w:hAnsi="Helvetica" w:cs="Helvetica"/>
                <w:sz w:val="18"/>
                <w:szCs w:val="18"/>
              </w:rPr>
              <w:t>species occur on dead stems and dry runners of grapevine and on wood and dead plant material (Grand and Vernia 2004; Farr and Rossman 2011).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ogilviensis</w:t>
            </w:r>
            <w:r>
              <w:rPr>
                <w:rFonts w:ascii="Helvetica" w:hAnsi="Helvetica" w:cs="Helvetica"/>
                <w:sz w:val="18"/>
                <w:szCs w:val="18"/>
              </w:rPr>
              <w:t xml:space="preserve"> (Berk. &amp; Broome) Ces. &amp; De Not.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pampini</w:t>
            </w:r>
            <w:r>
              <w:rPr>
                <w:rFonts w:ascii="Helvetica" w:hAnsi="Helvetica" w:cs="Helvetica"/>
                <w:sz w:val="18"/>
                <w:szCs w:val="18"/>
              </w:rPr>
              <w:t xml:space="preserve"> (Thüm.) Sacc.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vinealis</w:t>
            </w:r>
            <w:r>
              <w:rPr>
                <w:rFonts w:ascii="Helvetica" w:hAnsi="Helvetica" w:cs="Helvetica"/>
                <w:sz w:val="18"/>
                <w:szCs w:val="18"/>
              </w:rPr>
              <w:t xml:space="preserve"> Pass.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viticola</w:t>
            </w:r>
            <w:r>
              <w:rPr>
                <w:rFonts w:ascii="Helvetica" w:hAnsi="Helvetica" w:cs="Helvetica"/>
                <w:sz w:val="18"/>
                <w:szCs w:val="18"/>
              </w:rPr>
              <w:t xml:space="preserve"> Fautrey &amp; Roum.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Leptosphaeria vitigena</w:t>
            </w:r>
            <w:r>
              <w:rPr>
                <w:rFonts w:ascii="Helvetica" w:hAnsi="Helvetica" w:cs="Helvetica"/>
                <w:sz w:val="18"/>
                <w:szCs w:val="18"/>
                <w:lang w:val="de-DE"/>
              </w:rPr>
              <w:t xml:space="preserve"> (Schulzer) Sacc [</w:t>
            </w:r>
            <w:r>
              <w:rPr>
                <w:rFonts w:ascii="Helvetica" w:hAnsi="Helvetica" w:cs="Helvetica"/>
                <w:sz w:val="18"/>
                <w:szCs w:val="18"/>
              </w:rPr>
              <w:t xml:space="preserve">Pleosporales: </w:t>
            </w:r>
            <w:r>
              <w:rPr>
                <w:rFonts w:ascii="Helvetica" w:hAnsi="Helvetica" w:cs="Helvetica"/>
                <w:sz w:val="18"/>
                <w:szCs w:val="18"/>
                <w:lang w:val="de-DE"/>
              </w:rPr>
              <w:t>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Leptosphaeria vitis</w:t>
            </w:r>
            <w:r>
              <w:rPr>
                <w:rFonts w:ascii="Helvetica" w:hAnsi="Helvetica" w:cs="Helvetica"/>
                <w:sz w:val="18"/>
                <w:szCs w:val="18"/>
              </w:rPr>
              <w:t xml:space="preserve"> Schulzer ex Sacc. [Pleosporales: Leptosphaeriaceae]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95" w:history="1">
              <w:r>
                <w:rPr>
                  <w:rFonts w:ascii="Helvetica" w:hAnsi="Helvetica" w:cs="Helvetica"/>
                  <w:i/>
                  <w:sz w:val="18"/>
                  <w:szCs w:val="18"/>
                </w:rPr>
                <w:t>Leptothyrium</w:t>
              </w:r>
            </w:hyperlink>
            <w:r>
              <w:rPr>
                <w:rFonts w:ascii="Helvetica" w:hAnsi="Helvetica" w:cs="Helvetica"/>
                <w:i/>
                <w:sz w:val="18"/>
                <w:szCs w:val="18"/>
              </w:rPr>
              <w:t xml:space="preserve"> passerinii</w:t>
            </w:r>
            <w:r>
              <w:rPr>
                <w:rFonts w:ascii="Helvetica" w:hAnsi="Helvetica" w:cs="Helvetica"/>
                <w:sz w:val="18"/>
                <w:szCs w:val="18"/>
              </w:rPr>
              <w:t xml:space="preserve"> Thüm.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has been recorded on grape clusters (Pearson and Goheen 1988).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Leptoxyphium fumago </w:t>
            </w:r>
            <w:r>
              <w:rPr>
                <w:rFonts w:ascii="Helvetica" w:hAnsi="Helvetica" w:cs="Helvetica"/>
                <w:sz w:val="18"/>
                <w:szCs w:val="18"/>
              </w:rPr>
              <w:t xml:space="preserve">(Woron.) RC Srivastava [Capnodiales: Capnodiaceae] (synonym: </w:t>
            </w:r>
            <w:r>
              <w:rPr>
                <w:rFonts w:ascii="Helvetica" w:hAnsi="Helvetica" w:cs="Helvetica"/>
                <w:i/>
                <w:sz w:val="18"/>
                <w:szCs w:val="18"/>
              </w:rPr>
              <w:t>Fumago vagans</w:t>
            </w:r>
            <w:r>
              <w:rPr>
                <w:rFonts w:ascii="Helvetica" w:hAnsi="Helvetica" w:cs="Helvetica"/>
                <w:sz w:val="18"/>
                <w:szCs w:val="18"/>
              </w:rPr>
              <w:t xml:space="preserve"> Pers.)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(Phillips 1994)</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Lewia scrophulariae</w:t>
            </w:r>
            <w:r>
              <w:rPr>
                <w:rFonts w:ascii="Helvetica" w:hAnsi="Helvetica" w:cs="Helvetica"/>
                <w:sz w:val="18"/>
                <w:szCs w:val="18"/>
              </w:rPr>
              <w:t xml:space="preserve"> (Desm.) ME Barr &amp; EG Simmons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 saprophyte (Bahcecioglu </w:t>
            </w:r>
            <w:r>
              <w:rPr>
                <w:rFonts w:ascii="Helvetica" w:hAnsi="Helvetica" w:cs="Helvetica"/>
                <w:i/>
                <w:iCs/>
                <w:sz w:val="18"/>
                <w:szCs w:val="18"/>
              </w:rPr>
              <w:t>et al</w:t>
            </w:r>
            <w:r>
              <w:rPr>
                <w:rFonts w:ascii="Helvetica" w:hAnsi="Helvetica" w:cs="Helvetica"/>
                <w:sz w:val="18"/>
                <w:szCs w:val="18"/>
              </w:rPr>
              <w:t>. 2006).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Lopharia crassa</w:t>
            </w:r>
            <w:r>
              <w:rPr>
                <w:rFonts w:ascii="Helvetica" w:hAnsi="Helvetica" w:cs="Helvetica"/>
                <w:sz w:val="18"/>
                <w:szCs w:val="18"/>
              </w:rPr>
              <w:t xml:space="preserve"> (Lév.) Boidin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Lophiostoma</w:t>
            </w:r>
            <w:r>
              <w:rPr>
                <w:rFonts w:ascii="Helvetica" w:hAnsi="Helvetica" w:cs="Helvetica"/>
                <w:sz w:val="18"/>
                <w:szCs w:val="18"/>
              </w:rPr>
              <w:t xml:space="preserve"> </w:t>
            </w:r>
            <w:r>
              <w:rPr>
                <w:rFonts w:ascii="Helvetica" w:hAnsi="Helvetica" w:cs="Helvetica"/>
                <w:i/>
                <w:sz w:val="18"/>
                <w:szCs w:val="18"/>
              </w:rPr>
              <w:t>elegans</w:t>
            </w:r>
            <w:r>
              <w:rPr>
                <w:rFonts w:ascii="Helvetica" w:hAnsi="Helvetica" w:cs="Helvetica"/>
                <w:sz w:val="18"/>
                <w:szCs w:val="18"/>
              </w:rPr>
              <w:t xml:space="preserve"> (Fabre) Sacc. [Pleosporales: Lophiostomataceae]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Lophiostoma</w:t>
            </w:r>
            <w:r>
              <w:rPr>
                <w:rFonts w:ascii="Helvetica" w:hAnsi="Helvetica" w:cs="Helvetica"/>
                <w:sz w:val="18"/>
                <w:szCs w:val="18"/>
              </w:rPr>
              <w:t xml:space="preserve"> species occur on bark, dead wood and dead stems of various herbaceous plants (Farr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.1989; Farr and Rossman 2011).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Lophiostoma</w:t>
            </w:r>
            <w:r>
              <w:rPr>
                <w:rFonts w:ascii="Helvetica" w:hAnsi="Helvetica" w:cs="Helvetica"/>
                <w:sz w:val="18"/>
                <w:szCs w:val="18"/>
              </w:rPr>
              <w:t xml:space="preserve"> </w:t>
            </w:r>
            <w:r>
              <w:rPr>
                <w:rFonts w:ascii="Helvetica" w:hAnsi="Helvetica" w:cs="Helvetica"/>
                <w:i/>
                <w:sz w:val="18"/>
                <w:szCs w:val="18"/>
              </w:rPr>
              <w:t>macrostomum</w:t>
            </w:r>
            <w:r>
              <w:rPr>
                <w:rFonts w:ascii="Helvetica" w:hAnsi="Helvetica" w:cs="Helvetica"/>
                <w:sz w:val="18"/>
                <w:szCs w:val="18"/>
              </w:rPr>
              <w:t xml:space="preserve"> (Tode) Ces. &amp; De Not. [Pleosporales: Lophiostomataceae]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Lophiostoma</w:t>
            </w:r>
            <w:r>
              <w:rPr>
                <w:rFonts w:ascii="Helvetica" w:hAnsi="Helvetica" w:cs="Helvetica"/>
                <w:sz w:val="18"/>
                <w:szCs w:val="18"/>
              </w:rPr>
              <w:t xml:space="preserve"> </w:t>
            </w:r>
            <w:r>
              <w:rPr>
                <w:rFonts w:ascii="Helvetica" w:hAnsi="Helvetica" w:cs="Helvetica"/>
                <w:i/>
                <w:sz w:val="18"/>
                <w:szCs w:val="18"/>
              </w:rPr>
              <w:t>rhopalosporum</w:t>
            </w:r>
            <w:r>
              <w:rPr>
                <w:rFonts w:ascii="Helvetica" w:hAnsi="Helvetica" w:cs="Helvetica"/>
                <w:sz w:val="18"/>
                <w:szCs w:val="18"/>
              </w:rPr>
              <w:t xml:space="preserve"> Ellis &amp; Everh. [Pleosporales: Lophiostomataceae]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Lophiostoma</w:t>
            </w:r>
            <w:r>
              <w:rPr>
                <w:rFonts w:ascii="Helvetica" w:hAnsi="Helvetica" w:cs="Helvetica"/>
                <w:sz w:val="18"/>
                <w:szCs w:val="18"/>
              </w:rPr>
              <w:t xml:space="preserve"> </w:t>
            </w:r>
            <w:r>
              <w:rPr>
                <w:rFonts w:ascii="Helvetica" w:hAnsi="Helvetica" w:cs="Helvetica"/>
                <w:i/>
                <w:sz w:val="18"/>
                <w:szCs w:val="18"/>
              </w:rPr>
              <w:t>stenostomum</w:t>
            </w:r>
            <w:r>
              <w:rPr>
                <w:rFonts w:ascii="Helvetica" w:hAnsi="Helvetica" w:cs="Helvetica"/>
                <w:sz w:val="18"/>
                <w:szCs w:val="18"/>
              </w:rPr>
              <w:t xml:space="preserve"> Ellis &amp; Everh. [Pleosporales: Lophiostomataceae]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Lycoperdon radicatum</w:t>
            </w:r>
            <w:r>
              <w:rPr>
                <w:rFonts w:ascii="Helvetica" w:hAnsi="Helvetica" w:cs="Helvetica"/>
                <w:sz w:val="18"/>
                <w:szCs w:val="18"/>
              </w:rPr>
              <w:t xml:space="preserve"> Duri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&amp; Mont.  [Agaricales: Agaricaceae]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iCs/>
                <w:sz w:val="18"/>
                <w:szCs w:val="18"/>
              </w:rPr>
              <w:t xml:space="preserve">Lycoperdon </w:t>
            </w:r>
            <w:r>
              <w:rPr>
                <w:rFonts w:ascii="Helvetica" w:hAnsi="Helvetica" w:cs="Helvetica"/>
                <w:sz w:val="18"/>
                <w:szCs w:val="18"/>
              </w:rPr>
              <w:t xml:space="preserve">species are saprobic and occur on soil or decayed wood in deciduous woodland (Pegler </w:t>
            </w:r>
            <w:r>
              <w:rPr>
                <w:rFonts w:ascii="Helvetica" w:hAnsi="Helvetica" w:cs="Helvetica"/>
                <w:i/>
                <w:iCs/>
                <w:sz w:val="18"/>
                <w:szCs w:val="18"/>
              </w:rPr>
              <w:t>et al</w:t>
            </w:r>
            <w:r>
              <w:rPr>
                <w:rFonts w:ascii="Helvetica" w:hAnsi="Helvetica" w:cs="Helvetica"/>
                <w:iCs/>
                <w:sz w:val="18"/>
                <w:szCs w:val="18"/>
              </w:rPr>
              <w:t>.</w:t>
            </w:r>
            <w:r>
              <w:rPr>
                <w:rFonts w:ascii="Helvetica" w:hAnsi="Helvetica" w:cs="Helvetica"/>
                <w:sz w:val="18"/>
                <w:szCs w:val="18"/>
              </w:rPr>
              <w:t xml:space="preserve"> 1995). Therefore,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Macrophoma</w:t>
            </w:r>
            <w:r>
              <w:rPr>
                <w:rFonts w:ascii="Helvetica" w:hAnsi="Helvetica" w:cs="Helvetica"/>
                <w:sz w:val="18"/>
                <w:szCs w:val="18"/>
              </w:rPr>
              <w:t xml:space="preserve"> </w:t>
            </w:r>
            <w:r>
              <w:rPr>
                <w:rFonts w:ascii="Helvetica" w:hAnsi="Helvetica" w:cs="Helvetica"/>
                <w:i/>
                <w:sz w:val="18"/>
                <w:szCs w:val="18"/>
              </w:rPr>
              <w:t>farlowiana</w:t>
            </w:r>
            <w:r>
              <w:rPr>
                <w:rFonts w:ascii="Helvetica" w:hAnsi="Helvetica" w:cs="Helvetica"/>
                <w:sz w:val="18"/>
                <w:szCs w:val="18"/>
              </w:rPr>
              <w:t xml:space="preserve"> (Viala &amp; Sauv.) Tassi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iCs/>
                <w:sz w:val="18"/>
                <w:szCs w:val="18"/>
              </w:rPr>
              <w:t>Yes</w:t>
            </w:r>
            <w:r>
              <w:rPr>
                <w:rFonts w:ascii="Helvetica" w:hAnsi="Helvetica" w:cs="Helvetica"/>
                <w:iCs/>
                <w:sz w:val="18"/>
                <w:szCs w:val="18"/>
              </w:rPr>
              <w:t xml:space="preserve">: These </w:t>
            </w:r>
            <w:r>
              <w:rPr>
                <w:rFonts w:ascii="Helvetica" w:hAnsi="Helvetica" w:cs="Helvetica"/>
                <w:i/>
                <w:iCs/>
                <w:sz w:val="18"/>
                <w:szCs w:val="18"/>
              </w:rPr>
              <w:t xml:space="preserve">Macrophoma </w:t>
            </w:r>
            <w:r>
              <w:rPr>
                <w:rFonts w:ascii="Helvetica" w:hAnsi="Helvetica" w:cs="Helvetica"/>
                <w:sz w:val="18"/>
                <w:szCs w:val="18"/>
              </w:rPr>
              <w:t xml:space="preserve">species have been recorded on </w:t>
            </w:r>
            <w:r>
              <w:rPr>
                <w:rFonts w:ascii="Helvetica" w:hAnsi="Helvetica" w:cs="Helvetica"/>
                <w:i/>
                <w:sz w:val="18"/>
                <w:szCs w:val="18"/>
              </w:rPr>
              <w:t>Vitis</w:t>
            </w:r>
            <w:r>
              <w:rPr>
                <w:rFonts w:ascii="Helvetica" w:hAnsi="Helvetica" w:cs="Helvetica"/>
                <w:sz w:val="18"/>
                <w:szCs w:val="18"/>
              </w:rPr>
              <w:t xml:space="preserve"> species occurring on foliage, twigs, stems and fruits (Pearson and Goheen 1988; Farr and Rossman 2011). Therefore, dormant cuttings may provide a pathway for these fungi.</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These fungi have established in areas with a wide range of climatic conditions (Farr and Rossman 2011) and may spread naturally in infected propagative material. Multiplication and marketing of infected propagative material would help spread these fungi into new areas. Therefore, these fungi have the potential for establishment and spread in Australia.</w:t>
            </w:r>
          </w:p>
        </w:tc>
        <w:tc>
          <w:tcPr>
            <w:tcW w:w="2863"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There is no information on economic impact of these fungi on grape production in areas where these fungi are recorded on this host. These </w:t>
            </w:r>
            <w:r>
              <w:rPr>
                <w:rFonts w:ascii="Helvetica" w:hAnsi="Helvetica" w:cs="Helvetica"/>
                <w:i/>
                <w:sz w:val="18"/>
                <w:szCs w:val="18"/>
              </w:rPr>
              <w:t>Macrophoma</w:t>
            </w:r>
            <w:r>
              <w:rPr>
                <w:rFonts w:ascii="Helvetica" w:hAnsi="Helvetica" w:cs="Helvetica"/>
                <w:sz w:val="18"/>
                <w:szCs w:val="18"/>
              </w:rPr>
              <w:t xml:space="preserve"> species have not been recorded to have economic consequences. Therefore, these fungi are not of economic concern for host plants.</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Macrophoma</w:t>
            </w:r>
            <w:r>
              <w:rPr>
                <w:rFonts w:ascii="Helvetica" w:hAnsi="Helvetica" w:cs="Helvetica"/>
                <w:sz w:val="18"/>
                <w:szCs w:val="18"/>
              </w:rPr>
              <w:t xml:space="preserve"> </w:t>
            </w:r>
            <w:r>
              <w:rPr>
                <w:rFonts w:ascii="Helvetica" w:hAnsi="Helvetica" w:cs="Helvetica"/>
                <w:i/>
                <w:sz w:val="18"/>
                <w:szCs w:val="18"/>
              </w:rPr>
              <w:t>flaccida</w:t>
            </w:r>
            <w:r>
              <w:rPr>
                <w:rFonts w:ascii="Helvetica" w:hAnsi="Helvetica" w:cs="Helvetica"/>
                <w:sz w:val="18"/>
                <w:szCs w:val="18"/>
              </w:rPr>
              <w:t xml:space="preserve"> (Viala &amp; Ravaz) Cavara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Macrophoma</w:t>
            </w:r>
            <w:r>
              <w:rPr>
                <w:rFonts w:ascii="Helvetica" w:hAnsi="Helvetica" w:cs="Helvetica"/>
                <w:sz w:val="18"/>
                <w:szCs w:val="18"/>
              </w:rPr>
              <w:t xml:space="preserve"> </w:t>
            </w:r>
            <w:r>
              <w:rPr>
                <w:rFonts w:ascii="Helvetica" w:hAnsi="Helvetica" w:cs="Helvetica"/>
                <w:i/>
                <w:sz w:val="18"/>
                <w:szCs w:val="18"/>
              </w:rPr>
              <w:t>longispora</w:t>
            </w:r>
            <w:r>
              <w:rPr>
                <w:rFonts w:ascii="Helvetica" w:hAnsi="Helvetica" w:cs="Helvetica"/>
                <w:sz w:val="18"/>
                <w:szCs w:val="18"/>
              </w:rPr>
              <w:t xml:space="preserve"> (Thüm. &amp; Pass.) Berl. &amp; Voglino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Macrophoma</w:t>
            </w:r>
            <w:r>
              <w:rPr>
                <w:rFonts w:ascii="Helvetica" w:hAnsi="Helvetica" w:cs="Helvetica"/>
                <w:sz w:val="18"/>
                <w:szCs w:val="18"/>
              </w:rPr>
              <w:t xml:space="preserve"> </w:t>
            </w:r>
            <w:r>
              <w:rPr>
                <w:rFonts w:ascii="Helvetica" w:hAnsi="Helvetica" w:cs="Helvetica"/>
                <w:i/>
                <w:sz w:val="18"/>
                <w:szCs w:val="18"/>
              </w:rPr>
              <w:t>peckiana</w:t>
            </w:r>
            <w:r>
              <w:rPr>
                <w:rFonts w:ascii="Helvetica" w:hAnsi="Helvetica" w:cs="Helvetica"/>
                <w:sz w:val="18"/>
                <w:szCs w:val="18"/>
              </w:rPr>
              <w:t xml:space="preserve"> (Thüm.) Berl. &amp; Voglino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Macrophoma reniformis</w:t>
            </w:r>
            <w:r>
              <w:rPr>
                <w:rFonts w:ascii="Helvetica" w:hAnsi="Helvetica" w:cs="Helvetica"/>
                <w:sz w:val="18"/>
                <w:szCs w:val="18"/>
              </w:rPr>
              <w:t xml:space="preserve"> (Viala &amp; Ravaz) Cavara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Macrophoma</w:t>
            </w:r>
            <w:r>
              <w:rPr>
                <w:rFonts w:ascii="Helvetica" w:hAnsi="Helvetica" w:cs="Helvetica"/>
                <w:sz w:val="18"/>
                <w:szCs w:val="18"/>
              </w:rPr>
              <w:t xml:space="preserve"> </w:t>
            </w:r>
            <w:r>
              <w:rPr>
                <w:rFonts w:ascii="Helvetica" w:hAnsi="Helvetica" w:cs="Helvetica"/>
                <w:i/>
                <w:sz w:val="18"/>
                <w:szCs w:val="18"/>
              </w:rPr>
              <w:t>rimiseda</w:t>
            </w:r>
            <w:r>
              <w:rPr>
                <w:rFonts w:ascii="Helvetica" w:hAnsi="Helvetica" w:cs="Helvetica"/>
                <w:sz w:val="18"/>
                <w:szCs w:val="18"/>
              </w:rPr>
              <w:t xml:space="preserve"> (Sacc.) Berl. &amp; Voglino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Macrophoma</w:t>
            </w:r>
            <w:r>
              <w:rPr>
                <w:rFonts w:ascii="Helvetica" w:hAnsi="Helvetica" w:cs="Helvetica"/>
                <w:sz w:val="18"/>
                <w:szCs w:val="18"/>
              </w:rPr>
              <w:t xml:space="preserve"> </w:t>
            </w:r>
            <w:r>
              <w:rPr>
                <w:rFonts w:ascii="Helvetica" w:hAnsi="Helvetica" w:cs="Helvetica"/>
                <w:i/>
                <w:sz w:val="18"/>
                <w:szCs w:val="18"/>
              </w:rPr>
              <w:t>sicula</w:t>
            </w:r>
            <w:r>
              <w:rPr>
                <w:rFonts w:ascii="Helvetica" w:hAnsi="Helvetica" w:cs="Helvetica"/>
                <w:sz w:val="18"/>
                <w:szCs w:val="18"/>
              </w:rPr>
              <w:t xml:space="preserve"> Scalia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96" w:history="1">
              <w:r>
                <w:rPr>
                  <w:rFonts w:ascii="Helvetica" w:hAnsi="Helvetica" w:cs="Helvetica"/>
                  <w:i/>
                  <w:sz w:val="18"/>
                  <w:szCs w:val="18"/>
                </w:rPr>
                <w:t>Macrophomina</w:t>
              </w:r>
              <w:r>
                <w:rPr>
                  <w:rFonts w:ascii="Helvetica" w:hAnsi="Helvetica" w:cs="Helvetica"/>
                  <w:sz w:val="18"/>
                  <w:szCs w:val="18"/>
                </w:rPr>
                <w:t xml:space="preserve"> </w:t>
              </w:r>
              <w:r>
                <w:rPr>
                  <w:rFonts w:ascii="Helvetica" w:hAnsi="Helvetica" w:cs="Helvetica"/>
                  <w:i/>
                  <w:sz w:val="18"/>
                  <w:szCs w:val="18"/>
                </w:rPr>
                <w:t>phaseolina</w:t>
              </w:r>
            </w:hyperlink>
            <w:r>
              <w:rPr>
                <w:rFonts w:ascii="Helvetica" w:hAnsi="Helvetica" w:cs="Helvetica"/>
                <w:sz w:val="18"/>
                <w:szCs w:val="18"/>
              </w:rPr>
              <w:t xml:space="preserve"> (Tassi) Goid.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Marssonina viticola</w:t>
            </w:r>
            <w:r>
              <w:rPr>
                <w:rFonts w:ascii="Helvetica" w:hAnsi="Helvetica" w:cs="Helvetica"/>
                <w:sz w:val="18"/>
                <w:szCs w:val="18"/>
              </w:rPr>
              <w:t xml:space="preserve"> (I. Miyake) F.L. Tai [</w:t>
            </w:r>
            <w:hyperlink r:id="rId97" w:history="1">
              <w:r>
                <w:rPr>
                  <w:rFonts w:ascii="Helvetica" w:hAnsi="Helvetica" w:cs="Helvetica"/>
                  <w:sz w:val="18"/>
                  <w:szCs w:val="18"/>
                </w:rPr>
                <w:t>Helotiales</w:t>
              </w:r>
            </w:hyperlink>
            <w:r>
              <w:rPr>
                <w:rFonts w:ascii="Helvetica" w:hAnsi="Helvetica" w:cs="Helvetica"/>
                <w:sz w:val="18"/>
                <w:szCs w:val="18"/>
              </w:rPr>
              <w:t>: Dermateaceae]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records found</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w:t>
            </w:r>
            <w:r>
              <w:rPr>
                <w:rFonts w:ascii="Helvetica" w:hAnsi="Helvetica" w:cs="Helvetica"/>
                <w:i/>
                <w:iCs/>
                <w:sz w:val="18"/>
                <w:szCs w:val="18"/>
              </w:rPr>
              <w:t xml:space="preserve">Marssonina </w:t>
            </w:r>
            <w:r>
              <w:rPr>
                <w:rFonts w:ascii="Helvetica" w:hAnsi="Helvetica" w:cs="Helvetica"/>
                <w:sz w:val="18"/>
                <w:szCs w:val="18"/>
              </w:rPr>
              <w:t xml:space="preserve">species generally occur on leaves and cause leaf diseases on host species (Farr </w:t>
            </w:r>
            <w:r>
              <w:rPr>
                <w:rFonts w:ascii="Helvetica" w:hAnsi="Helvetica" w:cs="Helvetica"/>
                <w:i/>
                <w:iCs/>
                <w:sz w:val="18"/>
                <w:szCs w:val="18"/>
              </w:rPr>
              <w:t>et al.</w:t>
            </w:r>
            <w:r>
              <w:rPr>
                <w:rFonts w:ascii="Helvetica" w:hAnsi="Helvetica" w:cs="Helvetica"/>
                <w:sz w:val="18"/>
                <w:szCs w:val="18"/>
              </w:rPr>
              <w:t xml:space="preserve"> 1989). Therefore, foliage free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Massarina microcarpa</w:t>
            </w:r>
            <w:r>
              <w:rPr>
                <w:rFonts w:ascii="Helvetica" w:hAnsi="Helvetica" w:cs="Helvetica"/>
                <w:sz w:val="18"/>
                <w:szCs w:val="18"/>
              </w:rPr>
              <w:t xml:space="preserve"> (Fuckel) Sacc. [Pleosporales: Massarinaceae]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w:t>
            </w:r>
            <w:r>
              <w:rPr>
                <w:rFonts w:ascii="Helvetica" w:hAnsi="Helvetica" w:cs="Helvetica"/>
                <w:i/>
                <w:sz w:val="18"/>
                <w:szCs w:val="18"/>
              </w:rPr>
              <w:t>et al</w:t>
            </w:r>
            <w:r>
              <w:rPr>
                <w:rFonts w:ascii="Helvetica" w:hAnsi="Helvetica" w:cs="Helvetica"/>
                <w:sz w:val="18"/>
                <w:szCs w:val="18"/>
              </w:rPr>
              <w:t xml:space="preserve">. 1989), but affected plant parts are not mentioned. </w:t>
            </w:r>
            <w:r>
              <w:rPr>
                <w:rFonts w:ascii="Helvetica" w:hAnsi="Helvetica" w:cs="Helvetica"/>
                <w:i/>
                <w:iCs/>
                <w:sz w:val="18"/>
                <w:szCs w:val="18"/>
              </w:rPr>
              <w:t xml:space="preserve">Massarina </w:t>
            </w:r>
            <w:r>
              <w:rPr>
                <w:rFonts w:ascii="Helvetica" w:hAnsi="Helvetica" w:cs="Helvetica"/>
                <w:sz w:val="18"/>
                <w:szCs w:val="18"/>
              </w:rPr>
              <w:t>species generally have been detected on dead stems (Kirk and Cooper 2009).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Meliola vitis</w:t>
            </w:r>
            <w:r>
              <w:rPr>
                <w:rFonts w:ascii="Helvetica" w:hAnsi="Helvetica" w:cs="Helvetica"/>
                <w:sz w:val="18"/>
                <w:szCs w:val="18"/>
              </w:rPr>
              <w:t xml:space="preserve"> Hansford [Meliolales: Meliolaceae]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(Hosagoudar and Archana 2009), but affected plant parts are not mentioned. </w:t>
            </w:r>
            <w:r>
              <w:rPr>
                <w:rFonts w:ascii="Helvetica" w:hAnsi="Helvetica" w:cs="Helvetica"/>
                <w:i/>
                <w:iCs/>
                <w:sz w:val="18"/>
                <w:szCs w:val="18"/>
              </w:rPr>
              <w:t xml:space="preserve">Meliola </w:t>
            </w:r>
            <w:r>
              <w:rPr>
                <w:rFonts w:ascii="Helvetica" w:hAnsi="Helvetica" w:cs="Helvetica"/>
                <w:sz w:val="18"/>
                <w:szCs w:val="18"/>
              </w:rPr>
              <w:t xml:space="preserve">species are associated with foliage, causing black mildew (Hosagoudar </w:t>
            </w:r>
            <w:r>
              <w:rPr>
                <w:rFonts w:ascii="Helvetica" w:hAnsi="Helvetica" w:cs="Helvetica"/>
                <w:i/>
                <w:iCs/>
                <w:sz w:val="18"/>
                <w:szCs w:val="18"/>
              </w:rPr>
              <w:t>et al</w:t>
            </w:r>
            <w:r>
              <w:rPr>
                <w:rFonts w:ascii="Helvetica" w:hAnsi="Helvetica" w:cs="Helvetica"/>
                <w:sz w:val="18"/>
                <w:szCs w:val="18"/>
              </w:rPr>
              <w:t>. 2010).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Micropera ampelina </w:t>
            </w:r>
            <w:r>
              <w:rPr>
                <w:rFonts w:ascii="Helvetica" w:hAnsi="Helvetica" w:cs="Helvetica"/>
                <w:sz w:val="18"/>
                <w:szCs w:val="18"/>
              </w:rPr>
              <w:t>Saccardo &amp; Fairman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occurs on the living limbs of </w:t>
            </w:r>
            <w:r>
              <w:rPr>
                <w:rFonts w:ascii="Helvetica" w:hAnsi="Helvetica" w:cs="Helvetica"/>
                <w:i/>
                <w:iCs/>
                <w:sz w:val="18"/>
                <w:szCs w:val="18"/>
              </w:rPr>
              <w:t>Vitis vinifera</w:t>
            </w:r>
            <w:r>
              <w:rPr>
                <w:rFonts w:ascii="Helvetica" w:hAnsi="Helvetica" w:cs="Helvetica"/>
                <w:sz w:val="18"/>
                <w:szCs w:val="18"/>
              </w:rPr>
              <w:t xml:space="preserve"> (Farr and Rossman 2011). However, since being reported on </w:t>
            </w:r>
            <w:r>
              <w:rPr>
                <w:rFonts w:ascii="Helvetica" w:hAnsi="Helvetica" w:cs="Helvetica"/>
                <w:i/>
                <w:sz w:val="18"/>
                <w:szCs w:val="18"/>
              </w:rPr>
              <w:t xml:space="preserve">Vitis </w:t>
            </w:r>
            <w:r>
              <w:rPr>
                <w:rFonts w:ascii="Helvetica" w:hAnsi="Helvetica" w:cs="Helvetica"/>
                <w:sz w:val="18"/>
                <w:szCs w:val="18"/>
              </w:rPr>
              <w:t>species from New York in 1906 (Farr and Rossman 2011), it has not been reported from any other country, indicating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lang w:val="de-DE"/>
              </w:rPr>
              <w:t>Mollisia cinerea</w:t>
            </w:r>
            <w:r>
              <w:rPr>
                <w:rFonts w:ascii="Helvetica" w:hAnsi="Helvetica" w:cs="Helvetica"/>
                <w:sz w:val="18"/>
                <w:szCs w:val="18"/>
                <w:lang w:val="de-DE"/>
              </w:rPr>
              <w:t xml:space="preserve"> f. </w:t>
            </w:r>
            <w:r>
              <w:rPr>
                <w:rFonts w:ascii="Helvetica" w:hAnsi="Helvetica" w:cs="Helvetica"/>
                <w:i/>
                <w:sz w:val="18"/>
                <w:szCs w:val="18"/>
                <w:lang w:val="de-DE"/>
              </w:rPr>
              <w:t>cinerea</w:t>
            </w:r>
            <w:r>
              <w:rPr>
                <w:rFonts w:ascii="Helvetica" w:hAnsi="Helvetica" w:cs="Helvetica"/>
                <w:sz w:val="18"/>
                <w:szCs w:val="18"/>
                <w:lang w:val="de-DE"/>
              </w:rPr>
              <w:t xml:space="preserve"> (Batsch) P. Karst. [</w:t>
            </w:r>
            <w:r>
              <w:rPr>
                <w:rFonts w:ascii="Helvetica" w:hAnsi="Helvetica" w:cs="Helvetica"/>
                <w:sz w:val="18"/>
                <w:szCs w:val="18"/>
              </w:rPr>
              <w:t>Helotiales: Dermateaceae]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w:t>
            </w:r>
            <w:r>
              <w:rPr>
                <w:rFonts w:ascii="Helvetica" w:hAnsi="Helvetica" w:cs="Helvetica"/>
                <w:i/>
                <w:iCs/>
                <w:sz w:val="18"/>
                <w:szCs w:val="18"/>
              </w:rPr>
              <w:t>Mollisia</w:t>
            </w:r>
            <w:r>
              <w:rPr>
                <w:rFonts w:ascii="Helvetica" w:hAnsi="Helvetica" w:cs="Helvetica"/>
                <w:sz w:val="18"/>
                <w:szCs w:val="18"/>
              </w:rPr>
              <w:t xml:space="preserve"> species are generally associated with leaves, dead wood, and old stems (Farr </w:t>
            </w:r>
            <w:r>
              <w:rPr>
                <w:rFonts w:ascii="Helvetica" w:hAnsi="Helvetica" w:cs="Helvetica"/>
                <w:i/>
                <w:iCs/>
                <w:sz w:val="18"/>
                <w:szCs w:val="18"/>
              </w:rPr>
              <w:t>et al</w:t>
            </w:r>
            <w:r>
              <w:rPr>
                <w:rFonts w:ascii="Helvetica" w:hAnsi="Helvetica" w:cs="Helvetica"/>
                <w:sz w:val="18"/>
                <w:szCs w:val="18"/>
              </w:rPr>
              <w:t>. 1989).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Mollisia melal</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ca</w:t>
            </w:r>
            <w:r>
              <w:rPr>
                <w:rFonts w:ascii="Helvetica" w:hAnsi="Helvetica" w:cs="Helvetica"/>
                <w:sz w:val="18"/>
                <w:szCs w:val="18"/>
              </w:rPr>
              <w:t xml:space="preserve"> (Fr.) Sacc. [Helotiales: Dermateaceae]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Mollisia</w:t>
            </w:r>
            <w:r>
              <w:rPr>
                <w:rFonts w:ascii="Helvetica" w:hAnsi="Helvetica" w:cs="Helvetica"/>
                <w:sz w:val="18"/>
                <w:szCs w:val="18"/>
              </w:rPr>
              <w:t xml:space="preserve"> </w:t>
            </w:r>
            <w:r>
              <w:rPr>
                <w:rFonts w:ascii="Helvetica" w:hAnsi="Helvetica" w:cs="Helvetica"/>
                <w:i/>
                <w:sz w:val="18"/>
                <w:szCs w:val="18"/>
              </w:rPr>
              <w:t>pullata</w:t>
            </w:r>
            <w:r>
              <w:rPr>
                <w:rFonts w:ascii="Helvetica" w:hAnsi="Helvetica" w:cs="Helvetica"/>
                <w:sz w:val="18"/>
                <w:szCs w:val="18"/>
              </w:rPr>
              <w:t xml:space="preserve"> (WR Gerard) Dennis [</w:t>
            </w:r>
            <w:hyperlink r:id="rId98" w:history="1">
              <w:r>
                <w:rPr>
                  <w:rFonts w:ascii="Helvetica" w:hAnsi="Helvetica" w:cs="Helvetica"/>
                  <w:sz w:val="18"/>
                  <w:szCs w:val="18"/>
                </w:rPr>
                <w:t>Helotiales</w:t>
              </w:r>
            </w:hyperlink>
            <w:r>
              <w:rPr>
                <w:rFonts w:ascii="Helvetica" w:hAnsi="Helvetica" w:cs="Helvetica"/>
                <w:sz w:val="18"/>
                <w:szCs w:val="18"/>
              </w:rPr>
              <w:t>: Dermateaceae]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Monilinia fructicola</w:t>
            </w:r>
            <w:r>
              <w:rPr>
                <w:rFonts w:ascii="Helvetica" w:hAnsi="Helvetica" w:cs="Helvetica"/>
                <w:sz w:val="18"/>
                <w:szCs w:val="18"/>
              </w:rPr>
              <w:t xml:space="preserve"> (G. Winter) Honey [</w:t>
            </w:r>
            <w:hyperlink r:id="rId99" w:history="1">
              <w:r>
                <w:rPr>
                  <w:rFonts w:ascii="Helvetica" w:hAnsi="Helvetica" w:cs="Helvetica"/>
                  <w:sz w:val="18"/>
                  <w:szCs w:val="18"/>
                </w:rPr>
                <w:t>Helotiales</w:t>
              </w:r>
            </w:hyperlink>
            <w:r>
              <w:rPr>
                <w:rFonts w:ascii="Helvetica" w:hAnsi="Helvetica" w:cs="Helvetica"/>
                <w:sz w:val="18"/>
                <w:szCs w:val="18"/>
              </w:rPr>
              <w:t>: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Monilinia fructigena</w:t>
            </w:r>
            <w:r>
              <w:rPr>
                <w:rFonts w:ascii="Helvetica" w:hAnsi="Helvetica" w:cs="Helvetica"/>
                <w:sz w:val="18"/>
                <w:szCs w:val="18"/>
              </w:rPr>
              <w:t xml:space="preserve"> Honey [</w:t>
            </w:r>
            <w:hyperlink r:id="rId100" w:history="1">
              <w:r>
                <w:rPr>
                  <w:rFonts w:ascii="Helvetica" w:hAnsi="Helvetica" w:cs="Helvetica"/>
                  <w:sz w:val="18"/>
                  <w:szCs w:val="18"/>
                </w:rPr>
                <w:t>Helotiales</w:t>
              </w:r>
            </w:hyperlink>
            <w:r>
              <w:rPr>
                <w:rFonts w:ascii="Helvetica" w:hAnsi="Helvetica" w:cs="Helvetica"/>
                <w:sz w:val="18"/>
                <w:szCs w:val="18"/>
              </w:rPr>
              <w:t>: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This species is associated with </w:t>
            </w:r>
            <w:r>
              <w:rPr>
                <w:rFonts w:ascii="Helvetica" w:hAnsi="Helvetica" w:cs="Helvetica"/>
                <w:i/>
                <w:sz w:val="18"/>
                <w:szCs w:val="18"/>
              </w:rPr>
              <w:t xml:space="preserve">Vitis </w:t>
            </w:r>
            <w:r>
              <w:rPr>
                <w:rFonts w:ascii="Helvetica" w:hAnsi="Helvetica" w:cs="Helvetica"/>
                <w:sz w:val="18"/>
                <w:szCs w:val="18"/>
              </w:rPr>
              <w:t xml:space="preserve">species (CABI 2012a). Cankers may develop on infected twigs and branches (Mackie 2005). Therefore, dormant cuttings may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This pathogen is established in areas with a wide range of climatic conditions (Machowicz-Stefaniak and Zalewska 2002; Mackie 2005) and may spread naturally in infected propagative material. Therefore, it has the potential for establishment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This pathogen is less damaging on grapes (CABI 2012a); however it is of significant economic importance for apples, pears, peaches and apricots (Mackie 2005). This pathogen can cause fruit losses of 5%–35% (Mackie 2005). If introduced to Australia, it is likely to cause serious losses to apple and pear industries in particular (Mackie 2005). Therefore, this fungus has potential for economic consequences in parts of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tabs>
                <w:tab w:val="left" w:pos="1223"/>
              </w:tabs>
              <w:spacing w:before="20" w:line="240" w:lineRule="atLeast"/>
              <w:jc w:val="center"/>
              <w:rPr>
                <w:rFonts w:ascii="Helvetica" w:hAnsi="Helvetica" w:cs="Helvetica"/>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Monilinia laxa</w:t>
            </w:r>
            <w:r>
              <w:rPr>
                <w:rFonts w:ascii="Helvetica" w:hAnsi="Helvetica" w:cs="Helvetica"/>
                <w:sz w:val="18"/>
                <w:szCs w:val="18"/>
              </w:rPr>
              <w:t xml:space="preserve"> (Aderh. &amp; Ruhland) Honey [</w:t>
            </w:r>
            <w:hyperlink r:id="rId101" w:history="1">
              <w:r>
                <w:rPr>
                  <w:rFonts w:ascii="Helvetica" w:hAnsi="Helvetica" w:cs="Helvetica"/>
                  <w:sz w:val="18"/>
                  <w:szCs w:val="18"/>
                </w:rPr>
                <w:t>Helotiales</w:t>
              </w:r>
            </w:hyperlink>
            <w:r>
              <w:rPr>
                <w:rFonts w:ascii="Helvetica" w:hAnsi="Helvetica" w:cs="Helvetica"/>
                <w:sz w:val="18"/>
                <w:szCs w:val="18"/>
              </w:rPr>
              <w:t>: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02" w:history="1">
              <w:r>
                <w:rPr>
                  <w:rFonts w:ascii="Helvetica" w:hAnsi="Helvetica" w:cs="Helvetica"/>
                  <w:i/>
                  <w:sz w:val="18"/>
                  <w:szCs w:val="18"/>
                </w:rPr>
                <w:t>Monochaetia</w:t>
              </w:r>
            </w:hyperlink>
            <w:r>
              <w:rPr>
                <w:rFonts w:ascii="Helvetica" w:hAnsi="Helvetica" w:cs="Helvetica"/>
                <w:i/>
                <w:sz w:val="18"/>
                <w:szCs w:val="18"/>
              </w:rPr>
              <w:t xml:space="preserve"> ellisiana</w:t>
            </w:r>
            <w:r>
              <w:rPr>
                <w:rFonts w:ascii="Helvetica" w:hAnsi="Helvetica" w:cs="Helvetica"/>
                <w:sz w:val="18"/>
                <w:szCs w:val="18"/>
              </w:rPr>
              <w:t xml:space="preserve"> var. </w:t>
            </w:r>
            <w:r>
              <w:rPr>
                <w:rFonts w:ascii="Helvetica" w:hAnsi="Helvetica" w:cs="Helvetica"/>
                <w:i/>
                <w:sz w:val="18"/>
                <w:szCs w:val="18"/>
              </w:rPr>
              <w:t>affinis</w:t>
            </w:r>
            <w:r>
              <w:rPr>
                <w:rFonts w:ascii="Helvetica" w:hAnsi="Helvetica" w:cs="Helvetica"/>
                <w:sz w:val="18"/>
                <w:szCs w:val="18"/>
              </w:rPr>
              <w:t xml:space="preserve"> Sacc. &amp; Briard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 xml:space="preserve">Monochaetia sarmenti </w:t>
            </w:r>
            <w:r>
              <w:rPr>
                <w:rFonts w:ascii="Helvetica" w:hAnsi="Helvetica" w:cs="Helvetica"/>
                <w:sz w:val="18"/>
                <w:szCs w:val="18"/>
              </w:rPr>
              <w:t>(Pass.) Sacc.)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Monochaetia uniseta</w:t>
            </w:r>
            <w:r>
              <w:rPr>
                <w:rFonts w:ascii="Helvetica" w:hAnsi="Helvetica" w:cs="Helvetica"/>
                <w:sz w:val="18"/>
                <w:szCs w:val="18"/>
              </w:rPr>
              <w:t xml:space="preserve"> (Tracy &amp; Ellis) Sacc. [Xylariales: Amphisphaeriaceae]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w:t>
            </w:r>
            <w:r>
              <w:rPr>
                <w:rFonts w:ascii="Helvetica" w:hAnsi="Helvetica" w:cs="Helvetica"/>
                <w:i/>
                <w:sz w:val="18"/>
                <w:szCs w:val="18"/>
              </w:rPr>
              <w:t>Monochaetia</w:t>
            </w:r>
            <w:r>
              <w:rPr>
                <w:rFonts w:ascii="Helvetica" w:hAnsi="Helvetica" w:cs="Helvetica"/>
                <w:sz w:val="18"/>
                <w:szCs w:val="18"/>
              </w:rPr>
              <w:t xml:space="preserve"> species are generally associated with foliage or dead leaves (Farr </w:t>
            </w:r>
            <w:r>
              <w:rPr>
                <w:rFonts w:ascii="Helvetica" w:hAnsi="Helvetica" w:cs="Helvetica"/>
                <w:i/>
                <w:sz w:val="18"/>
                <w:szCs w:val="18"/>
              </w:rPr>
              <w:t>et al</w:t>
            </w:r>
            <w:r>
              <w:rPr>
                <w:rFonts w:ascii="Helvetica" w:hAnsi="Helvetica" w:cs="Helvetica"/>
                <w:sz w:val="18"/>
                <w:szCs w:val="18"/>
              </w:rPr>
              <w:t>. 1989).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Monochaetia viticola</w:t>
            </w:r>
            <w:r>
              <w:rPr>
                <w:rFonts w:ascii="Helvetica" w:hAnsi="Helvetica" w:cs="Helvetica"/>
                <w:sz w:val="18"/>
                <w:szCs w:val="18"/>
              </w:rPr>
              <w:t xml:space="preserve"> (Cavara) Sacc. &amp; D. Sacc.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Monochaetinula</w:t>
            </w:r>
            <w:r>
              <w:rPr>
                <w:rFonts w:ascii="Helvetica" w:hAnsi="Helvetica" w:cs="Helvetica"/>
                <w:sz w:val="18"/>
                <w:szCs w:val="18"/>
              </w:rPr>
              <w:t xml:space="preserve"> </w:t>
            </w:r>
            <w:r>
              <w:rPr>
                <w:rFonts w:ascii="Helvetica" w:hAnsi="Helvetica" w:cs="Helvetica"/>
                <w:i/>
                <w:sz w:val="18"/>
                <w:szCs w:val="18"/>
              </w:rPr>
              <w:t>ampelophila</w:t>
            </w:r>
            <w:r>
              <w:rPr>
                <w:rFonts w:ascii="Helvetica" w:hAnsi="Helvetica" w:cs="Helvetica"/>
                <w:sz w:val="18"/>
                <w:szCs w:val="18"/>
              </w:rPr>
              <w:t xml:space="preserve"> (Speg.) Nag Raj [Xylariales: Amphisphaeriaceae] (synonym: </w:t>
            </w:r>
            <w:r>
              <w:rPr>
                <w:rFonts w:ascii="Helvetica" w:hAnsi="Helvetica" w:cs="Helvetica"/>
                <w:i/>
                <w:sz w:val="18"/>
                <w:szCs w:val="18"/>
              </w:rPr>
              <w:t>Monochaetia ampelophila</w:t>
            </w:r>
            <w:r>
              <w:rPr>
                <w:rFonts w:ascii="Helvetica" w:hAnsi="Helvetica" w:cs="Helvetica"/>
                <w:sz w:val="18"/>
                <w:szCs w:val="18"/>
              </w:rPr>
              <w:t xml:space="preserve"> Speg)</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These fungi are generally associated with foliage or dead leaves (Farr </w:t>
            </w:r>
            <w:r>
              <w:rPr>
                <w:rFonts w:ascii="Helvetica" w:hAnsi="Helvetica" w:cs="Helvetica"/>
                <w:i/>
                <w:sz w:val="18"/>
                <w:szCs w:val="18"/>
              </w:rPr>
              <w:t>et al</w:t>
            </w:r>
            <w:r>
              <w:rPr>
                <w:rFonts w:ascii="Helvetica" w:hAnsi="Helvetica" w:cs="Helvetica"/>
                <w:sz w:val="18"/>
                <w:szCs w:val="18"/>
              </w:rPr>
              <w:t>. 1989).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Monochaetinula</w:t>
            </w:r>
            <w:r>
              <w:rPr>
                <w:rFonts w:ascii="Helvetica" w:hAnsi="Helvetica" w:cs="Helvetica"/>
                <w:sz w:val="18"/>
                <w:szCs w:val="18"/>
              </w:rPr>
              <w:t xml:space="preserve"> </w:t>
            </w:r>
            <w:r>
              <w:rPr>
                <w:rFonts w:ascii="Helvetica" w:hAnsi="Helvetica" w:cs="Helvetica"/>
                <w:i/>
                <w:sz w:val="18"/>
                <w:szCs w:val="18"/>
              </w:rPr>
              <w:t>terminaliae</w:t>
            </w:r>
            <w:r>
              <w:rPr>
                <w:rFonts w:ascii="Helvetica" w:hAnsi="Helvetica" w:cs="Helvetica"/>
                <w:sz w:val="18"/>
                <w:szCs w:val="18"/>
              </w:rPr>
              <w:t xml:space="preserve"> (Bat. &amp; J.L. Bezerra) Muthumary </w:t>
            </w:r>
            <w:r>
              <w:rPr>
                <w:rFonts w:ascii="Helvetica" w:hAnsi="Helvetica" w:cs="Helvetica"/>
                <w:i/>
                <w:sz w:val="18"/>
                <w:szCs w:val="18"/>
              </w:rPr>
              <w:t>et al</w:t>
            </w:r>
            <w:r>
              <w:rPr>
                <w:rFonts w:ascii="Helvetica" w:hAnsi="Helvetica" w:cs="Helvetica"/>
                <w:sz w:val="18"/>
                <w:szCs w:val="18"/>
              </w:rPr>
              <w:t xml:space="preserve">. [Xylariales: Amphisphaeriaceae] (synonym: </w:t>
            </w:r>
            <w:r>
              <w:rPr>
                <w:rFonts w:ascii="Helvetica" w:hAnsi="Helvetica" w:cs="Helvetica"/>
                <w:i/>
                <w:sz w:val="18"/>
                <w:szCs w:val="18"/>
              </w:rPr>
              <w:t>Monochaetia terminaliae</w:t>
            </w:r>
            <w:r>
              <w:rPr>
                <w:rFonts w:ascii="Helvetica" w:hAnsi="Helvetica" w:cs="Helvetica"/>
                <w:sz w:val="18"/>
                <w:szCs w:val="18"/>
              </w:rPr>
              <w:t xml:space="preserve"> Bat. &amp; J.L. Bezerra)</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Mucor</w:t>
            </w:r>
            <w:r>
              <w:rPr>
                <w:rFonts w:ascii="Helvetica" w:hAnsi="Helvetica" w:cs="Helvetica"/>
                <w:sz w:val="18"/>
                <w:szCs w:val="18"/>
              </w:rPr>
              <w:t xml:space="preserve"> </w:t>
            </w:r>
            <w:r>
              <w:rPr>
                <w:rFonts w:ascii="Helvetica" w:hAnsi="Helvetica" w:cs="Helvetica"/>
                <w:i/>
                <w:sz w:val="18"/>
                <w:szCs w:val="18"/>
              </w:rPr>
              <w:t>circinelloides</w:t>
            </w:r>
            <w:r>
              <w:rPr>
                <w:rFonts w:ascii="Helvetica" w:hAnsi="Helvetica" w:cs="Helvetica"/>
                <w:sz w:val="18"/>
                <w:szCs w:val="18"/>
              </w:rPr>
              <w:t xml:space="preserve"> Tiegh. [Mucorales: Mucoraceae]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this fungus occurs in soils and on a variety of organic substrates (Farr </w:t>
            </w:r>
            <w:r>
              <w:rPr>
                <w:rFonts w:ascii="Helvetica" w:hAnsi="Helvetica" w:cs="Helvetica"/>
                <w:i/>
                <w:sz w:val="18"/>
                <w:szCs w:val="18"/>
              </w:rPr>
              <w:t>et al</w:t>
            </w:r>
            <w:r>
              <w:rPr>
                <w:rFonts w:ascii="Helvetica" w:hAnsi="Helvetica" w:cs="Helvetica"/>
                <w:sz w:val="18"/>
                <w:szCs w:val="18"/>
              </w:rPr>
              <w:t>. 1989).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Mucor</w:t>
            </w:r>
            <w:r>
              <w:rPr>
                <w:rFonts w:ascii="Helvetica" w:hAnsi="Helvetica" w:cs="Helvetica"/>
                <w:sz w:val="18"/>
                <w:szCs w:val="18"/>
              </w:rPr>
              <w:t xml:space="preserve"> </w:t>
            </w:r>
            <w:r>
              <w:rPr>
                <w:rFonts w:ascii="Helvetica" w:hAnsi="Helvetica" w:cs="Helvetica"/>
                <w:i/>
                <w:sz w:val="18"/>
                <w:szCs w:val="18"/>
              </w:rPr>
              <w:t>racemosus</w:t>
            </w:r>
            <w:r>
              <w:rPr>
                <w:rFonts w:ascii="Helvetica" w:hAnsi="Helvetica" w:cs="Helvetica"/>
                <w:sz w:val="18"/>
                <w:szCs w:val="18"/>
              </w:rPr>
              <w:t xml:space="preserve"> Fresen. [Mucorales: Mucoraceae]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Mycosphaerella</w:t>
            </w:r>
            <w:r>
              <w:rPr>
                <w:rFonts w:ascii="Helvetica" w:hAnsi="Helvetica" w:cs="Helvetica"/>
                <w:sz w:val="18"/>
                <w:szCs w:val="18"/>
              </w:rPr>
              <w:t xml:space="preserve"> </w:t>
            </w:r>
            <w:r>
              <w:rPr>
                <w:rFonts w:ascii="Helvetica" w:hAnsi="Helvetica" w:cs="Helvetica"/>
                <w:i/>
                <w:sz w:val="18"/>
                <w:szCs w:val="18"/>
              </w:rPr>
              <w:t>angulata</w:t>
            </w:r>
            <w:r>
              <w:rPr>
                <w:rFonts w:ascii="Helvetica" w:hAnsi="Helvetica" w:cs="Helvetica"/>
                <w:sz w:val="18"/>
                <w:szCs w:val="18"/>
              </w:rPr>
              <w:t xml:space="preserve"> W.A. Jenkins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w:t>
            </w:r>
            <w:r>
              <w:rPr>
                <w:rFonts w:ascii="Helvetica" w:hAnsi="Helvetica" w:cs="Helvetica"/>
                <w:i/>
                <w:sz w:val="18"/>
                <w:szCs w:val="18"/>
              </w:rPr>
              <w:t>Mycosphaerella</w:t>
            </w:r>
            <w:r>
              <w:rPr>
                <w:rFonts w:ascii="Helvetica" w:hAnsi="Helvetica" w:cs="Helvetica"/>
                <w:sz w:val="18"/>
                <w:szCs w:val="18"/>
              </w:rPr>
              <w:t xml:space="preserve"> species are associated with </w:t>
            </w:r>
            <w:r>
              <w:rPr>
                <w:rFonts w:ascii="Helvetica" w:hAnsi="Helvetica" w:cs="Helvetica"/>
                <w:i/>
                <w:sz w:val="18"/>
                <w:szCs w:val="18"/>
              </w:rPr>
              <w:t xml:space="preserve">Vitis </w:t>
            </w:r>
            <w:r>
              <w:rPr>
                <w:rFonts w:ascii="Helvetica" w:hAnsi="Helvetica" w:cs="Helvetica"/>
                <w:sz w:val="18"/>
                <w:szCs w:val="18"/>
              </w:rPr>
              <w:t xml:space="preserve">species (Farr and Rossman 2011) and cause leaf spot (Farr </w:t>
            </w:r>
            <w:r>
              <w:rPr>
                <w:rFonts w:ascii="Helvetica" w:hAnsi="Helvetica" w:cs="Helvetica"/>
                <w:i/>
                <w:iCs/>
                <w:sz w:val="18"/>
                <w:szCs w:val="18"/>
              </w:rPr>
              <w:t>et al</w:t>
            </w:r>
            <w:r>
              <w:rPr>
                <w:rFonts w:ascii="Helvetica" w:hAnsi="Helvetica" w:cs="Helvetica"/>
                <w:sz w:val="18"/>
                <w:szCs w:val="18"/>
              </w:rPr>
              <w:t>. 1989), resulting in premature defoliation (Pearson and Goheen 1988). These fungi overwinter in dead leaves (Pearson and Goheen 1988).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Mycosphaerella</w:t>
            </w:r>
            <w:r>
              <w:rPr>
                <w:rFonts w:ascii="Helvetica" w:hAnsi="Helvetica" w:cs="Helvetica"/>
                <w:sz w:val="18"/>
                <w:szCs w:val="18"/>
              </w:rPr>
              <w:t xml:space="preserve"> </w:t>
            </w:r>
            <w:r>
              <w:rPr>
                <w:rFonts w:ascii="Helvetica" w:hAnsi="Helvetica" w:cs="Helvetica"/>
                <w:i/>
                <w:sz w:val="18"/>
                <w:szCs w:val="18"/>
              </w:rPr>
              <w:t>cuboniana</w:t>
            </w:r>
            <w:r>
              <w:rPr>
                <w:rFonts w:ascii="Helvetica" w:hAnsi="Helvetica" w:cs="Helvetica"/>
                <w:sz w:val="18"/>
                <w:szCs w:val="18"/>
              </w:rPr>
              <w:t xml:space="preserve"> (D. Sacc.) Tomilin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Mycosphaerella</w:t>
            </w:r>
            <w:r>
              <w:rPr>
                <w:rFonts w:ascii="Helvetica" w:hAnsi="Helvetica" w:cs="Helvetica"/>
                <w:sz w:val="18"/>
                <w:szCs w:val="18"/>
              </w:rPr>
              <w:t xml:space="preserve"> </w:t>
            </w:r>
            <w:r>
              <w:rPr>
                <w:rFonts w:ascii="Helvetica" w:hAnsi="Helvetica" w:cs="Helvetica"/>
                <w:i/>
                <w:sz w:val="18"/>
                <w:szCs w:val="18"/>
              </w:rPr>
              <w:t>manganottiana</w:t>
            </w:r>
            <w:r>
              <w:rPr>
                <w:rFonts w:ascii="Helvetica" w:hAnsi="Helvetica" w:cs="Helvetica"/>
                <w:sz w:val="18"/>
                <w:szCs w:val="18"/>
              </w:rPr>
              <w:t xml:space="preserve"> (C. Massal.) Tomilin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Mycosphaerella personata</w:t>
            </w:r>
            <w:r>
              <w:rPr>
                <w:rFonts w:ascii="Helvetica" w:hAnsi="Helvetica" w:cs="Helvetica"/>
                <w:sz w:val="18"/>
                <w:szCs w:val="18"/>
              </w:rPr>
              <w:t xml:space="preserve"> B.B. Higgins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(Simmonds 1966)</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Mycosphaerella vitis</w:t>
            </w:r>
            <w:r>
              <w:rPr>
                <w:rFonts w:ascii="Helvetica" w:hAnsi="Helvetica" w:cs="Helvetica"/>
                <w:sz w:val="18"/>
                <w:szCs w:val="18"/>
              </w:rPr>
              <w:t xml:space="preserve"> Koshk.</w:t>
            </w:r>
            <w:r>
              <w:rPr>
                <w:rFonts w:ascii="Helvetica" w:hAnsi="Helvetica" w:cs="Helvetica"/>
                <w:b/>
                <w:bCs/>
                <w:sz w:val="18"/>
                <w:szCs w:val="18"/>
              </w:rPr>
              <w:t xml:space="preserve"> </w:t>
            </w:r>
            <w:r>
              <w:rPr>
                <w:rFonts w:ascii="Helvetica" w:hAnsi="Helvetica" w:cs="Helvetica"/>
                <w:sz w:val="18"/>
                <w:szCs w:val="18"/>
              </w:rPr>
              <w:t>[Capnodiales: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Mycosphaerella</w:t>
            </w:r>
            <w:r>
              <w:rPr>
                <w:rFonts w:ascii="Helvetica" w:hAnsi="Helvetica" w:cs="Helvetica"/>
                <w:sz w:val="18"/>
                <w:szCs w:val="18"/>
              </w:rPr>
              <w:t xml:space="preserve"> species are associated with foliage, causing leaf spot (Farr </w:t>
            </w:r>
            <w:r>
              <w:rPr>
                <w:rFonts w:ascii="Helvetica" w:hAnsi="Helvetica" w:cs="Helvetica"/>
                <w:i/>
                <w:iCs/>
                <w:sz w:val="18"/>
                <w:szCs w:val="18"/>
              </w:rPr>
              <w:t>et al</w:t>
            </w:r>
            <w:r>
              <w:rPr>
                <w:rFonts w:ascii="Helvetica" w:hAnsi="Helvetica" w:cs="Helvetica"/>
                <w:sz w:val="18"/>
                <w:szCs w:val="18"/>
              </w:rPr>
              <w:t>. 1989).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Mycovellosiella</w:t>
            </w:r>
            <w:r>
              <w:rPr>
                <w:rFonts w:ascii="Helvetica" w:hAnsi="Helvetica" w:cs="Helvetica"/>
                <w:sz w:val="18"/>
                <w:szCs w:val="18"/>
              </w:rPr>
              <w:t xml:space="preserve"> </w:t>
            </w:r>
            <w:r>
              <w:rPr>
                <w:rFonts w:ascii="Helvetica" w:hAnsi="Helvetica" w:cs="Helvetica"/>
                <w:i/>
                <w:sz w:val="18"/>
                <w:szCs w:val="18"/>
              </w:rPr>
              <w:t>vitis</w:t>
            </w:r>
            <w:r>
              <w:rPr>
                <w:rFonts w:ascii="Helvetica" w:hAnsi="Helvetica" w:cs="Helvetica"/>
                <w:sz w:val="18"/>
                <w:szCs w:val="18"/>
              </w:rPr>
              <w:t xml:space="preserve"> Y.L. Guo &amp; X.J. Liu [Capnodiales: Mycosphaerellaceae] (synonym: </w:t>
            </w:r>
            <w:r>
              <w:rPr>
                <w:rFonts w:ascii="Helvetica" w:hAnsi="Helvetica" w:cs="Helvetica"/>
                <w:i/>
                <w:sz w:val="18"/>
                <w:szCs w:val="18"/>
              </w:rPr>
              <w:t>Passalora vitis-piadezkii</w:t>
            </w:r>
            <w:r>
              <w:rPr>
                <w:rFonts w:ascii="Helvetica" w:hAnsi="Helvetica" w:cs="Helvetica"/>
                <w:sz w:val="18"/>
                <w:szCs w:val="18"/>
              </w:rPr>
              <w:t xml:space="preserve"> U. Braun &amp; Crous)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leaves of </w:t>
            </w:r>
            <w:r>
              <w:rPr>
                <w:rFonts w:ascii="Helvetica" w:hAnsi="Helvetica" w:cs="Helvetica"/>
                <w:i/>
                <w:sz w:val="18"/>
                <w:szCs w:val="18"/>
              </w:rPr>
              <w:t xml:space="preserve">Vitis </w:t>
            </w:r>
            <w:r>
              <w:rPr>
                <w:rFonts w:ascii="Helvetica" w:hAnsi="Helvetica" w:cs="Helvetica"/>
                <w:sz w:val="18"/>
                <w:szCs w:val="18"/>
              </w:rPr>
              <w:t>species</w:t>
            </w:r>
            <w:r>
              <w:rPr>
                <w:rFonts w:ascii="Helvetica" w:hAnsi="Helvetica" w:cs="Helvetica"/>
                <w:i/>
                <w:sz w:val="18"/>
                <w:szCs w:val="18"/>
              </w:rPr>
              <w:t xml:space="preserve"> </w:t>
            </w:r>
            <w:r>
              <w:rPr>
                <w:rFonts w:ascii="Helvetica" w:hAnsi="Helvetica" w:cs="Helvetica"/>
                <w:sz w:val="18"/>
                <w:szCs w:val="18"/>
              </w:rPr>
              <w:t xml:space="preserve">(Kirk 2012). Therefore, foliage free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Myxosporium viticola</w:t>
            </w:r>
            <w:r>
              <w:rPr>
                <w:rFonts w:ascii="Helvetica" w:hAnsi="Helvetica" w:cs="Helvetica"/>
                <w:sz w:val="18"/>
                <w:szCs w:val="18"/>
              </w:rPr>
              <w:t xml:space="preserve"> Dearn. &amp; House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There is one record of this fungus occurring on the stems of </w:t>
            </w:r>
            <w:r>
              <w:rPr>
                <w:rFonts w:ascii="Helvetica" w:hAnsi="Helvetica" w:cs="Helvetica"/>
                <w:i/>
                <w:sz w:val="18"/>
                <w:szCs w:val="18"/>
              </w:rPr>
              <w:t>Vitis</w:t>
            </w:r>
            <w:r>
              <w:rPr>
                <w:rFonts w:ascii="Helvetica" w:hAnsi="Helvetica" w:cs="Helvetica"/>
                <w:sz w:val="18"/>
                <w:szCs w:val="18"/>
              </w:rPr>
              <w:t xml:space="preserve"> species in Alabama in 1960 (Farr and Rossman 2011). However, this fungus has not been recorded from any other location, indicating propagative material does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Nattrassia mangiferae</w:t>
            </w:r>
            <w:r>
              <w:rPr>
                <w:rFonts w:ascii="Helvetica" w:hAnsi="Helvetica" w:cs="Helvetica"/>
                <w:sz w:val="18"/>
                <w:szCs w:val="18"/>
              </w:rPr>
              <w:t xml:space="preserve"> (Syd. &amp; P. Syd.) B. Sutton &amp; Dyko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Nectria</w:t>
            </w:r>
            <w:r>
              <w:rPr>
                <w:rFonts w:ascii="Helvetica" w:hAnsi="Helvetica" w:cs="Helvetica"/>
                <w:sz w:val="18"/>
                <w:szCs w:val="18"/>
              </w:rPr>
              <w:t xml:space="preserve"> </w:t>
            </w:r>
            <w:r>
              <w:rPr>
                <w:rFonts w:ascii="Helvetica" w:hAnsi="Helvetica" w:cs="Helvetica"/>
                <w:i/>
                <w:sz w:val="18"/>
                <w:szCs w:val="18"/>
              </w:rPr>
              <w:t>cinnabarina</w:t>
            </w:r>
            <w:r>
              <w:rPr>
                <w:rFonts w:ascii="Helvetica" w:hAnsi="Helvetica" w:cs="Helvetica"/>
                <w:sz w:val="18"/>
                <w:szCs w:val="18"/>
              </w:rPr>
              <w:t xml:space="preserve"> (Tode) Fr.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Nectria</w:t>
            </w:r>
            <w:r>
              <w:rPr>
                <w:rFonts w:ascii="Helvetica" w:hAnsi="Helvetica" w:cs="Helvetica"/>
                <w:sz w:val="18"/>
                <w:szCs w:val="18"/>
              </w:rPr>
              <w:t xml:space="preserve"> </w:t>
            </w:r>
            <w:r>
              <w:rPr>
                <w:rFonts w:ascii="Helvetica" w:hAnsi="Helvetica" w:cs="Helvetica"/>
                <w:i/>
                <w:sz w:val="18"/>
                <w:szCs w:val="18"/>
              </w:rPr>
              <w:t>coccinea</w:t>
            </w:r>
            <w:r>
              <w:rPr>
                <w:rFonts w:ascii="Helvetica" w:hAnsi="Helvetica" w:cs="Helvetica"/>
                <w:sz w:val="18"/>
                <w:szCs w:val="18"/>
              </w:rPr>
              <w:t xml:space="preserve"> (Pers.) Fr.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 xml:space="preserve">Nectria </w:t>
            </w:r>
            <w:r>
              <w:rPr>
                <w:rFonts w:ascii="Helvetica" w:hAnsi="Helvetica" w:cs="Helvetica"/>
                <w:sz w:val="18"/>
                <w:szCs w:val="18"/>
              </w:rPr>
              <w:t xml:space="preserve">species are associated with hardwood trees and soil (Farr </w:t>
            </w:r>
            <w:r>
              <w:rPr>
                <w:rFonts w:ascii="Helvetica" w:hAnsi="Helvetica" w:cs="Helvetica"/>
                <w:i/>
                <w:sz w:val="18"/>
                <w:szCs w:val="18"/>
              </w:rPr>
              <w:t>et al</w:t>
            </w:r>
            <w:r>
              <w:rPr>
                <w:rFonts w:ascii="Helvetica" w:hAnsi="Helvetica" w:cs="Helvetica"/>
                <w:sz w:val="18"/>
                <w:szCs w:val="18"/>
              </w:rPr>
              <w:t>. 1989). Therefore, semi-hardwood,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Nectria</w:t>
            </w:r>
            <w:r>
              <w:rPr>
                <w:rFonts w:ascii="Helvetica" w:hAnsi="Helvetica" w:cs="Helvetica"/>
                <w:sz w:val="18"/>
                <w:szCs w:val="18"/>
              </w:rPr>
              <w:t xml:space="preserve"> </w:t>
            </w:r>
            <w:r>
              <w:rPr>
                <w:rFonts w:ascii="Helvetica" w:hAnsi="Helvetica" w:cs="Helvetica"/>
                <w:i/>
                <w:sz w:val="18"/>
                <w:szCs w:val="18"/>
              </w:rPr>
              <w:t>haematococca</w:t>
            </w:r>
            <w:r>
              <w:rPr>
                <w:rFonts w:ascii="Helvetica" w:hAnsi="Helvetica" w:cs="Helvetica"/>
                <w:sz w:val="18"/>
                <w:szCs w:val="18"/>
              </w:rPr>
              <w:t xml:space="preserve"> Berk. &amp; Broome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Nectria</w:t>
            </w:r>
            <w:r>
              <w:rPr>
                <w:rFonts w:ascii="Helvetica" w:hAnsi="Helvetica" w:cs="Helvetica"/>
                <w:sz w:val="18"/>
                <w:szCs w:val="18"/>
              </w:rPr>
              <w:t xml:space="preserve"> </w:t>
            </w:r>
            <w:r>
              <w:rPr>
                <w:rFonts w:ascii="Helvetica" w:hAnsi="Helvetica" w:cs="Helvetica"/>
                <w:i/>
                <w:sz w:val="18"/>
                <w:szCs w:val="18"/>
              </w:rPr>
              <w:t>radicicola</w:t>
            </w:r>
            <w:r>
              <w:rPr>
                <w:rFonts w:ascii="Helvetica" w:hAnsi="Helvetica" w:cs="Helvetica"/>
                <w:sz w:val="18"/>
                <w:szCs w:val="18"/>
              </w:rPr>
              <w:t xml:space="preserve"> Gerlach &amp; L. Nilsson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Nectria ramulariae</w:t>
            </w:r>
            <w:r>
              <w:rPr>
                <w:rFonts w:ascii="Helvetica" w:hAnsi="Helvetica" w:cs="Helvetica"/>
                <w:sz w:val="18"/>
                <w:szCs w:val="18"/>
              </w:rPr>
              <w:t xml:space="preserve"> (Wollenw.) E. Müller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 xml:space="preserve">Nectria </w:t>
            </w:r>
            <w:r>
              <w:rPr>
                <w:rFonts w:ascii="Helvetica" w:hAnsi="Helvetica" w:cs="Helvetica"/>
                <w:sz w:val="18"/>
                <w:szCs w:val="18"/>
              </w:rPr>
              <w:t xml:space="preserve">species are associated with hardwood trees (Farr </w:t>
            </w:r>
            <w:r>
              <w:rPr>
                <w:rFonts w:ascii="Helvetica" w:hAnsi="Helvetica" w:cs="Helvetica"/>
                <w:i/>
                <w:sz w:val="18"/>
                <w:szCs w:val="18"/>
              </w:rPr>
              <w:t>et al</w:t>
            </w:r>
            <w:r>
              <w:rPr>
                <w:rFonts w:ascii="Helvetica" w:hAnsi="Helvetica" w:cs="Helvetica"/>
                <w:sz w:val="18"/>
                <w:szCs w:val="18"/>
              </w:rPr>
              <w:t>. 1989). Therefore, semi-hardwood,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Nectria</w:t>
            </w:r>
            <w:r>
              <w:rPr>
                <w:rFonts w:ascii="Helvetica" w:hAnsi="Helvetica" w:cs="Helvetica"/>
                <w:sz w:val="18"/>
                <w:szCs w:val="18"/>
              </w:rPr>
              <w:t xml:space="preserve"> </w:t>
            </w:r>
            <w:r>
              <w:rPr>
                <w:rFonts w:ascii="Helvetica" w:hAnsi="Helvetica" w:cs="Helvetica"/>
                <w:i/>
                <w:sz w:val="18"/>
                <w:szCs w:val="18"/>
              </w:rPr>
              <w:t>viticola</w:t>
            </w:r>
            <w:r>
              <w:rPr>
                <w:rFonts w:ascii="Helvetica" w:hAnsi="Helvetica" w:cs="Helvetica"/>
                <w:sz w:val="18"/>
                <w:szCs w:val="18"/>
              </w:rPr>
              <w:t xml:space="preserve"> Berk. &amp; Curt.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the limbs of </w:t>
            </w:r>
            <w:r>
              <w:rPr>
                <w:rFonts w:ascii="Helvetica" w:hAnsi="Helvetica" w:cs="Helvetica"/>
                <w:i/>
                <w:sz w:val="18"/>
                <w:szCs w:val="18"/>
              </w:rPr>
              <w:t>Vitis</w:t>
            </w:r>
            <w:r>
              <w:rPr>
                <w:rFonts w:ascii="Helvetica" w:hAnsi="Helvetica" w:cs="Helvetica"/>
                <w:sz w:val="18"/>
                <w:szCs w:val="18"/>
              </w:rPr>
              <w:t xml:space="preserve"> species in Alabama in 1960 (Farr and Rossman 2011). However, this fungus has not been recorded since from any other location, indicating that propagative material does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Neofusicoccum mediterraneum</w:t>
            </w:r>
            <w:r>
              <w:rPr>
                <w:rFonts w:ascii="Helvetica" w:hAnsi="Helvetica" w:cs="Helvetica"/>
                <w:sz w:val="18"/>
                <w:szCs w:val="18"/>
              </w:rPr>
              <w:t xml:space="preserve"> Crous </w:t>
            </w:r>
            <w:r>
              <w:rPr>
                <w:rFonts w:ascii="Helvetica" w:hAnsi="Helvetica" w:cs="Helvetica"/>
                <w:i/>
                <w:sz w:val="18"/>
                <w:szCs w:val="18"/>
              </w:rPr>
              <w:t>et al</w:t>
            </w:r>
            <w:r>
              <w:rPr>
                <w:rFonts w:ascii="Helvetica" w:hAnsi="Helvetica" w:cs="Helvetica"/>
                <w:sz w:val="18"/>
                <w:szCs w:val="18"/>
              </w:rPr>
              <w:t>.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fungus has been recorded on grapevines (Úrbez-Torres </w:t>
            </w:r>
            <w:r>
              <w:rPr>
                <w:rFonts w:ascii="Helvetica" w:hAnsi="Helvetica" w:cs="Helvetica"/>
                <w:i/>
                <w:sz w:val="18"/>
                <w:szCs w:val="18"/>
              </w:rPr>
              <w:t>et al</w:t>
            </w:r>
            <w:r>
              <w:rPr>
                <w:rFonts w:ascii="Helvetica" w:hAnsi="Helvetica" w:cs="Helvetica"/>
                <w:sz w:val="18"/>
                <w:szCs w:val="18"/>
              </w:rPr>
              <w:t>. 2010a) and has been isolated from the vascular tissue and brown wood of young, declining grapevines (</w:t>
            </w:r>
            <w:r>
              <w:rPr>
                <w:rFonts w:ascii="Helvetica" w:hAnsi="Helvetica" w:cs="Helvetica"/>
                <w:bCs/>
                <w:sz w:val="18"/>
                <w:szCs w:val="18"/>
              </w:rPr>
              <w:t xml:space="preserve">Úrbez-Torres </w:t>
            </w:r>
            <w:r>
              <w:rPr>
                <w:rFonts w:ascii="Helvetica" w:hAnsi="Helvetica" w:cs="Helvetica"/>
                <w:bCs/>
                <w:i/>
                <w:sz w:val="18"/>
                <w:szCs w:val="18"/>
              </w:rPr>
              <w:t>et al</w:t>
            </w:r>
            <w:r>
              <w:rPr>
                <w:rFonts w:ascii="Helvetica" w:hAnsi="Helvetica" w:cs="Helvetica"/>
                <w:bCs/>
                <w:sz w:val="18"/>
                <w:szCs w:val="18"/>
              </w:rPr>
              <w:t xml:space="preserve">. 2010a; Martin </w:t>
            </w:r>
            <w:r>
              <w:rPr>
                <w:rFonts w:ascii="Helvetica" w:hAnsi="Helvetica" w:cs="Helvetica"/>
                <w:bCs/>
                <w:i/>
                <w:sz w:val="18"/>
                <w:szCs w:val="18"/>
              </w:rPr>
              <w:t>et al</w:t>
            </w:r>
            <w:r>
              <w:rPr>
                <w:rFonts w:ascii="Helvetica" w:hAnsi="Helvetica" w:cs="Helvetica"/>
                <w:bCs/>
                <w:sz w:val="18"/>
                <w:szCs w:val="18"/>
              </w:rPr>
              <w:t>. 2011b). Therefore, dormant cuttings may provide a pathway for this fungus.</w:t>
            </w:r>
            <w:r>
              <w:rPr>
                <w:rStyle w:val="A1"/>
                <w:color w:val="auto"/>
              </w:rPr>
              <w:t xml:space="preserve"> </w:t>
            </w:r>
          </w:p>
        </w:tc>
        <w:tc>
          <w:tcPr>
            <w:tcW w:w="2640" w:type="dxa"/>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This fungus has established in areas </w:t>
            </w:r>
            <w:r>
              <w:rPr>
                <w:rFonts w:ascii="Helvetica" w:hAnsi="Helvetica" w:cs="Helvetica"/>
                <w:bCs/>
                <w:sz w:val="18"/>
                <w:szCs w:val="18"/>
              </w:rPr>
              <w:t>with</w:t>
            </w:r>
            <w:r>
              <w:rPr>
                <w:rFonts w:ascii="Helvetica" w:hAnsi="Helvetica" w:cs="Helvetica"/>
                <w:sz w:val="18"/>
                <w:szCs w:val="18"/>
              </w:rPr>
              <w:t xml:space="preserve"> a wide range of climatic conditions (</w:t>
            </w:r>
            <w:r>
              <w:rPr>
                <w:rFonts w:ascii="Helvetica" w:hAnsi="Helvetica" w:cs="Helvetica"/>
                <w:bCs/>
                <w:sz w:val="18"/>
                <w:szCs w:val="18"/>
              </w:rPr>
              <w:t xml:space="preserve">Úrbez-Torres </w:t>
            </w:r>
            <w:r>
              <w:rPr>
                <w:rFonts w:ascii="Helvetica" w:hAnsi="Helvetica" w:cs="Helvetica"/>
                <w:bCs/>
                <w:i/>
                <w:sz w:val="18"/>
                <w:szCs w:val="18"/>
              </w:rPr>
              <w:t>et al</w:t>
            </w:r>
            <w:r>
              <w:rPr>
                <w:rFonts w:ascii="Helvetica" w:hAnsi="Helvetica" w:cs="Helvetica"/>
                <w:bCs/>
                <w:sz w:val="18"/>
                <w:szCs w:val="18"/>
              </w:rPr>
              <w:t xml:space="preserve">. 2010a; Martin </w:t>
            </w:r>
            <w:r>
              <w:rPr>
                <w:rFonts w:ascii="Helvetica" w:hAnsi="Helvetica" w:cs="Helvetica"/>
                <w:bCs/>
                <w:i/>
                <w:sz w:val="18"/>
                <w:szCs w:val="18"/>
              </w:rPr>
              <w:t>et al</w:t>
            </w:r>
            <w:r>
              <w:rPr>
                <w:rFonts w:ascii="Helvetica" w:hAnsi="Helvetica" w:cs="Helvetica"/>
                <w:bCs/>
                <w:sz w:val="18"/>
                <w:szCs w:val="18"/>
              </w:rPr>
              <w:t>. 2011b</w:t>
            </w:r>
            <w:r>
              <w:rPr>
                <w:rFonts w:ascii="Helvetica" w:hAnsi="Helvetica" w:cs="Helvetica"/>
                <w:sz w:val="18"/>
                <w:szCs w:val="18"/>
              </w:rPr>
              <w:t xml:space="preserve">) and may spread naturally in infected propagative material. Therefore, this fungus has the potential for establishment and spread in Australia. </w:t>
            </w:r>
          </w:p>
        </w:tc>
        <w:tc>
          <w:tcPr>
            <w:tcW w:w="2863" w:type="dxa"/>
            <w:tcBorders>
              <w:top w:val="single" w:sz="4" w:space="0" w:color="auto"/>
              <w:left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causes Botryosphaeria canker in association with other species (Úrbez-Torres </w:t>
            </w:r>
            <w:r>
              <w:rPr>
                <w:rFonts w:ascii="Helvetica" w:hAnsi="Helvetica" w:cs="Helvetica"/>
                <w:i/>
                <w:sz w:val="18"/>
                <w:szCs w:val="18"/>
              </w:rPr>
              <w:t>et al</w:t>
            </w:r>
            <w:r>
              <w:rPr>
                <w:rFonts w:ascii="Helvetica" w:hAnsi="Helvetica" w:cs="Helvetica"/>
                <w:sz w:val="18"/>
                <w:szCs w:val="18"/>
              </w:rPr>
              <w:t xml:space="preserve">. 2010a). However, no information is available on the losses caused by this pathogen. Therefore, this fungus is not of economic concern. </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i/>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Neonectria fuckeliana</w:t>
            </w:r>
            <w:r>
              <w:rPr>
                <w:rFonts w:ascii="Helvetica" w:hAnsi="Helvetica" w:cs="Helvetica"/>
                <w:sz w:val="18"/>
                <w:szCs w:val="18"/>
              </w:rPr>
              <w:t xml:space="preserve"> (C. Booth) Castl. &amp; Rossman [Hypocreales: Nectriaceae]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causing basal rot (Halleen </w:t>
            </w:r>
            <w:r>
              <w:rPr>
                <w:rFonts w:ascii="Helvetica" w:hAnsi="Helvetica" w:cs="Helvetica"/>
                <w:i/>
                <w:sz w:val="18"/>
                <w:szCs w:val="18"/>
              </w:rPr>
              <w:t>et al</w:t>
            </w:r>
            <w:r>
              <w:rPr>
                <w:rFonts w:ascii="Helvetica" w:hAnsi="Helvetica" w:cs="Helvetica"/>
                <w:sz w:val="18"/>
                <w:szCs w:val="18"/>
              </w:rPr>
              <w:t>. 2006a, b). Therefore, root-free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r>
              <w:rPr>
                <w:rFonts w:ascii="Helvetica" w:hAnsi="Helvetica" w:cs="Helvetica"/>
                <w:bCs/>
                <w:sz w:val="18"/>
                <w:szCs w:val="18"/>
              </w:rPr>
              <w:t xml:space="preserve"> </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Neonectria macrodidyma </w:t>
            </w:r>
            <w:r>
              <w:rPr>
                <w:rFonts w:ascii="Helvetica" w:hAnsi="Helvetica" w:cs="Helvetica"/>
                <w:sz w:val="18"/>
                <w:szCs w:val="18"/>
              </w:rPr>
              <w:t xml:space="preserve">Halleen </w:t>
            </w:r>
            <w:r>
              <w:rPr>
                <w:rFonts w:ascii="Helvetica" w:hAnsi="Helvetica" w:cs="Helvetica"/>
                <w:i/>
                <w:sz w:val="18"/>
                <w:szCs w:val="18"/>
              </w:rPr>
              <w:t>et al</w:t>
            </w:r>
            <w:r>
              <w:rPr>
                <w:rFonts w:ascii="Helvetica" w:hAnsi="Helvetica" w:cs="Helvetica"/>
                <w:sz w:val="18"/>
                <w:szCs w:val="18"/>
              </w:rPr>
              <w:t>.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Neonectria mammoidea</w:t>
            </w:r>
            <w:r>
              <w:rPr>
                <w:rFonts w:ascii="Helvetica" w:hAnsi="Helvetica" w:cs="Helvetica"/>
                <w:sz w:val="18"/>
                <w:szCs w:val="18"/>
              </w:rPr>
              <w:t xml:space="preserve"> W. Phillips &amp; Plowr.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Not known to occur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causing basal rot (Halleen </w:t>
            </w:r>
            <w:r>
              <w:rPr>
                <w:rFonts w:ascii="Helvetica" w:hAnsi="Helvetica" w:cs="Helvetica"/>
                <w:i/>
                <w:sz w:val="18"/>
                <w:szCs w:val="18"/>
              </w:rPr>
              <w:t>et al</w:t>
            </w:r>
            <w:r>
              <w:rPr>
                <w:rFonts w:ascii="Helvetica" w:hAnsi="Helvetica" w:cs="Helvetica"/>
                <w:sz w:val="18"/>
                <w:szCs w:val="18"/>
              </w:rPr>
              <w:t>. 2006a, b). Therefore, root-free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r>
              <w:rPr>
                <w:rFonts w:ascii="Helvetica" w:hAnsi="Helvetica" w:cs="Helvetica"/>
                <w:bCs/>
                <w:sz w:val="18"/>
                <w:szCs w:val="18"/>
              </w:rPr>
              <w:t xml:space="preserve"> </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Neonectria radicicola</w:t>
            </w:r>
            <w:r>
              <w:rPr>
                <w:rFonts w:ascii="Helvetica" w:hAnsi="Helvetica" w:cs="Helvetica"/>
                <w:sz w:val="18"/>
                <w:szCs w:val="18"/>
              </w:rPr>
              <w:t xml:space="preserve"> (Gerlach &amp; L. Nilsson) Mantiri &amp;. Samuels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Pareutypella sulcata </w:t>
            </w:r>
            <w:r>
              <w:rPr>
                <w:rFonts w:ascii="Helvetica" w:hAnsi="Helvetica" w:cs="Helvetica"/>
                <w:sz w:val="18"/>
                <w:szCs w:val="18"/>
              </w:rPr>
              <w:t>YM Ju &amp; JD Rogers [Xylariales: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it is recorded on fallen twigs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Passalora</w:t>
            </w:r>
            <w:r>
              <w:rPr>
                <w:rFonts w:ascii="Helvetica" w:hAnsi="Helvetica" w:cs="Helvetica"/>
                <w:sz w:val="18"/>
                <w:szCs w:val="18"/>
              </w:rPr>
              <w:t xml:space="preserve"> </w:t>
            </w:r>
            <w:r>
              <w:rPr>
                <w:rFonts w:ascii="Helvetica" w:hAnsi="Helvetica" w:cs="Helvetica"/>
                <w:i/>
                <w:sz w:val="18"/>
                <w:szCs w:val="18"/>
              </w:rPr>
              <w:t>dissiliens</w:t>
            </w:r>
            <w:r>
              <w:rPr>
                <w:rFonts w:ascii="Helvetica" w:hAnsi="Helvetica" w:cs="Helvetica"/>
                <w:sz w:val="18"/>
                <w:szCs w:val="18"/>
              </w:rPr>
              <w:t xml:space="preserve"> (Duby) U. Braun &amp; Crous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However, on other hosts these fungi are associated with foliage, causing leaf spots (Farr </w:t>
            </w:r>
            <w:r>
              <w:rPr>
                <w:rFonts w:ascii="Helvetica" w:hAnsi="Helvetica" w:cs="Helvetica"/>
                <w:i/>
                <w:iCs/>
                <w:sz w:val="18"/>
                <w:szCs w:val="18"/>
              </w:rPr>
              <w:t>et al.</w:t>
            </w:r>
            <w:r>
              <w:rPr>
                <w:rFonts w:ascii="Helvetica" w:hAnsi="Helvetica" w:cs="Helvetica"/>
                <w:sz w:val="18"/>
                <w:szCs w:val="18"/>
              </w:rPr>
              <w:t xml:space="preserve"> 1989; Farr and Rossman 2011).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Passalora</w:t>
            </w:r>
            <w:r>
              <w:rPr>
                <w:rFonts w:ascii="Helvetica" w:hAnsi="Helvetica" w:cs="Helvetica"/>
                <w:sz w:val="18"/>
                <w:szCs w:val="18"/>
              </w:rPr>
              <w:t xml:space="preserve"> </w:t>
            </w:r>
            <w:r>
              <w:rPr>
                <w:rFonts w:ascii="Helvetica" w:hAnsi="Helvetica" w:cs="Helvetica"/>
                <w:i/>
                <w:sz w:val="18"/>
                <w:szCs w:val="18"/>
              </w:rPr>
              <w:t>vitis</w:t>
            </w:r>
            <w:r>
              <w:rPr>
                <w:rFonts w:ascii="Helvetica" w:hAnsi="Helvetica" w:cs="Helvetica"/>
                <w:sz w:val="18"/>
                <w:szCs w:val="18"/>
              </w:rPr>
              <w:t xml:space="preserve"> (MS Patil &amp; Sawant) Poonam Srivastava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Passalora vitis-ripariae</w:t>
            </w:r>
            <w:r>
              <w:rPr>
                <w:rFonts w:ascii="Helvetica" w:hAnsi="Helvetica" w:cs="Helvetica"/>
                <w:sz w:val="18"/>
                <w:szCs w:val="18"/>
              </w:rPr>
              <w:t xml:space="preserve"> (U. Braun) U. Braun &amp; Crous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Patellaria atrata</w:t>
            </w:r>
            <w:r>
              <w:rPr>
                <w:rFonts w:ascii="Helvetica" w:hAnsi="Helvetica" w:cs="Helvetica"/>
                <w:sz w:val="18"/>
                <w:szCs w:val="18"/>
              </w:rPr>
              <w:t xml:space="preserve"> (Hedw.) Fr. [Patellariales: Patellariaceae]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records found</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they were reported on </w:t>
            </w:r>
            <w:r>
              <w:rPr>
                <w:rFonts w:ascii="Helvetica" w:hAnsi="Helvetica" w:cs="Helvetica"/>
                <w:i/>
                <w:sz w:val="18"/>
                <w:szCs w:val="18"/>
              </w:rPr>
              <w:t xml:space="preserve">Vitis </w:t>
            </w:r>
            <w:r>
              <w:rPr>
                <w:rFonts w:ascii="Helvetica" w:hAnsi="Helvetica" w:cs="Helvetica"/>
                <w:sz w:val="18"/>
                <w:szCs w:val="18"/>
              </w:rPr>
              <w:t>species in 1973 in Central Asia (</w:t>
            </w:r>
            <w:r>
              <w:rPr>
                <w:rFonts w:ascii="Helvetica" w:hAnsi="Helvetica" w:cs="Helvetica"/>
                <w:i/>
                <w:sz w:val="18"/>
                <w:szCs w:val="18"/>
              </w:rPr>
              <w:t>P. atrata</w:t>
            </w:r>
            <w:r>
              <w:rPr>
                <w:rFonts w:ascii="Helvetica" w:hAnsi="Helvetica" w:cs="Helvetica"/>
                <w:sz w:val="18"/>
                <w:szCs w:val="18"/>
              </w:rPr>
              <w:t>) and Spain (</w:t>
            </w:r>
            <w:r>
              <w:rPr>
                <w:rFonts w:ascii="Helvetica" w:hAnsi="Helvetica" w:cs="Helvetica"/>
                <w:i/>
                <w:sz w:val="18"/>
                <w:szCs w:val="18"/>
              </w:rPr>
              <w:t>P. viticola</w:t>
            </w:r>
            <w:r>
              <w:rPr>
                <w:rFonts w:ascii="Helvetica" w:hAnsi="Helvetica" w:cs="Helvetica"/>
                <w:sz w:val="18"/>
                <w:szCs w:val="18"/>
              </w:rPr>
              <w:t>) (Farr and Rossman 2011), there have been no reports from any other country, indicating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Patellaria</w:t>
            </w:r>
            <w:r>
              <w:rPr>
                <w:rFonts w:ascii="Helvetica" w:hAnsi="Helvetica" w:cs="Helvetica"/>
                <w:sz w:val="18"/>
                <w:szCs w:val="18"/>
              </w:rPr>
              <w:t xml:space="preserve"> </w:t>
            </w:r>
            <w:r>
              <w:rPr>
                <w:rFonts w:ascii="Helvetica" w:hAnsi="Helvetica" w:cs="Helvetica"/>
                <w:i/>
                <w:sz w:val="18"/>
                <w:szCs w:val="18"/>
              </w:rPr>
              <w:t>viticola</w:t>
            </w:r>
            <w:r>
              <w:rPr>
                <w:rFonts w:ascii="Helvetica" w:hAnsi="Helvetica" w:cs="Helvetica"/>
                <w:sz w:val="18"/>
                <w:szCs w:val="18"/>
              </w:rPr>
              <w:t xml:space="preserve"> Pers. [Patellariales Patellariaceae]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adametzioides</w:t>
            </w:r>
            <w:r>
              <w:rPr>
                <w:rFonts w:ascii="Helvetica" w:hAnsi="Helvetica" w:cs="Helvetica"/>
                <w:sz w:val="18"/>
                <w:szCs w:val="18"/>
              </w:rPr>
              <w:t xml:space="preserve"> S. Abe ex G. Sm.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Penicillium</w:t>
            </w:r>
            <w:r>
              <w:rPr>
                <w:rFonts w:ascii="Helvetica" w:hAnsi="Helvetica" w:cs="Helvetica"/>
                <w:sz w:val="18"/>
                <w:szCs w:val="18"/>
              </w:rPr>
              <w:t xml:space="preserve"> species occur in soil, on decaying plant debris, decomposing fruits and stored products (Jones and Aldwinkle 1991; Shim </w:t>
            </w:r>
            <w:r>
              <w:rPr>
                <w:rFonts w:ascii="Helvetica" w:hAnsi="Helvetica" w:cs="Helvetica"/>
                <w:i/>
                <w:sz w:val="18"/>
                <w:szCs w:val="18"/>
              </w:rPr>
              <w:t xml:space="preserve">et al. </w:t>
            </w:r>
            <w:r>
              <w:rPr>
                <w:rFonts w:ascii="Helvetica" w:hAnsi="Helvetica" w:cs="Helvetica"/>
                <w:sz w:val="18"/>
                <w:szCs w:val="18"/>
              </w:rPr>
              <w:t xml:space="preserve">2002; Schmidt </w:t>
            </w:r>
            <w:r>
              <w:rPr>
                <w:rFonts w:ascii="Helvetica" w:hAnsi="Helvetica" w:cs="Helvetica"/>
                <w:i/>
                <w:sz w:val="18"/>
                <w:szCs w:val="18"/>
              </w:rPr>
              <w:t>et al</w:t>
            </w:r>
            <w:r>
              <w:rPr>
                <w:rFonts w:ascii="Helvetica" w:hAnsi="Helvetica" w:cs="Helvetica"/>
                <w:sz w:val="18"/>
                <w:szCs w:val="18"/>
              </w:rPr>
              <w:t xml:space="preserve">. 2006; Okafor </w:t>
            </w:r>
            <w:r>
              <w:rPr>
                <w:rFonts w:ascii="Helvetica" w:hAnsi="Helvetica" w:cs="Helvetica"/>
                <w:i/>
                <w:sz w:val="18"/>
                <w:szCs w:val="18"/>
              </w:rPr>
              <w:t>et al</w:t>
            </w:r>
            <w:r>
              <w:rPr>
                <w:rFonts w:ascii="Helvetica" w:hAnsi="Helvetica" w:cs="Helvetica"/>
                <w:sz w:val="18"/>
                <w:szCs w:val="18"/>
              </w:rPr>
              <w:t>. 2007). Dormant cuttings therefore do not provide a pathway for these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ardesiacum</w:t>
            </w:r>
            <w:r>
              <w:rPr>
                <w:rFonts w:ascii="Helvetica" w:hAnsi="Helvetica" w:cs="Helvetica"/>
                <w:sz w:val="18"/>
                <w:szCs w:val="18"/>
              </w:rPr>
              <w:t xml:space="preserve"> Novobr.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aurantiogriseum</w:t>
            </w:r>
            <w:r>
              <w:rPr>
                <w:rFonts w:ascii="Helvetica" w:hAnsi="Helvetica" w:cs="Helvetica"/>
                <w:sz w:val="18"/>
                <w:szCs w:val="18"/>
              </w:rPr>
              <w:t xml:space="preserve"> Dierckx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w:t>
            </w:r>
            <w:r>
              <w:rPr>
                <w:rFonts w:ascii="Helvetica" w:hAnsi="Helvetica" w:cs="Helvetica"/>
                <w:sz w:val="18"/>
                <w:szCs w:val="18"/>
              </w:rPr>
              <w:t xml:space="preserve"> </w:t>
            </w:r>
            <w:r>
              <w:rPr>
                <w:rFonts w:ascii="Helvetica" w:hAnsi="Helvetica" w:cs="Helvetica"/>
                <w:i/>
                <w:sz w:val="18"/>
                <w:szCs w:val="18"/>
              </w:rPr>
              <w:t>brevicompactum</w:t>
            </w:r>
            <w:r>
              <w:rPr>
                <w:rFonts w:ascii="Helvetica" w:hAnsi="Helvetica" w:cs="Helvetica"/>
                <w:sz w:val="18"/>
                <w:szCs w:val="18"/>
              </w:rPr>
              <w:t xml:space="preserve"> Dierckx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i/>
                <w:sz w:val="18"/>
                <w:szCs w:val="18"/>
              </w:rPr>
              <w:t>Penicillium</w:t>
            </w:r>
            <w:r>
              <w:rPr>
                <w:rFonts w:ascii="Helvetica" w:hAnsi="Helvetica" w:cs="Helvetica"/>
                <w:sz w:val="18"/>
                <w:szCs w:val="18"/>
              </w:rPr>
              <w:t xml:space="preserve"> </w:t>
            </w:r>
            <w:r>
              <w:rPr>
                <w:rFonts w:ascii="Helvetica" w:hAnsi="Helvetica" w:cs="Helvetica"/>
                <w:i/>
                <w:sz w:val="18"/>
                <w:szCs w:val="18"/>
              </w:rPr>
              <w:t xml:space="preserve">canescens </w:t>
            </w:r>
            <w:r>
              <w:rPr>
                <w:rFonts w:ascii="Helvetica" w:hAnsi="Helvetica" w:cs="Helvetica"/>
                <w:sz w:val="18"/>
                <w:szCs w:val="18"/>
              </w:rPr>
              <w:t>Sopp</w:t>
            </w:r>
            <w:r>
              <w:rPr>
                <w:rFonts w:ascii="Helvetica" w:hAnsi="Helvetica" w:cs="Helvetica"/>
                <w:i/>
                <w:sz w:val="18"/>
                <w:szCs w:val="18"/>
              </w:rPr>
              <w:t xml:space="preserve"> </w:t>
            </w:r>
            <w:r>
              <w:rPr>
                <w:rFonts w:ascii="Helvetica" w:hAnsi="Helvetica" w:cs="Helvetica"/>
                <w:sz w:val="18"/>
                <w:szCs w:val="18"/>
              </w:rPr>
              <w:t>[Eurotiales: Trichocomaceae]</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Penicillium</w:t>
            </w:r>
            <w:r>
              <w:rPr>
                <w:rFonts w:ascii="Helvetica" w:hAnsi="Helvetica" w:cs="Helvetica"/>
                <w:sz w:val="18"/>
                <w:szCs w:val="18"/>
              </w:rPr>
              <w:t xml:space="preserve"> species occur in soil, on decaying plant debris, decomposing fruits and stored products (Jones and Aldwinkle 1991; Shim </w:t>
            </w:r>
            <w:r>
              <w:rPr>
                <w:rFonts w:ascii="Helvetica" w:hAnsi="Helvetica" w:cs="Helvetica"/>
                <w:i/>
                <w:sz w:val="18"/>
                <w:szCs w:val="18"/>
              </w:rPr>
              <w:t xml:space="preserve">et al. </w:t>
            </w:r>
            <w:r>
              <w:rPr>
                <w:rFonts w:ascii="Helvetica" w:hAnsi="Helvetica" w:cs="Helvetica"/>
                <w:sz w:val="18"/>
                <w:szCs w:val="18"/>
              </w:rPr>
              <w:t xml:space="preserve">2002; Schmidt </w:t>
            </w:r>
            <w:r>
              <w:rPr>
                <w:rFonts w:ascii="Helvetica" w:hAnsi="Helvetica" w:cs="Helvetica"/>
                <w:i/>
                <w:sz w:val="18"/>
                <w:szCs w:val="18"/>
              </w:rPr>
              <w:t>et al</w:t>
            </w:r>
            <w:r>
              <w:rPr>
                <w:rFonts w:ascii="Helvetica" w:hAnsi="Helvetica" w:cs="Helvetica"/>
                <w:sz w:val="18"/>
                <w:szCs w:val="18"/>
              </w:rPr>
              <w:t xml:space="preserve">. 2006; Okafor </w:t>
            </w:r>
            <w:r>
              <w:rPr>
                <w:rFonts w:ascii="Helvetica" w:hAnsi="Helvetica" w:cs="Helvetica"/>
                <w:i/>
                <w:sz w:val="18"/>
                <w:szCs w:val="18"/>
              </w:rPr>
              <w:t>et al</w:t>
            </w:r>
            <w:r>
              <w:rPr>
                <w:rFonts w:ascii="Helvetica" w:hAnsi="Helvetica" w:cs="Helvetica"/>
                <w:sz w:val="18"/>
                <w:szCs w:val="18"/>
              </w:rPr>
              <w:t>. 2007). Dormant cuttings therefore do not provide a pathway for these species.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i/>
                <w:sz w:val="18"/>
                <w:szCs w:val="18"/>
              </w:rPr>
              <w:t>Penicillium chrysogenum</w:t>
            </w:r>
            <w:r>
              <w:rPr>
                <w:rFonts w:ascii="Helvetica" w:hAnsi="Helvetica" w:cs="Helvetica"/>
                <w:sz w:val="18"/>
                <w:szCs w:val="18"/>
              </w:rPr>
              <w:t xml:space="preserve"> var. </w:t>
            </w:r>
            <w:r>
              <w:rPr>
                <w:rFonts w:ascii="Helvetica" w:hAnsi="Helvetica" w:cs="Helvetica"/>
                <w:i/>
                <w:sz w:val="18"/>
                <w:szCs w:val="18"/>
              </w:rPr>
              <w:t>chrysogenum</w:t>
            </w:r>
            <w:r>
              <w:rPr>
                <w:rFonts w:ascii="Helvetica" w:hAnsi="Helvetica" w:cs="Helvetica"/>
                <w:sz w:val="18"/>
                <w:szCs w:val="18"/>
              </w:rPr>
              <w:t xml:space="preserve"> Thom [Eurotiales: Trichocomaceae]</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i/>
                <w:sz w:val="18"/>
                <w:szCs w:val="18"/>
              </w:rPr>
              <w:t>Penicillium citrinum</w:t>
            </w:r>
            <w:r>
              <w:rPr>
                <w:rFonts w:ascii="Helvetica" w:hAnsi="Helvetica" w:cs="Helvetica"/>
                <w:sz w:val="18"/>
                <w:szCs w:val="18"/>
              </w:rPr>
              <w:t xml:space="preserve"> Thom [Eurotiales: Trichocomaceae]</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Penicillium decumbens </w:t>
            </w:r>
            <w:r>
              <w:rPr>
                <w:rFonts w:ascii="Helvetica" w:hAnsi="Helvetica" w:cs="Helvetica"/>
                <w:sz w:val="18"/>
                <w:szCs w:val="18"/>
              </w:rPr>
              <w:t>Thom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digitatum</w:t>
            </w:r>
            <w:r>
              <w:rPr>
                <w:rFonts w:ascii="Helvetica" w:hAnsi="Helvetica" w:cs="Helvetica"/>
                <w:sz w:val="18"/>
                <w:szCs w:val="18"/>
              </w:rPr>
              <w:t xml:space="preserve"> (Pers.) Sacc.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Penicillium elongatum </w:t>
            </w:r>
            <w:r>
              <w:rPr>
                <w:rFonts w:ascii="Helvetica" w:hAnsi="Helvetica" w:cs="Helvetica"/>
                <w:sz w:val="18"/>
                <w:szCs w:val="18"/>
              </w:rPr>
              <w:t>Dierckx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 xml:space="preserve">Penicillium </w:t>
            </w:r>
            <w:r>
              <w:rPr>
                <w:rFonts w:ascii="Helvetica" w:hAnsi="Helvetica" w:cs="Helvetica"/>
                <w:sz w:val="18"/>
                <w:szCs w:val="18"/>
              </w:rPr>
              <w:t xml:space="preserve">species occur in soil, on decaying plant debris, decomposing fruits and stored products (Jones and Aldwinkle 1991; Shim </w:t>
            </w:r>
            <w:r>
              <w:rPr>
                <w:rFonts w:ascii="Helvetica" w:hAnsi="Helvetica" w:cs="Helvetica"/>
                <w:i/>
                <w:sz w:val="18"/>
                <w:szCs w:val="18"/>
              </w:rPr>
              <w:t xml:space="preserve">et al. </w:t>
            </w:r>
            <w:r>
              <w:rPr>
                <w:rFonts w:ascii="Helvetica" w:hAnsi="Helvetica" w:cs="Helvetica"/>
                <w:sz w:val="18"/>
                <w:szCs w:val="18"/>
              </w:rPr>
              <w:t xml:space="preserve">2002; Schmidt </w:t>
            </w:r>
            <w:r>
              <w:rPr>
                <w:rFonts w:ascii="Helvetica" w:hAnsi="Helvetica" w:cs="Helvetica"/>
                <w:i/>
                <w:sz w:val="18"/>
                <w:szCs w:val="18"/>
              </w:rPr>
              <w:t>et al</w:t>
            </w:r>
            <w:r>
              <w:rPr>
                <w:rFonts w:ascii="Helvetica" w:hAnsi="Helvetica" w:cs="Helvetica"/>
                <w:sz w:val="18"/>
                <w:szCs w:val="18"/>
              </w:rPr>
              <w:t xml:space="preserve">. 2006; Okafor </w:t>
            </w:r>
            <w:r>
              <w:rPr>
                <w:rFonts w:ascii="Helvetica" w:hAnsi="Helvetica" w:cs="Helvetica"/>
                <w:i/>
                <w:sz w:val="18"/>
                <w:szCs w:val="18"/>
              </w:rPr>
              <w:t>et al</w:t>
            </w:r>
            <w:r>
              <w:rPr>
                <w:rFonts w:ascii="Helvetica" w:hAnsi="Helvetica" w:cs="Helvetica"/>
                <w:sz w:val="18"/>
                <w:szCs w:val="18"/>
              </w:rPr>
              <w:t>. 2007). Dormant cuttings therefore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expansum</w:t>
            </w:r>
            <w:r>
              <w:rPr>
                <w:rFonts w:ascii="Helvetica" w:hAnsi="Helvetica" w:cs="Helvetica"/>
                <w:sz w:val="18"/>
                <w:szCs w:val="18"/>
              </w:rPr>
              <w:t xml:space="preserve"> Link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w:t>
            </w:r>
            <w:r>
              <w:rPr>
                <w:rFonts w:ascii="Helvetica" w:hAnsi="Helvetica" w:cs="Helvetica"/>
                <w:sz w:val="18"/>
                <w:szCs w:val="18"/>
              </w:rPr>
              <w:t xml:space="preserve"> </w:t>
            </w:r>
            <w:r>
              <w:rPr>
                <w:rFonts w:ascii="Helvetica" w:hAnsi="Helvetica" w:cs="Helvetica"/>
                <w:i/>
                <w:sz w:val="18"/>
                <w:szCs w:val="18"/>
              </w:rPr>
              <w:t>funiculosum</w:t>
            </w:r>
            <w:r>
              <w:rPr>
                <w:rFonts w:ascii="Helvetica" w:hAnsi="Helvetica" w:cs="Helvetica"/>
                <w:sz w:val="18"/>
                <w:szCs w:val="18"/>
              </w:rPr>
              <w:t xml:space="preserve"> Thom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Penicillium</w:t>
            </w:r>
            <w:r>
              <w:rPr>
                <w:rFonts w:ascii="Helvetica" w:hAnsi="Helvetica" w:cs="Helvetica"/>
                <w:sz w:val="18"/>
                <w:szCs w:val="18"/>
                <w:lang w:val="de-DE"/>
              </w:rPr>
              <w:t xml:space="preserve"> </w:t>
            </w:r>
            <w:r>
              <w:rPr>
                <w:rFonts w:ascii="Helvetica" w:hAnsi="Helvetica" w:cs="Helvetica"/>
                <w:i/>
                <w:sz w:val="18"/>
                <w:szCs w:val="18"/>
                <w:lang w:val="de-DE"/>
              </w:rPr>
              <w:t>glabrum</w:t>
            </w:r>
            <w:r>
              <w:rPr>
                <w:rFonts w:ascii="Helvetica" w:hAnsi="Helvetica" w:cs="Helvetica"/>
                <w:sz w:val="18"/>
                <w:szCs w:val="18"/>
                <w:lang w:val="de-DE"/>
              </w:rPr>
              <w:t xml:space="preserve"> (Wehmer) Westling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Assessment not required </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griseoroseum</w:t>
            </w:r>
            <w:r>
              <w:rPr>
                <w:rFonts w:ascii="Helvetica" w:hAnsi="Helvetica" w:cs="Helvetica"/>
                <w:sz w:val="18"/>
                <w:szCs w:val="18"/>
              </w:rPr>
              <w:t xml:space="preserve"> Dierckx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 xml:space="preserve">Penicillium </w:t>
            </w:r>
            <w:r>
              <w:rPr>
                <w:rFonts w:ascii="Helvetica" w:hAnsi="Helvetica" w:cs="Helvetica"/>
                <w:sz w:val="18"/>
                <w:szCs w:val="18"/>
              </w:rPr>
              <w:t xml:space="preserve">species occur in soil, on decaying plant debris, decomposing fruits and stored products (Jones and Aldwinkle 1991; Shim </w:t>
            </w:r>
            <w:r>
              <w:rPr>
                <w:rFonts w:ascii="Helvetica" w:hAnsi="Helvetica" w:cs="Helvetica"/>
                <w:i/>
                <w:sz w:val="18"/>
                <w:szCs w:val="18"/>
              </w:rPr>
              <w:t xml:space="preserve">et al. </w:t>
            </w:r>
            <w:r>
              <w:rPr>
                <w:rFonts w:ascii="Helvetica" w:hAnsi="Helvetica" w:cs="Helvetica"/>
                <w:sz w:val="18"/>
                <w:szCs w:val="18"/>
              </w:rPr>
              <w:t xml:space="preserve">2002; Schmidt </w:t>
            </w:r>
            <w:r>
              <w:rPr>
                <w:rFonts w:ascii="Helvetica" w:hAnsi="Helvetica" w:cs="Helvetica"/>
                <w:i/>
                <w:sz w:val="18"/>
                <w:szCs w:val="18"/>
              </w:rPr>
              <w:t>et al</w:t>
            </w:r>
            <w:r>
              <w:rPr>
                <w:rFonts w:ascii="Helvetica" w:hAnsi="Helvetica" w:cs="Helvetica"/>
                <w:sz w:val="18"/>
                <w:szCs w:val="18"/>
              </w:rPr>
              <w:t xml:space="preserve">. 2006; Okafor </w:t>
            </w:r>
            <w:r>
              <w:rPr>
                <w:rFonts w:ascii="Helvetica" w:hAnsi="Helvetica" w:cs="Helvetica"/>
                <w:i/>
                <w:sz w:val="18"/>
                <w:szCs w:val="18"/>
              </w:rPr>
              <w:t>et al</w:t>
            </w:r>
            <w:r>
              <w:rPr>
                <w:rFonts w:ascii="Helvetica" w:hAnsi="Helvetica" w:cs="Helvetica"/>
                <w:sz w:val="18"/>
                <w:szCs w:val="18"/>
              </w:rPr>
              <w:t>. 2007). Therefore, dormant cuttings do not provide a pathway for this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w:t>
            </w:r>
            <w:r>
              <w:rPr>
                <w:rFonts w:ascii="Helvetica" w:hAnsi="Helvetica" w:cs="Helvetica"/>
                <w:sz w:val="18"/>
                <w:szCs w:val="18"/>
              </w:rPr>
              <w:t xml:space="preserve"> </w:t>
            </w:r>
            <w:r>
              <w:rPr>
                <w:rFonts w:ascii="Helvetica" w:hAnsi="Helvetica" w:cs="Helvetica"/>
                <w:i/>
                <w:sz w:val="18"/>
                <w:szCs w:val="18"/>
              </w:rPr>
              <w:t>italicum</w:t>
            </w:r>
            <w:r>
              <w:rPr>
                <w:rFonts w:ascii="Helvetica" w:hAnsi="Helvetica" w:cs="Helvetica"/>
                <w:sz w:val="18"/>
                <w:szCs w:val="18"/>
              </w:rPr>
              <w:t xml:space="preserve"> Wehmer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w:t>
            </w:r>
            <w:r>
              <w:rPr>
                <w:rFonts w:ascii="Helvetica" w:hAnsi="Helvetica" w:cs="Helvetica"/>
                <w:sz w:val="18"/>
                <w:szCs w:val="18"/>
              </w:rPr>
              <w:t xml:space="preserve"> </w:t>
            </w:r>
            <w:r>
              <w:rPr>
                <w:rFonts w:ascii="Helvetica" w:hAnsi="Helvetica" w:cs="Helvetica"/>
                <w:i/>
                <w:sz w:val="18"/>
                <w:szCs w:val="18"/>
              </w:rPr>
              <w:t>janthenellum</w:t>
            </w:r>
            <w:r>
              <w:rPr>
                <w:rFonts w:ascii="Helvetica" w:hAnsi="Helvetica" w:cs="Helvetica"/>
                <w:sz w:val="18"/>
                <w:szCs w:val="18"/>
              </w:rPr>
              <w:t xml:space="preserve"> Biourge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Penicillium</w:t>
            </w:r>
            <w:r>
              <w:rPr>
                <w:rFonts w:ascii="Helvetica" w:hAnsi="Helvetica" w:cs="Helvetica"/>
                <w:sz w:val="18"/>
                <w:szCs w:val="18"/>
              </w:rPr>
              <w:t xml:space="preserve"> species occur in soil, on decaying plant debris, decomposing fruits and stored products (Jones and Aldwinkle 1991; Shim </w:t>
            </w:r>
            <w:r>
              <w:rPr>
                <w:rFonts w:ascii="Helvetica" w:hAnsi="Helvetica" w:cs="Helvetica"/>
                <w:i/>
                <w:sz w:val="18"/>
                <w:szCs w:val="18"/>
              </w:rPr>
              <w:t xml:space="preserve">et al. </w:t>
            </w:r>
            <w:r>
              <w:rPr>
                <w:rFonts w:ascii="Helvetica" w:hAnsi="Helvetica" w:cs="Helvetica"/>
                <w:sz w:val="18"/>
                <w:szCs w:val="18"/>
              </w:rPr>
              <w:t xml:space="preserve">2002; Schmidt </w:t>
            </w:r>
            <w:r>
              <w:rPr>
                <w:rFonts w:ascii="Helvetica" w:hAnsi="Helvetica" w:cs="Helvetica"/>
                <w:i/>
                <w:sz w:val="18"/>
                <w:szCs w:val="18"/>
              </w:rPr>
              <w:t>et al</w:t>
            </w:r>
            <w:r>
              <w:rPr>
                <w:rFonts w:ascii="Helvetica" w:hAnsi="Helvetica" w:cs="Helvetica"/>
                <w:sz w:val="18"/>
                <w:szCs w:val="18"/>
              </w:rPr>
              <w:t xml:space="preserve">. 2006; Okafor </w:t>
            </w:r>
            <w:r>
              <w:rPr>
                <w:rFonts w:ascii="Helvetica" w:hAnsi="Helvetica" w:cs="Helvetica"/>
                <w:i/>
                <w:sz w:val="18"/>
                <w:szCs w:val="18"/>
              </w:rPr>
              <w:t>et al</w:t>
            </w:r>
            <w:r>
              <w:rPr>
                <w:rFonts w:ascii="Helvetica" w:hAnsi="Helvetica" w:cs="Helvetica"/>
                <w:sz w:val="18"/>
                <w:szCs w:val="18"/>
              </w:rPr>
              <w:t>. 2007). Dormant cuttings therefore do not provide a pathway for these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w:t>
            </w:r>
            <w:r>
              <w:rPr>
                <w:rFonts w:ascii="Helvetica" w:hAnsi="Helvetica" w:cs="Helvetica"/>
                <w:sz w:val="18"/>
                <w:szCs w:val="18"/>
              </w:rPr>
              <w:t xml:space="preserve"> </w:t>
            </w:r>
            <w:r>
              <w:rPr>
                <w:rFonts w:ascii="Helvetica" w:hAnsi="Helvetica" w:cs="Helvetica"/>
                <w:i/>
                <w:sz w:val="18"/>
                <w:szCs w:val="18"/>
              </w:rPr>
              <w:t>kloeckeri</w:t>
            </w:r>
            <w:r>
              <w:rPr>
                <w:rFonts w:ascii="Helvetica" w:hAnsi="Helvetica" w:cs="Helvetica"/>
                <w:sz w:val="18"/>
                <w:szCs w:val="18"/>
              </w:rPr>
              <w:t xml:space="preserve"> Pitt [Eurotiales: Trichocomaceae]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Penicillium purpurascens </w:t>
            </w:r>
            <w:r>
              <w:rPr>
                <w:rFonts w:ascii="Helvetica" w:hAnsi="Helvetica" w:cs="Helvetica"/>
                <w:sz w:val="18"/>
                <w:szCs w:val="18"/>
              </w:rPr>
              <w:t>(Sopp) Biourge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rolfsii</w:t>
            </w:r>
            <w:r>
              <w:rPr>
                <w:rFonts w:ascii="Helvetica" w:hAnsi="Helvetica" w:cs="Helvetica"/>
                <w:sz w:val="18"/>
                <w:szCs w:val="18"/>
              </w:rPr>
              <w:t xml:space="preserve"> Thom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solitum</w:t>
            </w:r>
            <w:r>
              <w:rPr>
                <w:rFonts w:ascii="Helvetica" w:hAnsi="Helvetica" w:cs="Helvetica"/>
                <w:sz w:val="18"/>
                <w:szCs w:val="18"/>
              </w:rPr>
              <w:t xml:space="preserve"> var. </w:t>
            </w:r>
            <w:r>
              <w:rPr>
                <w:rFonts w:ascii="Helvetica" w:hAnsi="Helvetica" w:cs="Helvetica"/>
                <w:i/>
                <w:sz w:val="18"/>
                <w:szCs w:val="18"/>
              </w:rPr>
              <w:t>crustosum</w:t>
            </w:r>
            <w:r>
              <w:rPr>
                <w:rFonts w:ascii="Helvetica" w:hAnsi="Helvetica" w:cs="Helvetica"/>
                <w:sz w:val="18"/>
                <w:szCs w:val="18"/>
              </w:rPr>
              <w:t xml:space="preserve"> (Thom) Bridge </w:t>
            </w:r>
            <w:r>
              <w:rPr>
                <w:rFonts w:ascii="Helvetica" w:hAnsi="Helvetica" w:cs="Helvetica"/>
                <w:i/>
                <w:sz w:val="18"/>
                <w:szCs w:val="18"/>
              </w:rPr>
              <w:t>et al</w:t>
            </w:r>
            <w:r>
              <w:rPr>
                <w:rFonts w:ascii="Helvetica" w:hAnsi="Helvetica" w:cs="Helvetica"/>
                <w:sz w:val="18"/>
                <w:szCs w:val="18"/>
              </w:rPr>
              <w:t>.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Penicillium thomii </w:t>
            </w:r>
            <w:r>
              <w:rPr>
                <w:rFonts w:ascii="Helvetica" w:hAnsi="Helvetica" w:cs="Helvetica"/>
                <w:sz w:val="18"/>
                <w:szCs w:val="18"/>
              </w:rPr>
              <w:t>Maire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variabile</w:t>
            </w:r>
            <w:r>
              <w:rPr>
                <w:rFonts w:ascii="Helvetica" w:hAnsi="Helvetica" w:cs="Helvetica"/>
                <w:sz w:val="18"/>
                <w:szCs w:val="18"/>
              </w:rPr>
              <w:t xml:space="preserve"> Sopp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w:t>
            </w:r>
            <w:r>
              <w:rPr>
                <w:rFonts w:ascii="Helvetica" w:hAnsi="Helvetica" w:cs="Helvetica"/>
                <w:i/>
                <w:sz w:val="18"/>
                <w:szCs w:val="18"/>
              </w:rPr>
              <w:t>Penicillium</w:t>
            </w:r>
            <w:r>
              <w:rPr>
                <w:rFonts w:ascii="Helvetica" w:hAnsi="Helvetica" w:cs="Helvetica"/>
                <w:sz w:val="18"/>
                <w:szCs w:val="18"/>
              </w:rPr>
              <w:t xml:space="preserve"> species occur in soil, on decaying plant debris, decomposing fruits and stored products (Jones and Aldwinkle 1991; Shim </w:t>
            </w:r>
            <w:r>
              <w:rPr>
                <w:rFonts w:ascii="Helvetica" w:hAnsi="Helvetica" w:cs="Helvetica"/>
                <w:i/>
                <w:sz w:val="18"/>
                <w:szCs w:val="18"/>
              </w:rPr>
              <w:t xml:space="preserve">et al. </w:t>
            </w:r>
            <w:r>
              <w:rPr>
                <w:rFonts w:ascii="Helvetica" w:hAnsi="Helvetica" w:cs="Helvetica"/>
                <w:sz w:val="18"/>
                <w:szCs w:val="18"/>
              </w:rPr>
              <w:t xml:space="preserve">2002; Schmidt </w:t>
            </w:r>
            <w:r>
              <w:rPr>
                <w:rFonts w:ascii="Helvetica" w:hAnsi="Helvetica" w:cs="Helvetica"/>
                <w:i/>
                <w:sz w:val="18"/>
                <w:szCs w:val="18"/>
              </w:rPr>
              <w:t>et al</w:t>
            </w:r>
            <w:r>
              <w:rPr>
                <w:rFonts w:ascii="Helvetica" w:hAnsi="Helvetica" w:cs="Helvetica"/>
                <w:sz w:val="18"/>
                <w:szCs w:val="18"/>
              </w:rPr>
              <w:t xml:space="preserve">. 2006; Okafor </w:t>
            </w:r>
            <w:r>
              <w:rPr>
                <w:rFonts w:ascii="Helvetica" w:hAnsi="Helvetica" w:cs="Helvetica"/>
                <w:i/>
                <w:sz w:val="18"/>
                <w:szCs w:val="18"/>
              </w:rPr>
              <w:t>et al</w:t>
            </w:r>
            <w:r>
              <w:rPr>
                <w:rFonts w:ascii="Helvetica" w:hAnsi="Helvetica" w:cs="Helvetica"/>
                <w:sz w:val="18"/>
                <w:szCs w:val="18"/>
              </w:rPr>
              <w:t>. 2007). Dormant cuttings therefore do not provide a pathway for these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w:t>
            </w:r>
            <w:r>
              <w:rPr>
                <w:rFonts w:ascii="Helvetica" w:hAnsi="Helvetica" w:cs="Helvetica"/>
                <w:sz w:val="18"/>
                <w:szCs w:val="18"/>
              </w:rPr>
              <w:t xml:space="preserve"> </w:t>
            </w:r>
            <w:r>
              <w:rPr>
                <w:rFonts w:ascii="Helvetica" w:hAnsi="Helvetica" w:cs="Helvetica"/>
                <w:i/>
                <w:sz w:val="18"/>
                <w:szCs w:val="18"/>
              </w:rPr>
              <w:t>viridicatum</w:t>
            </w:r>
            <w:r>
              <w:rPr>
                <w:rFonts w:ascii="Helvetica" w:hAnsi="Helvetica" w:cs="Helvetica"/>
                <w:sz w:val="18"/>
                <w:szCs w:val="18"/>
              </w:rPr>
              <w:t xml:space="preserve"> Westling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vitis</w:t>
            </w:r>
            <w:r>
              <w:rPr>
                <w:rFonts w:ascii="Helvetica" w:hAnsi="Helvetica" w:cs="Helvetica"/>
                <w:sz w:val="18"/>
                <w:szCs w:val="18"/>
              </w:rPr>
              <w:t xml:space="preserve"> Novobr.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Penicillium vulpinum</w:t>
            </w:r>
            <w:r>
              <w:rPr>
                <w:rFonts w:ascii="Helvetica" w:hAnsi="Helvetica" w:cs="Helvetica"/>
                <w:sz w:val="18"/>
                <w:szCs w:val="18"/>
              </w:rPr>
              <w:t xml:space="preserve"> (Cooke &amp; Massee) Seifert &amp; Samson [Eurotiales: Trichocomaceae]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Peniophora albobadia</w:t>
            </w:r>
            <w:r>
              <w:rPr>
                <w:rFonts w:ascii="Helvetica" w:hAnsi="Helvetica" w:cs="Helvetica"/>
                <w:sz w:val="18"/>
                <w:szCs w:val="18"/>
              </w:rPr>
              <w:t xml:space="preserve"> (Schwein.) Boidin [Russulales: Peniophoraceae]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 xml:space="preserve">Peniophora </w:t>
            </w:r>
            <w:r>
              <w:rPr>
                <w:rFonts w:ascii="Helvetica" w:hAnsi="Helvetica" w:cs="Helvetica"/>
                <w:sz w:val="18"/>
                <w:szCs w:val="18"/>
              </w:rPr>
              <w:t xml:space="preserve">species are saprobic and found on dead, bark-covered branches (Farr </w:t>
            </w:r>
            <w:r>
              <w:rPr>
                <w:rFonts w:ascii="Helvetica" w:hAnsi="Helvetica" w:cs="Helvetica"/>
                <w:i/>
                <w:sz w:val="18"/>
                <w:szCs w:val="18"/>
              </w:rPr>
              <w:t>et al</w:t>
            </w:r>
            <w:r>
              <w:rPr>
                <w:rFonts w:ascii="Helvetica" w:hAnsi="Helvetica" w:cs="Helvetica"/>
                <w:sz w:val="18"/>
                <w:szCs w:val="18"/>
              </w:rPr>
              <w:t>. 1989).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highlight w:val="yellow"/>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Perenniporia</w:t>
            </w:r>
            <w:r>
              <w:rPr>
                <w:rFonts w:ascii="Helvetica" w:hAnsi="Helvetica" w:cs="Helvetica"/>
                <w:sz w:val="18"/>
                <w:szCs w:val="18"/>
              </w:rPr>
              <w:t xml:space="preserve"> </w:t>
            </w:r>
            <w:r>
              <w:rPr>
                <w:rFonts w:ascii="Helvetica" w:hAnsi="Helvetica" w:cs="Helvetica"/>
                <w:i/>
                <w:sz w:val="18"/>
                <w:szCs w:val="18"/>
              </w:rPr>
              <w:t>medulla</w:t>
            </w:r>
            <w:r>
              <w:rPr>
                <w:rFonts w:ascii="Helvetica" w:hAnsi="Helvetica" w:cs="Helvetica"/>
                <w:sz w:val="18"/>
                <w:szCs w:val="18"/>
              </w:rPr>
              <w:t>-</w:t>
            </w:r>
            <w:r>
              <w:rPr>
                <w:rFonts w:ascii="Helvetica" w:hAnsi="Helvetica" w:cs="Helvetica"/>
                <w:i/>
                <w:sz w:val="18"/>
                <w:szCs w:val="18"/>
              </w:rPr>
              <w:t>panis</w:t>
            </w:r>
            <w:r>
              <w:rPr>
                <w:rFonts w:ascii="Helvetica" w:hAnsi="Helvetica" w:cs="Helvetica"/>
                <w:sz w:val="18"/>
                <w:szCs w:val="18"/>
              </w:rPr>
              <w:t xml:space="preserve"> (Jacq.) Donk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Perenniporia</w:t>
            </w:r>
            <w:r>
              <w:rPr>
                <w:rFonts w:ascii="Helvetica" w:hAnsi="Helvetica" w:cs="Helvetica"/>
                <w:sz w:val="18"/>
                <w:szCs w:val="18"/>
              </w:rPr>
              <w:t xml:space="preserve"> </w:t>
            </w:r>
            <w:r>
              <w:rPr>
                <w:rFonts w:ascii="Helvetica" w:hAnsi="Helvetica" w:cs="Helvetica"/>
                <w:i/>
                <w:sz w:val="18"/>
                <w:szCs w:val="18"/>
              </w:rPr>
              <w:t>tenuis</w:t>
            </w:r>
            <w:r>
              <w:rPr>
                <w:rFonts w:ascii="Helvetica" w:hAnsi="Helvetica" w:cs="Helvetica"/>
                <w:sz w:val="18"/>
                <w:szCs w:val="18"/>
              </w:rPr>
              <w:t xml:space="preserve"> var. </w:t>
            </w:r>
            <w:r>
              <w:rPr>
                <w:rFonts w:ascii="Helvetica" w:hAnsi="Helvetica" w:cs="Helvetica"/>
                <w:i/>
                <w:sz w:val="18"/>
                <w:szCs w:val="18"/>
              </w:rPr>
              <w:t>tenuis</w:t>
            </w:r>
            <w:r>
              <w:rPr>
                <w:rFonts w:ascii="Helvetica" w:hAnsi="Helvetica" w:cs="Helvetica"/>
                <w:sz w:val="18"/>
                <w:szCs w:val="18"/>
              </w:rPr>
              <w:t xml:space="preserve"> (Schwein.) Ryvarden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This species occurs on bark or wood causing white rot (Gilbertson and Bigelow 1998; Farr and Rossman 2011).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Periconia</w:t>
            </w:r>
            <w:r>
              <w:rPr>
                <w:rFonts w:ascii="Helvetica" w:hAnsi="Helvetica" w:cs="Helvetica"/>
                <w:sz w:val="18"/>
                <w:szCs w:val="18"/>
              </w:rPr>
              <w:t xml:space="preserve"> </w:t>
            </w:r>
            <w:r>
              <w:rPr>
                <w:rFonts w:ascii="Helvetica" w:hAnsi="Helvetica" w:cs="Helvetica"/>
                <w:i/>
                <w:sz w:val="18"/>
                <w:szCs w:val="18"/>
              </w:rPr>
              <w:t>byssoides</w:t>
            </w:r>
            <w:r>
              <w:rPr>
                <w:rFonts w:ascii="Helvetica" w:hAnsi="Helvetica" w:cs="Helvetica"/>
                <w:sz w:val="18"/>
                <w:szCs w:val="18"/>
              </w:rPr>
              <w:t xml:space="preserve"> Pers. [Pleosporales: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briardii</w:t>
            </w:r>
            <w:r>
              <w:rPr>
                <w:rFonts w:ascii="Helvetica" w:hAnsi="Helvetica" w:cs="Helvetica"/>
                <w:sz w:val="18"/>
                <w:szCs w:val="18"/>
              </w:rPr>
              <w:t xml:space="preserve"> Lendn.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members of this genus are secondary pathogens; they are saprophytic on dead and dying plant tissues (CAES 2008).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ropaea</w:t>
            </w:r>
            <w:r>
              <w:rPr>
                <w:rFonts w:ascii="Helvetica" w:hAnsi="Helvetica" w:cs="Helvetica"/>
                <w:sz w:val="18"/>
                <w:szCs w:val="18"/>
              </w:rPr>
              <w:t xml:space="preserve"> Grove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malicola</w:t>
            </w:r>
            <w:r>
              <w:rPr>
                <w:rFonts w:ascii="Helvetica" w:hAnsi="Helvetica" w:cs="Helvetica"/>
                <w:sz w:val="18"/>
                <w:szCs w:val="18"/>
              </w:rPr>
              <w:t xml:space="preserve"> Hori.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menezesiana</w:t>
            </w:r>
            <w:r>
              <w:rPr>
                <w:rFonts w:ascii="Helvetica" w:hAnsi="Helvetica" w:cs="Helvetica"/>
                <w:sz w:val="18"/>
                <w:szCs w:val="18"/>
              </w:rPr>
              <w:t xml:space="preserve"> Bres. &amp; Torrend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monochaetoidea</w:t>
            </w:r>
            <w:r>
              <w:rPr>
                <w:rFonts w:ascii="Helvetica" w:hAnsi="Helvetica" w:cs="Helvetica"/>
                <w:sz w:val="18"/>
                <w:szCs w:val="18"/>
              </w:rPr>
              <w:t xml:space="preserve"> var. </w:t>
            </w:r>
            <w:r>
              <w:rPr>
                <w:rFonts w:ascii="Helvetica" w:hAnsi="Helvetica" w:cs="Helvetica"/>
                <w:i/>
                <w:sz w:val="18"/>
                <w:szCs w:val="18"/>
              </w:rPr>
              <w:t>affinis</w:t>
            </w:r>
            <w:r>
              <w:rPr>
                <w:rFonts w:ascii="Helvetica" w:hAnsi="Helvetica" w:cs="Helvetica"/>
                <w:sz w:val="18"/>
                <w:szCs w:val="18"/>
              </w:rPr>
              <w:t xml:space="preserve"> Sacc. &amp; Briard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pezizoides</w:t>
            </w:r>
            <w:r>
              <w:rPr>
                <w:rFonts w:ascii="Helvetica" w:hAnsi="Helvetica" w:cs="Helvetica"/>
                <w:sz w:val="18"/>
                <w:szCs w:val="18"/>
              </w:rPr>
              <w:t xml:space="preserve"> De Not. [Xylariales: Amphisphaeriaceae]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pitospora</w:t>
            </w:r>
            <w:r>
              <w:rPr>
                <w:rFonts w:ascii="Helvetica" w:hAnsi="Helvetica" w:cs="Helvetica"/>
                <w:sz w:val="18"/>
                <w:szCs w:val="18"/>
              </w:rPr>
              <w:t xml:space="preserve"> MEA Costa &amp; Sousa da Câmara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quadriciliata</w:t>
            </w:r>
            <w:r>
              <w:rPr>
                <w:rFonts w:ascii="Helvetica" w:hAnsi="Helvetica" w:cs="Helvetica"/>
                <w:sz w:val="18"/>
                <w:szCs w:val="18"/>
              </w:rPr>
              <w:t xml:space="preserve"> Bubak &amp; Dearness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Pestalotia thuemenii</w:t>
            </w:r>
            <w:r>
              <w:rPr>
                <w:rFonts w:ascii="Helvetica" w:hAnsi="Helvetica" w:cs="Helvetica"/>
                <w:sz w:val="18"/>
                <w:szCs w:val="18"/>
              </w:rPr>
              <w:t xml:space="preserve"> Speg.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uniseta</w:t>
            </w:r>
            <w:r>
              <w:rPr>
                <w:rFonts w:ascii="Helvetica" w:hAnsi="Helvetica" w:cs="Helvetica"/>
                <w:sz w:val="18"/>
                <w:szCs w:val="18"/>
              </w:rPr>
              <w:t xml:space="preserve"> Tracy &amp; Earle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Pestalotia</w:t>
            </w:r>
            <w:r>
              <w:rPr>
                <w:rFonts w:ascii="Helvetica" w:hAnsi="Helvetica" w:cs="Helvetica"/>
                <w:sz w:val="18"/>
                <w:szCs w:val="18"/>
              </w:rPr>
              <w:t xml:space="preserve"> </w:t>
            </w:r>
            <w:r>
              <w:rPr>
                <w:rFonts w:ascii="Helvetica" w:hAnsi="Helvetica" w:cs="Helvetica"/>
                <w:i/>
                <w:sz w:val="18"/>
                <w:szCs w:val="18"/>
              </w:rPr>
              <w:t>viticola</w:t>
            </w:r>
            <w:r>
              <w:rPr>
                <w:rFonts w:ascii="Helvetica" w:hAnsi="Helvetica" w:cs="Helvetica"/>
                <w:sz w:val="18"/>
                <w:szCs w:val="18"/>
              </w:rPr>
              <w:t xml:space="preserve"> Cavara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(Sergeeva </w:t>
            </w:r>
            <w:r>
              <w:rPr>
                <w:rFonts w:ascii="Helvetica" w:hAnsi="Helvetica" w:cs="Helvetica"/>
                <w:i/>
                <w:sz w:val="18"/>
                <w:szCs w:val="18"/>
              </w:rPr>
              <w:t>et al.</w:t>
            </w:r>
            <w:r>
              <w:rPr>
                <w:rFonts w:ascii="Helvetica" w:hAnsi="Helvetica" w:cs="Helvetica"/>
                <w:sz w:val="18"/>
                <w:szCs w:val="18"/>
              </w:rPr>
              <w:t xml:space="preserve">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03" w:history="1">
              <w:r>
                <w:rPr>
                  <w:rFonts w:ascii="Helvetica" w:hAnsi="Helvetica" w:cs="Helvetica"/>
                  <w:i/>
                  <w:sz w:val="18"/>
                  <w:szCs w:val="18"/>
                </w:rPr>
                <w:t>Pestalotiopsis</w:t>
              </w:r>
              <w:r>
                <w:rPr>
                  <w:rFonts w:ascii="Helvetica" w:hAnsi="Helvetica" w:cs="Helvetica"/>
                  <w:sz w:val="18"/>
                  <w:szCs w:val="18"/>
                </w:rPr>
                <w:t xml:space="preserve"> </w:t>
              </w:r>
              <w:r>
                <w:rPr>
                  <w:rFonts w:ascii="Helvetica" w:hAnsi="Helvetica" w:cs="Helvetica"/>
                  <w:i/>
                  <w:sz w:val="18"/>
                  <w:szCs w:val="18"/>
                </w:rPr>
                <w:t>funerea</w:t>
              </w:r>
            </w:hyperlink>
            <w:r>
              <w:rPr>
                <w:rFonts w:ascii="Helvetica" w:hAnsi="Helvetica" w:cs="Helvetica"/>
                <w:sz w:val="18"/>
                <w:szCs w:val="18"/>
              </w:rPr>
              <w:t xml:space="preserve"> (Desm.) Steyaert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Pestalotiopsis</w:t>
            </w:r>
            <w:r>
              <w:rPr>
                <w:rFonts w:ascii="Helvetica" w:hAnsi="Helvetica" w:cs="Helvetica"/>
                <w:sz w:val="18"/>
                <w:szCs w:val="18"/>
              </w:rPr>
              <w:t xml:space="preserve"> </w:t>
            </w:r>
            <w:r>
              <w:rPr>
                <w:rFonts w:ascii="Helvetica" w:hAnsi="Helvetica" w:cs="Helvetica"/>
                <w:i/>
                <w:sz w:val="18"/>
                <w:szCs w:val="18"/>
              </w:rPr>
              <w:t>guepinii</w:t>
            </w:r>
            <w:r>
              <w:rPr>
                <w:rFonts w:ascii="Helvetica" w:hAnsi="Helvetica" w:cs="Helvetica"/>
                <w:sz w:val="18"/>
                <w:szCs w:val="18"/>
              </w:rPr>
              <w:t xml:space="preserve"> (Desm.) Steyaert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Pestalotiopsis</w:t>
            </w:r>
            <w:r>
              <w:rPr>
                <w:rFonts w:ascii="Helvetica" w:hAnsi="Helvetica" w:cs="Helvetica"/>
                <w:sz w:val="18"/>
                <w:szCs w:val="18"/>
              </w:rPr>
              <w:t xml:space="preserve"> </w:t>
            </w:r>
            <w:r>
              <w:rPr>
                <w:rFonts w:ascii="Helvetica" w:hAnsi="Helvetica" w:cs="Helvetica"/>
                <w:i/>
                <w:sz w:val="18"/>
                <w:szCs w:val="18"/>
              </w:rPr>
              <w:t>menezesiana</w:t>
            </w:r>
            <w:r>
              <w:rPr>
                <w:rFonts w:ascii="Helvetica" w:hAnsi="Helvetica" w:cs="Helvetica"/>
                <w:sz w:val="18"/>
                <w:szCs w:val="18"/>
              </w:rPr>
              <w:t xml:space="preserve"> (Bres. &amp; Torrend) Bissett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Sergeeva </w:t>
            </w:r>
            <w:r>
              <w:rPr>
                <w:rFonts w:ascii="Helvetica" w:hAnsi="Helvetica" w:cs="Helvetica"/>
                <w:bCs/>
                <w:i/>
                <w:sz w:val="18"/>
                <w:szCs w:val="18"/>
              </w:rPr>
              <w:t>et al</w:t>
            </w:r>
            <w:r>
              <w:rPr>
                <w:rFonts w:ascii="Helvetica" w:hAnsi="Helvetica" w:cs="Helvetica"/>
                <w:bCs/>
                <w:sz w:val="18"/>
                <w:szCs w:val="18"/>
              </w:rPr>
              <w:t>. 2005</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Pestalotiopsis</w:t>
            </w:r>
            <w:r>
              <w:rPr>
                <w:rFonts w:ascii="Helvetica" w:hAnsi="Helvetica" w:cs="Helvetica"/>
                <w:sz w:val="18"/>
                <w:szCs w:val="18"/>
              </w:rPr>
              <w:t xml:space="preserve"> </w:t>
            </w:r>
            <w:r>
              <w:rPr>
                <w:rFonts w:ascii="Helvetica" w:hAnsi="Helvetica" w:cs="Helvetica"/>
                <w:i/>
                <w:sz w:val="18"/>
                <w:szCs w:val="18"/>
              </w:rPr>
              <w:t>uvicola</w:t>
            </w:r>
            <w:r>
              <w:rPr>
                <w:rFonts w:ascii="Helvetica" w:hAnsi="Helvetica" w:cs="Helvetica"/>
                <w:sz w:val="18"/>
                <w:szCs w:val="18"/>
              </w:rPr>
              <w:t xml:space="preserve"> (Speg.) Biss.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Sergeeva </w:t>
            </w:r>
            <w:r>
              <w:rPr>
                <w:rFonts w:ascii="Helvetica" w:hAnsi="Helvetica" w:cs="Helvetica"/>
                <w:bCs/>
                <w:i/>
                <w:sz w:val="18"/>
                <w:szCs w:val="18"/>
              </w:rPr>
              <w:t>et al</w:t>
            </w:r>
            <w:r>
              <w:rPr>
                <w:rFonts w:ascii="Helvetica" w:hAnsi="Helvetica" w:cs="Helvetica"/>
                <w:bCs/>
                <w:sz w:val="18"/>
                <w:szCs w:val="18"/>
              </w:rPr>
              <w:t>. 2005</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bCs/>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aleophilum</w:t>
            </w:r>
            <w:r>
              <w:rPr>
                <w:rFonts w:ascii="Helvetica" w:hAnsi="Helvetica" w:cs="Helvetica"/>
                <w:sz w:val="18"/>
                <w:szCs w:val="18"/>
              </w:rPr>
              <w:t xml:space="preserve"> Gams </w:t>
            </w:r>
            <w:r>
              <w:rPr>
                <w:rFonts w:ascii="Helvetica" w:hAnsi="Helvetica" w:cs="Helvetica"/>
                <w:i/>
                <w:sz w:val="18"/>
                <w:szCs w:val="18"/>
              </w:rPr>
              <w:t>et al</w:t>
            </w:r>
            <w:r>
              <w:rPr>
                <w:rFonts w:ascii="Helvetica" w:hAnsi="Helvetica" w:cs="Helvetica"/>
                <w:sz w:val="18"/>
                <w:szCs w:val="18"/>
              </w:rPr>
              <w:t xml:space="preserve">. [Diaporthales: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(Edwards and Pascoe 2004)</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lang w:val="de-DE"/>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lang w:val="de-DE"/>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alvesii</w:t>
            </w:r>
            <w:r>
              <w:rPr>
                <w:rFonts w:ascii="Helvetica" w:hAnsi="Helvetica" w:cs="Helvetica"/>
                <w:sz w:val="18"/>
                <w:szCs w:val="18"/>
              </w:rPr>
              <w:t xml:space="preserve"> Mostert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Phaeoacromonium</w:t>
            </w:r>
            <w:r>
              <w:rPr>
                <w:rFonts w:ascii="Helvetica" w:hAnsi="Helvetica" w:cs="Helvetica"/>
                <w:sz w:val="18"/>
                <w:szCs w:val="18"/>
              </w:rPr>
              <w:t xml:space="preserve"> species</w:t>
            </w:r>
            <w:r>
              <w:rPr>
                <w:rStyle w:val="FootnoteReference"/>
                <w:rFonts w:ascii="Helvetica" w:hAnsi="Helvetica" w:cs="Helvetica"/>
                <w:szCs w:val="18"/>
              </w:rPr>
              <w:footnoteReference w:id="14"/>
            </w:r>
            <w:r>
              <w:rPr>
                <w:rFonts w:ascii="Helvetica" w:hAnsi="Helvetica" w:cs="Helvetica"/>
                <w:sz w:val="18"/>
                <w:szCs w:val="18"/>
              </w:rPr>
              <w:t xml:space="preserve"> colonise the vascular system of plants (Chicau </w:t>
            </w:r>
            <w:r>
              <w:rPr>
                <w:rFonts w:ascii="Helvetica" w:hAnsi="Helvetica" w:cs="Helvetica"/>
                <w:i/>
                <w:sz w:val="18"/>
                <w:szCs w:val="18"/>
              </w:rPr>
              <w:t>et al</w:t>
            </w:r>
            <w:r>
              <w:rPr>
                <w:rFonts w:ascii="Helvetica" w:hAnsi="Helvetica" w:cs="Helvetica"/>
                <w:sz w:val="18"/>
                <w:szCs w:val="18"/>
              </w:rPr>
              <w:t xml:space="preserve">. 2000; Marco </w:t>
            </w:r>
            <w:r>
              <w:rPr>
                <w:rFonts w:ascii="Helvetica" w:hAnsi="Helvetica" w:cs="Helvetica"/>
                <w:i/>
                <w:sz w:val="18"/>
                <w:szCs w:val="18"/>
              </w:rPr>
              <w:t>et al</w:t>
            </w:r>
            <w:r>
              <w:rPr>
                <w:rFonts w:ascii="Helvetica" w:hAnsi="Helvetica" w:cs="Helvetica"/>
                <w:sz w:val="18"/>
                <w:szCs w:val="18"/>
              </w:rPr>
              <w:t xml:space="preserve">. 2004; Eskalen </w:t>
            </w:r>
            <w:r>
              <w:rPr>
                <w:rFonts w:ascii="Helvetica" w:hAnsi="Helvetica" w:cs="Helvetica"/>
                <w:i/>
                <w:sz w:val="18"/>
                <w:szCs w:val="18"/>
              </w:rPr>
              <w:t>et al.</w:t>
            </w:r>
            <w:r>
              <w:rPr>
                <w:rFonts w:ascii="Helvetica" w:hAnsi="Helvetica" w:cs="Helvetica"/>
                <w:sz w:val="18"/>
                <w:szCs w:val="18"/>
              </w:rPr>
              <w:t xml:space="preserve"> 2005; Mostert </w:t>
            </w:r>
            <w:r>
              <w:rPr>
                <w:rFonts w:ascii="Helvetica" w:hAnsi="Helvetica" w:cs="Helvetica"/>
                <w:i/>
                <w:sz w:val="18"/>
                <w:szCs w:val="18"/>
              </w:rPr>
              <w:t>et al</w:t>
            </w:r>
            <w:r>
              <w:rPr>
                <w:rFonts w:ascii="Helvetica" w:hAnsi="Helvetica" w:cs="Helvetica"/>
                <w:sz w:val="18"/>
                <w:szCs w:val="18"/>
              </w:rPr>
              <w:t xml:space="preserve">. 2006b; Gramaje </w:t>
            </w:r>
            <w:r>
              <w:rPr>
                <w:rFonts w:ascii="Helvetica" w:hAnsi="Helvetica" w:cs="Helvetica"/>
                <w:i/>
                <w:sz w:val="18"/>
                <w:szCs w:val="18"/>
              </w:rPr>
              <w:t>et al.</w:t>
            </w:r>
            <w:r>
              <w:rPr>
                <w:rFonts w:ascii="Helvetica" w:hAnsi="Helvetica" w:cs="Helvetica"/>
                <w:sz w:val="18"/>
                <w:szCs w:val="18"/>
              </w:rPr>
              <w:t xml:space="preserve"> 2007; Essakhi </w:t>
            </w:r>
            <w:r>
              <w:rPr>
                <w:rFonts w:ascii="Helvetica" w:hAnsi="Helvetica" w:cs="Helvetica"/>
                <w:i/>
                <w:sz w:val="18"/>
                <w:szCs w:val="18"/>
              </w:rPr>
              <w:t>et al</w:t>
            </w:r>
            <w:r>
              <w:rPr>
                <w:rFonts w:ascii="Helvetica" w:hAnsi="Helvetica" w:cs="Helvetica"/>
                <w:sz w:val="18"/>
                <w:szCs w:val="18"/>
              </w:rPr>
              <w:t xml:space="preserve">. 2008; Gramaje </w:t>
            </w:r>
            <w:r>
              <w:rPr>
                <w:rFonts w:ascii="Helvetica" w:hAnsi="Helvetica" w:cs="Helvetica"/>
                <w:i/>
                <w:sz w:val="18"/>
                <w:szCs w:val="18"/>
              </w:rPr>
              <w:t>et al</w:t>
            </w:r>
            <w:r>
              <w:rPr>
                <w:rFonts w:ascii="Helvetica" w:hAnsi="Helvetica" w:cs="Helvetica"/>
                <w:sz w:val="18"/>
                <w:szCs w:val="18"/>
              </w:rPr>
              <w:t xml:space="preserve">. 2009a). These fungi have been found in apparently healthy asymptomatic grapevines (Ridgway </w:t>
            </w:r>
            <w:r>
              <w:rPr>
                <w:rFonts w:ascii="Helvetica" w:hAnsi="Helvetica" w:cs="Helvetica"/>
                <w:i/>
                <w:sz w:val="18"/>
                <w:szCs w:val="18"/>
              </w:rPr>
              <w:t>et al</w:t>
            </w:r>
            <w:r>
              <w:rPr>
                <w:rFonts w:ascii="Helvetica" w:hAnsi="Helvetica" w:cs="Helvetica"/>
                <w:sz w:val="18"/>
                <w:szCs w:val="18"/>
              </w:rPr>
              <w:t xml:space="preserve">. 2003; Aroca and Raposo 2009). Therefore, propagative material </w:t>
            </w:r>
            <w:r>
              <w:rPr>
                <w:rFonts w:ascii="Helvetica" w:hAnsi="Helvetica" w:cs="Helvetica"/>
                <w:bCs/>
                <w:sz w:val="18"/>
                <w:szCs w:val="18"/>
              </w:rPr>
              <w:t xml:space="preserve">from countries where </w:t>
            </w:r>
            <w:r>
              <w:rPr>
                <w:rFonts w:ascii="Helvetica" w:hAnsi="Helvetica" w:cs="Helvetica"/>
                <w:i/>
                <w:sz w:val="18"/>
                <w:szCs w:val="18"/>
              </w:rPr>
              <w:t>Phaeoacremonium</w:t>
            </w:r>
            <w:r>
              <w:rPr>
                <w:rFonts w:ascii="Helvetica" w:hAnsi="Helvetica" w:cs="Helvetica"/>
                <w:sz w:val="18"/>
                <w:szCs w:val="18"/>
              </w:rPr>
              <w:t xml:space="preserve"> species</w:t>
            </w:r>
            <w:r>
              <w:rPr>
                <w:rFonts w:ascii="Helvetica" w:hAnsi="Helvetica" w:cs="Helvetica"/>
                <w:bCs/>
                <w:sz w:val="18"/>
                <w:szCs w:val="18"/>
              </w:rPr>
              <w:t xml:space="preserve"> occur may provide a pathway for these pathogens.</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bCs/>
                <w:sz w:val="18"/>
                <w:szCs w:val="18"/>
              </w:rPr>
              <w:t xml:space="preserve">: These fungi have </w:t>
            </w:r>
            <w:r>
              <w:rPr>
                <w:rFonts w:ascii="Helvetica" w:hAnsi="Helvetica" w:cs="Helvetica"/>
                <w:sz w:val="18"/>
                <w:szCs w:val="18"/>
              </w:rPr>
              <w:t>established in areas with a wide range of climatic conditions</w:t>
            </w:r>
            <w:r>
              <w:rPr>
                <w:rFonts w:ascii="Helvetica" w:hAnsi="Helvetica" w:cs="Helvetica"/>
                <w:i/>
                <w:iCs/>
                <w:sz w:val="18"/>
                <w:szCs w:val="18"/>
              </w:rPr>
              <w:t xml:space="preserve"> </w:t>
            </w:r>
            <w:r>
              <w:rPr>
                <w:rFonts w:ascii="Helvetica" w:hAnsi="Helvetica" w:cs="Helvetica"/>
                <w:bCs/>
                <w:sz w:val="18"/>
                <w:szCs w:val="18"/>
              </w:rPr>
              <w:t>(</w:t>
            </w:r>
            <w:r>
              <w:rPr>
                <w:rFonts w:ascii="Helvetica" w:hAnsi="Helvetica" w:cs="Helvetica"/>
                <w:sz w:val="18"/>
                <w:szCs w:val="18"/>
              </w:rPr>
              <w:t xml:space="preserve">Chicau </w:t>
            </w:r>
            <w:r>
              <w:rPr>
                <w:rFonts w:ascii="Helvetica" w:hAnsi="Helvetica" w:cs="Helvetica"/>
                <w:i/>
                <w:sz w:val="18"/>
                <w:szCs w:val="18"/>
              </w:rPr>
              <w:t>et al</w:t>
            </w:r>
            <w:r>
              <w:rPr>
                <w:rFonts w:ascii="Helvetica" w:hAnsi="Helvetica" w:cs="Helvetica"/>
                <w:sz w:val="18"/>
                <w:szCs w:val="18"/>
              </w:rPr>
              <w:t xml:space="preserve">. 2000; Marco </w:t>
            </w:r>
            <w:r>
              <w:rPr>
                <w:rFonts w:ascii="Helvetica" w:hAnsi="Helvetica" w:cs="Helvetica"/>
                <w:i/>
                <w:sz w:val="18"/>
                <w:szCs w:val="18"/>
              </w:rPr>
              <w:t>et al</w:t>
            </w:r>
            <w:r>
              <w:rPr>
                <w:rFonts w:ascii="Helvetica" w:hAnsi="Helvetica" w:cs="Helvetica"/>
                <w:sz w:val="18"/>
                <w:szCs w:val="18"/>
              </w:rPr>
              <w:t xml:space="preserve">. 2004; Eskalen </w:t>
            </w:r>
            <w:r>
              <w:rPr>
                <w:rFonts w:ascii="Helvetica" w:hAnsi="Helvetica" w:cs="Helvetica"/>
                <w:i/>
                <w:sz w:val="18"/>
                <w:szCs w:val="18"/>
              </w:rPr>
              <w:t>et al.</w:t>
            </w:r>
            <w:r>
              <w:rPr>
                <w:rFonts w:ascii="Helvetica" w:hAnsi="Helvetica" w:cs="Helvetica"/>
                <w:sz w:val="18"/>
                <w:szCs w:val="18"/>
              </w:rPr>
              <w:t xml:space="preserve"> 2005; Mostert </w:t>
            </w:r>
            <w:r>
              <w:rPr>
                <w:rFonts w:ascii="Helvetica" w:hAnsi="Helvetica" w:cs="Helvetica"/>
                <w:i/>
                <w:sz w:val="18"/>
                <w:szCs w:val="18"/>
              </w:rPr>
              <w:t>et al</w:t>
            </w:r>
            <w:r>
              <w:rPr>
                <w:rFonts w:ascii="Helvetica" w:hAnsi="Helvetica" w:cs="Helvetica"/>
                <w:sz w:val="18"/>
                <w:szCs w:val="18"/>
              </w:rPr>
              <w:t xml:space="preserve">. 2006b; Gramaje </w:t>
            </w:r>
            <w:r>
              <w:rPr>
                <w:rFonts w:ascii="Helvetica" w:hAnsi="Helvetica" w:cs="Helvetica"/>
                <w:i/>
                <w:sz w:val="18"/>
                <w:szCs w:val="18"/>
              </w:rPr>
              <w:t>et al.</w:t>
            </w:r>
            <w:r>
              <w:rPr>
                <w:rFonts w:ascii="Helvetica" w:hAnsi="Helvetica" w:cs="Helvetica"/>
                <w:sz w:val="18"/>
                <w:szCs w:val="18"/>
              </w:rPr>
              <w:t xml:space="preserve"> 2007; Essakhi </w:t>
            </w:r>
            <w:r>
              <w:rPr>
                <w:rFonts w:ascii="Helvetica" w:hAnsi="Helvetica" w:cs="Helvetica"/>
                <w:i/>
                <w:sz w:val="18"/>
                <w:szCs w:val="18"/>
              </w:rPr>
              <w:t>et al</w:t>
            </w:r>
            <w:r>
              <w:rPr>
                <w:rFonts w:ascii="Helvetica" w:hAnsi="Helvetica" w:cs="Helvetica"/>
                <w:sz w:val="18"/>
                <w:szCs w:val="18"/>
              </w:rPr>
              <w:t xml:space="preserve">. 2008; Gramaje </w:t>
            </w:r>
            <w:r>
              <w:rPr>
                <w:rFonts w:ascii="Helvetica" w:hAnsi="Helvetica" w:cs="Helvetica"/>
                <w:i/>
                <w:sz w:val="18"/>
                <w:szCs w:val="18"/>
              </w:rPr>
              <w:t>et al</w:t>
            </w:r>
            <w:r>
              <w:rPr>
                <w:rFonts w:ascii="Helvetica" w:hAnsi="Helvetica" w:cs="Helvetica"/>
                <w:sz w:val="18"/>
                <w:szCs w:val="18"/>
              </w:rPr>
              <w:t>. 2009a</w:t>
            </w:r>
            <w:r>
              <w:rPr>
                <w:rFonts w:ascii="Helvetica" w:hAnsi="Helvetica" w:cs="Helvetica"/>
                <w:bCs/>
                <w:sz w:val="18"/>
                <w:szCs w:val="18"/>
              </w:rPr>
              <w:t xml:space="preserve">) </w:t>
            </w:r>
            <w:r>
              <w:rPr>
                <w:rFonts w:ascii="Helvetica" w:hAnsi="Helvetica" w:cs="Helvetica"/>
                <w:sz w:val="18"/>
                <w:szCs w:val="18"/>
              </w:rPr>
              <w:t xml:space="preserve">and can spread naturally in infected propagative material (Mugnai </w:t>
            </w:r>
            <w:r>
              <w:rPr>
                <w:rFonts w:ascii="Helvetica" w:hAnsi="Helvetica" w:cs="Helvetica"/>
                <w:i/>
                <w:sz w:val="18"/>
                <w:szCs w:val="18"/>
              </w:rPr>
              <w:t>et al.</w:t>
            </w:r>
            <w:r>
              <w:rPr>
                <w:rFonts w:ascii="Helvetica" w:hAnsi="Helvetica" w:cs="Helvetica"/>
                <w:sz w:val="18"/>
                <w:szCs w:val="18"/>
              </w:rPr>
              <w:t xml:space="preserve"> 1999; </w:t>
            </w:r>
            <w:r>
              <w:rPr>
                <w:rFonts w:ascii="Helvetica" w:hAnsi="Helvetica" w:cs="Helvetica"/>
                <w:bCs/>
                <w:sz w:val="18"/>
                <w:szCs w:val="18"/>
              </w:rPr>
              <w:t xml:space="preserve">Ridgway </w:t>
            </w:r>
            <w:r>
              <w:rPr>
                <w:rFonts w:ascii="Helvetica" w:hAnsi="Helvetica" w:cs="Helvetica"/>
                <w:bCs/>
                <w:i/>
                <w:sz w:val="18"/>
                <w:szCs w:val="18"/>
              </w:rPr>
              <w:t>et al</w:t>
            </w:r>
            <w:r>
              <w:rPr>
                <w:rFonts w:ascii="Helvetica" w:hAnsi="Helvetica" w:cs="Helvetica"/>
                <w:bCs/>
                <w:sz w:val="18"/>
                <w:szCs w:val="18"/>
              </w:rPr>
              <w:t xml:space="preserve">. 2003; Giménez-Jaime </w:t>
            </w:r>
            <w:r>
              <w:rPr>
                <w:rFonts w:ascii="Helvetica" w:hAnsi="Helvetica" w:cs="Helvetica"/>
                <w:bCs/>
                <w:i/>
                <w:sz w:val="18"/>
                <w:szCs w:val="18"/>
              </w:rPr>
              <w:t>et al</w:t>
            </w:r>
            <w:r>
              <w:rPr>
                <w:rFonts w:ascii="Helvetica" w:hAnsi="Helvetica" w:cs="Helvetica"/>
                <w:bCs/>
                <w:sz w:val="18"/>
                <w:szCs w:val="18"/>
              </w:rPr>
              <w:t xml:space="preserve">. 2006; </w:t>
            </w:r>
            <w:r>
              <w:rPr>
                <w:rFonts w:ascii="Helvetica" w:hAnsi="Helvetica" w:cs="Helvetica"/>
                <w:sz w:val="18"/>
                <w:szCs w:val="18"/>
              </w:rPr>
              <w:t>Aroca and Raposo 2009</w:t>
            </w:r>
            <w:r>
              <w:rPr>
                <w:rFonts w:ascii="Helvetica" w:hAnsi="Helvetica" w:cs="Helvetica"/>
                <w:bCs/>
                <w:sz w:val="18"/>
                <w:szCs w:val="18"/>
              </w:rPr>
              <w:t xml:space="preserve">). Multiplication and marketing of infected propagative material will help spread these pathogens within Australia. Additionally, these fungi </w:t>
            </w:r>
            <w:r>
              <w:rPr>
                <w:rFonts w:ascii="Helvetica" w:hAnsi="Helvetica" w:cs="Helvetica"/>
                <w:sz w:val="18"/>
                <w:szCs w:val="18"/>
              </w:rPr>
              <w:t xml:space="preserve">are also known to be wind-borne (Rooney-Latham </w:t>
            </w:r>
            <w:r>
              <w:rPr>
                <w:rFonts w:ascii="Helvetica" w:hAnsi="Helvetica" w:cs="Helvetica"/>
                <w:i/>
                <w:sz w:val="18"/>
                <w:szCs w:val="18"/>
              </w:rPr>
              <w:t>et al</w:t>
            </w:r>
            <w:r>
              <w:rPr>
                <w:rFonts w:ascii="Helvetica" w:hAnsi="Helvetica" w:cs="Helvetica"/>
                <w:sz w:val="18"/>
                <w:szCs w:val="18"/>
              </w:rPr>
              <w:t xml:space="preserve">. 2005) or spread by grafting (Halleen </w:t>
            </w:r>
            <w:r>
              <w:rPr>
                <w:rFonts w:ascii="Helvetica" w:hAnsi="Helvetica" w:cs="Helvetica"/>
                <w:i/>
                <w:sz w:val="18"/>
                <w:szCs w:val="18"/>
              </w:rPr>
              <w:t>et al</w:t>
            </w:r>
            <w:r>
              <w:rPr>
                <w:rFonts w:ascii="Helvetica" w:hAnsi="Helvetica" w:cs="Helvetica"/>
                <w:sz w:val="18"/>
                <w:szCs w:val="18"/>
              </w:rPr>
              <w:t xml:space="preserve">. 2003) and pruning tools (Mugnai </w:t>
            </w:r>
            <w:r>
              <w:rPr>
                <w:rFonts w:ascii="Helvetica" w:hAnsi="Helvetica" w:cs="Helvetica"/>
                <w:i/>
                <w:sz w:val="18"/>
                <w:szCs w:val="18"/>
              </w:rPr>
              <w:t>et al</w:t>
            </w:r>
            <w:r>
              <w:rPr>
                <w:rFonts w:ascii="Helvetica" w:hAnsi="Helvetica" w:cs="Helvetica"/>
                <w:sz w:val="18"/>
                <w:szCs w:val="18"/>
              </w:rPr>
              <w:t xml:space="preserve">. 1999). </w:t>
            </w:r>
            <w:r>
              <w:rPr>
                <w:rFonts w:ascii="Helvetica" w:hAnsi="Helvetica" w:cs="Helvetica"/>
                <w:bCs/>
                <w:sz w:val="18"/>
                <w:szCs w:val="18"/>
              </w:rPr>
              <w:t>Therefore, they have the potential to establish and spread in Australia.</w:t>
            </w:r>
          </w:p>
        </w:tc>
        <w:tc>
          <w:tcPr>
            <w:tcW w:w="2863"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Phaeoacremonium</w:t>
            </w:r>
            <w:r>
              <w:rPr>
                <w:rFonts w:ascii="Helvetica" w:hAnsi="Helvetica" w:cs="Helvetica"/>
                <w:sz w:val="18"/>
                <w:szCs w:val="18"/>
              </w:rPr>
              <w:t xml:space="preserve"> species are involved in Petri disease in young vines and esca in adult vines (Mostert </w:t>
            </w:r>
            <w:r>
              <w:rPr>
                <w:rFonts w:ascii="Helvetica" w:hAnsi="Helvetica" w:cs="Helvetica"/>
                <w:i/>
                <w:sz w:val="18"/>
                <w:szCs w:val="18"/>
              </w:rPr>
              <w:t xml:space="preserve">et al. </w:t>
            </w:r>
            <w:r>
              <w:rPr>
                <w:rFonts w:ascii="Helvetica" w:hAnsi="Helvetica" w:cs="Helvetica"/>
                <w:sz w:val="18"/>
                <w:szCs w:val="18"/>
              </w:rPr>
              <w:t xml:space="preserve">2006a,b; Aroca and Raposo 2009, Gramaje </w:t>
            </w:r>
            <w:r>
              <w:rPr>
                <w:rFonts w:ascii="Helvetica" w:hAnsi="Helvetica" w:cs="Helvetica"/>
                <w:i/>
                <w:sz w:val="18"/>
                <w:szCs w:val="18"/>
              </w:rPr>
              <w:t>et al</w:t>
            </w:r>
            <w:r>
              <w:rPr>
                <w:rFonts w:ascii="Helvetica" w:hAnsi="Helvetica" w:cs="Helvetica"/>
                <w:sz w:val="18"/>
                <w:szCs w:val="18"/>
              </w:rPr>
              <w:t xml:space="preserve">. 2009a). Petri disease pathogens act as pioneer organisms that facilitate the invasion of the wood decay fungi that cause the typical symptoms of Esca disease inside the trunk and branches (Larignon and Dubos 1997). Petri disease and </w:t>
            </w:r>
            <w:r>
              <w:rPr>
                <w:rFonts w:ascii="Helvetica" w:hAnsi="Helvetica" w:cs="Helvetica"/>
                <w:sz w:val="18"/>
                <w:szCs w:val="18"/>
                <w:lang w:eastAsia="en-AU"/>
              </w:rPr>
              <w:t>E</w:t>
            </w:r>
            <w:r>
              <w:rPr>
                <w:rFonts w:ascii="Helvetica" w:hAnsi="Helvetica" w:cs="Helvetica"/>
                <w:sz w:val="18"/>
                <w:szCs w:val="18"/>
              </w:rPr>
              <w:t xml:space="preserve">sca </w:t>
            </w:r>
            <w:r>
              <w:rPr>
                <w:rFonts w:ascii="Helvetica" w:hAnsi="Helvetica" w:cs="Helvetica"/>
                <w:sz w:val="18"/>
                <w:szCs w:val="18"/>
                <w:lang w:eastAsia="en-AU"/>
              </w:rPr>
              <w:t xml:space="preserve">disease </w:t>
            </w:r>
            <w:r>
              <w:rPr>
                <w:rFonts w:ascii="Helvetica" w:hAnsi="Helvetica" w:cs="Helvetica"/>
                <w:sz w:val="18"/>
                <w:szCs w:val="18"/>
              </w:rPr>
              <w:t xml:space="preserve">limit both vineyard longevity and productivity as woody parts of the vine are killed (Urbez- Torres </w:t>
            </w:r>
            <w:r>
              <w:rPr>
                <w:rFonts w:ascii="Helvetica" w:hAnsi="Helvetica" w:cs="Helvetica"/>
                <w:i/>
                <w:sz w:val="18"/>
                <w:szCs w:val="18"/>
              </w:rPr>
              <w:t>et al</w:t>
            </w:r>
            <w:r>
              <w:rPr>
                <w:rFonts w:ascii="Helvetica" w:hAnsi="Helvetica" w:cs="Helvetica"/>
                <w:sz w:val="18"/>
                <w:szCs w:val="18"/>
              </w:rPr>
              <w:t xml:space="preserve">. 2012) and affect yield, wine quality and berry quality (White 2010). Consequently, </w:t>
            </w:r>
            <w:r>
              <w:rPr>
                <w:rFonts w:ascii="Helvetica" w:hAnsi="Helvetica" w:cs="Helvetica"/>
                <w:i/>
                <w:sz w:val="18"/>
                <w:szCs w:val="18"/>
              </w:rPr>
              <w:t>Phaeoacremonium</w:t>
            </w:r>
            <w:r>
              <w:rPr>
                <w:rFonts w:ascii="Helvetica" w:hAnsi="Helvetica" w:cs="Helvetica"/>
                <w:sz w:val="18"/>
                <w:szCs w:val="18"/>
              </w:rPr>
              <w:t xml:space="preserve"> species have great impact on the wine, table grape and raisin industries (White 2010). Therefore, </w:t>
            </w:r>
            <w:r>
              <w:rPr>
                <w:rFonts w:ascii="Helvetica" w:hAnsi="Helvetica" w:cs="Helvetica"/>
                <w:i/>
                <w:sz w:val="18"/>
                <w:szCs w:val="18"/>
              </w:rPr>
              <w:t>Phaeoacremonium</w:t>
            </w:r>
            <w:r>
              <w:rPr>
                <w:rFonts w:ascii="Helvetica" w:hAnsi="Helvetica" w:cs="Helvetica"/>
                <w:sz w:val="18"/>
                <w:szCs w:val="18"/>
              </w:rPr>
              <w:t xml:space="preserve"> strains from grapevines have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lang w:val="de-DE"/>
              </w:rPr>
            </w:pPr>
            <w:r>
              <w:rPr>
                <w:rFonts w:ascii="Helvetica" w:hAnsi="Helvetica" w:cs="Helvetica"/>
                <w:b/>
                <w:sz w:val="18"/>
                <w:szCs w:val="18"/>
                <w:lang w:val="de-DE"/>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 angustius</w:t>
            </w:r>
            <w:r>
              <w:rPr>
                <w:rFonts w:ascii="Helvetica" w:hAnsi="Helvetica" w:cs="Helvetica"/>
                <w:sz w:val="18"/>
                <w:szCs w:val="18"/>
              </w:rPr>
              <w:t xml:space="preserve"> Gams </w:t>
            </w:r>
            <w:r>
              <w:rPr>
                <w:rFonts w:ascii="Helvetica" w:hAnsi="Helvetica" w:cs="Helvetica"/>
                <w:i/>
                <w:sz w:val="18"/>
                <w:szCs w:val="18"/>
              </w:rPr>
              <w:t>et al</w:t>
            </w:r>
            <w:r>
              <w:rPr>
                <w:rFonts w:ascii="Helvetica" w:hAnsi="Helvetica" w:cs="Helvetica"/>
                <w:sz w:val="18"/>
                <w:szCs w:val="18"/>
              </w:rPr>
              <w:t xml:space="preserve">. [Diaporthales: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lang w:val="de-DE"/>
              </w:rPr>
            </w:pPr>
            <w:r>
              <w:rPr>
                <w:rFonts w:ascii="Helvetica" w:hAnsi="Helvetica" w:cs="Helvetica"/>
                <w:b/>
                <w:sz w:val="18"/>
                <w:szCs w:val="18"/>
                <w:lang w:val="de-DE"/>
              </w:rPr>
              <w:t>Yes</w:t>
            </w:r>
          </w:p>
        </w:tc>
      </w:tr>
      <w:tr>
        <w:tc>
          <w:tcPr>
            <w:tcW w:w="3468" w:type="dxa"/>
            <w:tcBorders>
              <w:top w:val="single" w:sz="4" w:space="0" w:color="auto"/>
              <w:left w:val="single" w:sz="12" w:space="0" w:color="008000"/>
              <w:bottom w:val="single" w:sz="4" w:space="0" w:color="auto"/>
              <w:right w:val="single" w:sz="4" w:space="0" w:color="auto"/>
            </w:tcBorders>
          </w:tcPr>
          <w:p>
            <w:pPr>
              <w:autoSpaceDE w:val="0"/>
              <w:autoSpaceDN w:val="0"/>
              <w:spacing w:before="20" w:line="240" w:lineRule="atLeast"/>
              <w:jc w:val="left"/>
              <w:rPr>
                <w:rFonts w:ascii="Helvetica" w:hAnsi="Helvetica" w:cs="Helvetica"/>
                <w:i/>
                <w:sz w:val="18"/>
                <w:szCs w:val="18"/>
              </w:rPr>
            </w:pPr>
            <w:r>
              <w:rPr>
                <w:rFonts w:ascii="Helvetica" w:hAnsi="Helvetica" w:cs="Helvetica"/>
                <w:i/>
                <w:sz w:val="18"/>
                <w:szCs w:val="18"/>
              </w:rPr>
              <w:t xml:space="preserve">Phaeoacremonium </w:t>
            </w:r>
            <w:r>
              <w:rPr>
                <w:rFonts w:ascii="Helvetica" w:hAnsi="Helvetica" w:cs="Helvetica"/>
                <w:i/>
                <w:iCs/>
                <w:sz w:val="18"/>
                <w:szCs w:val="18"/>
                <w:lang w:eastAsia="en-AU"/>
              </w:rPr>
              <w:t xml:space="preserve">argentinense </w:t>
            </w:r>
            <w:r>
              <w:rPr>
                <w:rFonts w:ascii="Helvetica" w:hAnsi="Helvetica" w:cs="Helvetica"/>
                <w:sz w:val="18"/>
                <w:szCs w:val="18"/>
              </w:rPr>
              <w:t xml:space="preserve">Mostert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lang w:val="de-DE"/>
              </w:rPr>
            </w:pPr>
            <w:r>
              <w:rPr>
                <w:rFonts w:ascii="Helvetica" w:hAnsi="Helvetica" w:cs="Helvetica"/>
                <w:b/>
                <w:sz w:val="18"/>
                <w:szCs w:val="18"/>
                <w:lang w:val="de-DE"/>
              </w:rPr>
              <w:t>Yes</w:t>
            </w:r>
          </w:p>
        </w:tc>
      </w:tr>
      <w:tr>
        <w:tc>
          <w:tcPr>
            <w:tcW w:w="3468" w:type="dxa"/>
            <w:tcBorders>
              <w:top w:val="single" w:sz="4" w:space="0" w:color="auto"/>
              <w:left w:val="single" w:sz="12" w:space="0" w:color="008000"/>
              <w:bottom w:val="single" w:sz="4" w:space="0" w:color="auto"/>
              <w:right w:val="single" w:sz="4" w:space="0" w:color="auto"/>
            </w:tcBorders>
          </w:tcPr>
          <w:p>
            <w:pPr>
              <w:autoSpaceDE w:val="0"/>
              <w:autoSpaceDN w:val="0"/>
              <w:spacing w:before="20" w:line="240" w:lineRule="atLeast"/>
              <w:jc w:val="left"/>
              <w:rPr>
                <w:rFonts w:ascii="Helvetica" w:hAnsi="Helvetica" w:cs="Helvetica"/>
                <w:i/>
                <w:sz w:val="18"/>
                <w:szCs w:val="18"/>
              </w:rPr>
            </w:pPr>
            <w:r>
              <w:rPr>
                <w:rFonts w:ascii="Helvetica" w:hAnsi="Helvetica" w:cs="Helvetica"/>
                <w:i/>
                <w:sz w:val="18"/>
                <w:szCs w:val="18"/>
              </w:rPr>
              <w:t xml:space="preserve">Phaeoacremonium </w:t>
            </w:r>
            <w:r>
              <w:rPr>
                <w:rFonts w:ascii="Helvetica" w:hAnsi="Helvetica" w:cs="Helvetica"/>
                <w:i/>
                <w:iCs/>
                <w:sz w:val="18"/>
                <w:szCs w:val="18"/>
                <w:lang w:eastAsia="en-AU"/>
              </w:rPr>
              <w:t xml:space="preserve">armeniacum </w:t>
            </w:r>
            <w:r>
              <w:rPr>
                <w:rFonts w:ascii="Helvetica" w:hAnsi="Helvetica" w:cs="Helvetica"/>
                <w:sz w:val="18"/>
                <w:szCs w:val="18"/>
              </w:rPr>
              <w:t xml:space="preserve">Graham </w:t>
            </w:r>
            <w:r>
              <w:rPr>
                <w:rFonts w:ascii="Helvetica" w:hAnsi="Helvetica" w:cs="Helvetica"/>
                <w:i/>
                <w:sz w:val="18"/>
                <w:szCs w:val="18"/>
              </w:rPr>
              <w:t>et al</w:t>
            </w:r>
            <w:r>
              <w:rPr>
                <w:rFonts w:ascii="Helvetica" w:hAnsi="Helvetica" w:cs="Helvetica"/>
                <w:sz w:val="18"/>
                <w:szCs w:val="18"/>
              </w:rPr>
              <w:t xml:space="preserve">. [Diaporthales: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lang w:val="de-DE"/>
              </w:rPr>
            </w:pPr>
            <w:r>
              <w:rPr>
                <w:rFonts w:ascii="Helvetica" w:hAnsi="Helvetica" w:cs="Helvetica"/>
                <w:b/>
                <w:sz w:val="18"/>
                <w:szCs w:val="18"/>
                <w:lang w:val="de-DE"/>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lang w:val="de-DE"/>
              </w:rPr>
              <w:t>Phaeoacremonium australiense</w:t>
            </w:r>
            <w:r>
              <w:rPr>
                <w:rFonts w:ascii="Helvetica" w:hAnsi="Helvetica" w:cs="Helvetica"/>
                <w:sz w:val="18"/>
                <w:szCs w:val="18"/>
                <w:lang w:val="de-DE"/>
              </w:rPr>
              <w:t xml:space="preserve"> Mostert </w:t>
            </w:r>
            <w:r>
              <w:rPr>
                <w:rFonts w:ascii="Helvetica" w:hAnsi="Helvetica" w:cs="Helvetica"/>
                <w:i/>
                <w:sz w:val="18"/>
                <w:szCs w:val="18"/>
                <w:lang w:val="de-DE"/>
              </w:rPr>
              <w:t>et al</w:t>
            </w:r>
            <w:r>
              <w:rPr>
                <w:rFonts w:ascii="Helvetica" w:hAnsi="Helvetica" w:cs="Helvetica"/>
                <w:sz w:val="18"/>
                <w:szCs w:val="18"/>
                <w:lang w:val="de-DE"/>
              </w:rPr>
              <w:t xml:space="preserve">. </w:t>
            </w:r>
            <w:r>
              <w:rPr>
                <w:rFonts w:ascii="Helvetica" w:hAnsi="Helvetica" w:cs="Helvetica"/>
                <w:sz w:val="18"/>
                <w:szCs w:val="18"/>
              </w:rPr>
              <w:t xml:space="preserve">[Diaporthales: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austroafricanum</w:t>
            </w:r>
            <w:r>
              <w:rPr>
                <w:rFonts w:ascii="Helvetica" w:hAnsi="Helvetica" w:cs="Helvetica"/>
                <w:sz w:val="18"/>
                <w:szCs w:val="18"/>
              </w:rPr>
              <w:t xml:space="preserve"> Mostert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Phaeoacromonium</w:t>
            </w:r>
            <w:r>
              <w:rPr>
                <w:rFonts w:ascii="Helvetica" w:hAnsi="Helvetica" w:cs="Helvetica"/>
                <w:sz w:val="18"/>
                <w:szCs w:val="18"/>
              </w:rPr>
              <w:t xml:space="preserve"> species colonise the vascular system of plants (Chicau </w:t>
            </w:r>
            <w:r>
              <w:rPr>
                <w:rFonts w:ascii="Helvetica" w:hAnsi="Helvetica" w:cs="Helvetica"/>
                <w:i/>
                <w:sz w:val="18"/>
                <w:szCs w:val="18"/>
              </w:rPr>
              <w:t>et al</w:t>
            </w:r>
            <w:r>
              <w:rPr>
                <w:rFonts w:ascii="Helvetica" w:hAnsi="Helvetica" w:cs="Helvetica"/>
                <w:sz w:val="18"/>
                <w:szCs w:val="18"/>
              </w:rPr>
              <w:t xml:space="preserve">. 2000; Marco </w:t>
            </w:r>
            <w:r>
              <w:rPr>
                <w:rFonts w:ascii="Helvetica" w:hAnsi="Helvetica" w:cs="Helvetica"/>
                <w:i/>
                <w:sz w:val="18"/>
                <w:szCs w:val="18"/>
              </w:rPr>
              <w:t>et al</w:t>
            </w:r>
            <w:r>
              <w:rPr>
                <w:rFonts w:ascii="Helvetica" w:hAnsi="Helvetica" w:cs="Helvetica"/>
                <w:sz w:val="18"/>
                <w:szCs w:val="18"/>
              </w:rPr>
              <w:t xml:space="preserve">. 2004; Eskalen </w:t>
            </w:r>
            <w:r>
              <w:rPr>
                <w:rFonts w:ascii="Helvetica" w:hAnsi="Helvetica" w:cs="Helvetica"/>
                <w:i/>
                <w:sz w:val="18"/>
                <w:szCs w:val="18"/>
              </w:rPr>
              <w:t>et al.</w:t>
            </w:r>
            <w:r>
              <w:rPr>
                <w:rFonts w:ascii="Helvetica" w:hAnsi="Helvetica" w:cs="Helvetica"/>
                <w:sz w:val="18"/>
                <w:szCs w:val="18"/>
              </w:rPr>
              <w:t xml:space="preserve"> 2005; Mostert </w:t>
            </w:r>
            <w:r>
              <w:rPr>
                <w:rFonts w:ascii="Helvetica" w:hAnsi="Helvetica" w:cs="Helvetica"/>
                <w:i/>
                <w:sz w:val="18"/>
                <w:szCs w:val="18"/>
              </w:rPr>
              <w:t>et al</w:t>
            </w:r>
            <w:r>
              <w:rPr>
                <w:rFonts w:ascii="Helvetica" w:hAnsi="Helvetica" w:cs="Helvetica"/>
                <w:sz w:val="18"/>
                <w:szCs w:val="18"/>
              </w:rPr>
              <w:t xml:space="preserve">. 2006b; Gramaje </w:t>
            </w:r>
            <w:r>
              <w:rPr>
                <w:rFonts w:ascii="Helvetica" w:hAnsi="Helvetica" w:cs="Helvetica"/>
                <w:i/>
                <w:sz w:val="18"/>
                <w:szCs w:val="18"/>
              </w:rPr>
              <w:t>et al.</w:t>
            </w:r>
            <w:r>
              <w:rPr>
                <w:rFonts w:ascii="Helvetica" w:hAnsi="Helvetica" w:cs="Helvetica"/>
                <w:sz w:val="18"/>
                <w:szCs w:val="18"/>
              </w:rPr>
              <w:t xml:space="preserve"> 2007; Essakhi </w:t>
            </w:r>
            <w:r>
              <w:rPr>
                <w:rFonts w:ascii="Helvetica" w:hAnsi="Helvetica" w:cs="Helvetica"/>
                <w:i/>
                <w:sz w:val="18"/>
                <w:szCs w:val="18"/>
              </w:rPr>
              <w:t>et al</w:t>
            </w:r>
            <w:r>
              <w:rPr>
                <w:rFonts w:ascii="Helvetica" w:hAnsi="Helvetica" w:cs="Helvetica"/>
                <w:sz w:val="18"/>
                <w:szCs w:val="18"/>
              </w:rPr>
              <w:t xml:space="preserve">. 2008; Gramaje </w:t>
            </w:r>
            <w:r>
              <w:rPr>
                <w:rFonts w:ascii="Helvetica" w:hAnsi="Helvetica" w:cs="Helvetica"/>
                <w:i/>
                <w:sz w:val="18"/>
                <w:szCs w:val="18"/>
              </w:rPr>
              <w:t>et al</w:t>
            </w:r>
            <w:r>
              <w:rPr>
                <w:rFonts w:ascii="Helvetica" w:hAnsi="Helvetica" w:cs="Helvetica"/>
                <w:sz w:val="18"/>
                <w:szCs w:val="18"/>
              </w:rPr>
              <w:t xml:space="preserve">. 2009a). </w:t>
            </w:r>
            <w:r>
              <w:rPr>
                <w:rFonts w:ascii="Helvetica" w:hAnsi="Helvetica" w:cs="Helvetica"/>
                <w:i/>
                <w:sz w:val="18"/>
                <w:szCs w:val="18"/>
              </w:rPr>
              <w:t>Phaeoacremonium</w:t>
            </w:r>
            <w:r>
              <w:rPr>
                <w:rFonts w:ascii="Helvetica" w:hAnsi="Helvetica" w:cs="Helvetica"/>
                <w:sz w:val="18"/>
                <w:szCs w:val="18"/>
              </w:rPr>
              <w:t xml:space="preserve"> species have been found in apparently healthy asymptomatic grapevines (Ridgway </w:t>
            </w:r>
            <w:r>
              <w:rPr>
                <w:rFonts w:ascii="Helvetica" w:hAnsi="Helvetica" w:cs="Helvetica"/>
                <w:i/>
                <w:sz w:val="18"/>
                <w:szCs w:val="18"/>
              </w:rPr>
              <w:t>et al</w:t>
            </w:r>
            <w:r>
              <w:rPr>
                <w:rFonts w:ascii="Helvetica" w:hAnsi="Helvetica" w:cs="Helvetica"/>
                <w:sz w:val="18"/>
                <w:szCs w:val="18"/>
              </w:rPr>
              <w:t xml:space="preserve">. 2003). Therefore, propagative material </w:t>
            </w:r>
            <w:r>
              <w:rPr>
                <w:rFonts w:ascii="Helvetica" w:hAnsi="Helvetica" w:cs="Helvetica"/>
                <w:bCs/>
                <w:sz w:val="18"/>
                <w:szCs w:val="18"/>
              </w:rPr>
              <w:t xml:space="preserve">from countries where </w:t>
            </w:r>
            <w:r>
              <w:rPr>
                <w:rFonts w:ascii="Helvetica" w:hAnsi="Helvetica" w:cs="Helvetica"/>
                <w:i/>
                <w:sz w:val="18"/>
                <w:szCs w:val="18"/>
              </w:rPr>
              <w:t>Phaeoacremonium</w:t>
            </w:r>
            <w:r>
              <w:rPr>
                <w:rFonts w:ascii="Helvetica" w:hAnsi="Helvetica" w:cs="Helvetica"/>
                <w:sz w:val="18"/>
                <w:szCs w:val="18"/>
              </w:rPr>
              <w:t xml:space="preserve"> species</w:t>
            </w:r>
            <w:r>
              <w:rPr>
                <w:rFonts w:ascii="Helvetica" w:hAnsi="Helvetica" w:cs="Helvetica"/>
                <w:bCs/>
                <w:sz w:val="18"/>
                <w:szCs w:val="18"/>
              </w:rPr>
              <w:t xml:space="preserve"> occur may provide a pathway for these pathogens.</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bCs/>
                <w:sz w:val="18"/>
                <w:szCs w:val="18"/>
              </w:rPr>
              <w:t xml:space="preserve">: These fungi have </w:t>
            </w:r>
            <w:r>
              <w:rPr>
                <w:rFonts w:ascii="Helvetica" w:hAnsi="Helvetica" w:cs="Helvetica"/>
                <w:sz w:val="18"/>
                <w:szCs w:val="18"/>
              </w:rPr>
              <w:t>established in areas with a wide range of climatic conditions</w:t>
            </w:r>
            <w:r>
              <w:rPr>
                <w:rFonts w:ascii="Helvetica" w:hAnsi="Helvetica" w:cs="Helvetica"/>
                <w:i/>
                <w:iCs/>
                <w:sz w:val="18"/>
                <w:szCs w:val="18"/>
              </w:rPr>
              <w:t xml:space="preserve"> </w:t>
            </w:r>
            <w:r>
              <w:rPr>
                <w:rFonts w:ascii="Helvetica" w:hAnsi="Helvetica" w:cs="Helvetica"/>
                <w:bCs/>
                <w:sz w:val="18"/>
                <w:szCs w:val="18"/>
              </w:rPr>
              <w:t>(</w:t>
            </w:r>
            <w:r>
              <w:rPr>
                <w:rFonts w:ascii="Helvetica" w:hAnsi="Helvetica" w:cs="Helvetica"/>
                <w:sz w:val="18"/>
                <w:szCs w:val="18"/>
              </w:rPr>
              <w:t xml:space="preserve">Chicau </w:t>
            </w:r>
            <w:r>
              <w:rPr>
                <w:rFonts w:ascii="Helvetica" w:hAnsi="Helvetica" w:cs="Helvetica"/>
                <w:i/>
                <w:sz w:val="18"/>
                <w:szCs w:val="18"/>
              </w:rPr>
              <w:t>et al</w:t>
            </w:r>
            <w:r>
              <w:rPr>
                <w:rFonts w:ascii="Helvetica" w:hAnsi="Helvetica" w:cs="Helvetica"/>
                <w:sz w:val="18"/>
                <w:szCs w:val="18"/>
              </w:rPr>
              <w:t xml:space="preserve">. 2000; Marco </w:t>
            </w:r>
            <w:r>
              <w:rPr>
                <w:rFonts w:ascii="Helvetica" w:hAnsi="Helvetica" w:cs="Helvetica"/>
                <w:i/>
                <w:sz w:val="18"/>
                <w:szCs w:val="18"/>
              </w:rPr>
              <w:t>et al</w:t>
            </w:r>
            <w:r>
              <w:rPr>
                <w:rFonts w:ascii="Helvetica" w:hAnsi="Helvetica" w:cs="Helvetica"/>
                <w:sz w:val="18"/>
                <w:szCs w:val="18"/>
              </w:rPr>
              <w:t xml:space="preserve">. 2004; Eskalen </w:t>
            </w:r>
            <w:r>
              <w:rPr>
                <w:rFonts w:ascii="Helvetica" w:hAnsi="Helvetica" w:cs="Helvetica"/>
                <w:i/>
                <w:sz w:val="18"/>
                <w:szCs w:val="18"/>
              </w:rPr>
              <w:t>et al.</w:t>
            </w:r>
            <w:r>
              <w:rPr>
                <w:rFonts w:ascii="Helvetica" w:hAnsi="Helvetica" w:cs="Helvetica"/>
                <w:sz w:val="18"/>
                <w:szCs w:val="18"/>
              </w:rPr>
              <w:t xml:space="preserve"> 2005; Mostert </w:t>
            </w:r>
            <w:r>
              <w:rPr>
                <w:rFonts w:ascii="Helvetica" w:hAnsi="Helvetica" w:cs="Helvetica"/>
                <w:i/>
                <w:sz w:val="18"/>
                <w:szCs w:val="18"/>
              </w:rPr>
              <w:t>et al</w:t>
            </w:r>
            <w:r>
              <w:rPr>
                <w:rFonts w:ascii="Helvetica" w:hAnsi="Helvetica" w:cs="Helvetica"/>
                <w:sz w:val="18"/>
                <w:szCs w:val="18"/>
              </w:rPr>
              <w:t xml:space="preserve">. 2006b; Gramaje </w:t>
            </w:r>
            <w:r>
              <w:rPr>
                <w:rFonts w:ascii="Helvetica" w:hAnsi="Helvetica" w:cs="Helvetica"/>
                <w:i/>
                <w:sz w:val="18"/>
                <w:szCs w:val="18"/>
              </w:rPr>
              <w:t>et al.</w:t>
            </w:r>
            <w:r>
              <w:rPr>
                <w:rFonts w:ascii="Helvetica" w:hAnsi="Helvetica" w:cs="Helvetica"/>
                <w:sz w:val="18"/>
                <w:szCs w:val="18"/>
              </w:rPr>
              <w:t xml:space="preserve"> 2007; Essakhi </w:t>
            </w:r>
            <w:r>
              <w:rPr>
                <w:rFonts w:ascii="Helvetica" w:hAnsi="Helvetica" w:cs="Helvetica"/>
                <w:i/>
                <w:sz w:val="18"/>
                <w:szCs w:val="18"/>
              </w:rPr>
              <w:t>et al</w:t>
            </w:r>
            <w:r>
              <w:rPr>
                <w:rFonts w:ascii="Helvetica" w:hAnsi="Helvetica" w:cs="Helvetica"/>
                <w:sz w:val="18"/>
                <w:szCs w:val="18"/>
              </w:rPr>
              <w:t xml:space="preserve">. 2008; Gramaje </w:t>
            </w:r>
            <w:r>
              <w:rPr>
                <w:rFonts w:ascii="Helvetica" w:hAnsi="Helvetica" w:cs="Helvetica"/>
                <w:i/>
                <w:sz w:val="18"/>
                <w:szCs w:val="18"/>
              </w:rPr>
              <w:t>et al</w:t>
            </w:r>
            <w:r>
              <w:rPr>
                <w:rFonts w:ascii="Helvetica" w:hAnsi="Helvetica" w:cs="Helvetica"/>
                <w:sz w:val="18"/>
                <w:szCs w:val="18"/>
              </w:rPr>
              <w:t>. 2009a</w:t>
            </w:r>
            <w:r>
              <w:rPr>
                <w:rFonts w:ascii="Helvetica" w:hAnsi="Helvetica" w:cs="Helvetica"/>
                <w:bCs/>
                <w:sz w:val="18"/>
                <w:szCs w:val="18"/>
              </w:rPr>
              <w:t xml:space="preserve">) </w:t>
            </w:r>
            <w:r>
              <w:rPr>
                <w:rFonts w:ascii="Helvetica" w:hAnsi="Helvetica" w:cs="Helvetica"/>
                <w:sz w:val="18"/>
                <w:szCs w:val="18"/>
              </w:rPr>
              <w:t xml:space="preserve">and can spread naturally in infected propagative material (Mugnai </w:t>
            </w:r>
            <w:r>
              <w:rPr>
                <w:rFonts w:ascii="Helvetica" w:hAnsi="Helvetica" w:cs="Helvetica"/>
                <w:i/>
                <w:sz w:val="18"/>
                <w:szCs w:val="18"/>
              </w:rPr>
              <w:t>et al.</w:t>
            </w:r>
            <w:r>
              <w:rPr>
                <w:rFonts w:ascii="Helvetica" w:hAnsi="Helvetica" w:cs="Helvetica"/>
                <w:sz w:val="18"/>
                <w:szCs w:val="18"/>
              </w:rPr>
              <w:t xml:space="preserve"> 1999; </w:t>
            </w:r>
            <w:r>
              <w:rPr>
                <w:rFonts w:ascii="Helvetica" w:hAnsi="Helvetica" w:cs="Helvetica"/>
                <w:bCs/>
                <w:sz w:val="18"/>
                <w:szCs w:val="18"/>
              </w:rPr>
              <w:t xml:space="preserve">Ridgway </w:t>
            </w:r>
            <w:r>
              <w:rPr>
                <w:rFonts w:ascii="Helvetica" w:hAnsi="Helvetica" w:cs="Helvetica"/>
                <w:bCs/>
                <w:i/>
                <w:sz w:val="18"/>
                <w:szCs w:val="18"/>
              </w:rPr>
              <w:t>et al</w:t>
            </w:r>
            <w:r>
              <w:rPr>
                <w:rFonts w:ascii="Helvetica" w:hAnsi="Helvetica" w:cs="Helvetica"/>
                <w:bCs/>
                <w:sz w:val="18"/>
                <w:szCs w:val="18"/>
              </w:rPr>
              <w:t xml:space="preserve">. 2003; Giménez-Jaime </w:t>
            </w:r>
            <w:r>
              <w:rPr>
                <w:rFonts w:ascii="Helvetica" w:hAnsi="Helvetica" w:cs="Helvetica"/>
                <w:bCs/>
                <w:i/>
                <w:sz w:val="18"/>
                <w:szCs w:val="18"/>
              </w:rPr>
              <w:t>et al</w:t>
            </w:r>
            <w:r>
              <w:rPr>
                <w:rFonts w:ascii="Helvetica" w:hAnsi="Helvetica" w:cs="Helvetica"/>
                <w:bCs/>
                <w:sz w:val="18"/>
                <w:szCs w:val="18"/>
              </w:rPr>
              <w:t xml:space="preserve">. 2006; </w:t>
            </w:r>
            <w:r>
              <w:rPr>
                <w:rFonts w:ascii="Helvetica" w:hAnsi="Helvetica" w:cs="Helvetica"/>
                <w:sz w:val="18"/>
                <w:szCs w:val="18"/>
              </w:rPr>
              <w:t>Aroca and Raposo 2009</w:t>
            </w:r>
            <w:r>
              <w:rPr>
                <w:rFonts w:ascii="Helvetica" w:hAnsi="Helvetica" w:cs="Helvetica"/>
                <w:bCs/>
                <w:sz w:val="18"/>
                <w:szCs w:val="18"/>
              </w:rPr>
              <w:t xml:space="preserve">). Multiplication and marketing of infected propagative material will help spread these pathogens within Australia. Additionally, these fungi </w:t>
            </w:r>
            <w:r>
              <w:rPr>
                <w:rFonts w:ascii="Helvetica" w:hAnsi="Helvetica" w:cs="Helvetica"/>
                <w:sz w:val="18"/>
                <w:szCs w:val="18"/>
              </w:rPr>
              <w:t xml:space="preserve">are also known to be wind-borne or spread by grafting and pruning tools (Mugnai </w:t>
            </w:r>
            <w:r>
              <w:rPr>
                <w:rFonts w:ascii="Helvetica" w:hAnsi="Helvetica" w:cs="Helvetica"/>
                <w:i/>
                <w:sz w:val="18"/>
                <w:szCs w:val="18"/>
              </w:rPr>
              <w:t>et al</w:t>
            </w:r>
            <w:r>
              <w:rPr>
                <w:rFonts w:ascii="Helvetica" w:hAnsi="Helvetica" w:cs="Helvetica"/>
                <w:sz w:val="18"/>
                <w:szCs w:val="18"/>
              </w:rPr>
              <w:t xml:space="preserve">. 1999). </w:t>
            </w:r>
            <w:r>
              <w:rPr>
                <w:rFonts w:ascii="Helvetica" w:hAnsi="Helvetica" w:cs="Helvetica"/>
                <w:bCs/>
                <w:sz w:val="18"/>
                <w:szCs w:val="18"/>
              </w:rPr>
              <w:t>Therefore, they have the potential to establish and spread in Australia.</w:t>
            </w:r>
          </w:p>
        </w:tc>
        <w:tc>
          <w:tcPr>
            <w:tcW w:w="2863"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Phaeoacremonium</w:t>
            </w:r>
            <w:r>
              <w:rPr>
                <w:rFonts w:ascii="Helvetica" w:hAnsi="Helvetica" w:cs="Helvetica"/>
                <w:sz w:val="18"/>
                <w:szCs w:val="18"/>
              </w:rPr>
              <w:t xml:space="preserve"> species are involved in Petri disease in young vines and esca in adult vines (Mostert </w:t>
            </w:r>
            <w:r>
              <w:rPr>
                <w:rFonts w:ascii="Helvetica" w:hAnsi="Helvetica" w:cs="Helvetica"/>
                <w:i/>
                <w:sz w:val="18"/>
                <w:szCs w:val="18"/>
              </w:rPr>
              <w:t xml:space="preserve">et al. </w:t>
            </w:r>
            <w:r>
              <w:rPr>
                <w:rFonts w:ascii="Helvetica" w:hAnsi="Helvetica" w:cs="Helvetica"/>
                <w:sz w:val="18"/>
                <w:szCs w:val="18"/>
              </w:rPr>
              <w:t xml:space="preserve">2006a,b; Aroca and Raposo 2009, Gramaje </w:t>
            </w:r>
            <w:r>
              <w:rPr>
                <w:rFonts w:ascii="Helvetica" w:hAnsi="Helvetica" w:cs="Helvetica"/>
                <w:i/>
                <w:sz w:val="18"/>
                <w:szCs w:val="18"/>
              </w:rPr>
              <w:t>et al</w:t>
            </w:r>
            <w:r>
              <w:rPr>
                <w:rFonts w:ascii="Helvetica" w:hAnsi="Helvetica" w:cs="Helvetica"/>
                <w:sz w:val="18"/>
                <w:szCs w:val="18"/>
              </w:rPr>
              <w:t xml:space="preserve">. 2009a). Petri disease pathogens act as pioneer organisms that facilitate the invasion of the wood decay fungi that cause the typical symptoms of Esca disease inside the trunk and branches (Larignon and Dubos 1997). Petri disease and </w:t>
            </w:r>
            <w:r>
              <w:rPr>
                <w:rFonts w:ascii="Helvetica" w:hAnsi="Helvetica" w:cs="Helvetica"/>
                <w:sz w:val="18"/>
                <w:szCs w:val="18"/>
                <w:lang w:eastAsia="en-AU"/>
              </w:rPr>
              <w:t>E</w:t>
            </w:r>
            <w:r>
              <w:rPr>
                <w:rFonts w:ascii="Helvetica" w:hAnsi="Helvetica" w:cs="Helvetica"/>
                <w:sz w:val="18"/>
                <w:szCs w:val="18"/>
              </w:rPr>
              <w:t xml:space="preserve">sca </w:t>
            </w:r>
            <w:r>
              <w:rPr>
                <w:rFonts w:ascii="Helvetica" w:hAnsi="Helvetica" w:cs="Helvetica"/>
                <w:sz w:val="18"/>
                <w:szCs w:val="18"/>
                <w:lang w:eastAsia="en-AU"/>
              </w:rPr>
              <w:t xml:space="preserve">disease </w:t>
            </w:r>
            <w:r>
              <w:rPr>
                <w:rFonts w:ascii="Helvetica" w:hAnsi="Helvetica" w:cs="Helvetica"/>
                <w:sz w:val="18"/>
                <w:szCs w:val="18"/>
              </w:rPr>
              <w:t xml:space="preserve">limit both vineyard longevity and productivity as woody parts of the vine are killed (Urbez- Torres </w:t>
            </w:r>
            <w:r>
              <w:rPr>
                <w:rFonts w:ascii="Helvetica" w:hAnsi="Helvetica" w:cs="Helvetica"/>
                <w:i/>
                <w:sz w:val="18"/>
                <w:szCs w:val="18"/>
              </w:rPr>
              <w:t>et al</w:t>
            </w:r>
            <w:r>
              <w:rPr>
                <w:rFonts w:ascii="Helvetica" w:hAnsi="Helvetica" w:cs="Helvetica"/>
                <w:sz w:val="18"/>
                <w:szCs w:val="18"/>
              </w:rPr>
              <w:t xml:space="preserve">. 2012) and affect yield, wine quality and berry quality (White 2010). Consequently, </w:t>
            </w:r>
            <w:r>
              <w:rPr>
                <w:rFonts w:ascii="Helvetica" w:hAnsi="Helvetica" w:cs="Helvetica"/>
                <w:i/>
                <w:sz w:val="18"/>
                <w:szCs w:val="18"/>
              </w:rPr>
              <w:t>Phaeoacremonium</w:t>
            </w:r>
            <w:r>
              <w:rPr>
                <w:rFonts w:ascii="Helvetica" w:hAnsi="Helvetica" w:cs="Helvetica"/>
                <w:sz w:val="18"/>
                <w:szCs w:val="18"/>
              </w:rPr>
              <w:t xml:space="preserve"> species have great impact on the wine, table grape and raisin industries (White 2010). Therefore, </w:t>
            </w:r>
            <w:r>
              <w:rPr>
                <w:rFonts w:ascii="Helvetica" w:hAnsi="Helvetica" w:cs="Helvetica"/>
                <w:i/>
                <w:sz w:val="18"/>
                <w:szCs w:val="18"/>
              </w:rPr>
              <w:t>Phaeoacremonium</w:t>
            </w:r>
            <w:r>
              <w:rPr>
                <w:rFonts w:ascii="Helvetica" w:hAnsi="Helvetica" w:cs="Helvetica"/>
                <w:sz w:val="18"/>
                <w:szCs w:val="18"/>
              </w:rPr>
              <w:t xml:space="preserve"> strains from grapevines have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ciner</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m</w:t>
            </w:r>
            <w:r>
              <w:rPr>
                <w:rFonts w:ascii="Helvetica" w:hAnsi="Helvetica" w:cs="Helvetica"/>
                <w:sz w:val="18"/>
                <w:szCs w:val="18"/>
              </w:rPr>
              <w:t xml:space="preserve"> Gramaje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croatiense</w:t>
            </w:r>
            <w:r>
              <w:rPr>
                <w:rFonts w:ascii="Helvetica" w:hAnsi="Helvetica" w:cs="Helvetica"/>
                <w:sz w:val="18"/>
                <w:szCs w:val="18"/>
              </w:rPr>
              <w:t xml:space="preserve"> Essakhi </w:t>
            </w:r>
            <w:r>
              <w:rPr>
                <w:rFonts w:ascii="Helvetica" w:hAnsi="Helvetica" w:cs="Helvetica"/>
                <w:i/>
                <w:sz w:val="18"/>
                <w:szCs w:val="18"/>
              </w:rPr>
              <w:t xml:space="preserve">et al. </w:t>
            </w:r>
            <w:r>
              <w:rPr>
                <w:rFonts w:ascii="Helvetica" w:hAnsi="Helvetica" w:cs="Helvetica"/>
                <w:sz w:val="18"/>
                <w:szCs w:val="18"/>
              </w:rPr>
              <w:t>[Diaporthales: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lang w:val="de-DE"/>
              </w:rPr>
              <w:t>Phaeoacremonium</w:t>
            </w:r>
            <w:r>
              <w:rPr>
                <w:rFonts w:ascii="Helvetica" w:hAnsi="Helvetica" w:cs="Helvetica"/>
                <w:sz w:val="18"/>
                <w:szCs w:val="18"/>
                <w:lang w:val="de-DE"/>
              </w:rPr>
              <w:t xml:space="preserve"> </w:t>
            </w:r>
            <w:r>
              <w:rPr>
                <w:rFonts w:ascii="Helvetica" w:hAnsi="Helvetica" w:cs="Helvetica"/>
                <w:i/>
                <w:iCs/>
                <w:sz w:val="18"/>
                <w:szCs w:val="18"/>
                <w:lang w:val="de-DE" w:eastAsia="en-AU"/>
              </w:rPr>
              <w:t xml:space="preserve">globosum </w:t>
            </w:r>
            <w:r>
              <w:rPr>
                <w:rFonts w:ascii="Helvetica" w:hAnsi="Helvetica" w:cs="Helvetica"/>
                <w:sz w:val="18"/>
                <w:szCs w:val="18"/>
                <w:lang w:val="de-DE"/>
              </w:rPr>
              <w:t xml:space="preserve">Graham </w:t>
            </w:r>
            <w:r>
              <w:rPr>
                <w:rFonts w:ascii="Helvetica" w:hAnsi="Helvetica" w:cs="Helvetica"/>
                <w:i/>
                <w:sz w:val="18"/>
                <w:szCs w:val="18"/>
                <w:lang w:val="de-DE"/>
              </w:rPr>
              <w:t>et al</w:t>
            </w:r>
            <w:r>
              <w:rPr>
                <w:rFonts w:ascii="Helvetica" w:hAnsi="Helvetica" w:cs="Helvetica"/>
                <w:sz w:val="18"/>
                <w:szCs w:val="18"/>
                <w:lang w:val="de-DE"/>
              </w:rPr>
              <w:t xml:space="preserve">. </w:t>
            </w:r>
            <w:r>
              <w:rPr>
                <w:rFonts w:ascii="Helvetica" w:hAnsi="Helvetica" w:cs="Helvetica"/>
                <w:sz w:val="18"/>
                <w:szCs w:val="18"/>
              </w:rPr>
              <w:t xml:space="preserve">[Diaporthales: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lang w:val="de-DE"/>
              </w:rPr>
              <w:t>Phaeoacremonium</w:t>
            </w:r>
            <w:r>
              <w:rPr>
                <w:rFonts w:ascii="Helvetica" w:hAnsi="Helvetica" w:cs="Helvetica"/>
                <w:sz w:val="18"/>
                <w:szCs w:val="18"/>
                <w:lang w:val="de-DE"/>
              </w:rPr>
              <w:t xml:space="preserve"> </w:t>
            </w:r>
            <w:r>
              <w:rPr>
                <w:rFonts w:ascii="Helvetica" w:hAnsi="Helvetica" w:cs="Helvetica"/>
                <w:i/>
                <w:sz w:val="18"/>
                <w:szCs w:val="18"/>
                <w:lang w:val="de-DE"/>
              </w:rPr>
              <w:t>griseorubrum</w:t>
            </w:r>
            <w:r>
              <w:rPr>
                <w:rFonts w:ascii="Helvetica" w:hAnsi="Helvetica" w:cs="Helvetica"/>
                <w:sz w:val="18"/>
                <w:szCs w:val="18"/>
                <w:lang w:val="de-DE"/>
              </w:rPr>
              <w:t xml:space="preserve"> Mostert </w:t>
            </w:r>
            <w:r>
              <w:rPr>
                <w:rFonts w:ascii="Helvetica" w:hAnsi="Helvetica" w:cs="Helvetica"/>
                <w:i/>
                <w:sz w:val="18"/>
                <w:szCs w:val="18"/>
                <w:lang w:val="de-DE"/>
              </w:rPr>
              <w:t xml:space="preserve">et al. </w:t>
            </w:r>
            <w:r>
              <w:rPr>
                <w:rFonts w:ascii="Helvetica" w:hAnsi="Helvetica" w:cs="Helvetica"/>
                <w:sz w:val="18"/>
                <w:szCs w:val="18"/>
              </w:rPr>
              <w:t>[Diaporthales: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hispanicum</w:t>
            </w:r>
            <w:r>
              <w:rPr>
                <w:rFonts w:ascii="Helvetica" w:hAnsi="Helvetica" w:cs="Helvetica"/>
                <w:sz w:val="18"/>
                <w:szCs w:val="18"/>
              </w:rPr>
              <w:t xml:space="preserve"> Gramaje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hungaricum</w:t>
            </w:r>
            <w:r>
              <w:rPr>
                <w:rFonts w:ascii="Helvetica" w:hAnsi="Helvetica" w:cs="Helvetica"/>
                <w:sz w:val="18"/>
                <w:szCs w:val="18"/>
              </w:rPr>
              <w:t xml:space="preserve"> Essakhi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inflatipes</w:t>
            </w:r>
            <w:r>
              <w:rPr>
                <w:rFonts w:ascii="Helvetica" w:hAnsi="Helvetica" w:cs="Helvetica"/>
                <w:sz w:val="18"/>
                <w:szCs w:val="18"/>
              </w:rPr>
              <w:t xml:space="preserve"> Gams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04" w:history="1">
              <w:r>
                <w:rPr>
                  <w:rFonts w:ascii="Helvetica" w:hAnsi="Helvetica" w:cs="Helvetica"/>
                  <w:i/>
                  <w:sz w:val="18"/>
                  <w:szCs w:val="18"/>
                  <w:lang w:val="de-DE"/>
                </w:rPr>
                <w:t>Phaeoacremonium</w:t>
              </w:r>
              <w:r>
                <w:rPr>
                  <w:rFonts w:ascii="Helvetica" w:hAnsi="Helvetica" w:cs="Helvetica"/>
                  <w:sz w:val="18"/>
                  <w:szCs w:val="18"/>
                  <w:lang w:val="de-DE"/>
                </w:rPr>
                <w:t xml:space="preserve"> </w:t>
              </w:r>
              <w:r>
                <w:rPr>
                  <w:rFonts w:ascii="Helvetica" w:hAnsi="Helvetica" w:cs="Helvetica"/>
                  <w:i/>
                  <w:sz w:val="18"/>
                  <w:szCs w:val="18"/>
                  <w:lang w:val="de-DE"/>
                </w:rPr>
                <w:t>iranianum</w:t>
              </w:r>
            </w:hyperlink>
            <w:r>
              <w:rPr>
                <w:rFonts w:ascii="Helvetica" w:hAnsi="Helvetica" w:cs="Helvetica"/>
                <w:sz w:val="18"/>
                <w:szCs w:val="18"/>
                <w:lang w:val="de-DE"/>
              </w:rPr>
              <w:t xml:space="preserve"> Mostert </w:t>
            </w:r>
            <w:r>
              <w:rPr>
                <w:rFonts w:ascii="Helvetica" w:hAnsi="Helvetica" w:cs="Helvetica"/>
                <w:i/>
                <w:sz w:val="18"/>
                <w:szCs w:val="18"/>
                <w:lang w:val="de-DE"/>
              </w:rPr>
              <w:t>et al.</w:t>
            </w:r>
            <w:r>
              <w:rPr>
                <w:rFonts w:ascii="Helvetica" w:hAnsi="Helvetica" w:cs="Helvetica"/>
                <w:sz w:val="18"/>
                <w:szCs w:val="18"/>
                <w:lang w:val="de-DE"/>
              </w:rPr>
              <w:t xml:space="preserve"> </w:t>
            </w:r>
            <w:r>
              <w:rPr>
                <w:rFonts w:ascii="Helvetica" w:hAnsi="Helvetica" w:cs="Helvetica"/>
                <w:sz w:val="18"/>
                <w:szCs w:val="18"/>
              </w:rPr>
              <w:t>[Diaporthales: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krajdenii</w:t>
            </w:r>
            <w:r>
              <w:rPr>
                <w:rFonts w:ascii="Helvetica" w:hAnsi="Helvetica" w:cs="Helvetica"/>
                <w:sz w:val="18"/>
                <w:szCs w:val="18"/>
              </w:rPr>
              <w:t xml:space="preserve"> Mostert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mortoniae</w:t>
            </w:r>
            <w:r>
              <w:rPr>
                <w:rFonts w:ascii="Helvetica" w:hAnsi="Helvetica" w:cs="Helvetica"/>
                <w:sz w:val="18"/>
                <w:szCs w:val="18"/>
              </w:rPr>
              <w:t xml:space="preserve"> Crous &amp; W. Gams [Diaporthales: Togniniaceae] (synonym </w:t>
            </w:r>
            <w:r>
              <w:rPr>
                <w:rFonts w:ascii="Helvetica" w:hAnsi="Helvetica" w:cs="Helvetica"/>
                <w:i/>
                <w:sz w:val="18"/>
                <w:szCs w:val="18"/>
              </w:rPr>
              <w:t xml:space="preserve">Togninia fraxinopennsylvanica </w:t>
            </w:r>
            <w:r>
              <w:rPr>
                <w:rFonts w:ascii="Helvetica" w:hAnsi="Helvetica" w:cs="Helvetica"/>
                <w:sz w:val="18"/>
                <w:szCs w:val="18"/>
              </w:rPr>
              <w:t xml:space="preserve">(T.E. Hinds) Hausner </w:t>
            </w:r>
            <w:r>
              <w:rPr>
                <w:rFonts w:ascii="Helvetica" w:hAnsi="Helvetica" w:cs="Helvetica"/>
                <w:i/>
                <w:sz w:val="18"/>
                <w:szCs w:val="18"/>
              </w:rPr>
              <w:t>et al</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iCs/>
                <w:sz w:val="18"/>
                <w:szCs w:val="18"/>
                <w:lang w:eastAsia="en-AU"/>
              </w:rPr>
              <w:t xml:space="preserve">occidentale </w:t>
            </w:r>
            <w:r>
              <w:rPr>
                <w:rFonts w:ascii="Helvetica" w:hAnsi="Helvetica" w:cs="Helvetica"/>
                <w:sz w:val="18"/>
                <w:szCs w:val="18"/>
              </w:rPr>
              <w:t xml:space="preserve">Graham </w:t>
            </w:r>
            <w:r>
              <w:rPr>
                <w:rFonts w:ascii="Helvetica" w:hAnsi="Helvetica" w:cs="Helvetica"/>
                <w:i/>
                <w:sz w:val="18"/>
                <w:szCs w:val="18"/>
              </w:rPr>
              <w:t>et al</w:t>
            </w:r>
            <w:r>
              <w:rPr>
                <w:rFonts w:ascii="Helvetica" w:hAnsi="Helvetica" w:cs="Helvetica"/>
                <w:sz w:val="18"/>
                <w:szCs w:val="18"/>
              </w:rPr>
              <w:t xml:space="preserve">. [Diaporthales: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 parasiticum</w:t>
            </w:r>
            <w:r>
              <w:rPr>
                <w:rFonts w:ascii="Helvetica" w:hAnsi="Helvetica" w:cs="Helvetica"/>
                <w:sz w:val="18"/>
                <w:szCs w:val="18"/>
              </w:rPr>
              <w:t xml:space="preserve"> (Ajello </w:t>
            </w:r>
            <w:r>
              <w:rPr>
                <w:rFonts w:ascii="Helvetica" w:hAnsi="Helvetica" w:cs="Helvetica"/>
                <w:i/>
                <w:sz w:val="18"/>
                <w:szCs w:val="18"/>
              </w:rPr>
              <w:t>et al</w:t>
            </w:r>
            <w:r>
              <w:rPr>
                <w:rFonts w:ascii="Helvetica" w:hAnsi="Helvetica" w:cs="Helvetica"/>
                <w:sz w:val="18"/>
                <w:szCs w:val="18"/>
              </w:rPr>
              <w:t xml:space="preserve">.) Gams [Diaporthales: Togniniaceae] </w:t>
            </w:r>
          </w:p>
        </w:tc>
        <w:tc>
          <w:tcPr>
            <w:tcW w:w="168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Yes (Mostert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2006b)</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lang w:val="de-DE"/>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 rubrigenum</w:t>
            </w:r>
            <w:r>
              <w:rPr>
                <w:rFonts w:ascii="Helvetica" w:hAnsi="Helvetica" w:cs="Helvetica"/>
                <w:sz w:val="18"/>
                <w:szCs w:val="18"/>
              </w:rPr>
              <w:t xml:space="preserve"> Gams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Phaeoacromonium</w:t>
            </w:r>
            <w:r>
              <w:rPr>
                <w:rFonts w:ascii="Helvetica" w:hAnsi="Helvetica" w:cs="Helvetica"/>
                <w:sz w:val="18"/>
                <w:szCs w:val="18"/>
              </w:rPr>
              <w:t xml:space="preserve"> species colonise the vascular system of plants (Chicau </w:t>
            </w:r>
            <w:r>
              <w:rPr>
                <w:rFonts w:ascii="Helvetica" w:hAnsi="Helvetica" w:cs="Helvetica"/>
                <w:i/>
                <w:sz w:val="18"/>
                <w:szCs w:val="18"/>
              </w:rPr>
              <w:t>et al</w:t>
            </w:r>
            <w:r>
              <w:rPr>
                <w:rFonts w:ascii="Helvetica" w:hAnsi="Helvetica" w:cs="Helvetica"/>
                <w:sz w:val="18"/>
                <w:szCs w:val="18"/>
              </w:rPr>
              <w:t xml:space="preserve">. 2000; Marco </w:t>
            </w:r>
            <w:r>
              <w:rPr>
                <w:rFonts w:ascii="Helvetica" w:hAnsi="Helvetica" w:cs="Helvetica"/>
                <w:i/>
                <w:sz w:val="18"/>
                <w:szCs w:val="18"/>
              </w:rPr>
              <w:t>et al</w:t>
            </w:r>
            <w:r>
              <w:rPr>
                <w:rFonts w:ascii="Helvetica" w:hAnsi="Helvetica" w:cs="Helvetica"/>
                <w:sz w:val="18"/>
                <w:szCs w:val="18"/>
              </w:rPr>
              <w:t xml:space="preserve">. 2004; Eskalen </w:t>
            </w:r>
            <w:r>
              <w:rPr>
                <w:rFonts w:ascii="Helvetica" w:hAnsi="Helvetica" w:cs="Helvetica"/>
                <w:i/>
                <w:sz w:val="18"/>
                <w:szCs w:val="18"/>
              </w:rPr>
              <w:t>et al.</w:t>
            </w:r>
            <w:r>
              <w:rPr>
                <w:rFonts w:ascii="Helvetica" w:hAnsi="Helvetica" w:cs="Helvetica"/>
                <w:sz w:val="18"/>
                <w:szCs w:val="18"/>
              </w:rPr>
              <w:t xml:space="preserve"> 2005; Mostert </w:t>
            </w:r>
            <w:r>
              <w:rPr>
                <w:rFonts w:ascii="Helvetica" w:hAnsi="Helvetica" w:cs="Helvetica"/>
                <w:i/>
                <w:sz w:val="18"/>
                <w:szCs w:val="18"/>
              </w:rPr>
              <w:t>et al</w:t>
            </w:r>
            <w:r>
              <w:rPr>
                <w:rFonts w:ascii="Helvetica" w:hAnsi="Helvetica" w:cs="Helvetica"/>
                <w:sz w:val="18"/>
                <w:szCs w:val="18"/>
              </w:rPr>
              <w:t xml:space="preserve">. 2006b; Gramaje </w:t>
            </w:r>
            <w:r>
              <w:rPr>
                <w:rFonts w:ascii="Helvetica" w:hAnsi="Helvetica" w:cs="Helvetica"/>
                <w:i/>
                <w:sz w:val="18"/>
                <w:szCs w:val="18"/>
              </w:rPr>
              <w:t>et al.</w:t>
            </w:r>
            <w:r>
              <w:rPr>
                <w:rFonts w:ascii="Helvetica" w:hAnsi="Helvetica" w:cs="Helvetica"/>
                <w:sz w:val="18"/>
                <w:szCs w:val="18"/>
              </w:rPr>
              <w:t xml:space="preserve"> 2007; Essakhi </w:t>
            </w:r>
            <w:r>
              <w:rPr>
                <w:rFonts w:ascii="Helvetica" w:hAnsi="Helvetica" w:cs="Helvetica"/>
                <w:i/>
                <w:sz w:val="18"/>
                <w:szCs w:val="18"/>
              </w:rPr>
              <w:t>et al</w:t>
            </w:r>
            <w:r>
              <w:rPr>
                <w:rFonts w:ascii="Helvetica" w:hAnsi="Helvetica" w:cs="Helvetica"/>
                <w:sz w:val="18"/>
                <w:szCs w:val="18"/>
              </w:rPr>
              <w:t>. 2008; Gramaje</w:t>
            </w:r>
            <w:r>
              <w:rPr>
                <w:rFonts w:ascii="Helvetica" w:hAnsi="Helvetica" w:cs="Helvetica"/>
                <w:i/>
                <w:sz w:val="18"/>
                <w:szCs w:val="18"/>
              </w:rPr>
              <w:t xml:space="preserve"> et al</w:t>
            </w:r>
            <w:r>
              <w:rPr>
                <w:rFonts w:ascii="Helvetica" w:hAnsi="Helvetica" w:cs="Helvetica"/>
                <w:sz w:val="18"/>
                <w:szCs w:val="18"/>
              </w:rPr>
              <w:t xml:space="preserve">. 2009a). </w:t>
            </w:r>
            <w:r>
              <w:rPr>
                <w:rFonts w:ascii="Helvetica" w:hAnsi="Helvetica" w:cs="Helvetica"/>
                <w:i/>
                <w:sz w:val="18"/>
                <w:szCs w:val="18"/>
              </w:rPr>
              <w:t>Phaeoacremonium</w:t>
            </w:r>
            <w:r>
              <w:rPr>
                <w:rFonts w:ascii="Helvetica" w:hAnsi="Helvetica" w:cs="Helvetica"/>
                <w:sz w:val="18"/>
                <w:szCs w:val="18"/>
              </w:rPr>
              <w:t xml:space="preserve"> species have been found in apparently healthy asymptomatic grapevines (Ridgway </w:t>
            </w:r>
            <w:r>
              <w:rPr>
                <w:rFonts w:ascii="Helvetica" w:hAnsi="Helvetica" w:cs="Helvetica"/>
                <w:i/>
                <w:sz w:val="18"/>
                <w:szCs w:val="18"/>
              </w:rPr>
              <w:t>et al</w:t>
            </w:r>
            <w:r>
              <w:rPr>
                <w:rFonts w:ascii="Helvetica" w:hAnsi="Helvetica" w:cs="Helvetica"/>
                <w:sz w:val="18"/>
                <w:szCs w:val="18"/>
              </w:rPr>
              <w:t xml:space="preserve">. 2003). Therefore, propagative material </w:t>
            </w:r>
            <w:r>
              <w:rPr>
                <w:rFonts w:ascii="Helvetica" w:hAnsi="Helvetica" w:cs="Helvetica"/>
                <w:bCs/>
                <w:sz w:val="18"/>
                <w:szCs w:val="18"/>
              </w:rPr>
              <w:t xml:space="preserve">from countries where </w:t>
            </w:r>
            <w:r>
              <w:rPr>
                <w:rFonts w:ascii="Helvetica" w:hAnsi="Helvetica" w:cs="Helvetica"/>
                <w:i/>
                <w:sz w:val="18"/>
                <w:szCs w:val="18"/>
              </w:rPr>
              <w:t>Phaeoacremonium</w:t>
            </w:r>
            <w:r>
              <w:rPr>
                <w:rFonts w:ascii="Helvetica" w:hAnsi="Helvetica" w:cs="Helvetica"/>
                <w:sz w:val="18"/>
                <w:szCs w:val="18"/>
              </w:rPr>
              <w:t xml:space="preserve"> species</w:t>
            </w:r>
            <w:r>
              <w:rPr>
                <w:rFonts w:ascii="Helvetica" w:hAnsi="Helvetica" w:cs="Helvetica"/>
                <w:bCs/>
                <w:sz w:val="18"/>
                <w:szCs w:val="18"/>
              </w:rPr>
              <w:t xml:space="preserve"> occur may provide a pathway for these pathogens.</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bCs/>
                <w:sz w:val="18"/>
                <w:szCs w:val="18"/>
              </w:rPr>
              <w:t>Yes</w:t>
            </w:r>
            <w:r>
              <w:rPr>
                <w:rFonts w:ascii="Helvetica" w:hAnsi="Helvetica" w:cs="Helvetica"/>
                <w:bCs/>
                <w:sz w:val="18"/>
                <w:szCs w:val="18"/>
              </w:rPr>
              <w:t xml:space="preserve">: These fungi have </w:t>
            </w:r>
            <w:r>
              <w:rPr>
                <w:rFonts w:ascii="Helvetica" w:hAnsi="Helvetica" w:cs="Helvetica"/>
                <w:sz w:val="18"/>
                <w:szCs w:val="18"/>
              </w:rPr>
              <w:t>established in areas with a wide range of climatic conditions</w:t>
            </w:r>
            <w:r>
              <w:rPr>
                <w:rFonts w:ascii="Helvetica" w:hAnsi="Helvetica" w:cs="Helvetica"/>
                <w:i/>
                <w:iCs/>
                <w:sz w:val="18"/>
                <w:szCs w:val="18"/>
              </w:rPr>
              <w:t xml:space="preserve"> </w:t>
            </w:r>
            <w:r>
              <w:rPr>
                <w:rFonts w:ascii="Helvetica" w:hAnsi="Helvetica" w:cs="Helvetica"/>
                <w:bCs/>
                <w:sz w:val="18"/>
                <w:szCs w:val="18"/>
              </w:rPr>
              <w:t>(</w:t>
            </w:r>
            <w:r>
              <w:rPr>
                <w:rFonts w:ascii="Helvetica" w:hAnsi="Helvetica" w:cs="Helvetica"/>
                <w:sz w:val="18"/>
                <w:szCs w:val="18"/>
              </w:rPr>
              <w:t xml:space="preserve">Chicau </w:t>
            </w:r>
            <w:r>
              <w:rPr>
                <w:rFonts w:ascii="Helvetica" w:hAnsi="Helvetica" w:cs="Helvetica"/>
                <w:i/>
                <w:sz w:val="18"/>
                <w:szCs w:val="18"/>
              </w:rPr>
              <w:t>et al</w:t>
            </w:r>
            <w:r>
              <w:rPr>
                <w:rFonts w:ascii="Helvetica" w:hAnsi="Helvetica" w:cs="Helvetica"/>
                <w:sz w:val="18"/>
                <w:szCs w:val="18"/>
              </w:rPr>
              <w:t xml:space="preserve">. 2000; Marco </w:t>
            </w:r>
            <w:r>
              <w:rPr>
                <w:rFonts w:ascii="Helvetica" w:hAnsi="Helvetica" w:cs="Helvetica"/>
                <w:i/>
                <w:sz w:val="18"/>
                <w:szCs w:val="18"/>
              </w:rPr>
              <w:t>et al</w:t>
            </w:r>
            <w:r>
              <w:rPr>
                <w:rFonts w:ascii="Helvetica" w:hAnsi="Helvetica" w:cs="Helvetica"/>
                <w:sz w:val="18"/>
                <w:szCs w:val="18"/>
              </w:rPr>
              <w:t xml:space="preserve">. 2004; Eskalen </w:t>
            </w:r>
            <w:r>
              <w:rPr>
                <w:rFonts w:ascii="Helvetica" w:hAnsi="Helvetica" w:cs="Helvetica"/>
                <w:i/>
                <w:sz w:val="18"/>
                <w:szCs w:val="18"/>
              </w:rPr>
              <w:t>et al.</w:t>
            </w:r>
            <w:r>
              <w:rPr>
                <w:rFonts w:ascii="Helvetica" w:hAnsi="Helvetica" w:cs="Helvetica"/>
                <w:sz w:val="18"/>
                <w:szCs w:val="18"/>
              </w:rPr>
              <w:t xml:space="preserve"> 2005; Mostert </w:t>
            </w:r>
            <w:r>
              <w:rPr>
                <w:rFonts w:ascii="Helvetica" w:hAnsi="Helvetica" w:cs="Helvetica"/>
                <w:i/>
                <w:sz w:val="18"/>
                <w:szCs w:val="18"/>
              </w:rPr>
              <w:t>et al</w:t>
            </w:r>
            <w:r>
              <w:rPr>
                <w:rFonts w:ascii="Helvetica" w:hAnsi="Helvetica" w:cs="Helvetica"/>
                <w:sz w:val="18"/>
                <w:szCs w:val="18"/>
              </w:rPr>
              <w:t xml:space="preserve">. 2006b; Gramaje </w:t>
            </w:r>
            <w:r>
              <w:rPr>
                <w:rFonts w:ascii="Helvetica" w:hAnsi="Helvetica" w:cs="Helvetica"/>
                <w:i/>
                <w:sz w:val="18"/>
                <w:szCs w:val="18"/>
              </w:rPr>
              <w:t>et al.</w:t>
            </w:r>
            <w:r>
              <w:rPr>
                <w:rFonts w:ascii="Helvetica" w:hAnsi="Helvetica" w:cs="Helvetica"/>
                <w:sz w:val="18"/>
                <w:szCs w:val="18"/>
              </w:rPr>
              <w:t xml:space="preserve"> 2007; Essakhi </w:t>
            </w:r>
            <w:r>
              <w:rPr>
                <w:rFonts w:ascii="Helvetica" w:hAnsi="Helvetica" w:cs="Helvetica"/>
                <w:i/>
                <w:sz w:val="18"/>
                <w:szCs w:val="18"/>
              </w:rPr>
              <w:t>et al</w:t>
            </w:r>
            <w:r>
              <w:rPr>
                <w:rFonts w:ascii="Helvetica" w:hAnsi="Helvetica" w:cs="Helvetica"/>
                <w:sz w:val="18"/>
                <w:szCs w:val="18"/>
              </w:rPr>
              <w:t xml:space="preserve">. 2008; Gramaje </w:t>
            </w:r>
            <w:r>
              <w:rPr>
                <w:rFonts w:ascii="Helvetica" w:hAnsi="Helvetica" w:cs="Helvetica"/>
                <w:i/>
                <w:sz w:val="18"/>
                <w:szCs w:val="18"/>
              </w:rPr>
              <w:t>et al</w:t>
            </w:r>
            <w:r>
              <w:rPr>
                <w:rFonts w:ascii="Helvetica" w:hAnsi="Helvetica" w:cs="Helvetica"/>
                <w:sz w:val="18"/>
                <w:szCs w:val="18"/>
              </w:rPr>
              <w:t>. 2009a</w:t>
            </w:r>
            <w:r>
              <w:rPr>
                <w:rFonts w:ascii="Helvetica" w:hAnsi="Helvetica" w:cs="Helvetica"/>
                <w:bCs/>
                <w:sz w:val="18"/>
                <w:szCs w:val="18"/>
              </w:rPr>
              <w:t xml:space="preserve">) </w:t>
            </w:r>
            <w:r>
              <w:rPr>
                <w:rFonts w:ascii="Helvetica" w:hAnsi="Helvetica" w:cs="Helvetica"/>
                <w:sz w:val="18"/>
                <w:szCs w:val="18"/>
              </w:rPr>
              <w:t xml:space="preserve">and can spread naturally in infected propagative material (Mugnai </w:t>
            </w:r>
            <w:r>
              <w:rPr>
                <w:rFonts w:ascii="Helvetica" w:hAnsi="Helvetica" w:cs="Helvetica"/>
                <w:i/>
                <w:sz w:val="18"/>
                <w:szCs w:val="18"/>
              </w:rPr>
              <w:t>et al.</w:t>
            </w:r>
            <w:r>
              <w:rPr>
                <w:rFonts w:ascii="Helvetica" w:hAnsi="Helvetica" w:cs="Helvetica"/>
                <w:sz w:val="18"/>
                <w:szCs w:val="18"/>
              </w:rPr>
              <w:t xml:space="preserve"> 1999; </w:t>
            </w:r>
            <w:r>
              <w:rPr>
                <w:rFonts w:ascii="Helvetica" w:hAnsi="Helvetica" w:cs="Helvetica"/>
                <w:bCs/>
                <w:sz w:val="18"/>
                <w:szCs w:val="18"/>
              </w:rPr>
              <w:t xml:space="preserve">Ridgway </w:t>
            </w:r>
            <w:r>
              <w:rPr>
                <w:rFonts w:ascii="Helvetica" w:hAnsi="Helvetica" w:cs="Helvetica"/>
                <w:bCs/>
                <w:i/>
                <w:sz w:val="18"/>
                <w:szCs w:val="18"/>
              </w:rPr>
              <w:t>et al</w:t>
            </w:r>
            <w:r>
              <w:rPr>
                <w:rFonts w:ascii="Helvetica" w:hAnsi="Helvetica" w:cs="Helvetica"/>
                <w:bCs/>
                <w:sz w:val="18"/>
                <w:szCs w:val="18"/>
              </w:rPr>
              <w:t xml:space="preserve">. 2003; Giménez-Jaime </w:t>
            </w:r>
            <w:r>
              <w:rPr>
                <w:rFonts w:ascii="Helvetica" w:hAnsi="Helvetica" w:cs="Helvetica"/>
                <w:bCs/>
                <w:i/>
                <w:sz w:val="18"/>
                <w:szCs w:val="18"/>
              </w:rPr>
              <w:t>et al</w:t>
            </w:r>
            <w:r>
              <w:rPr>
                <w:rFonts w:ascii="Helvetica" w:hAnsi="Helvetica" w:cs="Helvetica"/>
                <w:bCs/>
                <w:sz w:val="18"/>
                <w:szCs w:val="18"/>
              </w:rPr>
              <w:t xml:space="preserve">. 2006; </w:t>
            </w:r>
            <w:r>
              <w:rPr>
                <w:rFonts w:ascii="Helvetica" w:hAnsi="Helvetica" w:cs="Helvetica"/>
                <w:sz w:val="18"/>
                <w:szCs w:val="18"/>
              </w:rPr>
              <w:t>Aroca and Raposo 2009</w:t>
            </w:r>
            <w:r>
              <w:rPr>
                <w:rFonts w:ascii="Helvetica" w:hAnsi="Helvetica" w:cs="Helvetica"/>
                <w:bCs/>
                <w:sz w:val="18"/>
                <w:szCs w:val="18"/>
              </w:rPr>
              <w:t xml:space="preserve">). Multiplication and marketing of infected propagative material will help spread these pathogens within Australia. Additionally, these fungi </w:t>
            </w:r>
            <w:r>
              <w:rPr>
                <w:rFonts w:ascii="Helvetica" w:hAnsi="Helvetica" w:cs="Helvetica"/>
                <w:sz w:val="18"/>
                <w:szCs w:val="18"/>
              </w:rPr>
              <w:t xml:space="preserve">are also known to be wind-borne or spread by grafting and pruning tools (Mugnai </w:t>
            </w:r>
            <w:r>
              <w:rPr>
                <w:rFonts w:ascii="Helvetica" w:hAnsi="Helvetica" w:cs="Helvetica"/>
                <w:i/>
                <w:sz w:val="18"/>
                <w:szCs w:val="18"/>
              </w:rPr>
              <w:t>et al</w:t>
            </w:r>
            <w:r>
              <w:rPr>
                <w:rFonts w:ascii="Helvetica" w:hAnsi="Helvetica" w:cs="Helvetica"/>
                <w:sz w:val="18"/>
                <w:szCs w:val="18"/>
              </w:rPr>
              <w:t xml:space="preserve">. 1999). </w:t>
            </w:r>
            <w:r>
              <w:rPr>
                <w:rFonts w:ascii="Helvetica" w:hAnsi="Helvetica" w:cs="Helvetica"/>
                <w:bCs/>
                <w:sz w:val="18"/>
                <w:szCs w:val="18"/>
              </w:rPr>
              <w:t>Therefore, they have the potential to establish and spread in Australia.</w:t>
            </w:r>
          </w:p>
        </w:tc>
        <w:tc>
          <w:tcPr>
            <w:tcW w:w="2863"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Phaeoacremonium</w:t>
            </w:r>
            <w:r>
              <w:rPr>
                <w:rFonts w:ascii="Helvetica" w:hAnsi="Helvetica" w:cs="Helvetica"/>
                <w:sz w:val="18"/>
                <w:szCs w:val="18"/>
              </w:rPr>
              <w:t xml:space="preserve"> species are involved in Petri disease in young vines and esca in adult vines (Mostert </w:t>
            </w:r>
            <w:r>
              <w:rPr>
                <w:rFonts w:ascii="Helvetica" w:hAnsi="Helvetica" w:cs="Helvetica"/>
                <w:i/>
                <w:sz w:val="18"/>
                <w:szCs w:val="18"/>
              </w:rPr>
              <w:t xml:space="preserve">et al. </w:t>
            </w:r>
            <w:r>
              <w:rPr>
                <w:rFonts w:ascii="Helvetica" w:hAnsi="Helvetica" w:cs="Helvetica"/>
                <w:sz w:val="18"/>
                <w:szCs w:val="18"/>
              </w:rPr>
              <w:t xml:space="preserve">2006a,b; Aroca and Raposo 2009, Gramaje </w:t>
            </w:r>
            <w:r>
              <w:rPr>
                <w:rFonts w:ascii="Helvetica" w:hAnsi="Helvetica" w:cs="Helvetica"/>
                <w:i/>
                <w:sz w:val="18"/>
                <w:szCs w:val="18"/>
              </w:rPr>
              <w:t>et al</w:t>
            </w:r>
            <w:r>
              <w:rPr>
                <w:rFonts w:ascii="Helvetica" w:hAnsi="Helvetica" w:cs="Helvetica"/>
                <w:sz w:val="18"/>
                <w:szCs w:val="18"/>
              </w:rPr>
              <w:t xml:space="preserve">. 2009a). Petri disease pathogens act as pioneer organisms that facilitate the invasion of the wood decay fungi that cause the typical symptoms of Esca disease inside the trunk and branches (Larignon and Dubos 1997). Petri disease and </w:t>
            </w:r>
            <w:r>
              <w:rPr>
                <w:rFonts w:ascii="Helvetica" w:hAnsi="Helvetica" w:cs="Helvetica"/>
                <w:sz w:val="18"/>
                <w:szCs w:val="18"/>
                <w:lang w:eastAsia="en-AU"/>
              </w:rPr>
              <w:t>E</w:t>
            </w:r>
            <w:r>
              <w:rPr>
                <w:rFonts w:ascii="Helvetica" w:hAnsi="Helvetica" w:cs="Helvetica"/>
                <w:sz w:val="18"/>
                <w:szCs w:val="18"/>
              </w:rPr>
              <w:t xml:space="preserve">sca </w:t>
            </w:r>
            <w:r>
              <w:rPr>
                <w:rFonts w:ascii="Helvetica" w:hAnsi="Helvetica" w:cs="Helvetica"/>
                <w:sz w:val="18"/>
                <w:szCs w:val="18"/>
                <w:lang w:eastAsia="en-AU"/>
              </w:rPr>
              <w:t xml:space="preserve">disease </w:t>
            </w:r>
            <w:r>
              <w:rPr>
                <w:rFonts w:ascii="Helvetica" w:hAnsi="Helvetica" w:cs="Helvetica"/>
                <w:sz w:val="18"/>
                <w:szCs w:val="18"/>
              </w:rPr>
              <w:t xml:space="preserve">limit both vineyard longevity and productivity as woody parts of the vine are killed (Urbez- Torres </w:t>
            </w:r>
            <w:r>
              <w:rPr>
                <w:rFonts w:ascii="Helvetica" w:hAnsi="Helvetica" w:cs="Helvetica"/>
                <w:i/>
                <w:sz w:val="18"/>
                <w:szCs w:val="18"/>
              </w:rPr>
              <w:t>et al</w:t>
            </w:r>
            <w:r>
              <w:rPr>
                <w:rFonts w:ascii="Helvetica" w:hAnsi="Helvetica" w:cs="Helvetica"/>
                <w:sz w:val="18"/>
                <w:szCs w:val="18"/>
              </w:rPr>
              <w:t xml:space="preserve">. 2012) and affect yield, wine quality and berry quality (White 2010). Consequently, </w:t>
            </w:r>
            <w:r>
              <w:rPr>
                <w:rFonts w:ascii="Helvetica" w:hAnsi="Helvetica" w:cs="Helvetica"/>
                <w:i/>
                <w:sz w:val="18"/>
                <w:szCs w:val="18"/>
              </w:rPr>
              <w:t>Phaeoacremonium</w:t>
            </w:r>
            <w:r>
              <w:rPr>
                <w:rFonts w:ascii="Helvetica" w:hAnsi="Helvetica" w:cs="Helvetica"/>
                <w:sz w:val="18"/>
                <w:szCs w:val="18"/>
              </w:rPr>
              <w:t xml:space="preserve"> species have great impact on the wine, table grape and raisin industries (White 2010). Therefore, </w:t>
            </w:r>
            <w:r>
              <w:rPr>
                <w:rFonts w:ascii="Helvetica" w:hAnsi="Helvetica" w:cs="Helvetica"/>
                <w:i/>
                <w:sz w:val="18"/>
                <w:szCs w:val="18"/>
              </w:rPr>
              <w:t>Phaeoacremonium</w:t>
            </w:r>
            <w:r>
              <w:rPr>
                <w:rFonts w:ascii="Helvetica" w:hAnsi="Helvetica" w:cs="Helvetica"/>
                <w:sz w:val="18"/>
                <w:szCs w:val="18"/>
              </w:rPr>
              <w:t xml:space="preserve"> strains from grapevines have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scolyti</w:t>
            </w:r>
            <w:r>
              <w:rPr>
                <w:rFonts w:ascii="Helvetica" w:hAnsi="Helvetica" w:cs="Helvetica"/>
                <w:sz w:val="18"/>
                <w:szCs w:val="18"/>
              </w:rPr>
              <w:t xml:space="preserve">. Mostert </w:t>
            </w:r>
            <w:r>
              <w:rPr>
                <w:rFonts w:ascii="Helvetica" w:hAnsi="Helvetica" w:cs="Helvetica"/>
                <w:i/>
                <w:sz w:val="18"/>
                <w:szCs w:val="18"/>
              </w:rPr>
              <w:t>et al</w:t>
            </w:r>
            <w:r>
              <w:rPr>
                <w:rFonts w:ascii="Helvetica" w:hAnsi="Helvetica" w:cs="Helvetica"/>
                <w:sz w:val="18"/>
                <w:szCs w:val="18"/>
              </w:rPr>
              <w:t xml:space="preserve">. [Diaporthales: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sicilianum</w:t>
            </w:r>
            <w:r>
              <w:rPr>
                <w:rFonts w:ascii="Helvetica" w:hAnsi="Helvetica" w:cs="Helvetica"/>
                <w:sz w:val="18"/>
                <w:szCs w:val="18"/>
              </w:rPr>
              <w:t xml:space="preserve"> Essakhi </w:t>
            </w:r>
            <w:r>
              <w:rPr>
                <w:rFonts w:ascii="Helvetica" w:hAnsi="Helvetica" w:cs="Helvetica"/>
                <w:i/>
                <w:sz w:val="18"/>
                <w:szCs w:val="18"/>
              </w:rPr>
              <w:t>et al</w:t>
            </w:r>
            <w:r>
              <w:rPr>
                <w:rFonts w:ascii="Helvetica" w:hAnsi="Helvetica" w:cs="Helvetica"/>
                <w:sz w:val="18"/>
                <w:szCs w:val="18"/>
              </w:rPr>
              <w:t xml:space="preserve">. [Diaporthales: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05" w:history="1">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subulatum</w:t>
              </w:r>
            </w:hyperlink>
            <w:r>
              <w:rPr>
                <w:rFonts w:ascii="Helvetica" w:hAnsi="Helvetica" w:cs="Helvetica"/>
                <w:sz w:val="18"/>
                <w:szCs w:val="18"/>
              </w:rPr>
              <w:t xml:space="preserve"> Mostert </w:t>
            </w:r>
            <w:r>
              <w:rPr>
                <w:rFonts w:ascii="Helvetica" w:hAnsi="Helvetica" w:cs="Helvetica"/>
                <w:i/>
                <w:sz w:val="18"/>
                <w:szCs w:val="18"/>
              </w:rPr>
              <w:t>et al</w:t>
            </w:r>
            <w:r>
              <w:rPr>
                <w:rFonts w:ascii="Helvetica" w:hAnsi="Helvetica" w:cs="Helvetica"/>
                <w:sz w:val="18"/>
                <w:szCs w:val="18"/>
              </w:rPr>
              <w:t>. [Diaporthales: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 xml:space="preserve">tuscanicum </w:t>
            </w:r>
            <w:r>
              <w:rPr>
                <w:rFonts w:ascii="Helvetica" w:hAnsi="Helvetica" w:cs="Helvetica"/>
                <w:sz w:val="18"/>
                <w:szCs w:val="18"/>
              </w:rPr>
              <w:t xml:space="preserve">Essakhi </w:t>
            </w:r>
            <w:r>
              <w:rPr>
                <w:rFonts w:ascii="Helvetica" w:hAnsi="Helvetica" w:cs="Helvetica"/>
                <w:i/>
                <w:sz w:val="18"/>
                <w:szCs w:val="18"/>
              </w:rPr>
              <w:t>et al</w:t>
            </w:r>
            <w:r>
              <w:rPr>
                <w:rFonts w:ascii="Helvetica" w:hAnsi="Helvetica" w:cs="Helvetica"/>
                <w:sz w:val="18"/>
                <w:szCs w:val="18"/>
              </w:rPr>
              <w:t xml:space="preserve">. [Diaporthales: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06" w:history="1">
              <w:r>
                <w:rPr>
                  <w:rFonts w:ascii="Helvetica" w:hAnsi="Helvetica" w:cs="Helvetica"/>
                  <w:i/>
                  <w:sz w:val="18"/>
                  <w:szCs w:val="18"/>
                  <w:lang w:val="de-DE"/>
                </w:rPr>
                <w:t>Phaeoacremonium</w:t>
              </w:r>
              <w:r>
                <w:rPr>
                  <w:rFonts w:ascii="Helvetica" w:hAnsi="Helvetica" w:cs="Helvetica"/>
                  <w:sz w:val="18"/>
                  <w:szCs w:val="18"/>
                  <w:lang w:val="de-DE"/>
                </w:rPr>
                <w:t xml:space="preserve"> </w:t>
              </w:r>
              <w:r>
                <w:rPr>
                  <w:rFonts w:ascii="Helvetica" w:hAnsi="Helvetica" w:cs="Helvetica"/>
                  <w:i/>
                  <w:sz w:val="18"/>
                  <w:szCs w:val="18"/>
                  <w:lang w:val="de-DE"/>
                </w:rPr>
                <w:t>venezuelense</w:t>
              </w:r>
            </w:hyperlink>
            <w:r>
              <w:rPr>
                <w:rFonts w:ascii="Helvetica" w:hAnsi="Helvetica" w:cs="Helvetica"/>
                <w:sz w:val="18"/>
                <w:szCs w:val="18"/>
                <w:lang w:val="de-DE"/>
              </w:rPr>
              <w:t xml:space="preserve"> Mostert </w:t>
            </w:r>
            <w:r>
              <w:rPr>
                <w:rFonts w:ascii="Helvetica" w:hAnsi="Helvetica" w:cs="Helvetica"/>
                <w:i/>
                <w:sz w:val="18"/>
                <w:szCs w:val="18"/>
                <w:lang w:val="de-DE"/>
              </w:rPr>
              <w:t>et al</w:t>
            </w:r>
            <w:r>
              <w:rPr>
                <w:rFonts w:ascii="Helvetica" w:hAnsi="Helvetica" w:cs="Helvetica"/>
                <w:sz w:val="18"/>
                <w:szCs w:val="18"/>
                <w:lang w:val="de-DE"/>
              </w:rPr>
              <w:t xml:space="preserve">. </w:t>
            </w:r>
            <w:r>
              <w:rPr>
                <w:rFonts w:ascii="Helvetica" w:hAnsi="Helvetica" w:cs="Helvetica"/>
                <w:sz w:val="18"/>
                <w:szCs w:val="18"/>
              </w:rPr>
              <w:t>[Diaporthales: Togniniaceae]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Phaeoacremonium</w:t>
            </w:r>
            <w:r>
              <w:rPr>
                <w:rFonts w:ascii="Helvetica" w:hAnsi="Helvetica" w:cs="Helvetica"/>
                <w:sz w:val="18"/>
                <w:szCs w:val="18"/>
              </w:rPr>
              <w:t xml:space="preserve"> </w:t>
            </w:r>
            <w:r>
              <w:rPr>
                <w:rFonts w:ascii="Helvetica" w:hAnsi="Helvetica" w:cs="Helvetica"/>
                <w:i/>
                <w:sz w:val="18"/>
                <w:szCs w:val="18"/>
              </w:rPr>
              <w:t>viticola</w:t>
            </w:r>
            <w:r>
              <w:rPr>
                <w:rFonts w:ascii="Helvetica" w:hAnsi="Helvetica" w:cs="Helvetica"/>
                <w:sz w:val="18"/>
                <w:szCs w:val="18"/>
              </w:rPr>
              <w:t xml:space="preserve"> J. Dupont [Diaporthales: Togniniaceae].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Phaeomoniella chlamydospora </w:t>
            </w:r>
            <w:r>
              <w:rPr>
                <w:rFonts w:ascii="Helvetica" w:hAnsi="Helvetica" w:cs="Helvetica"/>
                <w:sz w:val="18"/>
                <w:szCs w:val="18"/>
              </w:rPr>
              <w:t xml:space="preserve">(Gams </w:t>
            </w:r>
            <w:r>
              <w:rPr>
                <w:rFonts w:ascii="Helvetica" w:hAnsi="Helvetica" w:cs="Helvetica"/>
                <w:i/>
                <w:sz w:val="18"/>
                <w:szCs w:val="18"/>
              </w:rPr>
              <w:t>et al</w:t>
            </w:r>
            <w:r>
              <w:rPr>
                <w:rFonts w:ascii="Helvetica" w:hAnsi="Helvetica" w:cs="Helvetica"/>
                <w:sz w:val="18"/>
                <w:szCs w:val="18"/>
              </w:rPr>
              <w:t>.) Crous &amp; W. Gams [Chaetothyriales: Herpotrichiellaceae]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(Edwards and Pascoe 2004)</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Phakopsora ampelopsidis</w:t>
            </w:r>
            <w:r>
              <w:rPr>
                <w:rFonts w:ascii="Helvetica" w:hAnsi="Helvetica" w:cs="Helvetica"/>
                <w:sz w:val="18"/>
                <w:szCs w:val="18"/>
              </w:rPr>
              <w:t xml:space="preserve"> Dietel &amp; P. Syd. [Pucciniales: Phakopsoraceae]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w:t>
            </w:r>
            <w:r>
              <w:rPr>
                <w:rStyle w:val="FootnoteReference"/>
                <w:rFonts w:ascii="Helvetica" w:hAnsi="Helvetica" w:cs="Helvetica"/>
                <w:szCs w:val="18"/>
              </w:rPr>
              <w:footnoteReference w:id="15"/>
            </w:r>
            <w:r>
              <w:rPr>
                <w:rFonts w:ascii="Helvetica" w:hAnsi="Helvetica" w:cs="Helvetica"/>
                <w:sz w:val="18"/>
                <w:szCs w:val="18"/>
              </w:rPr>
              <w:t>: This fungus is host specific and does not occur on grapevines (Ono 2000) and therefore is not on the pathway.</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Phakopsora cronartiiformis</w:t>
            </w:r>
            <w:r>
              <w:rPr>
                <w:rFonts w:ascii="Helvetica" w:hAnsi="Helvetica" w:cs="Helvetica"/>
                <w:sz w:val="18"/>
                <w:szCs w:val="18"/>
              </w:rPr>
              <w:t xml:space="preserve"> Dietel [Pucciniales: Phakopsoraceae]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w:t>
            </w:r>
            <w:r>
              <w:rPr>
                <w:rStyle w:val="FootnoteReference"/>
                <w:rFonts w:ascii="Helvetica" w:hAnsi="Helvetica" w:cs="Helvetica"/>
                <w:szCs w:val="18"/>
              </w:rPr>
              <w:footnoteReference w:id="16"/>
            </w:r>
            <w:r>
              <w:rPr>
                <w:rFonts w:ascii="Helvetica" w:hAnsi="Helvetica" w:cs="Helvetica"/>
                <w:sz w:val="18"/>
                <w:szCs w:val="18"/>
              </w:rPr>
              <w:t xml:space="preserve">: This fungus is host specific and does not occur on grapevines (Ono </w:t>
            </w:r>
            <w:r>
              <w:rPr>
                <w:rFonts w:ascii="Helvetica" w:hAnsi="Helvetica" w:cs="Helvetica"/>
                <w:i/>
                <w:sz w:val="18"/>
                <w:szCs w:val="18"/>
              </w:rPr>
              <w:t>et al.</w:t>
            </w:r>
            <w:r>
              <w:rPr>
                <w:rFonts w:ascii="Helvetica" w:hAnsi="Helvetica" w:cs="Helvetica"/>
                <w:sz w:val="18"/>
                <w:szCs w:val="18"/>
              </w:rPr>
              <w:t xml:space="preserve"> 1990) and therefore is not on the pathway.</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Phakopsora </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vitis</w:t>
            </w:r>
            <w:r>
              <w:rPr>
                <w:rFonts w:ascii="Helvetica" w:hAnsi="Helvetica" w:cs="Helvetica"/>
                <w:sz w:val="18"/>
                <w:szCs w:val="18"/>
              </w:rPr>
              <w:t xml:space="preserve"> Y. Ono [Pucciniales: Phakopsoraceae]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r>
              <w:rPr>
                <w:rStyle w:val="FootnoteReference"/>
                <w:rFonts w:ascii="Helvetica" w:hAnsi="Helvetica" w:cs="Helvetica"/>
                <w:szCs w:val="18"/>
              </w:rPr>
              <w:footnoteReference w:id="17"/>
            </w:r>
            <w:r>
              <w:rPr>
                <w:rFonts w:ascii="Helvetica" w:hAnsi="Helvetica" w:cs="Helvetica"/>
                <w:sz w:val="18"/>
                <w:szCs w:val="18"/>
              </w:rPr>
              <w:t xml:space="preserve"> </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Style w:val="FootnoteReference"/>
                <w:rFonts w:ascii="Helvetica" w:hAnsi="Helvetica" w:cs="Helvetica"/>
                <w:szCs w:val="18"/>
              </w:rPr>
              <w:footnoteReference w:id="18"/>
            </w:r>
            <w:r>
              <w:rPr>
                <w:rFonts w:ascii="Helvetica" w:hAnsi="Helvetica" w:cs="Helvetica"/>
                <w:sz w:val="18"/>
                <w:szCs w:val="18"/>
              </w:rPr>
              <w:t xml:space="preserve">: These fungi are associated with grapevine causing leaf rust (Chatasiri and Ono 2008). These rust species generally infect leaves (Ono 2000; Weinert </w:t>
            </w:r>
            <w:r>
              <w:rPr>
                <w:rFonts w:ascii="Helvetica" w:hAnsi="Helvetica" w:cs="Helvetica"/>
                <w:i/>
                <w:sz w:val="18"/>
                <w:szCs w:val="18"/>
              </w:rPr>
              <w:t>et al</w:t>
            </w:r>
            <w:r>
              <w:rPr>
                <w:rFonts w:ascii="Helvetica" w:hAnsi="Helvetica" w:cs="Helvetica"/>
                <w:sz w:val="18"/>
                <w:szCs w:val="18"/>
              </w:rPr>
              <w:t xml:space="preserve">. 2003; Hennessy </w:t>
            </w:r>
            <w:r>
              <w:rPr>
                <w:rFonts w:ascii="Helvetica" w:hAnsi="Helvetica" w:cs="Helvetica"/>
                <w:i/>
                <w:sz w:val="18"/>
                <w:szCs w:val="18"/>
              </w:rPr>
              <w:t>et al</w:t>
            </w:r>
            <w:r>
              <w:rPr>
                <w:rFonts w:ascii="Helvetica" w:hAnsi="Helvetica" w:cs="Helvetica"/>
                <w:sz w:val="18"/>
                <w:szCs w:val="18"/>
              </w:rPr>
              <w:t xml:space="preserve">. 2007; Chatasiri and Ono 2008), however they can overwinter as mycelium in grapevine shoots (EPPO 2002a) or dormant buds (Weinert </w:t>
            </w:r>
            <w:r>
              <w:rPr>
                <w:rFonts w:ascii="Helvetica" w:hAnsi="Helvetica" w:cs="Helvetica"/>
                <w:i/>
                <w:sz w:val="18"/>
                <w:szCs w:val="18"/>
              </w:rPr>
              <w:t>et al</w:t>
            </w:r>
            <w:r>
              <w:rPr>
                <w:rFonts w:ascii="Helvetica" w:hAnsi="Helvetica" w:cs="Helvetica"/>
                <w:sz w:val="18"/>
                <w:szCs w:val="18"/>
              </w:rPr>
              <w:t xml:space="preserve">. 2003; Hennessy </w:t>
            </w:r>
            <w:r>
              <w:rPr>
                <w:rFonts w:ascii="Helvetica" w:hAnsi="Helvetica" w:cs="Helvetica"/>
                <w:i/>
                <w:sz w:val="18"/>
                <w:szCs w:val="18"/>
              </w:rPr>
              <w:t>et al</w:t>
            </w:r>
            <w:r>
              <w:rPr>
                <w:rFonts w:ascii="Helvetica" w:hAnsi="Helvetica" w:cs="Helvetica"/>
                <w:sz w:val="18"/>
                <w:szCs w:val="18"/>
              </w:rPr>
              <w:t>. 2007). Therefore, dormant cuttings may provide a pathway for these rust fungi.</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These rust fungi have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 xml:space="preserve">(EPPO 2002a; </w:t>
            </w:r>
            <w:r>
              <w:rPr>
                <w:rFonts w:ascii="Helvetica" w:hAnsi="Helvetica" w:cs="Helvetica"/>
                <w:sz w:val="18"/>
                <w:szCs w:val="18"/>
              </w:rPr>
              <w:t>Chatasiri and Ono 2008) and can spread naturally in infected propagative material (EPPO 2002a). Distribution of propagative material carrying mycelium in dormant buds will help spread these rust fungi within Australia. Additionally, spores are dispersed by wind and rain splash (EPPO 2002a). These dispersal mechanisms would facilitate spread within Australia. Therefore, these rust fungi have the potential to establish and spread in Australia.</w:t>
            </w:r>
          </w:p>
        </w:tc>
        <w:tc>
          <w:tcPr>
            <w:tcW w:w="2863"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These rust fungi are serious pathogens of grapevines (L</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1988; EPPO 2002a; Angelotti </w:t>
            </w:r>
            <w:r>
              <w:rPr>
                <w:rFonts w:ascii="Helvetica" w:hAnsi="Helvetica" w:cs="Helvetica"/>
                <w:i/>
                <w:sz w:val="18"/>
                <w:szCs w:val="18"/>
              </w:rPr>
              <w:t>et al</w:t>
            </w:r>
            <w:r>
              <w:rPr>
                <w:rFonts w:ascii="Helvetica" w:hAnsi="Helvetica" w:cs="Helvetica"/>
                <w:sz w:val="18"/>
                <w:szCs w:val="18"/>
              </w:rPr>
              <w:t xml:space="preserve">. 2008) and have potential to be destructive under favourable conditions (Tessmann </w:t>
            </w:r>
            <w:r>
              <w:rPr>
                <w:rFonts w:ascii="Helvetica" w:hAnsi="Helvetica" w:cs="Helvetica"/>
                <w:i/>
                <w:sz w:val="18"/>
                <w:szCs w:val="18"/>
              </w:rPr>
              <w:t>et al</w:t>
            </w:r>
            <w:r>
              <w:rPr>
                <w:rFonts w:ascii="Helvetica" w:hAnsi="Helvetica" w:cs="Helvetica"/>
                <w:sz w:val="18"/>
                <w:szCs w:val="18"/>
              </w:rPr>
              <w:t xml:space="preserve">. 2004; Angelotti </w:t>
            </w:r>
            <w:r>
              <w:rPr>
                <w:rFonts w:ascii="Helvetica" w:hAnsi="Helvetica" w:cs="Helvetica"/>
                <w:i/>
                <w:sz w:val="18"/>
                <w:szCs w:val="18"/>
              </w:rPr>
              <w:t>et al</w:t>
            </w:r>
            <w:r>
              <w:rPr>
                <w:rFonts w:ascii="Helvetica" w:hAnsi="Helvetica" w:cs="Helvetica"/>
                <w:sz w:val="18"/>
                <w:szCs w:val="18"/>
              </w:rPr>
              <w:t>. 2008). Heavy infection causes necrosis of leaves and in severe cases can lead to defoliation of the host plant. The disease can cause poor shoot growth, reduction of fruit quality and yield loss in commercial grapevine production (L</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1988; EPPO 2002a; Angelotti </w:t>
            </w:r>
            <w:r>
              <w:rPr>
                <w:rFonts w:ascii="Helvetica" w:hAnsi="Helvetica" w:cs="Helvetica"/>
                <w:i/>
                <w:sz w:val="18"/>
                <w:szCs w:val="18"/>
              </w:rPr>
              <w:t>et al.</w:t>
            </w:r>
            <w:r>
              <w:rPr>
                <w:rFonts w:ascii="Helvetica" w:hAnsi="Helvetica" w:cs="Helvetica"/>
                <w:sz w:val="18"/>
                <w:szCs w:val="18"/>
              </w:rPr>
              <w:t xml:space="preserve"> 2008). Therefore, </w:t>
            </w:r>
            <w:r>
              <w:rPr>
                <w:rFonts w:ascii="Helvetica" w:hAnsi="Helvetica" w:cs="Helvetica"/>
                <w:i/>
                <w:sz w:val="18"/>
                <w:szCs w:val="18"/>
              </w:rPr>
              <w:t>Phakopsora</w:t>
            </w:r>
            <w:r>
              <w:rPr>
                <w:rFonts w:ascii="Helvetica" w:hAnsi="Helvetica" w:cs="Helvetica"/>
                <w:sz w:val="18"/>
                <w:szCs w:val="18"/>
              </w:rPr>
              <w:t xml:space="preserve"> species have the potential for economic consequences in Australia.</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Phakopsora muscadiniae</w:t>
            </w:r>
            <w:r>
              <w:rPr>
                <w:rFonts w:ascii="Helvetica" w:hAnsi="Helvetica" w:cs="Helvetica"/>
                <w:sz w:val="18"/>
                <w:szCs w:val="18"/>
              </w:rPr>
              <w:t xml:space="preserve"> Buritica [Pucciniales: Phakopsoraceae]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Phakopsora uva</w:t>
            </w:r>
            <w:r>
              <w:rPr>
                <w:rFonts w:ascii="Helvetica" w:hAnsi="Helvetica" w:cs="Helvetica"/>
                <w:sz w:val="18"/>
                <w:szCs w:val="18"/>
              </w:rPr>
              <w:t xml:space="preserve"> Buriticá &amp; J.F. Hennen [Pucciniales: Phakopsoraceae]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Phakopsora vitis </w:t>
            </w:r>
            <w:r>
              <w:rPr>
                <w:rFonts w:ascii="Helvetica" w:hAnsi="Helvetica" w:cs="Helvetica"/>
                <w:sz w:val="18"/>
                <w:szCs w:val="18"/>
              </w:rPr>
              <w:t>P. Syd. [Pucciniales: Phakopsoraceae]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w:t>
            </w:r>
            <w:r>
              <w:rPr>
                <w:rStyle w:val="FootnoteReference"/>
                <w:rFonts w:ascii="Helvetica" w:hAnsi="Helvetica" w:cs="Helvetica"/>
                <w:szCs w:val="18"/>
              </w:rPr>
              <w:footnoteReference w:id="19"/>
            </w:r>
            <w:r>
              <w:rPr>
                <w:rFonts w:ascii="Helvetica" w:hAnsi="Helvetica" w:cs="Helvetica"/>
                <w:sz w:val="18"/>
                <w:szCs w:val="18"/>
              </w:rPr>
              <w:t xml:space="preserve">: This fungus is host specific and does not occur on grapevines (Hennessy </w:t>
            </w:r>
            <w:r>
              <w:rPr>
                <w:rFonts w:ascii="Helvetica" w:hAnsi="Helvetica" w:cs="Helvetica"/>
                <w:i/>
                <w:sz w:val="18"/>
                <w:szCs w:val="18"/>
              </w:rPr>
              <w:t>et al</w:t>
            </w:r>
            <w:r>
              <w:rPr>
                <w:rFonts w:ascii="Helvetica" w:hAnsi="Helvetica" w:cs="Helvetica"/>
                <w:sz w:val="18"/>
                <w:szCs w:val="18"/>
              </w:rPr>
              <w:t>. 2007) and therefore is not on the pathway.</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Phanerochaete</w:t>
            </w:r>
            <w:r>
              <w:rPr>
                <w:rFonts w:ascii="Helvetica" w:hAnsi="Helvetica" w:cs="Helvetica"/>
                <w:sz w:val="18"/>
                <w:szCs w:val="18"/>
              </w:rPr>
              <w:t xml:space="preserve"> </w:t>
            </w:r>
            <w:r>
              <w:rPr>
                <w:rFonts w:ascii="Helvetica" w:hAnsi="Helvetica" w:cs="Helvetica"/>
                <w:i/>
                <w:sz w:val="18"/>
                <w:szCs w:val="18"/>
              </w:rPr>
              <w:t>flavidoalba</w:t>
            </w:r>
            <w:r>
              <w:rPr>
                <w:rFonts w:ascii="Helvetica" w:hAnsi="Helvetica" w:cs="Helvetica"/>
                <w:sz w:val="18"/>
                <w:szCs w:val="18"/>
              </w:rPr>
              <w:t xml:space="preserve"> (Cooke) S.S. Rattan [Polyporales: Phanerochaetaceae]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On other hosts, these species are associated with dead branches of fallen trees and cause white rot of hardwood, conifer and other woody debris (Burdsall 1985). Therefore,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Phanerochaete viticola</w:t>
            </w:r>
            <w:r>
              <w:rPr>
                <w:rFonts w:ascii="Helvetica" w:hAnsi="Helvetica" w:cs="Helvetica"/>
                <w:sz w:val="18"/>
                <w:szCs w:val="18"/>
              </w:rPr>
              <w:t xml:space="preserve"> (Schwein.) Parmasto [Polyporales: Phanerochaetaceae]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Phellinus gilvus</w:t>
            </w:r>
            <w:r>
              <w:rPr>
                <w:rFonts w:ascii="Helvetica" w:hAnsi="Helvetica" w:cs="Helvetica"/>
                <w:sz w:val="18"/>
                <w:szCs w:val="18"/>
                <w:lang w:val="de-DE"/>
              </w:rPr>
              <w:t xml:space="preserve"> (Schwein.) Pat. [Hymenochaetales: Hymenochaetaceae]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Phellinus igniarius</w:t>
            </w:r>
            <w:r>
              <w:rPr>
                <w:rFonts w:ascii="Helvetica" w:hAnsi="Helvetica" w:cs="Helvetica"/>
                <w:sz w:val="18"/>
                <w:szCs w:val="18"/>
              </w:rPr>
              <w:t xml:space="preserve"> (L.) Quél. [Hymenochaetales: Hymenochaetaceae]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was considered the causal agent of esca disease in grapevines (Reisenzein </w:t>
            </w:r>
            <w:r>
              <w:rPr>
                <w:rFonts w:ascii="Helvetica" w:hAnsi="Helvetica" w:cs="Helvetica"/>
                <w:i/>
                <w:sz w:val="18"/>
                <w:szCs w:val="18"/>
              </w:rPr>
              <w:t>et al</w:t>
            </w:r>
            <w:r>
              <w:rPr>
                <w:rFonts w:ascii="Helvetica" w:hAnsi="Helvetica" w:cs="Helvetica"/>
                <w:sz w:val="18"/>
                <w:szCs w:val="18"/>
              </w:rPr>
              <w:t xml:space="preserve">. 2000). However, further studies indicate that the isolates from esca affected vines, identified as </w:t>
            </w:r>
            <w:r>
              <w:rPr>
                <w:rFonts w:ascii="Helvetica" w:hAnsi="Helvetica" w:cs="Helvetica"/>
                <w:i/>
                <w:sz w:val="18"/>
                <w:szCs w:val="18"/>
              </w:rPr>
              <w:t>P. igniarius</w:t>
            </w:r>
            <w:r>
              <w:rPr>
                <w:rFonts w:ascii="Helvetica" w:hAnsi="Helvetica" w:cs="Helvetica"/>
                <w:sz w:val="18"/>
                <w:szCs w:val="18"/>
              </w:rPr>
              <w:t xml:space="preserve">, were misidentifications of </w:t>
            </w:r>
            <w:r>
              <w:rPr>
                <w:rFonts w:ascii="Helvetica" w:hAnsi="Helvetica" w:cs="Helvetica"/>
                <w:i/>
                <w:sz w:val="18"/>
                <w:szCs w:val="18"/>
              </w:rPr>
              <w:t>Fomitiporia punctata</w:t>
            </w:r>
            <w:r>
              <w:rPr>
                <w:rFonts w:ascii="Helvetica" w:hAnsi="Helvetica" w:cs="Helvetica"/>
                <w:sz w:val="18"/>
                <w:szCs w:val="18"/>
              </w:rPr>
              <w:t xml:space="preserve"> (Mugnai </w:t>
            </w:r>
            <w:r>
              <w:rPr>
                <w:rFonts w:ascii="Helvetica" w:hAnsi="Helvetica" w:cs="Helvetica"/>
                <w:i/>
                <w:sz w:val="18"/>
                <w:szCs w:val="18"/>
              </w:rPr>
              <w:t>et al</w:t>
            </w:r>
            <w:r>
              <w:rPr>
                <w:rFonts w:ascii="Helvetica" w:hAnsi="Helvetica" w:cs="Helvetica"/>
                <w:sz w:val="18"/>
                <w:szCs w:val="18"/>
              </w:rPr>
              <w:t xml:space="preserve">. 1999; Cortesi </w:t>
            </w:r>
            <w:r>
              <w:rPr>
                <w:rFonts w:ascii="Helvetica" w:hAnsi="Helvetica" w:cs="Helvetica"/>
                <w:i/>
                <w:sz w:val="18"/>
                <w:szCs w:val="18"/>
              </w:rPr>
              <w:t>et al</w:t>
            </w:r>
            <w:r>
              <w:rPr>
                <w:rFonts w:ascii="Helvetica" w:hAnsi="Helvetica" w:cs="Helvetica"/>
                <w:sz w:val="18"/>
                <w:szCs w:val="18"/>
              </w:rPr>
              <w:t>. 2000). Therefore, this species is not assessed.</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Phellinus noxius</w:t>
            </w:r>
            <w:r>
              <w:rPr>
                <w:rFonts w:ascii="Helvetica" w:hAnsi="Helvetica" w:cs="Helvetica"/>
                <w:sz w:val="18"/>
                <w:szCs w:val="18"/>
              </w:rPr>
              <w:t xml:space="preserve"> (Corner) G. Cunn. [Hymenochaetales: Hymenochaetaceae]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 xml:space="preserve">Phellinus viticola </w:t>
            </w:r>
            <w:r>
              <w:rPr>
                <w:rFonts w:ascii="Helvetica" w:hAnsi="Helvetica" w:cs="Helvetica"/>
                <w:sz w:val="18"/>
                <w:szCs w:val="18"/>
                <w:lang w:val="de-DE"/>
              </w:rPr>
              <w:t>(Schwein.) Donk [Hymenochaetales: Hymenochaetaceae]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Members of this genus occur on living or dead wood and cause wood rot (Farr </w:t>
            </w:r>
            <w:r>
              <w:rPr>
                <w:rFonts w:ascii="Helvetica" w:hAnsi="Helvetica" w:cs="Helvetica"/>
                <w:i/>
                <w:iCs/>
                <w:sz w:val="18"/>
                <w:szCs w:val="18"/>
              </w:rPr>
              <w:t>et al</w:t>
            </w:r>
            <w:r>
              <w:rPr>
                <w:rFonts w:ascii="Helvetica" w:hAnsi="Helvetica" w:cs="Helvetica"/>
                <w:sz w:val="18"/>
                <w:szCs w:val="18"/>
              </w:rPr>
              <w:t>. 1989; Brooks 2002;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Phlyctibasidium polyporoideum</w:t>
            </w:r>
            <w:r>
              <w:rPr>
                <w:rFonts w:ascii="Helvetica" w:hAnsi="Helvetica" w:cs="Helvetica"/>
                <w:sz w:val="18"/>
                <w:szCs w:val="18"/>
              </w:rPr>
              <w:t xml:space="preserve"> (Berkeley &amp; MA Curtis) Jülich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occurs on rotting wood (Gilbertson and Bigelow 1998).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Phoma ampelina</w:t>
            </w:r>
            <w:r>
              <w:rPr>
                <w:rFonts w:ascii="Helvetica" w:hAnsi="Helvetica" w:cs="Helvetica"/>
                <w:sz w:val="18"/>
                <w:szCs w:val="18"/>
              </w:rPr>
              <w:t xml:space="preserve"> Berk. &amp; M.A. Curtis [Pleosporales: Incertae sedis]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Phoma</w:t>
            </w:r>
            <w:r>
              <w:rPr>
                <w:rFonts w:ascii="Helvetica" w:hAnsi="Helvetica" w:cs="Helvetica"/>
                <w:sz w:val="18"/>
                <w:szCs w:val="18"/>
              </w:rPr>
              <w:t xml:space="preserve"> species are soil-borne, weakly parasitic or saprophytic species and are associated with roots, dead stems and foliage of host plants (Boerema 1976; Farr </w:t>
            </w:r>
            <w:r>
              <w:rPr>
                <w:rFonts w:ascii="Helvetica" w:hAnsi="Helvetica" w:cs="Helvetica"/>
                <w:i/>
                <w:sz w:val="18"/>
                <w:szCs w:val="18"/>
              </w:rPr>
              <w:t>et al</w:t>
            </w:r>
            <w:r>
              <w:rPr>
                <w:rFonts w:ascii="Helvetica" w:hAnsi="Helvetica" w:cs="Helvetica"/>
                <w:sz w:val="18"/>
                <w:szCs w:val="18"/>
              </w:rPr>
              <w:t xml:space="preserve">. 1989; Farr and Rossman 2011). Therefore, dormant cuttings do not provide a pathway for these fungi.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Phoma ampelocarpa</w:t>
            </w:r>
            <w:r>
              <w:rPr>
                <w:rFonts w:ascii="Helvetica" w:hAnsi="Helvetica" w:cs="Helvetica"/>
                <w:sz w:val="18"/>
                <w:szCs w:val="18"/>
              </w:rPr>
              <w:t xml:space="preserve"> Pass. [Pleosporales: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Phoma exigua</w:t>
            </w:r>
            <w:r>
              <w:rPr>
                <w:rFonts w:ascii="Helvetica" w:hAnsi="Helvetica" w:cs="Helvetica"/>
                <w:sz w:val="18"/>
                <w:szCs w:val="18"/>
              </w:rPr>
              <w:t xml:space="preserve"> Sacc. [Pleosporales: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Phoma glomerata</w:t>
            </w:r>
            <w:r>
              <w:rPr>
                <w:rFonts w:ascii="Helvetica" w:hAnsi="Helvetica" w:cs="Helvetica"/>
                <w:sz w:val="18"/>
                <w:szCs w:val="18"/>
              </w:rPr>
              <w:t xml:space="preserve"> (Corda) Wollenw. &amp; Hochapfel [Pleosporales: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Phoma lenticularis</w:t>
            </w:r>
            <w:r>
              <w:rPr>
                <w:rFonts w:ascii="Helvetica" w:hAnsi="Helvetica" w:cs="Helvetica"/>
                <w:sz w:val="18"/>
                <w:szCs w:val="18"/>
              </w:rPr>
              <w:t xml:space="preserve"> Cavara [Pleosporales: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Phoma</w:t>
            </w:r>
            <w:r>
              <w:rPr>
                <w:rFonts w:ascii="Helvetica" w:hAnsi="Helvetica" w:cs="Helvetica"/>
                <w:sz w:val="18"/>
                <w:szCs w:val="18"/>
              </w:rPr>
              <w:t xml:space="preserve"> species are soil-borne, weakly parasitic or saprophytic species and are associated with roots, dead stems and foliage of host plants (Boerema 1976; Farr </w:t>
            </w:r>
            <w:r>
              <w:rPr>
                <w:rFonts w:ascii="Helvetica" w:hAnsi="Helvetica" w:cs="Helvetica"/>
                <w:i/>
                <w:sz w:val="18"/>
                <w:szCs w:val="18"/>
              </w:rPr>
              <w:t>et al</w:t>
            </w:r>
            <w:r>
              <w:rPr>
                <w:rFonts w:ascii="Helvetica" w:hAnsi="Helvetica" w:cs="Helvetica"/>
                <w:sz w:val="18"/>
                <w:szCs w:val="18"/>
              </w:rPr>
              <w:t xml:space="preserve">. 1989; Farr and Rossman 2011). Therefore, dormant cuttings do not provide a pathway for these fungi. </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Phoma negriana</w:t>
            </w:r>
            <w:r>
              <w:rPr>
                <w:rFonts w:ascii="Helvetica" w:hAnsi="Helvetica" w:cs="Helvetica"/>
                <w:sz w:val="18"/>
                <w:szCs w:val="18"/>
              </w:rPr>
              <w:t xml:space="preserve"> Thüm. [Pleosporales: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Phoma plurivora</w:t>
            </w:r>
            <w:r>
              <w:rPr>
                <w:rFonts w:ascii="Helvetica" w:hAnsi="Helvetica" w:cs="Helvetica"/>
                <w:sz w:val="18"/>
                <w:szCs w:val="18"/>
              </w:rPr>
              <w:t xml:space="preserve"> PR Johnston [Pleosporales: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Phoma</w:t>
            </w:r>
            <w:r>
              <w:rPr>
                <w:rFonts w:ascii="Helvetica" w:hAnsi="Helvetica" w:cs="Helvetica"/>
                <w:sz w:val="18"/>
                <w:szCs w:val="18"/>
              </w:rPr>
              <w:t xml:space="preserve"> </w:t>
            </w:r>
            <w:r>
              <w:rPr>
                <w:rFonts w:ascii="Helvetica" w:hAnsi="Helvetica" w:cs="Helvetica"/>
                <w:i/>
                <w:sz w:val="18"/>
                <w:szCs w:val="18"/>
              </w:rPr>
              <w:t>pomorum</w:t>
            </w:r>
            <w:r>
              <w:rPr>
                <w:rFonts w:ascii="Helvetica" w:hAnsi="Helvetica" w:cs="Helvetica"/>
                <w:sz w:val="18"/>
                <w:szCs w:val="18"/>
              </w:rPr>
              <w:t xml:space="preserve"> Thüm. [Pleosporales: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Cook and Dubé</w:t>
            </w:r>
            <w:r>
              <w:rPr>
                <w:rFonts w:ascii="Helvetica" w:hAnsi="Helvetica" w:cs="Helvetica"/>
                <w:sz w:val="18"/>
                <w:szCs w:val="18"/>
              </w:rPr>
              <w:t xml:space="preserve">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Phomopsis</w:t>
            </w:r>
            <w:r>
              <w:rPr>
                <w:rFonts w:ascii="Helvetica" w:hAnsi="Helvetica" w:cs="Helvetica"/>
                <w:sz w:val="18"/>
                <w:szCs w:val="18"/>
              </w:rPr>
              <w:t xml:space="preserve"> </w:t>
            </w:r>
            <w:r>
              <w:rPr>
                <w:rFonts w:ascii="Helvetica" w:hAnsi="Helvetica" w:cs="Helvetica"/>
                <w:i/>
                <w:sz w:val="18"/>
                <w:szCs w:val="18"/>
              </w:rPr>
              <w:t>longiparaphysata</w:t>
            </w:r>
            <w:r>
              <w:rPr>
                <w:rFonts w:ascii="Helvetica" w:hAnsi="Helvetica" w:cs="Helvetica"/>
                <w:sz w:val="18"/>
                <w:szCs w:val="18"/>
              </w:rPr>
              <w:t xml:space="preserve"> Uecker &amp; KC Kuo [Diaporthales: Diaporthaceae]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fungus is known to occur on fruit (Uecker and Kuo 1992).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b/>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Phomopsis viticola</w:t>
            </w:r>
            <w:r>
              <w:rPr>
                <w:rFonts w:ascii="Helvetica" w:hAnsi="Helvetica" w:cs="Helvetica"/>
                <w:sz w:val="18"/>
                <w:szCs w:val="18"/>
              </w:rPr>
              <w:t xml:space="preserve"> (Sacc.) Sacc [Diaporthales: Diaporthaceae]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Savocchia </w:t>
            </w:r>
            <w:r>
              <w:rPr>
                <w:rFonts w:ascii="Helvetica" w:hAnsi="Helvetica" w:cs="Helvetica"/>
                <w:bCs/>
                <w:i/>
                <w:sz w:val="18"/>
                <w:szCs w:val="18"/>
              </w:rPr>
              <w:t>et al</w:t>
            </w:r>
            <w:r>
              <w:rPr>
                <w:rFonts w:ascii="Helvetica" w:hAnsi="Helvetica" w:cs="Helvetica"/>
                <w:bCs/>
                <w:sz w:val="18"/>
                <w:szCs w:val="18"/>
              </w:rPr>
              <w:t>. 2007</w:t>
            </w:r>
            <w:r>
              <w:rPr>
                <w:rFonts w:ascii="Helvetica" w:hAnsi="Helvetica" w:cs="Helvetica"/>
                <w:sz w:val="18"/>
                <w:szCs w:val="18"/>
              </w:rPr>
              <w:t xml:space="preserve">)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Phyllachora</w:t>
            </w:r>
            <w:r>
              <w:rPr>
                <w:rFonts w:ascii="Helvetica" w:hAnsi="Helvetica" w:cs="Helvetica"/>
                <w:sz w:val="18"/>
                <w:szCs w:val="18"/>
              </w:rPr>
              <w:t xml:space="preserve"> </w:t>
            </w:r>
            <w:r>
              <w:rPr>
                <w:rFonts w:ascii="Helvetica" w:hAnsi="Helvetica" w:cs="Helvetica"/>
                <w:i/>
                <w:sz w:val="18"/>
                <w:szCs w:val="18"/>
              </w:rPr>
              <w:t>picea</w:t>
            </w:r>
            <w:r>
              <w:rPr>
                <w:rFonts w:ascii="Helvetica" w:hAnsi="Helvetica" w:cs="Helvetica"/>
                <w:sz w:val="18"/>
                <w:szCs w:val="18"/>
              </w:rPr>
              <w:t xml:space="preserve"> (Berk. &amp; M.A. Curtis) Sacc. [Phyllachorales: Phyllachoraceae]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This species has been recorded on </w:t>
            </w:r>
            <w:r>
              <w:rPr>
                <w:rFonts w:ascii="Helvetica" w:hAnsi="Helvetica" w:cs="Helvetica"/>
                <w:i/>
                <w:sz w:val="18"/>
                <w:szCs w:val="18"/>
              </w:rPr>
              <w:t xml:space="preserve">Vitis </w:t>
            </w:r>
            <w:r>
              <w:rPr>
                <w:rFonts w:ascii="Helvetica" w:hAnsi="Helvetica" w:cs="Helvetica"/>
                <w:sz w:val="18"/>
                <w:szCs w:val="18"/>
              </w:rPr>
              <w:t>species and is associated with the stem (Farr and Rossman 2011). Therefore, dormant cuttings may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This fungus </w:t>
            </w:r>
            <w:r>
              <w:rPr>
                <w:rFonts w:ascii="Helvetica" w:hAnsi="Helvetica" w:cs="Helvetica"/>
                <w:sz w:val="18"/>
                <w:szCs w:val="18"/>
              </w:rPr>
              <w:t>has established in areas with a wide range of climatic conditions (Farr and Rossman 2011) and it may spread in infected propagative material. Therefore, these fungi have the potential to establish and spread in Australia</w:t>
            </w:r>
          </w:p>
        </w:tc>
        <w:tc>
          <w:tcPr>
            <w:tcW w:w="2863"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has been reported on grapes but no economic losses have been reported for this fungus. Therefore, this fungus is not of economic concern to Australia. </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Phyllachora</w:t>
            </w:r>
            <w:r>
              <w:rPr>
                <w:rFonts w:ascii="Helvetica" w:hAnsi="Helvetica" w:cs="Helvetica"/>
                <w:sz w:val="18"/>
                <w:szCs w:val="18"/>
                <w:lang w:val="de-DE"/>
              </w:rPr>
              <w:t xml:space="preserve"> </w:t>
            </w:r>
            <w:r>
              <w:rPr>
                <w:rFonts w:ascii="Helvetica" w:hAnsi="Helvetica" w:cs="Helvetica"/>
                <w:i/>
                <w:sz w:val="18"/>
                <w:szCs w:val="18"/>
                <w:lang w:val="de-DE"/>
              </w:rPr>
              <w:t>pomigena</w:t>
            </w:r>
            <w:r>
              <w:rPr>
                <w:rFonts w:ascii="Helvetica" w:hAnsi="Helvetica" w:cs="Helvetica"/>
                <w:sz w:val="18"/>
                <w:szCs w:val="18"/>
                <w:lang w:val="de-DE"/>
              </w:rPr>
              <w:t xml:space="preserve"> (Schwein.) Sacc. [Phyllachorales: Phyllachoraceae]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lang w:val="de-DE"/>
              </w:rPr>
            </w:pPr>
            <w:r>
              <w:rPr>
                <w:rFonts w:ascii="Helvetica" w:hAnsi="Helvetica" w:cs="Helvetica"/>
                <w:sz w:val="18"/>
                <w:szCs w:val="18"/>
                <w:lang w:val="de-DE"/>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lang w:val="de-DE"/>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Phyllachora</w:t>
            </w:r>
            <w:r>
              <w:rPr>
                <w:rFonts w:ascii="Helvetica" w:hAnsi="Helvetica" w:cs="Helvetica"/>
                <w:sz w:val="18"/>
                <w:szCs w:val="18"/>
                <w:lang w:val="de-DE"/>
              </w:rPr>
              <w:t xml:space="preserve"> </w:t>
            </w:r>
            <w:r>
              <w:rPr>
                <w:rFonts w:ascii="Helvetica" w:hAnsi="Helvetica" w:cs="Helvetica"/>
                <w:i/>
                <w:sz w:val="18"/>
                <w:szCs w:val="18"/>
                <w:lang w:val="de-DE"/>
              </w:rPr>
              <w:t>vitis</w:t>
            </w:r>
            <w:r>
              <w:rPr>
                <w:rFonts w:ascii="Helvetica" w:hAnsi="Helvetica" w:cs="Helvetica"/>
                <w:sz w:val="18"/>
                <w:szCs w:val="18"/>
                <w:lang w:val="de-DE"/>
              </w:rPr>
              <w:t xml:space="preserve"> MS Patil &amp; AB Pawar [Phyllachorales: Phyllachoraceae]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w:t>
            </w:r>
            <w:r>
              <w:rPr>
                <w:rFonts w:ascii="Helvetica" w:hAnsi="Helvetica" w:cs="Helvetica"/>
                <w:i/>
                <w:sz w:val="18"/>
                <w:szCs w:val="18"/>
              </w:rPr>
              <w:t>Phyllachora</w:t>
            </w:r>
            <w:r>
              <w:rPr>
                <w:rFonts w:ascii="Helvetica" w:hAnsi="Helvetica" w:cs="Helvetica"/>
                <w:sz w:val="18"/>
                <w:szCs w:val="18"/>
              </w:rPr>
              <w:t xml:space="preserve"> species are generally associated with foliage (Farr </w:t>
            </w:r>
            <w:r>
              <w:rPr>
                <w:rFonts w:ascii="Helvetica" w:hAnsi="Helvetica" w:cs="Helvetica"/>
                <w:i/>
                <w:sz w:val="18"/>
                <w:szCs w:val="18"/>
              </w:rPr>
              <w:t>et al</w:t>
            </w:r>
            <w:r>
              <w:rPr>
                <w:rFonts w:ascii="Helvetica" w:hAnsi="Helvetica" w:cs="Helvetica"/>
                <w:sz w:val="18"/>
                <w:szCs w:val="18"/>
              </w:rPr>
              <w:t>. 1989).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sz w:val="18"/>
                <w:szCs w:val="18"/>
                <w:lang w:val="de-DE"/>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Phyllactinia ampelopsidis</w:t>
            </w:r>
            <w:r>
              <w:rPr>
                <w:rFonts w:ascii="Helvetica" w:hAnsi="Helvetica" w:cs="Helvetica"/>
                <w:sz w:val="18"/>
                <w:szCs w:val="18"/>
              </w:rPr>
              <w:t xml:space="preserve"> YX Yu &amp; YQ Lai [Erysiphales: Erysiphaceae]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Phyllactinia</w:t>
            </w:r>
            <w:r>
              <w:rPr>
                <w:rFonts w:ascii="Helvetica" w:hAnsi="Helvetica" w:cs="Helvetica"/>
                <w:sz w:val="18"/>
                <w:szCs w:val="18"/>
              </w:rPr>
              <w:t xml:space="preserve"> species occur on foliage and cause powdery mildew (Farr </w:t>
            </w:r>
            <w:r>
              <w:rPr>
                <w:rFonts w:ascii="Helvetica" w:hAnsi="Helvetica" w:cs="Helvetica"/>
                <w:i/>
                <w:iCs/>
                <w:sz w:val="18"/>
                <w:szCs w:val="18"/>
              </w:rPr>
              <w:t>et al</w:t>
            </w:r>
            <w:r>
              <w:rPr>
                <w:rFonts w:ascii="Helvetica" w:hAnsi="Helvetica" w:cs="Helvetica"/>
                <w:sz w:val="18"/>
                <w:szCs w:val="18"/>
              </w:rPr>
              <w:t>. 1989).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Phyllactinia guttata</w:t>
            </w:r>
            <w:r>
              <w:rPr>
                <w:rFonts w:ascii="Helvetica" w:hAnsi="Helvetica" w:cs="Helvetica"/>
                <w:sz w:val="18"/>
                <w:szCs w:val="18"/>
              </w:rPr>
              <w:t xml:space="preserve"> (Wallr.) Lév. [Erysiphales: Erysiphaceae]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Phyllosticta ampelophila</w:t>
            </w:r>
            <w:r>
              <w:rPr>
                <w:rFonts w:ascii="Helvetica" w:hAnsi="Helvetica" w:cs="Helvetica"/>
                <w:sz w:val="18"/>
                <w:szCs w:val="18"/>
              </w:rPr>
              <w:t xml:space="preserve"> Politis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w:t>
            </w:r>
            <w:r>
              <w:rPr>
                <w:rFonts w:ascii="Helvetica" w:hAnsi="Helvetica" w:cs="Helvetica"/>
                <w:i/>
                <w:iCs/>
                <w:sz w:val="18"/>
                <w:szCs w:val="18"/>
              </w:rPr>
              <w:t xml:space="preserve">Phyllosticta </w:t>
            </w:r>
            <w:r>
              <w:rPr>
                <w:rFonts w:ascii="Helvetica" w:hAnsi="Helvetica" w:cs="Helvetica"/>
                <w:sz w:val="18"/>
                <w:szCs w:val="18"/>
              </w:rPr>
              <w:t xml:space="preserve">species have been recorded on the foliage of </w:t>
            </w:r>
            <w:r>
              <w:rPr>
                <w:rFonts w:ascii="Helvetica" w:hAnsi="Helvetica" w:cs="Helvetica"/>
                <w:i/>
                <w:sz w:val="18"/>
                <w:szCs w:val="18"/>
              </w:rPr>
              <w:t xml:space="preserve">Vitis </w:t>
            </w:r>
            <w:r>
              <w:rPr>
                <w:rFonts w:ascii="Helvetica" w:hAnsi="Helvetica" w:cs="Helvetica"/>
                <w:sz w:val="18"/>
                <w:szCs w:val="18"/>
              </w:rPr>
              <w:t>species (Farr and Rossman 2011). Therefore, foliage free dormant cuttings do not provide a pathway for these species.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Phyllosticta badhami</w:t>
            </w:r>
            <w:r>
              <w:rPr>
                <w:rFonts w:ascii="Helvetica" w:hAnsi="Helvetica" w:cs="Helvetica"/>
                <w:sz w:val="18"/>
                <w:szCs w:val="18"/>
              </w:rPr>
              <w:t xml:space="preserve"> Cooke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Phyllosticta dzumajensis</w:t>
            </w:r>
            <w:r>
              <w:rPr>
                <w:rFonts w:ascii="Helvetica" w:hAnsi="Helvetica" w:cs="Helvetica"/>
                <w:sz w:val="18"/>
                <w:szCs w:val="18"/>
              </w:rPr>
              <w:t xml:space="preserve"> Bubák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Phyllosticta labruscae</w:t>
            </w:r>
            <w:r>
              <w:rPr>
                <w:rFonts w:ascii="Helvetica" w:hAnsi="Helvetica" w:cs="Helvetica"/>
                <w:sz w:val="18"/>
                <w:szCs w:val="18"/>
              </w:rPr>
              <w:t xml:space="preserve"> Thüm.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Phyllosticta microspila</w:t>
            </w:r>
            <w:r>
              <w:rPr>
                <w:rFonts w:ascii="Helvetica" w:hAnsi="Helvetica" w:cs="Helvetica"/>
                <w:sz w:val="18"/>
                <w:szCs w:val="18"/>
              </w:rPr>
              <w:t xml:space="preserve"> Pass.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Phyllosticta pilispora</w:t>
            </w:r>
            <w:r>
              <w:rPr>
                <w:rFonts w:ascii="Helvetica" w:hAnsi="Helvetica" w:cs="Helvetica"/>
                <w:sz w:val="18"/>
                <w:szCs w:val="18"/>
              </w:rPr>
              <w:t xml:space="preserve"> Speschnew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Phyllosticta spermoides</w:t>
            </w:r>
            <w:r>
              <w:rPr>
                <w:rFonts w:ascii="Helvetica" w:hAnsi="Helvetica" w:cs="Helvetica"/>
                <w:sz w:val="18"/>
                <w:szCs w:val="18"/>
              </w:rPr>
              <w:t xml:space="preserve"> Peck.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Phyllosticta vitis</w:t>
            </w:r>
            <w:r>
              <w:rPr>
                <w:rFonts w:ascii="Helvetica" w:hAnsi="Helvetica" w:cs="Helvetica"/>
                <w:sz w:val="18"/>
                <w:szCs w:val="18"/>
              </w:rPr>
              <w:t xml:space="preserve"> Sacc.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Phymatotrichopsis</w:t>
            </w:r>
            <w:r>
              <w:rPr>
                <w:rFonts w:ascii="Helvetica" w:hAnsi="Helvetica" w:cs="Helvetica"/>
                <w:sz w:val="18"/>
                <w:szCs w:val="18"/>
              </w:rPr>
              <w:t xml:space="preserve"> </w:t>
            </w:r>
            <w:r>
              <w:rPr>
                <w:rFonts w:ascii="Helvetica" w:hAnsi="Helvetica" w:cs="Helvetica"/>
                <w:i/>
                <w:sz w:val="18"/>
                <w:szCs w:val="18"/>
              </w:rPr>
              <w:t>omnivora</w:t>
            </w:r>
            <w:r>
              <w:rPr>
                <w:rFonts w:ascii="Helvetica" w:hAnsi="Helvetica" w:cs="Helvetica"/>
                <w:sz w:val="18"/>
                <w:szCs w:val="18"/>
              </w:rPr>
              <w:t xml:space="preserve"> (Duggar) Hennebert [Pezizales: Rhizinaceae]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a soil-borne pathogen associated with the roots of host plants (Farr </w:t>
            </w:r>
            <w:r>
              <w:rPr>
                <w:rFonts w:ascii="Helvetica" w:hAnsi="Helvetica" w:cs="Helvetica"/>
                <w:i/>
                <w:sz w:val="18"/>
                <w:szCs w:val="18"/>
              </w:rPr>
              <w:t>et al</w:t>
            </w:r>
            <w:r>
              <w:rPr>
                <w:rFonts w:ascii="Helvetica" w:hAnsi="Helvetica" w:cs="Helvetica"/>
                <w:sz w:val="18"/>
                <w:szCs w:val="18"/>
              </w:rPr>
              <w:t>. 1989).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Physalospora</w:t>
            </w:r>
            <w:r>
              <w:rPr>
                <w:rFonts w:ascii="Helvetica" w:hAnsi="Helvetica" w:cs="Helvetica"/>
                <w:sz w:val="18"/>
                <w:szCs w:val="18"/>
              </w:rPr>
              <w:t xml:space="preserve"> </w:t>
            </w:r>
            <w:r>
              <w:rPr>
                <w:rFonts w:ascii="Helvetica" w:hAnsi="Helvetica" w:cs="Helvetica"/>
                <w:i/>
                <w:sz w:val="18"/>
                <w:szCs w:val="18"/>
              </w:rPr>
              <w:t>baccae</w:t>
            </w:r>
            <w:r>
              <w:rPr>
                <w:rFonts w:ascii="Helvetica" w:hAnsi="Helvetica" w:cs="Helvetica"/>
                <w:sz w:val="18"/>
                <w:szCs w:val="18"/>
              </w:rPr>
              <w:t xml:space="preserve"> Cavara [Xylariales: Hyponectriaceae]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infects grape berries, leaves, pedicels and peduncles (Zhang 2005). Therefore, foliage free dormant grapevine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Pilidiella diplodiopsis </w:t>
            </w:r>
            <w:r>
              <w:rPr>
                <w:rFonts w:ascii="Helvetica" w:hAnsi="Helvetica" w:cs="Helvetica"/>
                <w:sz w:val="18"/>
                <w:szCs w:val="18"/>
              </w:rPr>
              <w:t>Crous &amp; Van Niekerk [Diaporthales: Schizoparmaceae]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this species affects fruit (Lauber and Schuepp 1968).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Pleospora betae</w:t>
            </w:r>
            <w:r>
              <w:rPr>
                <w:rFonts w:ascii="Helvetica" w:hAnsi="Helvetica" w:cs="Helvetica"/>
                <w:sz w:val="18"/>
                <w:szCs w:val="18"/>
              </w:rPr>
              <w:t xml:space="preserve"> (Berl.) Nevod. [Pleosporales: Pleosporaceae]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Pleospora herbarum</w:t>
            </w:r>
            <w:r>
              <w:rPr>
                <w:rFonts w:ascii="Helvetica" w:hAnsi="Helvetica" w:cs="Helvetica"/>
                <w:sz w:val="18"/>
                <w:szCs w:val="18"/>
              </w:rPr>
              <w:t xml:space="preserve"> (Pers.) Rabenh.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Pleospora penicillus</w:t>
            </w:r>
            <w:r>
              <w:rPr>
                <w:rFonts w:ascii="Helvetica" w:hAnsi="Helvetica" w:cs="Helvetica"/>
                <w:sz w:val="18"/>
                <w:szCs w:val="18"/>
              </w:rPr>
              <w:t xml:space="preserve"> var. </w:t>
            </w:r>
            <w:r>
              <w:rPr>
                <w:rFonts w:ascii="Helvetica" w:hAnsi="Helvetica" w:cs="Helvetica"/>
                <w:i/>
                <w:sz w:val="18"/>
                <w:szCs w:val="18"/>
              </w:rPr>
              <w:t>penicillus</w:t>
            </w:r>
            <w:r>
              <w:rPr>
                <w:rFonts w:ascii="Helvetica" w:hAnsi="Helvetica" w:cs="Helvetica"/>
                <w:sz w:val="18"/>
                <w:szCs w:val="18"/>
              </w:rPr>
              <w:t xml:space="preserve"> Fuckel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Therefore, there is no evidence that propagative material provides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Pleospora phaeocomoides</w:t>
            </w:r>
            <w:r>
              <w:rPr>
                <w:rFonts w:ascii="Helvetica" w:hAnsi="Helvetica" w:cs="Helvetica"/>
                <w:sz w:val="18"/>
                <w:szCs w:val="18"/>
              </w:rPr>
              <w:t xml:space="preserve"> (Berk. &amp; Broome) G. Winter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Pleospora vitis</w:t>
            </w:r>
            <w:r>
              <w:rPr>
                <w:rFonts w:ascii="Helvetica" w:hAnsi="Helvetica" w:cs="Helvetica"/>
                <w:sz w:val="18"/>
                <w:szCs w:val="18"/>
              </w:rPr>
              <w:t xml:space="preserve"> Catt.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Therefore, there is no evidence that propagative material provides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Pleospora vitis-viniferae</w:t>
            </w:r>
            <w:r>
              <w:rPr>
                <w:rFonts w:ascii="Helvetica" w:hAnsi="Helvetica" w:cs="Helvetica"/>
                <w:sz w:val="18"/>
                <w:szCs w:val="18"/>
              </w:rPr>
              <w:t xml:space="preserve"> Frolov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rostomophora richardsiae</w:t>
            </w:r>
            <w:r>
              <w:rPr>
                <w:rFonts w:ascii="Helvetica" w:hAnsi="Helvetica" w:cs="Helvetica"/>
                <w:sz w:val="18"/>
                <w:szCs w:val="18"/>
              </w:rPr>
              <w:t xml:space="preserve"> (Nannf.) Mostert </w:t>
            </w:r>
            <w:r>
              <w:rPr>
                <w:rFonts w:ascii="Helvetica" w:hAnsi="Helvetica" w:cs="Helvetica"/>
                <w:i/>
                <w:sz w:val="18"/>
                <w:szCs w:val="18"/>
              </w:rPr>
              <w:t>et al</w:t>
            </w:r>
            <w:r>
              <w:rPr>
                <w:rFonts w:ascii="Helvetica" w:hAnsi="Helvetica" w:cs="Helvetica"/>
                <w:sz w:val="18"/>
                <w:szCs w:val="18"/>
              </w:rPr>
              <w:t>. [Calosphaeriales: Pleurostomataceae]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isolated from cankered grapevines (Varela </w:t>
            </w:r>
            <w:r>
              <w:rPr>
                <w:rFonts w:ascii="Helvetica" w:hAnsi="Helvetica" w:cs="Helvetica"/>
                <w:i/>
                <w:sz w:val="18"/>
                <w:szCs w:val="18"/>
              </w:rPr>
              <w:t>et al</w:t>
            </w:r>
            <w:r>
              <w:rPr>
                <w:rFonts w:ascii="Helvetica" w:hAnsi="Helvetica" w:cs="Helvetica"/>
                <w:sz w:val="18"/>
                <w:szCs w:val="18"/>
              </w:rPr>
              <w:t xml:space="preserve">. 2011) and cankers generally develop in the woody parts of the vine (Urbez-Torres </w:t>
            </w:r>
            <w:r>
              <w:rPr>
                <w:rFonts w:ascii="Helvetica" w:hAnsi="Helvetica" w:cs="Helvetica"/>
                <w:i/>
                <w:sz w:val="18"/>
                <w:szCs w:val="18"/>
              </w:rPr>
              <w:t>et al</w:t>
            </w:r>
            <w:r>
              <w:rPr>
                <w:rFonts w:ascii="Helvetica" w:hAnsi="Helvetica" w:cs="Helvetica"/>
                <w:sz w:val="18"/>
                <w:szCs w:val="18"/>
              </w:rPr>
              <w:t>. 2012). Therefore, semi-hardwood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hyperlink r:id="rId107" w:history="1">
              <w:r>
                <w:rPr>
                  <w:rFonts w:ascii="Helvetica" w:hAnsi="Helvetica" w:cs="Helvetica"/>
                  <w:i/>
                  <w:iCs/>
                  <w:sz w:val="18"/>
                  <w:szCs w:val="18"/>
                </w:rPr>
                <w:t>Pleurotus ostreatus</w:t>
              </w:r>
            </w:hyperlink>
            <w:r>
              <w:rPr>
                <w:rFonts w:ascii="Helvetica" w:hAnsi="Helvetica" w:cs="Helvetica"/>
                <w:i/>
                <w:iCs/>
                <w:sz w:val="18"/>
                <w:szCs w:val="18"/>
              </w:rPr>
              <w:t xml:space="preserve"> </w:t>
            </w:r>
            <w:r>
              <w:rPr>
                <w:rFonts w:ascii="Helvetica" w:hAnsi="Helvetica" w:cs="Helvetica"/>
                <w:sz w:val="18"/>
                <w:szCs w:val="18"/>
              </w:rPr>
              <w:t>(Jacq.) P. Kumm. [Agaricales: Pleurotaceae]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Poria papyracea</w:t>
            </w:r>
            <w:r>
              <w:rPr>
                <w:rFonts w:ascii="Helvetica" w:hAnsi="Helvetica" w:cs="Helvetica"/>
                <w:sz w:val="18"/>
                <w:szCs w:val="18"/>
              </w:rPr>
              <w:t xml:space="preserve"> (Schwein.) Cooke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(May </w:t>
            </w:r>
            <w:r>
              <w:rPr>
                <w:rFonts w:ascii="Helvetica" w:hAnsi="Helvetica" w:cs="Helvetica"/>
                <w:i/>
                <w:sz w:val="18"/>
                <w:szCs w:val="18"/>
              </w:rPr>
              <w:t>et al</w:t>
            </w:r>
            <w:r>
              <w:rPr>
                <w:rFonts w:ascii="Helvetica" w:hAnsi="Helvetica" w:cs="Helvetica"/>
                <w:sz w:val="18"/>
                <w:szCs w:val="18"/>
              </w:rPr>
              <w:t>. 2003)</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Ps</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docercospora riachueli</w:t>
            </w:r>
            <w:r>
              <w:rPr>
                <w:rFonts w:ascii="Helvetica" w:hAnsi="Helvetica" w:cs="Helvetica"/>
                <w:sz w:val="18"/>
                <w:szCs w:val="18"/>
              </w:rPr>
              <w:t xml:space="preserve"> (Speg.) Deighton.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Ps</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docercospora vitis</w:t>
            </w:r>
            <w:r>
              <w:rPr>
                <w:rFonts w:ascii="Helvetica" w:hAnsi="Helvetica" w:cs="Helvetica"/>
                <w:sz w:val="18"/>
                <w:szCs w:val="18"/>
              </w:rPr>
              <w:t xml:space="preserve"> (Lév.) Speg. [Capnodiales: Mycosphaerellaceae]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Ps</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dopezicula tetraspora</w:t>
            </w:r>
            <w:r>
              <w:rPr>
                <w:rFonts w:ascii="Helvetica" w:hAnsi="Helvetica" w:cs="Helvetica"/>
                <w:sz w:val="18"/>
                <w:szCs w:val="18"/>
              </w:rPr>
              <w:t xml:space="preserve"> Korf </w:t>
            </w:r>
            <w:r>
              <w:rPr>
                <w:rFonts w:ascii="Helvetica" w:hAnsi="Helvetica" w:cs="Helvetica"/>
                <w:i/>
                <w:sz w:val="18"/>
                <w:szCs w:val="18"/>
              </w:rPr>
              <w:t>et al</w:t>
            </w:r>
            <w:r>
              <w:rPr>
                <w:rFonts w:ascii="Helvetica" w:hAnsi="Helvetica" w:cs="Helvetica"/>
                <w:sz w:val="18"/>
                <w:szCs w:val="18"/>
              </w:rPr>
              <w:t xml:space="preserve">. [Helotiales: Helotiaceae]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and occur on the leaves (Pearson and Goheen 1988). The pathogen overwinters in fallen leaves (Pearson and Goheen 1988).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Ps</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dopezicula tracheiphila</w:t>
            </w:r>
            <w:r>
              <w:rPr>
                <w:rFonts w:ascii="Helvetica" w:hAnsi="Helvetica" w:cs="Helvetica"/>
                <w:sz w:val="18"/>
                <w:szCs w:val="18"/>
              </w:rPr>
              <w:t xml:space="preserve"> (Müll.-Thurg.) Korf &amp; WY Zhuang [</w:t>
            </w:r>
            <w:hyperlink r:id="rId108" w:history="1">
              <w:r>
                <w:rPr>
                  <w:rFonts w:ascii="Helvetica" w:hAnsi="Helvetica" w:cs="Helvetica"/>
                  <w:sz w:val="18"/>
                  <w:szCs w:val="18"/>
                </w:rPr>
                <w:t>Helotiales</w:t>
              </w:r>
            </w:hyperlink>
            <w:r>
              <w:rPr>
                <w:rFonts w:ascii="Helvetica" w:hAnsi="Helvetica" w:cs="Helvetica"/>
                <w:sz w:val="18"/>
                <w:szCs w:val="18"/>
              </w:rPr>
              <w:t xml:space="preserve">: Helotiaceae]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Ps</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dovalsa viticola</w:t>
            </w:r>
            <w:r>
              <w:rPr>
                <w:rFonts w:ascii="Helvetica" w:hAnsi="Helvetica" w:cs="Helvetica"/>
                <w:sz w:val="18"/>
                <w:szCs w:val="18"/>
              </w:rPr>
              <w:t xml:space="preserve"> Ellis &amp; Everh. [Diaporthales: Pseudovalsaceae]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and occurs on dead stems (Farr and Rossman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Pyrenochaeta vitis</w:t>
            </w:r>
            <w:r>
              <w:rPr>
                <w:rFonts w:ascii="Helvetica" w:hAnsi="Helvetica" w:cs="Helvetica"/>
                <w:sz w:val="18"/>
                <w:szCs w:val="18"/>
              </w:rPr>
              <w:t xml:space="preserve"> Viala &amp; Sauv. [Pleosporales: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causing leaf spot (Farr and Rossman 2011).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Pyrenophora phaeocomes</w:t>
            </w:r>
            <w:r>
              <w:rPr>
                <w:rFonts w:ascii="Helvetica" w:hAnsi="Helvetica" w:cs="Helvetica"/>
                <w:sz w:val="18"/>
                <w:szCs w:val="18"/>
              </w:rPr>
              <w:t xml:space="preserve"> (Rebent.) Fr.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w:t>
            </w:r>
            <w:r>
              <w:rPr>
                <w:rFonts w:ascii="Helvetica" w:hAnsi="Helvetica" w:cs="Helvetica"/>
                <w:i/>
                <w:sz w:val="18"/>
                <w:szCs w:val="18"/>
              </w:rPr>
              <w:t xml:space="preserve">Pyrenophora </w:t>
            </w:r>
            <w:r>
              <w:rPr>
                <w:rFonts w:ascii="Helvetica" w:hAnsi="Helvetica" w:cs="Helvetica"/>
                <w:sz w:val="18"/>
                <w:szCs w:val="18"/>
              </w:rPr>
              <w:t xml:space="preserve">species are associated with foliage and cause leaf spot (Farr </w:t>
            </w:r>
            <w:r>
              <w:rPr>
                <w:rFonts w:ascii="Helvetica" w:hAnsi="Helvetica" w:cs="Helvetica"/>
                <w:i/>
                <w:sz w:val="18"/>
                <w:szCs w:val="18"/>
              </w:rPr>
              <w:t>et al</w:t>
            </w:r>
            <w:r>
              <w:rPr>
                <w:rFonts w:ascii="Helvetica" w:hAnsi="Helvetica" w:cs="Helvetica"/>
                <w:sz w:val="18"/>
                <w:szCs w:val="18"/>
              </w:rPr>
              <w:t>. 1989).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Ramularia khandalensis</w:t>
            </w:r>
            <w:r>
              <w:rPr>
                <w:rFonts w:ascii="Helvetica" w:hAnsi="Helvetica" w:cs="Helvetica"/>
                <w:sz w:val="18"/>
                <w:szCs w:val="18"/>
              </w:rPr>
              <w:t xml:space="preserve"> Patw. &amp; A.K. Pande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w:t>
            </w:r>
            <w:r>
              <w:rPr>
                <w:rFonts w:ascii="Helvetica" w:hAnsi="Helvetica" w:cs="Helvetica"/>
                <w:i/>
                <w:iCs/>
                <w:sz w:val="18"/>
                <w:szCs w:val="18"/>
              </w:rPr>
              <w:t xml:space="preserve">Ramularia </w:t>
            </w:r>
            <w:r>
              <w:rPr>
                <w:rFonts w:ascii="Helvetica" w:hAnsi="Helvetica" w:cs="Helvetica"/>
                <w:sz w:val="18"/>
                <w:szCs w:val="18"/>
              </w:rPr>
              <w:t xml:space="preserve">species generally occur on leaves and cause leaf spot (Farr </w:t>
            </w:r>
            <w:r>
              <w:rPr>
                <w:rFonts w:ascii="Helvetica" w:hAnsi="Helvetica" w:cs="Helvetica"/>
                <w:i/>
                <w:iCs/>
                <w:sz w:val="18"/>
                <w:szCs w:val="18"/>
              </w:rPr>
              <w:t>et al</w:t>
            </w:r>
            <w:r>
              <w:rPr>
                <w:rFonts w:ascii="Helvetica" w:hAnsi="Helvetica" w:cs="Helvetica"/>
                <w:sz w:val="18"/>
                <w:szCs w:val="18"/>
              </w:rPr>
              <w:t>.1989).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Resupinatus poriaeformis </w:t>
            </w:r>
            <w:r>
              <w:rPr>
                <w:rFonts w:ascii="Helvetica" w:hAnsi="Helvetica" w:cs="Helvetica"/>
                <w:sz w:val="18"/>
                <w:szCs w:val="18"/>
              </w:rPr>
              <w:t xml:space="preserve">(Pers.) Thorn </w:t>
            </w:r>
            <w:r>
              <w:rPr>
                <w:rFonts w:ascii="Helvetica" w:hAnsi="Helvetica" w:cs="Helvetica"/>
                <w:i/>
                <w:iCs/>
                <w:sz w:val="18"/>
                <w:szCs w:val="18"/>
              </w:rPr>
              <w:t>et al</w:t>
            </w:r>
            <w:r>
              <w:rPr>
                <w:rFonts w:ascii="Helvetica" w:hAnsi="Helvetica" w:cs="Helvetica"/>
                <w:sz w:val="18"/>
                <w:szCs w:val="18"/>
              </w:rPr>
              <w:t>. [Agaricales: Tricholomataceae]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Species of this genus occur on rotting logs and other herbaceous and woody debris (Farr </w:t>
            </w:r>
            <w:r>
              <w:rPr>
                <w:rFonts w:ascii="Helvetica" w:hAnsi="Helvetica" w:cs="Helvetica"/>
                <w:i/>
                <w:iCs/>
                <w:sz w:val="18"/>
                <w:szCs w:val="18"/>
              </w:rPr>
              <w:t>et al.</w:t>
            </w:r>
            <w:r>
              <w:rPr>
                <w:rFonts w:ascii="Helvetica" w:hAnsi="Helvetica" w:cs="Helvetica"/>
                <w:sz w:val="18"/>
                <w:szCs w:val="18"/>
              </w:rPr>
              <w:t xml:space="preserve"> 1989; Thorn </w:t>
            </w:r>
            <w:r>
              <w:rPr>
                <w:rFonts w:ascii="Helvetica" w:hAnsi="Helvetica" w:cs="Helvetica"/>
                <w:i/>
                <w:iCs/>
                <w:sz w:val="18"/>
                <w:szCs w:val="18"/>
              </w:rPr>
              <w:t>et al.</w:t>
            </w:r>
            <w:r>
              <w:rPr>
                <w:rFonts w:ascii="Helvetica" w:hAnsi="Helvetica" w:cs="Helvetica"/>
                <w:sz w:val="18"/>
                <w:szCs w:val="18"/>
              </w:rPr>
              <w:t xml:space="preserve"> 2005).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Rhabdospora ampelina</w:t>
            </w:r>
            <w:r>
              <w:rPr>
                <w:rFonts w:ascii="Helvetica" w:hAnsi="Helvetica" w:cs="Helvetica"/>
                <w:sz w:val="18"/>
                <w:szCs w:val="18"/>
              </w:rPr>
              <w:t xml:space="preserve"> (Thüm.) Sacc.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These fungi have been recorded on </w:t>
            </w:r>
            <w:r>
              <w:rPr>
                <w:rFonts w:ascii="Helvetica" w:hAnsi="Helvetica" w:cs="Helvetica"/>
                <w:i/>
                <w:sz w:val="18"/>
                <w:szCs w:val="18"/>
              </w:rPr>
              <w:t>Vitis</w:t>
            </w:r>
            <w:r>
              <w:rPr>
                <w:rFonts w:ascii="Helvetica" w:hAnsi="Helvetica" w:cs="Helvetica"/>
                <w:sz w:val="18"/>
                <w:szCs w:val="18"/>
              </w:rPr>
              <w:t xml:space="preserve"> species, occurring on stems (Farr and Rossman 2011). Therefore, dormant cuttings may provide a pathway for these fungi.</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These fungi </w:t>
            </w:r>
            <w:r>
              <w:rPr>
                <w:rFonts w:ascii="Helvetica" w:hAnsi="Helvetica" w:cs="Helvetica"/>
                <w:sz w:val="18"/>
                <w:szCs w:val="18"/>
              </w:rPr>
              <w:t>have established in areas with a wide range of climatic conditions (Farr and Rossman 2011) and it may spread in infected propagative material. Therefore, these fungi have the potential to establish and spread in Australia.</w:t>
            </w:r>
          </w:p>
        </w:tc>
        <w:tc>
          <w:tcPr>
            <w:tcW w:w="2863"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reported on grapes but no economic losses have been reported. Therefore, these fungi are not of economic concern to Australia. </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Rhabdospora labruscae</w:t>
            </w:r>
            <w:r>
              <w:rPr>
                <w:rFonts w:ascii="Helvetica" w:hAnsi="Helvetica" w:cs="Helvetica"/>
                <w:sz w:val="18"/>
                <w:szCs w:val="18"/>
              </w:rPr>
              <w:t xml:space="preserve"> Gonz. Frag.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Rhabdospora mueggenburgii</w:t>
            </w:r>
            <w:r>
              <w:rPr>
                <w:rFonts w:ascii="Helvetica" w:hAnsi="Helvetica" w:cs="Helvetica"/>
                <w:sz w:val="18"/>
                <w:szCs w:val="18"/>
              </w:rPr>
              <w:t xml:space="preserve"> (Pirotta) Sacc.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Rhabdospora vitis</w:t>
            </w:r>
            <w:r>
              <w:rPr>
                <w:rFonts w:ascii="Helvetica" w:hAnsi="Helvetica" w:cs="Helvetica"/>
                <w:sz w:val="18"/>
                <w:szCs w:val="18"/>
              </w:rPr>
              <w:t xml:space="preserve"> Koshk. &amp; Frolov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863" w:type="dxa"/>
            <w:vMerge/>
            <w:tcBorders>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Rhacodiella vitis</w:t>
            </w:r>
            <w:r>
              <w:rPr>
                <w:rFonts w:ascii="Helvetica" w:hAnsi="Helvetica" w:cs="Helvetica"/>
                <w:sz w:val="18"/>
                <w:szCs w:val="18"/>
              </w:rPr>
              <w:t xml:space="preserve"> Sterenberg [Helotiales: Sclerotiniaceae]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and causes spotted necrosis on woody vines (Winkler </w:t>
            </w:r>
            <w:r>
              <w:rPr>
                <w:rFonts w:ascii="Helvetica" w:hAnsi="Helvetica" w:cs="Helvetica"/>
                <w:i/>
                <w:sz w:val="18"/>
                <w:szCs w:val="18"/>
              </w:rPr>
              <w:t>et al</w:t>
            </w:r>
            <w:r>
              <w:rPr>
                <w:rFonts w:ascii="Helvetica" w:hAnsi="Helvetica" w:cs="Helvetica"/>
                <w:sz w:val="18"/>
                <w:szCs w:val="18"/>
              </w:rPr>
              <w:t xml:space="preserve">. 1974; Cline and Farr 2006). This fungus only affects grapevines that have been subject to the poor management practice of covering vines with soil over winter (Winkler </w:t>
            </w:r>
            <w:r>
              <w:rPr>
                <w:rFonts w:ascii="Helvetica" w:hAnsi="Helvetica" w:cs="Helvetica"/>
                <w:i/>
                <w:sz w:val="18"/>
                <w:szCs w:val="18"/>
              </w:rPr>
              <w:t>et al</w:t>
            </w:r>
            <w:r>
              <w:rPr>
                <w:rFonts w:ascii="Helvetica" w:hAnsi="Helvetica" w:cs="Helvetica"/>
                <w:sz w:val="18"/>
                <w:szCs w:val="18"/>
              </w:rPr>
              <w:t>. 1974).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Rhizoctonia solani </w:t>
            </w:r>
            <w:r>
              <w:rPr>
                <w:rFonts w:ascii="Helvetica" w:hAnsi="Helvetica" w:cs="Helvetica"/>
                <w:iCs/>
                <w:sz w:val="18"/>
                <w:szCs w:val="18"/>
              </w:rPr>
              <w:t xml:space="preserve">JG Kuhn [Ceratobasidiales: Ceratobasidiaceae]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iCs/>
                <w:sz w:val="18"/>
                <w:szCs w:val="18"/>
              </w:rPr>
            </w:pPr>
            <w:r>
              <w:rPr>
                <w:rFonts w:ascii="Helvetica" w:hAnsi="Helvetica" w:cs="Helvetica"/>
                <w:sz w:val="18"/>
                <w:szCs w:val="18"/>
              </w:rPr>
              <w:t xml:space="preserve">Yes (Neate </w:t>
            </w:r>
            <w:r>
              <w:rPr>
                <w:rFonts w:ascii="Helvetica" w:hAnsi="Helvetica" w:cs="Helvetica"/>
                <w:i/>
                <w:sz w:val="18"/>
                <w:szCs w:val="18"/>
              </w:rPr>
              <w:t>et al</w:t>
            </w:r>
            <w:r>
              <w:rPr>
                <w:rFonts w:ascii="Helvetica" w:hAnsi="Helvetica" w:cs="Helvetica"/>
                <w:sz w:val="18"/>
                <w:szCs w:val="18"/>
              </w:rPr>
              <w:t>. 1988)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Rhizopus arrhizus </w:t>
            </w:r>
            <w:r>
              <w:rPr>
                <w:rFonts w:ascii="Helvetica" w:hAnsi="Helvetica" w:cs="Helvetica"/>
                <w:sz w:val="18"/>
                <w:szCs w:val="18"/>
              </w:rPr>
              <w:t xml:space="preserve">var. </w:t>
            </w:r>
            <w:r>
              <w:rPr>
                <w:rFonts w:ascii="Helvetica" w:hAnsi="Helvetica" w:cs="Helvetica"/>
                <w:i/>
                <w:sz w:val="18"/>
                <w:szCs w:val="18"/>
              </w:rPr>
              <w:t>arrhizus</w:t>
            </w:r>
            <w:r>
              <w:rPr>
                <w:rFonts w:ascii="Helvetica" w:hAnsi="Helvetica" w:cs="Helvetica"/>
                <w:sz w:val="18"/>
                <w:szCs w:val="18"/>
              </w:rPr>
              <w:t xml:space="preserve"> A. Fisch [Mucorales: Mucoraceae]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lang w:val="de-DE"/>
              </w:rPr>
              <w:t>Rhizopus stolonifer</w:t>
            </w:r>
            <w:r>
              <w:rPr>
                <w:rFonts w:ascii="Helvetica" w:hAnsi="Helvetica" w:cs="Helvetica"/>
                <w:sz w:val="18"/>
                <w:szCs w:val="18"/>
                <w:lang w:val="de-DE"/>
              </w:rPr>
              <w:t xml:space="preserve"> var. </w:t>
            </w:r>
            <w:r>
              <w:rPr>
                <w:rFonts w:ascii="Helvetica" w:hAnsi="Helvetica" w:cs="Helvetica"/>
                <w:i/>
                <w:sz w:val="18"/>
                <w:szCs w:val="18"/>
                <w:lang w:val="de-DE"/>
              </w:rPr>
              <w:t>stolonifer</w:t>
            </w:r>
            <w:r>
              <w:rPr>
                <w:rFonts w:ascii="Helvetica" w:hAnsi="Helvetica" w:cs="Helvetica"/>
                <w:sz w:val="18"/>
                <w:szCs w:val="18"/>
                <w:lang w:val="de-DE"/>
              </w:rPr>
              <w:t xml:space="preserve"> (Ehrenb.) </w:t>
            </w:r>
            <w:r>
              <w:rPr>
                <w:rFonts w:ascii="Helvetica" w:hAnsi="Helvetica" w:cs="Helvetica"/>
                <w:sz w:val="18"/>
                <w:szCs w:val="18"/>
              </w:rPr>
              <w:t>Vuill.  [Mucorales: Mucoraceae]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 xml:space="preserve">Rhytisma vitis </w:t>
            </w:r>
            <w:r>
              <w:rPr>
                <w:rFonts w:ascii="Helvetica" w:hAnsi="Helvetica" w:cs="Helvetica"/>
                <w:sz w:val="18"/>
                <w:szCs w:val="18"/>
                <w:lang w:val="de-DE"/>
              </w:rPr>
              <w:t>Schwein. [Rhytismatales: Rhytismataceae]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 This species occurs on leaves and causes the formation of black spots (Pearson and Goheen 1988).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Robillarda sessilis</w:t>
            </w:r>
            <w:r>
              <w:rPr>
                <w:rFonts w:ascii="Helvetica" w:hAnsi="Helvetica" w:cs="Helvetica"/>
                <w:sz w:val="18"/>
                <w:szCs w:val="18"/>
              </w:rPr>
              <w:t xml:space="preserve"> (Sacc.) Sacc.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Robillarda vitis</w:t>
            </w:r>
            <w:r>
              <w:rPr>
                <w:rFonts w:ascii="Helvetica" w:hAnsi="Helvetica" w:cs="Helvetica"/>
                <w:sz w:val="18"/>
                <w:szCs w:val="18"/>
              </w:rPr>
              <w:t xml:space="preserve"> Prillieux &amp; Delacroix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Other species in the genus </w:t>
            </w:r>
            <w:r>
              <w:rPr>
                <w:rFonts w:ascii="Helvetica" w:hAnsi="Helvetica" w:cs="Helvetica"/>
                <w:i/>
                <w:iCs/>
                <w:sz w:val="18"/>
                <w:szCs w:val="18"/>
              </w:rPr>
              <w:t>Robillarda</w:t>
            </w:r>
            <w:r>
              <w:rPr>
                <w:rFonts w:ascii="Helvetica" w:hAnsi="Helvetica" w:cs="Helvetica"/>
                <w:sz w:val="18"/>
                <w:szCs w:val="18"/>
              </w:rPr>
              <w:t xml:space="preserve"> occur on foliage and cause leaf spots (Giri </w:t>
            </w:r>
            <w:r>
              <w:rPr>
                <w:rFonts w:ascii="Helvetica" w:hAnsi="Helvetica" w:cs="Helvetica"/>
                <w:i/>
                <w:sz w:val="18"/>
                <w:szCs w:val="18"/>
              </w:rPr>
              <w:t>et al</w:t>
            </w:r>
            <w:r>
              <w:rPr>
                <w:rFonts w:ascii="Helvetica" w:hAnsi="Helvetica" w:cs="Helvetica"/>
                <w:sz w:val="18"/>
                <w:szCs w:val="18"/>
              </w:rPr>
              <w:t>. 1996).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Roesleria</w:t>
            </w:r>
            <w:r>
              <w:rPr>
                <w:rFonts w:ascii="Helvetica" w:hAnsi="Helvetica" w:cs="Helvetica"/>
                <w:sz w:val="18"/>
                <w:szCs w:val="18"/>
              </w:rPr>
              <w:t xml:space="preserve"> </w:t>
            </w:r>
            <w:r>
              <w:rPr>
                <w:rFonts w:ascii="Helvetica" w:hAnsi="Helvetica" w:cs="Helvetica"/>
                <w:i/>
                <w:sz w:val="18"/>
                <w:szCs w:val="18"/>
              </w:rPr>
              <w:t>subterranea</w:t>
            </w:r>
            <w:r>
              <w:rPr>
                <w:rFonts w:ascii="Helvetica" w:hAnsi="Helvetica" w:cs="Helvetica"/>
                <w:sz w:val="18"/>
                <w:szCs w:val="18"/>
              </w:rPr>
              <w:t xml:space="preserve"> (Weinm.) Redhead [Incertae sedis: Roesleriaceae]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and causes root rot (Farr and Rossman 2011).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Rosellinia</w:t>
            </w:r>
            <w:r>
              <w:rPr>
                <w:rFonts w:ascii="Helvetica" w:hAnsi="Helvetica" w:cs="Helvetica"/>
                <w:sz w:val="18"/>
                <w:szCs w:val="18"/>
              </w:rPr>
              <w:t xml:space="preserve"> </w:t>
            </w:r>
            <w:r>
              <w:rPr>
                <w:rFonts w:ascii="Helvetica" w:hAnsi="Helvetica" w:cs="Helvetica"/>
                <w:i/>
                <w:sz w:val="18"/>
                <w:szCs w:val="18"/>
              </w:rPr>
              <w:t>amblystoma</w:t>
            </w:r>
            <w:r>
              <w:rPr>
                <w:rFonts w:ascii="Helvetica" w:hAnsi="Helvetica" w:cs="Helvetica"/>
                <w:sz w:val="18"/>
                <w:szCs w:val="18"/>
              </w:rPr>
              <w:t xml:space="preserve"> Berl. &amp; F. Sacc.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Members of the genus </w:t>
            </w:r>
            <w:r>
              <w:rPr>
                <w:rFonts w:ascii="Helvetica" w:hAnsi="Helvetica" w:cs="Helvetica"/>
                <w:i/>
                <w:iCs/>
                <w:sz w:val="18"/>
                <w:szCs w:val="18"/>
              </w:rPr>
              <w:t xml:space="preserve">Rosellinia </w:t>
            </w:r>
            <w:r>
              <w:rPr>
                <w:rFonts w:ascii="Helvetica" w:hAnsi="Helvetica" w:cs="Helvetica"/>
                <w:sz w:val="18"/>
                <w:szCs w:val="18"/>
              </w:rPr>
              <w:t>occur on roots and cause root rot (Petrini and Petrini 2005).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Rosellinia</w:t>
            </w:r>
            <w:r>
              <w:rPr>
                <w:rFonts w:ascii="Helvetica" w:hAnsi="Helvetica" w:cs="Helvetica"/>
                <w:sz w:val="18"/>
                <w:szCs w:val="18"/>
              </w:rPr>
              <w:t xml:space="preserve"> </w:t>
            </w:r>
            <w:r>
              <w:rPr>
                <w:rFonts w:ascii="Helvetica" w:hAnsi="Helvetica" w:cs="Helvetica"/>
                <w:i/>
                <w:sz w:val="18"/>
                <w:szCs w:val="18"/>
              </w:rPr>
              <w:t>aquila</w:t>
            </w:r>
            <w:r>
              <w:rPr>
                <w:rFonts w:ascii="Helvetica" w:hAnsi="Helvetica" w:cs="Helvetica"/>
                <w:sz w:val="18"/>
                <w:szCs w:val="18"/>
              </w:rPr>
              <w:t xml:space="preserve"> (Fr.) Ces. &amp; De Not.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Rosellinia</w:t>
            </w:r>
            <w:r>
              <w:rPr>
                <w:rFonts w:ascii="Helvetica" w:hAnsi="Helvetica" w:cs="Helvetica"/>
                <w:sz w:val="18"/>
                <w:szCs w:val="18"/>
              </w:rPr>
              <w:t xml:space="preserve"> </w:t>
            </w:r>
            <w:r>
              <w:rPr>
                <w:rFonts w:ascii="Helvetica" w:hAnsi="Helvetica" w:cs="Helvetica"/>
                <w:i/>
                <w:sz w:val="18"/>
                <w:szCs w:val="18"/>
              </w:rPr>
              <w:t>langloisii</w:t>
            </w:r>
            <w:r>
              <w:rPr>
                <w:rFonts w:ascii="Helvetica" w:hAnsi="Helvetica" w:cs="Helvetica"/>
                <w:sz w:val="18"/>
                <w:szCs w:val="18"/>
              </w:rPr>
              <w:t xml:space="preserve"> Ellis &amp; Everh.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Members of the genus </w:t>
            </w:r>
            <w:r>
              <w:rPr>
                <w:rFonts w:ascii="Helvetica" w:hAnsi="Helvetica" w:cs="Helvetica"/>
                <w:i/>
                <w:iCs/>
                <w:sz w:val="18"/>
                <w:szCs w:val="18"/>
              </w:rPr>
              <w:t xml:space="preserve">Rosellinia </w:t>
            </w:r>
            <w:r>
              <w:rPr>
                <w:rFonts w:ascii="Helvetica" w:hAnsi="Helvetica" w:cs="Helvetica"/>
                <w:sz w:val="18"/>
                <w:szCs w:val="18"/>
              </w:rPr>
              <w:t>occur on roots and cause root rot (Petrini and Petrini 2005).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Rosellinia</w:t>
            </w:r>
            <w:r>
              <w:rPr>
                <w:rFonts w:ascii="Helvetica" w:hAnsi="Helvetica" w:cs="Helvetica"/>
                <w:sz w:val="18"/>
                <w:szCs w:val="18"/>
              </w:rPr>
              <w:t xml:space="preserve"> </w:t>
            </w:r>
            <w:r>
              <w:rPr>
                <w:rFonts w:ascii="Helvetica" w:hAnsi="Helvetica" w:cs="Helvetica"/>
                <w:i/>
                <w:sz w:val="18"/>
                <w:szCs w:val="18"/>
              </w:rPr>
              <w:t>necatrix</w:t>
            </w:r>
            <w:r>
              <w:rPr>
                <w:rFonts w:ascii="Helvetica" w:hAnsi="Helvetica" w:cs="Helvetica"/>
                <w:sz w:val="18"/>
                <w:szCs w:val="18"/>
              </w:rPr>
              <w:t xml:space="preserve"> Berl. ex Prill.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Rosellinia pulveracea</w:t>
            </w:r>
            <w:r>
              <w:rPr>
                <w:rFonts w:ascii="Helvetica" w:hAnsi="Helvetica" w:cs="Helvetica"/>
                <w:sz w:val="18"/>
                <w:szCs w:val="18"/>
              </w:rPr>
              <w:t xml:space="preserve"> (Ehrh.) Fuckel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Rosellinia rosarum</w:t>
            </w:r>
            <w:r>
              <w:rPr>
                <w:rFonts w:ascii="Helvetica" w:hAnsi="Helvetica" w:cs="Helvetica"/>
                <w:sz w:val="18"/>
                <w:szCs w:val="18"/>
              </w:rPr>
              <w:t xml:space="preserve"> Niessl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Members of the genus </w:t>
            </w:r>
            <w:r>
              <w:rPr>
                <w:rFonts w:ascii="Helvetica" w:hAnsi="Helvetica" w:cs="Helvetica"/>
                <w:i/>
                <w:iCs/>
                <w:sz w:val="18"/>
                <w:szCs w:val="18"/>
              </w:rPr>
              <w:t xml:space="preserve">Rosellinia </w:t>
            </w:r>
            <w:r>
              <w:rPr>
                <w:rFonts w:ascii="Helvetica" w:hAnsi="Helvetica" w:cs="Helvetica"/>
                <w:sz w:val="18"/>
                <w:szCs w:val="18"/>
              </w:rPr>
              <w:t>occur on roots and cause root rot (Petrini and Petrini 2005).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Sacidium viticola</w:t>
            </w:r>
            <w:r>
              <w:rPr>
                <w:rFonts w:ascii="Helvetica" w:hAnsi="Helvetica" w:cs="Helvetica"/>
                <w:sz w:val="18"/>
                <w:szCs w:val="18"/>
              </w:rPr>
              <w:t xml:space="preserve"> Cooke [Mucorales: Pilobolaceae]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the leaves of </w:t>
            </w:r>
            <w:r>
              <w:rPr>
                <w:rFonts w:ascii="Helvetica" w:hAnsi="Helvetica" w:cs="Helvetica"/>
                <w:i/>
                <w:sz w:val="18"/>
                <w:szCs w:val="18"/>
              </w:rPr>
              <w:t>Vitis</w:t>
            </w:r>
            <w:r>
              <w:rPr>
                <w:rFonts w:ascii="Helvetica" w:hAnsi="Helvetica" w:cs="Helvetica"/>
                <w:sz w:val="18"/>
                <w:szCs w:val="18"/>
              </w:rPr>
              <w:t xml:space="preserve"> species (Farr and Rossman 2011).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Sacidium</w:t>
            </w:r>
            <w:r>
              <w:rPr>
                <w:rFonts w:ascii="Helvetica" w:hAnsi="Helvetica" w:cs="Helvetica"/>
                <w:sz w:val="18"/>
                <w:szCs w:val="18"/>
              </w:rPr>
              <w:t xml:space="preserve"> </w:t>
            </w:r>
            <w:r>
              <w:rPr>
                <w:rFonts w:ascii="Helvetica" w:hAnsi="Helvetica" w:cs="Helvetica"/>
                <w:i/>
                <w:sz w:val="18"/>
                <w:szCs w:val="18"/>
              </w:rPr>
              <w:t>vitis</w:t>
            </w:r>
            <w:r>
              <w:rPr>
                <w:rFonts w:ascii="Helvetica" w:hAnsi="Helvetica" w:cs="Helvetica"/>
                <w:sz w:val="18"/>
                <w:szCs w:val="18"/>
              </w:rPr>
              <w:t xml:space="preserve"> Ellis &amp; Everh. [Mucorales: Pilobolaceae]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hyperlink r:id="rId109" w:history="1">
              <w:r>
                <w:rPr>
                  <w:rFonts w:ascii="Helvetica" w:hAnsi="Helvetica" w:cs="Helvetica"/>
                  <w:i/>
                  <w:iCs/>
                  <w:sz w:val="18"/>
                  <w:szCs w:val="18"/>
                </w:rPr>
                <w:t>Schizophyllum</w:t>
              </w:r>
            </w:hyperlink>
            <w:r>
              <w:rPr>
                <w:rFonts w:ascii="Helvetica" w:hAnsi="Helvetica" w:cs="Helvetica"/>
                <w:i/>
                <w:iCs/>
                <w:sz w:val="18"/>
                <w:szCs w:val="18"/>
              </w:rPr>
              <w:t xml:space="preserve"> commune </w:t>
            </w:r>
            <w:r>
              <w:rPr>
                <w:rFonts w:ascii="Helvetica" w:hAnsi="Helvetica" w:cs="Helvetica"/>
                <w:sz w:val="18"/>
                <w:szCs w:val="18"/>
              </w:rPr>
              <w:t>Fr. [Agaricales: Schizophyllaceae]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10" w:history="1">
              <w:r>
                <w:rPr>
                  <w:rFonts w:ascii="Helvetica" w:hAnsi="Helvetica" w:cs="Helvetica"/>
                  <w:i/>
                  <w:sz w:val="18"/>
                  <w:szCs w:val="18"/>
                </w:rPr>
                <w:t>Schizopora</w:t>
              </w:r>
              <w:r>
                <w:rPr>
                  <w:rFonts w:ascii="Helvetica" w:hAnsi="Helvetica" w:cs="Helvetica"/>
                  <w:sz w:val="18"/>
                  <w:szCs w:val="18"/>
                </w:rPr>
                <w:t xml:space="preserve"> </w:t>
              </w:r>
              <w:r>
                <w:rPr>
                  <w:rFonts w:ascii="Helvetica" w:hAnsi="Helvetica" w:cs="Helvetica"/>
                  <w:i/>
                  <w:sz w:val="18"/>
                  <w:szCs w:val="18"/>
                </w:rPr>
                <w:t>paradoxa</w:t>
              </w:r>
            </w:hyperlink>
            <w:r>
              <w:rPr>
                <w:rFonts w:ascii="Helvetica" w:hAnsi="Helvetica" w:cs="Helvetica"/>
                <w:sz w:val="18"/>
                <w:szCs w:val="18"/>
              </w:rPr>
              <w:t xml:space="preserve"> (Schrad.) Donk [Hymenochaetales: Schizoporaceae]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Schizoxylon</w:t>
            </w:r>
            <w:r>
              <w:rPr>
                <w:rFonts w:ascii="Helvetica" w:hAnsi="Helvetica" w:cs="Helvetica"/>
                <w:sz w:val="18"/>
                <w:szCs w:val="18"/>
              </w:rPr>
              <w:t xml:space="preserve"> </w:t>
            </w:r>
            <w:r>
              <w:rPr>
                <w:rFonts w:ascii="Helvetica" w:hAnsi="Helvetica" w:cs="Helvetica"/>
                <w:i/>
                <w:sz w:val="18"/>
                <w:szCs w:val="18"/>
              </w:rPr>
              <w:t>insigne</w:t>
            </w:r>
            <w:r>
              <w:rPr>
                <w:rFonts w:ascii="Helvetica" w:hAnsi="Helvetica" w:cs="Helvetica"/>
                <w:sz w:val="18"/>
                <w:szCs w:val="18"/>
              </w:rPr>
              <w:t xml:space="preserve"> (De Not.) Rehm [Ostropales: Stictidaceae]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has been recorded on </w:t>
            </w:r>
            <w:r>
              <w:rPr>
                <w:rFonts w:ascii="Helvetica" w:hAnsi="Helvetica" w:cs="Helvetica"/>
                <w:i/>
                <w:sz w:val="18"/>
                <w:szCs w:val="18"/>
              </w:rPr>
              <w:t xml:space="preserve">Vitis </w:t>
            </w:r>
            <w:r>
              <w:rPr>
                <w:rFonts w:ascii="Helvetica" w:hAnsi="Helvetica" w:cs="Helvetica"/>
                <w:sz w:val="18"/>
                <w:szCs w:val="18"/>
              </w:rPr>
              <w:t>species (Farr and Rossman 2011), but affected plant parts are not mentioned. There is no evidence of this species occurring on grapevine stems. Therefore this species is not on the pathway of dormant grapevine cuttings.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Sclerotinia sclerotiorum</w:t>
            </w:r>
            <w:r>
              <w:rPr>
                <w:rFonts w:ascii="Helvetica" w:hAnsi="Helvetica" w:cs="Helvetica"/>
                <w:sz w:val="18"/>
                <w:szCs w:val="18"/>
              </w:rPr>
              <w:t xml:space="preserve"> (Lib.) de Bary [</w:t>
            </w:r>
            <w:hyperlink r:id="rId111" w:history="1">
              <w:r>
                <w:rPr>
                  <w:rFonts w:ascii="Helvetica" w:hAnsi="Helvetica" w:cs="Helvetica"/>
                  <w:sz w:val="18"/>
                  <w:szCs w:val="18"/>
                </w:rPr>
                <w:t>Helotiales</w:t>
              </w:r>
            </w:hyperlink>
            <w:r>
              <w:rPr>
                <w:rFonts w:ascii="Helvetica" w:hAnsi="Helvetica" w:cs="Helvetica"/>
                <w:sz w:val="18"/>
                <w:szCs w:val="18"/>
              </w:rPr>
              <w:t>: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(Shivas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Sclerotium rolfsii </w:t>
            </w:r>
            <w:r>
              <w:rPr>
                <w:rFonts w:ascii="Helvetica" w:hAnsi="Helvetica" w:cs="Helvetica"/>
                <w:sz w:val="18"/>
                <w:szCs w:val="18"/>
              </w:rPr>
              <w:t>Sac</w:t>
            </w:r>
            <w:r>
              <w:rPr>
                <w:lang w:val="en-US"/>
              </w:rPr>
              <w:t xml:space="preserve"> </w:t>
            </w:r>
            <w:r>
              <w:rPr>
                <w:rFonts w:ascii="Helvetica" w:hAnsi="Helvetica" w:cs="Helvetica"/>
                <w:sz w:val="18"/>
                <w:szCs w:val="18"/>
              </w:rPr>
              <w:t>[</w:t>
            </w:r>
            <w:hyperlink r:id="rId112" w:history="1">
              <w:r>
                <w:rPr>
                  <w:rFonts w:ascii="Helvetica" w:hAnsi="Helvetica" w:cs="Helvetica"/>
                  <w:sz w:val="18"/>
                  <w:szCs w:val="18"/>
                </w:rPr>
                <w:t>Helotiales</w:t>
              </w:r>
            </w:hyperlink>
            <w:r>
              <w:rPr>
                <w:rFonts w:ascii="Helvetica" w:hAnsi="Helvetica" w:cs="Helvetica"/>
                <w:sz w:val="18"/>
                <w:szCs w:val="18"/>
              </w:rPr>
              <w:t>: Sclerotiniaceae]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Scytinostroma alutum</w:t>
            </w:r>
            <w:r>
              <w:rPr>
                <w:rFonts w:ascii="Helvetica" w:hAnsi="Helvetica" w:cs="Helvetica"/>
                <w:sz w:val="18"/>
                <w:szCs w:val="18"/>
                <w:lang w:val="de-DE"/>
              </w:rPr>
              <w:t xml:space="preserve"> Lanq. [Russulales: Lachnocladiaceae]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Generally, this species occurs on dead wood (BCCM 2012).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rPr>
              <w:t>Sebacina incrustans</w:t>
            </w:r>
            <w:r>
              <w:rPr>
                <w:rFonts w:ascii="Helvetica" w:hAnsi="Helvetica" w:cs="Helvetica"/>
                <w:sz w:val="18"/>
                <w:szCs w:val="18"/>
              </w:rPr>
              <w:t xml:space="preserve"> (Pers.) Tul. &amp; C. Tul. </w:t>
            </w:r>
            <w:r>
              <w:rPr>
                <w:rFonts w:ascii="Helvetica" w:hAnsi="Helvetica" w:cs="Helvetica"/>
                <w:sz w:val="18"/>
                <w:szCs w:val="18"/>
                <w:lang w:val="de-DE"/>
              </w:rPr>
              <w:t>[Sebacinales: Sebacinaceae]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This fungus occurs on woody stems, leaves and plant debris (Farr </w:t>
            </w:r>
            <w:r>
              <w:rPr>
                <w:rFonts w:ascii="Helvetica" w:hAnsi="Helvetica" w:cs="Helvetica"/>
                <w:i/>
                <w:sz w:val="18"/>
                <w:szCs w:val="18"/>
              </w:rPr>
              <w:t>et al</w:t>
            </w:r>
            <w:r>
              <w:rPr>
                <w:rFonts w:ascii="Helvetica" w:hAnsi="Helvetica" w:cs="Helvetica"/>
                <w:sz w:val="18"/>
                <w:szCs w:val="18"/>
              </w:rPr>
              <w:t>. 1989).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Seimatosporium hysterioides</w:t>
            </w:r>
            <w:r>
              <w:rPr>
                <w:rFonts w:ascii="Helvetica" w:hAnsi="Helvetica" w:cs="Helvetica"/>
                <w:sz w:val="18"/>
                <w:szCs w:val="18"/>
                <w:lang w:val="de-DE"/>
              </w:rPr>
              <w:t xml:space="preserve"> (Fuckel) Brockmann [Xylariales: Amphisphaeriaceae]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Sergeeva </w:t>
            </w:r>
            <w:r>
              <w:rPr>
                <w:rFonts w:ascii="Helvetica" w:hAnsi="Helvetica" w:cs="Helvetica"/>
                <w:bCs/>
                <w:i/>
                <w:sz w:val="18"/>
                <w:szCs w:val="18"/>
              </w:rPr>
              <w:t>et al</w:t>
            </w:r>
            <w:r>
              <w:rPr>
                <w:rFonts w:ascii="Helvetica" w:hAnsi="Helvetica" w:cs="Helvetica"/>
                <w:bCs/>
                <w:sz w:val="18"/>
                <w:szCs w:val="18"/>
              </w:rPr>
              <w:t>. 2005</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Seimatosporium lonicerae</w:t>
            </w:r>
            <w:r>
              <w:rPr>
                <w:rFonts w:ascii="Helvetica" w:hAnsi="Helvetica" w:cs="Helvetica"/>
                <w:sz w:val="18"/>
                <w:szCs w:val="18"/>
              </w:rPr>
              <w:t xml:space="preserve"> (Cooke) Shoemaker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(Shivas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Seimatosporium macrospermum</w:t>
            </w:r>
            <w:r>
              <w:rPr>
                <w:rFonts w:ascii="Helvetica" w:hAnsi="Helvetica" w:cs="Helvetica"/>
                <w:sz w:val="18"/>
                <w:szCs w:val="18"/>
              </w:rPr>
              <w:t xml:space="preserve"> (Berk. &amp; Broome) B. Sutton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There is no evidence that this species occurs on the stems of grapevines. Therefore, this species is not on the pathway of dormant grapevine cuttings.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Seimatosporium parasiticum</w:t>
            </w:r>
            <w:r>
              <w:rPr>
                <w:rFonts w:ascii="Helvetica" w:hAnsi="Helvetica" w:cs="Helvetica"/>
                <w:sz w:val="18"/>
                <w:szCs w:val="18"/>
              </w:rPr>
              <w:t xml:space="preserve"> (Dearn. &amp; House) Shoemaker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Septoria ampelina</w:t>
            </w:r>
            <w:r>
              <w:rPr>
                <w:rFonts w:ascii="Helvetica" w:hAnsi="Helvetica" w:cs="Helvetica"/>
                <w:sz w:val="18"/>
                <w:szCs w:val="18"/>
              </w:rPr>
              <w:t xml:space="preserve"> Berk. &amp; M.A. Curtis [Capnodiales: Mycosphaerellaceae]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the foliage of </w:t>
            </w:r>
            <w:r>
              <w:rPr>
                <w:rFonts w:ascii="Helvetica" w:hAnsi="Helvetica" w:cs="Helvetica"/>
                <w:i/>
                <w:sz w:val="18"/>
                <w:szCs w:val="18"/>
              </w:rPr>
              <w:t>Vitis</w:t>
            </w:r>
            <w:r>
              <w:rPr>
                <w:rFonts w:ascii="Helvetica" w:hAnsi="Helvetica" w:cs="Helvetica"/>
                <w:sz w:val="18"/>
                <w:szCs w:val="18"/>
              </w:rPr>
              <w:t xml:space="preserve"> species (Pearson and Goheen 1988; Farr </w:t>
            </w:r>
            <w:r>
              <w:rPr>
                <w:rFonts w:ascii="Helvetica" w:hAnsi="Helvetica" w:cs="Helvetica"/>
                <w:i/>
                <w:sz w:val="18"/>
                <w:szCs w:val="18"/>
              </w:rPr>
              <w:t>et al</w:t>
            </w:r>
            <w:r>
              <w:rPr>
                <w:rFonts w:ascii="Helvetica" w:hAnsi="Helvetica" w:cs="Helvetica"/>
                <w:sz w:val="18"/>
                <w:szCs w:val="18"/>
              </w:rPr>
              <w:t>. 1989; Farr and Rossman 2011).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Septoria badhami </w:t>
            </w:r>
            <w:r>
              <w:rPr>
                <w:rFonts w:ascii="Helvetica" w:hAnsi="Helvetica" w:cs="Helvetica"/>
                <w:sz w:val="18"/>
                <w:szCs w:val="18"/>
              </w:rPr>
              <w:t>Berk. &amp; Broome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Septoria kellermaniana</w:t>
            </w:r>
            <w:r>
              <w:rPr>
                <w:rFonts w:ascii="Helvetica" w:hAnsi="Helvetica" w:cs="Helvetica"/>
                <w:sz w:val="18"/>
                <w:szCs w:val="18"/>
              </w:rPr>
              <w:t xml:space="preserve"> Thüm.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Septoria melanopsis</w:t>
            </w:r>
            <w:r>
              <w:rPr>
                <w:rFonts w:ascii="Helvetica" w:hAnsi="Helvetica" w:cs="Helvetica"/>
                <w:sz w:val="18"/>
                <w:szCs w:val="18"/>
              </w:rPr>
              <w:t xml:space="preserve"> Pat.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Septoria tassiana</w:t>
            </w:r>
            <w:r>
              <w:rPr>
                <w:rFonts w:ascii="Helvetica" w:hAnsi="Helvetica" w:cs="Helvetica"/>
                <w:sz w:val="18"/>
                <w:szCs w:val="18"/>
              </w:rPr>
              <w:t xml:space="preserve"> Syd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Septoria vineae</w:t>
            </w:r>
            <w:r>
              <w:rPr>
                <w:rFonts w:ascii="Helvetica" w:hAnsi="Helvetica" w:cs="Helvetica"/>
                <w:sz w:val="18"/>
                <w:szCs w:val="18"/>
              </w:rPr>
              <w:t xml:space="preserve"> Pass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Septoria viticola</w:t>
            </w:r>
            <w:r>
              <w:rPr>
                <w:rFonts w:ascii="Helvetica" w:hAnsi="Helvetica" w:cs="Helvetica"/>
                <w:sz w:val="18"/>
                <w:szCs w:val="18"/>
              </w:rPr>
              <w:t xml:space="preserve"> Berk. &amp; M.A. Curtis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Septosporium heterosporum</w:t>
            </w:r>
            <w:r>
              <w:rPr>
                <w:rFonts w:ascii="Helvetica" w:hAnsi="Helvetica" w:cs="Helvetica"/>
                <w:sz w:val="18"/>
                <w:szCs w:val="18"/>
              </w:rPr>
              <w:t xml:space="preserve"> Ellis &amp; Galloway [Unassigned] (synonym: </w:t>
            </w:r>
            <w:r>
              <w:rPr>
                <w:rFonts w:ascii="Helvetica" w:hAnsi="Helvetica" w:cs="Helvetica"/>
                <w:i/>
                <w:sz w:val="18"/>
                <w:szCs w:val="18"/>
              </w:rPr>
              <w:t>Passalora heterosporella</w:t>
            </w:r>
            <w:r>
              <w:rPr>
                <w:rFonts w:ascii="Helvetica" w:hAnsi="Helvetica" w:cs="Helvetica"/>
                <w:sz w:val="18"/>
                <w:szCs w:val="18"/>
              </w:rPr>
              <w:t xml:space="preserve"> U. Braun &amp; Crous, </w:t>
            </w:r>
            <w:r>
              <w:rPr>
                <w:rFonts w:ascii="Helvetica" w:hAnsi="Helvetica" w:cs="Helvetica"/>
                <w:i/>
                <w:sz w:val="18"/>
                <w:szCs w:val="18"/>
              </w:rPr>
              <w:t>Phaeoramularia heterospora</w:t>
            </w:r>
            <w:r>
              <w:rPr>
                <w:rFonts w:ascii="Helvetica" w:hAnsi="Helvetica" w:cs="Helvetica"/>
                <w:sz w:val="18"/>
                <w:szCs w:val="18"/>
              </w:rPr>
              <w:t xml:space="preserve"> (Ellis &amp; Galloway) Deighton)</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On other hosts, this species occurs on leaves (Deighton 1976).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Setosphaeria rostrata</w:t>
            </w:r>
            <w:r>
              <w:rPr>
                <w:rFonts w:ascii="Helvetica" w:hAnsi="Helvetica" w:cs="Helvetica"/>
                <w:sz w:val="18"/>
                <w:szCs w:val="18"/>
              </w:rPr>
              <w:t xml:space="preserve"> K.J. Leonard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Sorosphaera viticola</w:t>
            </w:r>
            <w:r>
              <w:rPr>
                <w:rFonts w:ascii="Helvetica" w:hAnsi="Helvetica" w:cs="Helvetica"/>
                <w:sz w:val="18"/>
                <w:szCs w:val="18"/>
              </w:rPr>
              <w:t xml:space="preserve"> Kirchmair </w:t>
            </w:r>
            <w:r>
              <w:rPr>
                <w:rFonts w:ascii="Helvetica" w:hAnsi="Helvetica" w:cs="Helvetica"/>
                <w:i/>
                <w:sz w:val="18"/>
                <w:szCs w:val="18"/>
              </w:rPr>
              <w:t>et al</w:t>
            </w:r>
            <w:r>
              <w:rPr>
                <w:rFonts w:ascii="Helvetica" w:hAnsi="Helvetica" w:cs="Helvetica"/>
                <w:sz w:val="18"/>
                <w:szCs w:val="18"/>
              </w:rPr>
              <w:t>. [Plasmodiophorida: Plasmodiophoraceae]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has been recorded on </w:t>
            </w:r>
            <w:r>
              <w:rPr>
                <w:rFonts w:ascii="Helvetica" w:hAnsi="Helvetica" w:cs="Helvetica"/>
                <w:i/>
                <w:sz w:val="18"/>
                <w:szCs w:val="18"/>
              </w:rPr>
              <w:t xml:space="preserve">Vitis </w:t>
            </w:r>
            <w:r>
              <w:rPr>
                <w:rFonts w:ascii="Helvetica" w:hAnsi="Helvetica" w:cs="Helvetica"/>
                <w:sz w:val="18"/>
                <w:szCs w:val="18"/>
              </w:rPr>
              <w:t xml:space="preserve">species and is associated with roots (Kirchmair </w:t>
            </w:r>
            <w:r>
              <w:rPr>
                <w:rFonts w:ascii="Helvetica" w:hAnsi="Helvetica" w:cs="Helvetica"/>
                <w:i/>
                <w:iCs/>
                <w:sz w:val="18"/>
                <w:szCs w:val="18"/>
              </w:rPr>
              <w:t>et al</w:t>
            </w:r>
            <w:r>
              <w:rPr>
                <w:rFonts w:ascii="Helvetica" w:hAnsi="Helvetica" w:cs="Helvetica"/>
                <w:sz w:val="18"/>
                <w:szCs w:val="18"/>
              </w:rPr>
              <w:t>. 2005).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13" w:history="1">
              <w:r>
                <w:rPr>
                  <w:rFonts w:ascii="Helvetica" w:hAnsi="Helvetica" w:cs="Helvetica"/>
                  <w:i/>
                  <w:sz w:val="18"/>
                  <w:szCs w:val="18"/>
                </w:rPr>
                <w:t>Sphaceloma viticola</w:t>
              </w:r>
            </w:hyperlink>
            <w:r>
              <w:rPr>
                <w:rFonts w:ascii="Helvetica" w:hAnsi="Helvetica" w:cs="Helvetica"/>
                <w:sz w:val="18"/>
                <w:szCs w:val="18"/>
              </w:rPr>
              <w:t xml:space="preserve"> Sawada ex Jenkins &amp; Bitanc [Myriangiales: Elsinoaceae]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first report on </w:t>
            </w:r>
            <w:r>
              <w:rPr>
                <w:rFonts w:ascii="Helvetica" w:hAnsi="Helvetica" w:cs="Helvetica"/>
                <w:i/>
                <w:sz w:val="18"/>
                <w:szCs w:val="18"/>
              </w:rPr>
              <w:t xml:space="preserve">Vitis </w:t>
            </w:r>
            <w:r>
              <w:rPr>
                <w:rFonts w:ascii="Helvetica" w:hAnsi="Helvetica" w:cs="Helvetica"/>
                <w:sz w:val="18"/>
                <w:szCs w:val="18"/>
              </w:rPr>
              <w:t>species in Taiwan in 1944 (Farr and Rossman 2011), it has not been reported from any other country, indicating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Sphaeria antiqua</w:t>
            </w:r>
            <w:r>
              <w:rPr>
                <w:rFonts w:ascii="Helvetica" w:hAnsi="Helvetica" w:cs="Helvetica"/>
                <w:sz w:val="18"/>
                <w:szCs w:val="18"/>
              </w:rPr>
              <w:t xml:space="preserve"> Ellis &amp; Everh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its first report on </w:t>
            </w:r>
            <w:r>
              <w:rPr>
                <w:rFonts w:ascii="Helvetica" w:hAnsi="Helvetica" w:cs="Helvetica"/>
                <w:i/>
                <w:sz w:val="18"/>
                <w:szCs w:val="18"/>
              </w:rPr>
              <w:t xml:space="preserve">Vitis </w:t>
            </w:r>
            <w:r>
              <w:rPr>
                <w:rFonts w:ascii="Helvetica" w:hAnsi="Helvetica" w:cs="Helvetica"/>
                <w:sz w:val="18"/>
                <w:szCs w:val="18"/>
              </w:rPr>
              <w:t>species in New Jersey in 1954 (Farr and Rossman 2011), it has not been reported from any other country, indicating propagative material does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Sphaeropsis ampelos</w:t>
            </w:r>
            <w:r>
              <w:rPr>
                <w:rFonts w:ascii="Helvetica" w:hAnsi="Helvetica" w:cs="Helvetica"/>
                <w:sz w:val="18"/>
                <w:szCs w:val="18"/>
              </w:rPr>
              <w:t xml:space="preserve"> (Schwein.) Cooke [Botryosphaeriales: Botryosphaeriaceae]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 xml:space="preserve">Vitis </w:t>
            </w:r>
            <w:r>
              <w:rPr>
                <w:rFonts w:ascii="Helvetica" w:hAnsi="Helvetica" w:cs="Helvetica"/>
                <w:sz w:val="18"/>
                <w:szCs w:val="18"/>
              </w:rPr>
              <w:t xml:space="preserve">species (Farr and Rossman 2011); however, no information is provided on plant parts affected by these fungi. </w:t>
            </w:r>
            <w:r>
              <w:rPr>
                <w:rFonts w:ascii="Helvetica" w:hAnsi="Helvetica" w:cs="Helvetica"/>
                <w:i/>
                <w:sz w:val="18"/>
                <w:szCs w:val="18"/>
              </w:rPr>
              <w:t xml:space="preserve">Sphaeropsis </w:t>
            </w:r>
            <w:r>
              <w:rPr>
                <w:rFonts w:ascii="Helvetica" w:hAnsi="Helvetica" w:cs="Helvetica"/>
                <w:sz w:val="18"/>
                <w:szCs w:val="18"/>
              </w:rPr>
              <w:t xml:space="preserve">species are generally associated with the foliage, cones, bark and wood of host plants (Farr </w:t>
            </w:r>
            <w:r>
              <w:rPr>
                <w:rFonts w:ascii="Helvetica" w:hAnsi="Helvetica" w:cs="Helvetica"/>
                <w:i/>
                <w:iCs/>
                <w:sz w:val="18"/>
                <w:szCs w:val="18"/>
              </w:rPr>
              <w:t>et al.</w:t>
            </w:r>
            <w:r>
              <w:rPr>
                <w:rFonts w:ascii="Helvetica" w:hAnsi="Helvetica" w:cs="Helvetica"/>
                <w:sz w:val="18"/>
                <w:szCs w:val="18"/>
              </w:rPr>
              <w:t xml:space="preserve"> 1989). Therefore, semi-hardwood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Sphaeropsis vitigena</w:t>
            </w:r>
            <w:r>
              <w:rPr>
                <w:rFonts w:ascii="Helvetica" w:hAnsi="Helvetica" w:cs="Helvetica"/>
                <w:sz w:val="18"/>
                <w:szCs w:val="18"/>
              </w:rPr>
              <w:t xml:space="preserve"> Ellis &amp; Everh [Botryosphaeriales: Botryosphaeriaceae]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Sporidesmium rauii</w:t>
            </w:r>
            <w:r>
              <w:rPr>
                <w:rFonts w:ascii="Helvetica" w:hAnsi="Helvetica" w:cs="Helvetica"/>
                <w:sz w:val="18"/>
                <w:szCs w:val="18"/>
                <w:lang w:val="de-DE"/>
              </w:rPr>
              <w:t xml:space="preserve"> Ellis &amp; Harkn. [</w:t>
            </w:r>
            <w:r>
              <w:rPr>
                <w:rFonts w:ascii="Helvetica" w:hAnsi="Helvetica" w:cs="Helvetica"/>
                <w:sz w:val="18"/>
                <w:szCs w:val="18"/>
              </w:rPr>
              <w:t xml:space="preserve">Pleosporales: </w:t>
            </w:r>
            <w:r>
              <w:rPr>
                <w:rFonts w:ascii="Helvetica" w:hAnsi="Helvetica" w:cs="Helvetica"/>
                <w:sz w:val="18"/>
                <w:szCs w:val="18"/>
                <w:lang w:val="de-DE"/>
              </w:rPr>
              <w:t>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Since being reported on </w:t>
            </w:r>
            <w:r>
              <w:rPr>
                <w:rFonts w:ascii="Helvetica" w:hAnsi="Helvetica" w:cs="Helvetica"/>
                <w:i/>
                <w:sz w:val="18"/>
                <w:szCs w:val="18"/>
              </w:rPr>
              <w:t xml:space="preserve">Vitis </w:t>
            </w:r>
            <w:r>
              <w:rPr>
                <w:rFonts w:ascii="Helvetica" w:hAnsi="Helvetica" w:cs="Helvetica"/>
                <w:sz w:val="18"/>
                <w:szCs w:val="18"/>
              </w:rPr>
              <w:t>species from Pennsylvania in 1954 and 1959 (Farr and Rossman 2011), it has not been reported from any other country, indicating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Sporocadus rhododendri</w:t>
            </w:r>
            <w:r>
              <w:rPr>
                <w:rFonts w:ascii="Helvetica" w:hAnsi="Helvetica" w:cs="Helvetica"/>
                <w:sz w:val="18"/>
                <w:szCs w:val="18"/>
              </w:rPr>
              <w:t xml:space="preserve"> (Schwein.) M. Morelet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t>
            </w:r>
            <w:r>
              <w:rPr>
                <w:rFonts w:ascii="Helvetica" w:hAnsi="Helvetica" w:cs="Helvetica"/>
                <w:bCs/>
                <w:sz w:val="18"/>
                <w:szCs w:val="18"/>
              </w:rPr>
              <w:t xml:space="preserve">Sergeeva </w:t>
            </w:r>
            <w:r>
              <w:rPr>
                <w:rFonts w:ascii="Helvetica" w:hAnsi="Helvetica" w:cs="Helvetica"/>
                <w:bCs/>
                <w:i/>
                <w:sz w:val="18"/>
                <w:szCs w:val="18"/>
              </w:rPr>
              <w:t>et al</w:t>
            </w:r>
            <w:r>
              <w:rPr>
                <w:rFonts w:ascii="Helvetica" w:hAnsi="Helvetica" w:cs="Helvetica"/>
                <w:bCs/>
                <w:sz w:val="18"/>
                <w:szCs w:val="18"/>
              </w:rPr>
              <w:t>. 2005</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14" w:history="1">
              <w:r>
                <w:rPr>
                  <w:rFonts w:ascii="Helvetica" w:hAnsi="Helvetica" w:cs="Helvetica"/>
                  <w:i/>
                  <w:sz w:val="18"/>
                  <w:szCs w:val="18"/>
                </w:rPr>
                <w:t>Stachybotrys chartarum</w:t>
              </w:r>
            </w:hyperlink>
            <w:r>
              <w:rPr>
                <w:rFonts w:ascii="Helvetica" w:hAnsi="Helvetica" w:cs="Helvetica"/>
                <w:sz w:val="18"/>
                <w:szCs w:val="18"/>
              </w:rPr>
              <w:t xml:space="preserve"> (Ehrenb.) SJ Hughes [Hypocreales: Unassigned]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Stagonospora bulgarica </w:t>
            </w:r>
            <w:r>
              <w:rPr>
                <w:rFonts w:ascii="Helvetica" w:hAnsi="Helvetica" w:cs="Helvetica"/>
                <w:sz w:val="18"/>
                <w:szCs w:val="18"/>
              </w:rPr>
              <w:t xml:space="preserve">Vanev [Pleosporales: Phaeosphaeriaceae]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 </w:t>
            </w:r>
            <w:r>
              <w:rPr>
                <w:rFonts w:ascii="Helvetica" w:hAnsi="Helvetica" w:cs="Helvetica"/>
                <w:i/>
                <w:iCs/>
                <w:sz w:val="18"/>
                <w:szCs w:val="18"/>
              </w:rPr>
              <w:t xml:space="preserve">Stagonospora </w:t>
            </w:r>
            <w:r>
              <w:rPr>
                <w:rFonts w:ascii="Helvetica" w:hAnsi="Helvetica" w:cs="Helvetica"/>
                <w:sz w:val="18"/>
                <w:szCs w:val="18"/>
              </w:rPr>
              <w:t xml:space="preserve">species are generally associated with foliage (Farr </w:t>
            </w:r>
            <w:r>
              <w:rPr>
                <w:rFonts w:ascii="Helvetica" w:hAnsi="Helvetica" w:cs="Helvetica"/>
                <w:i/>
                <w:iCs/>
                <w:sz w:val="18"/>
                <w:szCs w:val="18"/>
              </w:rPr>
              <w:t>et al.</w:t>
            </w:r>
            <w:r>
              <w:rPr>
                <w:rFonts w:ascii="Helvetica" w:hAnsi="Helvetica" w:cs="Helvetica"/>
                <w:sz w:val="18"/>
                <w:szCs w:val="18"/>
              </w:rPr>
              <w:t xml:space="preserve"> 1989). Therefore, foliage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autoSpaceDE w:val="0"/>
              <w:autoSpaceDN w:val="0"/>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Stemphylium botryosum</w:t>
            </w:r>
            <w:r>
              <w:rPr>
                <w:rFonts w:ascii="Helvetica" w:hAnsi="Helvetica" w:cs="Helvetica"/>
                <w:sz w:val="18"/>
                <w:szCs w:val="18"/>
              </w:rPr>
              <w:t xml:space="preserve"> Sacc.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lang w:val="de-DE"/>
              </w:rPr>
            </w:pPr>
            <w:r>
              <w:rPr>
                <w:rFonts w:ascii="Helvetica" w:hAnsi="Helvetica" w:cs="Helvetica"/>
                <w:i/>
                <w:sz w:val="18"/>
                <w:szCs w:val="18"/>
                <w:lang w:val="de-DE"/>
              </w:rPr>
              <w:t>Ster</w:t>
            </w:r>
            <w:smartTag w:uri="urn:schemas-microsoft-com:office:smarttags" w:element="PersonName">
              <w:r>
                <w:rPr>
                  <w:rFonts w:ascii="Helvetica" w:hAnsi="Helvetica" w:cs="Helvetica"/>
                  <w:i/>
                  <w:sz w:val="18"/>
                  <w:szCs w:val="18"/>
                  <w:lang w:val="de-DE"/>
                </w:rPr>
                <w:t>eu</w:t>
              </w:r>
            </w:smartTag>
            <w:r>
              <w:rPr>
                <w:rFonts w:ascii="Helvetica" w:hAnsi="Helvetica" w:cs="Helvetica"/>
                <w:i/>
                <w:sz w:val="18"/>
                <w:szCs w:val="18"/>
                <w:lang w:val="de-DE"/>
              </w:rPr>
              <w:t>m albobadium</w:t>
            </w:r>
            <w:r>
              <w:rPr>
                <w:rFonts w:ascii="Helvetica" w:hAnsi="Helvetica" w:cs="Helvetica"/>
                <w:sz w:val="18"/>
                <w:szCs w:val="18"/>
                <w:lang w:val="de-DE"/>
              </w:rPr>
              <w:t xml:space="preserve"> (Schwein.) Fr. [Russulales: Stereaceae]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Generally,</w:t>
            </w:r>
            <w:r>
              <w:rPr>
                <w:rFonts w:ascii="Helvetica" w:hAnsi="Helvetica" w:cs="Helvetica"/>
                <w:i/>
                <w:sz w:val="18"/>
                <w:szCs w:val="18"/>
              </w:rPr>
              <w:t xml:space="preserve"> Ster</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 xml:space="preserve">m </w:t>
            </w:r>
            <w:r>
              <w:rPr>
                <w:rFonts w:ascii="Helvetica" w:hAnsi="Helvetica" w:cs="Helvetica"/>
                <w:sz w:val="18"/>
                <w:szCs w:val="18"/>
              </w:rPr>
              <w:t xml:space="preserve">species are associated with hardwood (Farr </w:t>
            </w:r>
            <w:r>
              <w:rPr>
                <w:rFonts w:ascii="Helvetica" w:hAnsi="Helvetica" w:cs="Helvetica"/>
                <w:i/>
                <w:sz w:val="18"/>
                <w:szCs w:val="18"/>
              </w:rPr>
              <w:t>et al</w:t>
            </w:r>
            <w:r>
              <w:rPr>
                <w:rFonts w:ascii="Helvetica" w:hAnsi="Helvetica" w:cs="Helvetica"/>
                <w:sz w:val="18"/>
                <w:szCs w:val="18"/>
              </w:rPr>
              <w:t>. 1989). Therefore, semi-hardwood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Ster</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m crassum</w:t>
            </w:r>
            <w:r>
              <w:rPr>
                <w:rFonts w:ascii="Helvetica" w:hAnsi="Helvetica" w:cs="Helvetica"/>
                <w:sz w:val="18"/>
                <w:szCs w:val="18"/>
              </w:rPr>
              <w:t xml:space="preserve"> (Lév.) Fr.</w:t>
            </w:r>
            <w:r>
              <w:rPr>
                <w:rFonts w:ascii="Helvetica" w:hAnsi="Helvetica" w:cs="Helvetica"/>
                <w:bCs/>
                <w:sz w:val="18"/>
                <w:szCs w:val="18"/>
              </w:rPr>
              <w:t xml:space="preserve"> </w:t>
            </w:r>
            <w:r>
              <w:rPr>
                <w:rFonts w:ascii="Helvetica" w:hAnsi="Helvetica" w:cs="Helvetica"/>
                <w:sz w:val="18"/>
                <w:szCs w:val="18"/>
              </w:rPr>
              <w:t>[Russulales: Stereaceae]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Ster</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m hirsutum</w:t>
            </w:r>
            <w:r>
              <w:rPr>
                <w:rFonts w:ascii="Helvetica" w:hAnsi="Helvetica" w:cs="Helvetica"/>
                <w:sz w:val="18"/>
                <w:szCs w:val="18"/>
              </w:rPr>
              <w:t xml:space="preserve"> (Willd.) Pers. [Russulales: Stereaceae]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(Tovar </w:t>
            </w:r>
            <w:r>
              <w:rPr>
                <w:rFonts w:ascii="Helvetica" w:hAnsi="Helvetica" w:cs="Helvetica"/>
                <w:i/>
                <w:sz w:val="18"/>
                <w:szCs w:val="18"/>
              </w:rPr>
              <w:t>et al</w:t>
            </w:r>
            <w:r>
              <w:rPr>
                <w:rFonts w:ascii="Helvetica" w:hAnsi="Helvetica" w:cs="Helvetica"/>
                <w:sz w:val="18"/>
                <w:szCs w:val="18"/>
              </w:rPr>
              <w:t xml:space="preserve">. 2008)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Stereum purpureum</w:t>
            </w:r>
            <w:r>
              <w:rPr>
                <w:rFonts w:ascii="Helvetica" w:hAnsi="Helvetica" w:cs="Helvetica"/>
                <w:sz w:val="18"/>
                <w:szCs w:val="18"/>
              </w:rPr>
              <w:t xml:space="preserve"> Pers. [Russulales: Stereaceae]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(Cook and Dubé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Stigmina esfandiarii</w:t>
            </w:r>
            <w:r>
              <w:rPr>
                <w:rFonts w:ascii="Helvetica" w:hAnsi="Helvetica" w:cs="Helvetica"/>
                <w:sz w:val="18"/>
                <w:szCs w:val="18"/>
              </w:rPr>
              <w:t xml:space="preserve"> Petr. [Capnodiales: Mycosphaerellaceae]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 xml:space="preserve">. </w:t>
            </w:r>
            <w:r>
              <w:rPr>
                <w:rFonts w:ascii="Helvetica" w:hAnsi="Helvetica" w:cs="Helvetica"/>
                <w:sz w:val="18"/>
                <w:szCs w:val="18"/>
              </w:rPr>
              <w:t xml:space="preserve">Members of this genus occur on foliage, bark and dead twigs (Farr </w:t>
            </w:r>
            <w:r>
              <w:rPr>
                <w:rFonts w:ascii="Helvetica" w:hAnsi="Helvetica" w:cs="Helvetica"/>
                <w:i/>
                <w:iCs/>
                <w:sz w:val="18"/>
                <w:szCs w:val="18"/>
              </w:rPr>
              <w:t>et al.</w:t>
            </w:r>
            <w:r>
              <w:rPr>
                <w:rFonts w:ascii="Helvetica" w:hAnsi="Helvetica" w:cs="Helvetica"/>
                <w:sz w:val="18"/>
                <w:szCs w:val="18"/>
              </w:rPr>
              <w:t xml:space="preserve"> 1989). Therefore, foliage free,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Strickeria sylvana</w:t>
            </w:r>
            <w:r>
              <w:rPr>
                <w:rFonts w:ascii="Helvetica" w:hAnsi="Helvetica" w:cs="Helvetica"/>
                <w:sz w:val="18"/>
                <w:szCs w:val="18"/>
              </w:rPr>
              <w:t xml:space="preserve"> (Sacc. &amp; Speg.) Cooke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 xml:space="preserve">. </w:t>
            </w:r>
            <w:r>
              <w:rPr>
                <w:rFonts w:ascii="Helvetica" w:hAnsi="Helvetica" w:cs="Helvetica"/>
                <w:sz w:val="18"/>
                <w:szCs w:val="18"/>
              </w:rPr>
              <w:t xml:space="preserve">Since they were reported on </w:t>
            </w:r>
            <w:r>
              <w:rPr>
                <w:rFonts w:ascii="Helvetica" w:hAnsi="Helvetica" w:cs="Helvetica"/>
                <w:i/>
                <w:sz w:val="18"/>
                <w:szCs w:val="18"/>
              </w:rPr>
              <w:t xml:space="preserve">Vitis </w:t>
            </w:r>
            <w:r>
              <w:rPr>
                <w:rFonts w:ascii="Helvetica" w:hAnsi="Helvetica" w:cs="Helvetica"/>
                <w:sz w:val="18"/>
                <w:szCs w:val="18"/>
              </w:rPr>
              <w:t>species in Poland (</w:t>
            </w:r>
            <w:r>
              <w:rPr>
                <w:rFonts w:ascii="Helvetica" w:hAnsi="Helvetica" w:cs="Helvetica"/>
                <w:i/>
                <w:sz w:val="18"/>
                <w:szCs w:val="18"/>
              </w:rPr>
              <w:t>S. sylvana</w:t>
            </w:r>
            <w:r>
              <w:rPr>
                <w:rFonts w:ascii="Helvetica" w:hAnsi="Helvetica" w:cs="Helvetica"/>
                <w:sz w:val="18"/>
                <w:szCs w:val="18"/>
              </w:rPr>
              <w:t>) and Central Asia (</w:t>
            </w:r>
            <w:r>
              <w:rPr>
                <w:rFonts w:ascii="Helvetica" w:hAnsi="Helvetica" w:cs="Helvetica"/>
                <w:i/>
                <w:sz w:val="18"/>
                <w:szCs w:val="18"/>
              </w:rPr>
              <w:t>S. trabicola</w:t>
            </w:r>
            <w:r>
              <w:rPr>
                <w:rFonts w:ascii="Helvetica" w:hAnsi="Helvetica" w:cs="Helvetica"/>
                <w:sz w:val="18"/>
                <w:szCs w:val="18"/>
              </w:rPr>
              <w:t>) in 1973 (Farr and Rossman 2011), they have not been reported from any other country, indicating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Strickeria trabicola</w:t>
            </w:r>
            <w:r>
              <w:rPr>
                <w:rFonts w:ascii="Helvetica" w:hAnsi="Helvetica" w:cs="Helvetica"/>
                <w:sz w:val="18"/>
                <w:szCs w:val="18"/>
              </w:rPr>
              <w:t xml:space="preserve"> (Fuckel) G. Winter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Synchytrium parthenocissi</w:t>
            </w:r>
            <w:r>
              <w:rPr>
                <w:rFonts w:ascii="Helvetica" w:hAnsi="Helvetica" w:cs="Helvetica"/>
                <w:sz w:val="18"/>
                <w:szCs w:val="18"/>
              </w:rPr>
              <w:t xml:space="preserve"> M.T. Cook [Chytridiales: Synchytriaceae]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Since it was reported on </w:t>
            </w:r>
            <w:r>
              <w:rPr>
                <w:rFonts w:ascii="Helvetica" w:hAnsi="Helvetica" w:cs="Helvetica"/>
                <w:i/>
                <w:sz w:val="18"/>
                <w:szCs w:val="18"/>
              </w:rPr>
              <w:t xml:space="preserve">Vitis </w:t>
            </w:r>
            <w:r>
              <w:rPr>
                <w:rFonts w:ascii="Helvetica" w:hAnsi="Helvetica" w:cs="Helvetica"/>
                <w:sz w:val="18"/>
                <w:szCs w:val="18"/>
              </w:rPr>
              <w:t>species in Louisiana in 1964 (Farr and Rossman 2011), it has not been reported elsewhere, indicating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Teichospora winteriana</w:t>
            </w:r>
            <w:r>
              <w:rPr>
                <w:rFonts w:ascii="Helvetica" w:hAnsi="Helvetica" w:cs="Helvetica"/>
                <w:sz w:val="18"/>
                <w:szCs w:val="18"/>
              </w:rPr>
              <w:t xml:space="preserve"> Berl. [Pleosporales: Dacampiaceae]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Other species of this genus have been recorded on dead branches and stems of host plants (Rao 1966).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Thelephora atra</w:t>
            </w:r>
            <w:r>
              <w:rPr>
                <w:rFonts w:ascii="Helvetica" w:hAnsi="Helvetica" w:cs="Helvetica"/>
                <w:sz w:val="18"/>
                <w:szCs w:val="18"/>
              </w:rPr>
              <w:t xml:space="preserve"> Weinm. [Thelephorales: Thelephoraceae]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(May </w:t>
            </w:r>
            <w:r>
              <w:rPr>
                <w:rFonts w:ascii="Helvetica" w:hAnsi="Helvetica" w:cs="Helvetica"/>
                <w:i/>
                <w:sz w:val="18"/>
                <w:szCs w:val="18"/>
              </w:rPr>
              <w:t>et al</w:t>
            </w:r>
            <w:r>
              <w:rPr>
                <w:rFonts w:ascii="Helvetica" w:hAnsi="Helvetica" w:cs="Helvetica"/>
                <w:sz w:val="18"/>
                <w:szCs w:val="18"/>
              </w:rPr>
              <w:t xml:space="preserve">. 2003)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15" w:history="1">
              <w:r>
                <w:rPr>
                  <w:rFonts w:ascii="Helvetica" w:hAnsi="Helvetica" w:cs="Helvetica"/>
                  <w:i/>
                  <w:sz w:val="18"/>
                  <w:szCs w:val="18"/>
                </w:rPr>
                <w:t>Thielaviopsis basicola</w:t>
              </w:r>
            </w:hyperlink>
            <w:r>
              <w:rPr>
                <w:rFonts w:ascii="Helvetica" w:hAnsi="Helvetica" w:cs="Helvetica"/>
                <w:sz w:val="18"/>
                <w:szCs w:val="18"/>
              </w:rPr>
              <w:t xml:space="preserve"> (Berk. &amp; Broome) Ferraris [Microascales: Ceratocystidaceae]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Thyridium vitis</w:t>
            </w:r>
            <w:r>
              <w:rPr>
                <w:rFonts w:ascii="Helvetica" w:hAnsi="Helvetica" w:cs="Helvetica"/>
                <w:sz w:val="18"/>
                <w:szCs w:val="18"/>
              </w:rPr>
              <w:t xml:space="preserve"> Ellis &amp; Everh. [Incertae sedis: Thyridiaceae]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species is recorded on the dead shoots of </w:t>
            </w:r>
            <w:r>
              <w:rPr>
                <w:rFonts w:ascii="Helvetica" w:hAnsi="Helvetica" w:cs="Helvetica"/>
                <w:i/>
                <w:sz w:val="18"/>
                <w:szCs w:val="18"/>
              </w:rPr>
              <w:t>Vitis</w:t>
            </w:r>
            <w:r>
              <w:rPr>
                <w:rFonts w:ascii="Helvetica" w:hAnsi="Helvetica" w:cs="Helvetica"/>
                <w:sz w:val="18"/>
                <w:szCs w:val="18"/>
              </w:rPr>
              <w:t xml:space="preserve"> species (Anon 2011).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Tilletiopsis minor </w:t>
            </w:r>
            <w:r>
              <w:rPr>
                <w:rFonts w:ascii="Helvetica" w:hAnsi="Helvetica" w:cs="Helvetica"/>
                <w:sz w:val="18"/>
                <w:szCs w:val="18"/>
              </w:rPr>
              <w:t>Nyland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However, on other hosts they occur on leaves (Farr </w:t>
            </w:r>
            <w:r>
              <w:rPr>
                <w:rFonts w:ascii="Helvetica" w:hAnsi="Helvetica" w:cs="Helvetica"/>
                <w:i/>
                <w:sz w:val="18"/>
                <w:szCs w:val="18"/>
              </w:rPr>
              <w:t xml:space="preserve">et al. </w:t>
            </w:r>
            <w:r>
              <w:rPr>
                <w:rFonts w:ascii="Helvetica" w:hAnsi="Helvetica" w:cs="Helvetica"/>
                <w:sz w:val="18"/>
                <w:szCs w:val="18"/>
              </w:rPr>
              <w:t>1989).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Tilletiopsis washingtonensis</w:t>
            </w:r>
            <w:r>
              <w:rPr>
                <w:rFonts w:ascii="Helvetica" w:hAnsi="Helvetica" w:cs="Helvetica"/>
                <w:sz w:val="18"/>
                <w:szCs w:val="18"/>
              </w:rPr>
              <w:t xml:space="preserve"> Nyland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Tomentella bryophila</w:t>
            </w:r>
            <w:r>
              <w:rPr>
                <w:rFonts w:ascii="Helvetica" w:hAnsi="Helvetica" w:cs="Helvetica"/>
                <w:sz w:val="18"/>
                <w:szCs w:val="18"/>
              </w:rPr>
              <w:t xml:space="preserve"> (Pers.) MJ Larsen [Thelephorales: Thelephoraceae]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However, on other hosts it occurs on wood (Farr </w:t>
            </w:r>
            <w:r>
              <w:rPr>
                <w:rFonts w:ascii="Helvetica" w:hAnsi="Helvetica" w:cs="Helvetica"/>
                <w:i/>
                <w:sz w:val="18"/>
                <w:szCs w:val="18"/>
              </w:rPr>
              <w:t xml:space="preserve">et al. </w:t>
            </w:r>
            <w:r>
              <w:rPr>
                <w:rFonts w:ascii="Helvetica" w:hAnsi="Helvetica" w:cs="Helvetica"/>
                <w:sz w:val="18"/>
                <w:szCs w:val="18"/>
              </w:rPr>
              <w:t xml:space="preserve">1989). Therefore,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Trametes hirsuta</w:t>
            </w:r>
            <w:r>
              <w:rPr>
                <w:rFonts w:ascii="Helvetica" w:hAnsi="Helvetica" w:cs="Helvetica"/>
                <w:sz w:val="18"/>
                <w:szCs w:val="18"/>
              </w:rPr>
              <w:t xml:space="preserve"> (Wulfen) Lloyd [Polyporales: Polyporaceae]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Trametes ochracea </w:t>
            </w:r>
            <w:r>
              <w:rPr>
                <w:rFonts w:ascii="Helvetica" w:hAnsi="Helvetica" w:cs="Helvetica"/>
                <w:sz w:val="18"/>
                <w:szCs w:val="18"/>
              </w:rPr>
              <w:t>(Pers.) Gilb. &amp; Ryvarden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(GBIF 2012)</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Trametes versicolor</w:t>
            </w:r>
            <w:r>
              <w:rPr>
                <w:rFonts w:ascii="Helvetica" w:hAnsi="Helvetica" w:cs="Helvetica"/>
                <w:sz w:val="18"/>
                <w:szCs w:val="18"/>
              </w:rPr>
              <w:t xml:space="preserve"> (L.) Lloyd [Polyporales: Polyporaceae]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(Tovar </w:t>
            </w:r>
            <w:r>
              <w:rPr>
                <w:rFonts w:ascii="Helvetica" w:hAnsi="Helvetica" w:cs="Helvetica"/>
                <w:i/>
                <w:sz w:val="18"/>
                <w:szCs w:val="18"/>
              </w:rPr>
              <w:t>et al</w:t>
            </w:r>
            <w:r>
              <w:rPr>
                <w:rFonts w:ascii="Helvetica" w:hAnsi="Helvetica" w:cs="Helvetica"/>
                <w:sz w:val="18"/>
                <w:szCs w:val="18"/>
              </w:rPr>
              <w:t>. 2008)</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Trematosphaeria vitigena</w:t>
            </w:r>
            <w:r>
              <w:rPr>
                <w:rFonts w:ascii="Helvetica" w:hAnsi="Helvetica" w:cs="Helvetica"/>
                <w:sz w:val="18"/>
                <w:szCs w:val="18"/>
              </w:rPr>
              <w:t xml:space="preserve"> Ellis &amp; Everhart [Pleosporales: Pleomassariaceae]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Since it was reported on </w:t>
            </w:r>
            <w:r>
              <w:rPr>
                <w:rFonts w:ascii="Helvetica" w:hAnsi="Helvetica" w:cs="Helvetica"/>
                <w:i/>
                <w:sz w:val="18"/>
                <w:szCs w:val="18"/>
              </w:rPr>
              <w:t xml:space="preserve">Vitis </w:t>
            </w:r>
            <w:r>
              <w:rPr>
                <w:rFonts w:ascii="Helvetica" w:hAnsi="Helvetica" w:cs="Helvetica"/>
                <w:sz w:val="18"/>
                <w:szCs w:val="18"/>
              </w:rPr>
              <w:t xml:space="preserve">species in West Virginia in 1954 (Farr and Rossman 2011), it has not been reported from any other country, indicating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lang w:val="de-DE"/>
              </w:rPr>
            </w:pPr>
            <w:r>
              <w:rPr>
                <w:rFonts w:ascii="Helvetica" w:hAnsi="Helvetica" w:cs="Helvetica"/>
                <w:i/>
                <w:sz w:val="18"/>
                <w:szCs w:val="18"/>
                <w:lang w:val="de-DE"/>
              </w:rPr>
              <w:t>Trichocladium asperum</w:t>
            </w:r>
            <w:r>
              <w:rPr>
                <w:rFonts w:ascii="Helvetica" w:hAnsi="Helvetica" w:cs="Helvetica"/>
                <w:sz w:val="18"/>
                <w:szCs w:val="18"/>
                <w:lang w:val="de-DE"/>
              </w:rPr>
              <w:t xml:space="preserve"> Harz [Sordariales: Chaetomiaceae]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Trichoderma koningii</w:t>
            </w:r>
            <w:r>
              <w:rPr>
                <w:rFonts w:ascii="Helvetica" w:hAnsi="Helvetica" w:cs="Helvetica"/>
                <w:sz w:val="18"/>
                <w:szCs w:val="18"/>
              </w:rPr>
              <w:t xml:space="preserve"> Oudem. [Hypocreales: Hypocreaceae]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Trichoderma viride</w:t>
            </w:r>
            <w:r>
              <w:rPr>
                <w:rFonts w:ascii="Helvetica" w:hAnsi="Helvetica" w:cs="Helvetica"/>
                <w:sz w:val="18"/>
                <w:szCs w:val="18"/>
              </w:rPr>
              <w:t xml:space="preserve"> Pers. [Hypocreales: Hypocreaceae]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Trichothecium ros</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m</w:t>
            </w:r>
            <w:r>
              <w:rPr>
                <w:rFonts w:ascii="Helvetica" w:hAnsi="Helvetica" w:cs="Helvetica"/>
                <w:sz w:val="18"/>
                <w:szCs w:val="18"/>
              </w:rPr>
              <w:t xml:space="preserve"> (Pers.) Link [Hypocreales: Incertae sedis]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i/>
                <w:sz w:val="18"/>
                <w:szCs w:val="18"/>
                <w:lang w:val="de-DE"/>
              </w:rPr>
              <w:t>Trullula melanochlora</w:t>
            </w:r>
            <w:r>
              <w:rPr>
                <w:rFonts w:ascii="Helvetica" w:hAnsi="Helvetica" w:cs="Helvetica"/>
                <w:sz w:val="18"/>
                <w:szCs w:val="18"/>
                <w:lang w:val="de-DE"/>
              </w:rPr>
              <w:t xml:space="preserve"> (Desm.) Höhn.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and is associated with cane bleaching (Phillips 2000). Therefore, dormant cuttings may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This fungus </w:t>
            </w:r>
            <w:r>
              <w:rPr>
                <w:rFonts w:ascii="Helvetica" w:hAnsi="Helvetica" w:cs="Helvetica"/>
                <w:sz w:val="18"/>
                <w:szCs w:val="18"/>
              </w:rPr>
              <w:t>has established in areas with a wide range of climatic conditions (Phillips 2000) and it may spread in infected propagative material. Therefore, this fungus has the potential to establish and spread in Australia.</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reported on grapes, but no economic losses have been reported (Phillips 2000). Therefore, this fungus is not of economic concern to Australia. </w:t>
            </w: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Truncatella angustata </w:t>
            </w:r>
            <w:r>
              <w:rPr>
                <w:rFonts w:ascii="Helvetica" w:hAnsi="Helvetica" w:cs="Helvetica"/>
                <w:sz w:val="18"/>
                <w:szCs w:val="18"/>
              </w:rPr>
              <w:t>(Pers.) S. Hughes [Xylariales: Amphisphaeriaceae]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(Sergeeva </w:t>
            </w:r>
            <w:r>
              <w:rPr>
                <w:rFonts w:ascii="Helvetica" w:hAnsi="Helvetica" w:cs="Helvetica"/>
                <w:i/>
                <w:sz w:val="18"/>
                <w:szCs w:val="18"/>
              </w:rPr>
              <w:t>et al.</w:t>
            </w:r>
            <w:r>
              <w:rPr>
                <w:rFonts w:ascii="Helvetica" w:hAnsi="Helvetica" w:cs="Helvetica"/>
                <w:sz w:val="18"/>
                <w:szCs w:val="18"/>
              </w:rPr>
              <w:t xml:space="preserve"> 2005)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Tryblidaria indica</w:t>
            </w:r>
            <w:r>
              <w:rPr>
                <w:rFonts w:ascii="Helvetica" w:hAnsi="Helvetica" w:cs="Helvetica"/>
                <w:sz w:val="18"/>
                <w:szCs w:val="18"/>
              </w:rPr>
              <w:t xml:space="preserve"> Tilak [Patellariales Patellariaceae]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Since it was reported on </w:t>
            </w:r>
            <w:r>
              <w:rPr>
                <w:rFonts w:ascii="Helvetica" w:hAnsi="Helvetica" w:cs="Helvetica"/>
                <w:i/>
                <w:sz w:val="18"/>
                <w:szCs w:val="18"/>
              </w:rPr>
              <w:t xml:space="preserve">Vitis </w:t>
            </w:r>
            <w:r>
              <w:rPr>
                <w:rFonts w:ascii="Helvetica" w:hAnsi="Helvetica" w:cs="Helvetica"/>
                <w:sz w:val="18"/>
                <w:szCs w:val="18"/>
              </w:rPr>
              <w:t xml:space="preserve">species in India in 1966 (Farr and Rossman 2011), it has not been reported from any other country, indicating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Tubercularia acinorum</w:t>
            </w:r>
            <w:r>
              <w:rPr>
                <w:rFonts w:ascii="Helvetica" w:hAnsi="Helvetica" w:cs="Helvetica"/>
                <w:sz w:val="18"/>
                <w:szCs w:val="18"/>
              </w:rPr>
              <w:t xml:space="preserve"> Cavara [Hypocreales: Nectriaceae]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Tub</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 xml:space="preserve">fia pezizula </w:t>
            </w:r>
            <w:r>
              <w:rPr>
                <w:rFonts w:ascii="Helvetica" w:hAnsi="Helvetica" w:cs="Helvetica"/>
                <w:sz w:val="18"/>
                <w:szCs w:val="18"/>
              </w:rPr>
              <w:t>(Berk. &amp; M.A. Curtis) M.E. Barr [Pleosporales: Tubeufiaceae]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(Farr and Rossman 2011)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Typhula viticola </w:t>
            </w:r>
            <w:r>
              <w:rPr>
                <w:rFonts w:ascii="Helvetica" w:hAnsi="Helvetica" w:cs="Helvetica"/>
                <w:sz w:val="18"/>
                <w:szCs w:val="18"/>
              </w:rPr>
              <w:t>(Peck) Berthier [Agaricales: Typhulaceae]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w:t>
            </w:r>
            <w:r>
              <w:rPr>
                <w:rFonts w:ascii="Helvetica" w:hAnsi="Helvetica" w:cs="Helvetica"/>
                <w:i/>
                <w:sz w:val="18"/>
                <w:szCs w:val="18"/>
              </w:rPr>
              <w:t xml:space="preserve">Typhula </w:t>
            </w:r>
            <w:r>
              <w:rPr>
                <w:rFonts w:ascii="Helvetica" w:hAnsi="Helvetica" w:cs="Helvetica"/>
                <w:sz w:val="18"/>
                <w:szCs w:val="18"/>
              </w:rPr>
              <w:t xml:space="preserve">species generally occur on fallen, rotting leaves (Farr </w:t>
            </w:r>
            <w:r>
              <w:rPr>
                <w:rFonts w:ascii="Helvetica" w:hAnsi="Helvetica" w:cs="Helvetica"/>
                <w:i/>
                <w:sz w:val="18"/>
                <w:szCs w:val="18"/>
              </w:rPr>
              <w:t>et al.</w:t>
            </w:r>
            <w:r>
              <w:rPr>
                <w:rFonts w:ascii="Helvetica" w:hAnsi="Helvetica" w:cs="Helvetica"/>
                <w:sz w:val="18"/>
                <w:szCs w:val="18"/>
              </w:rPr>
              <w:t xml:space="preserve"> 1989). Therefore, foliage free dormant cuttings do not provide a pathway for this fungus.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Ulocladium atrum</w:t>
            </w:r>
            <w:r>
              <w:rPr>
                <w:rFonts w:ascii="Helvetica" w:hAnsi="Helvetica" w:cs="Helvetica"/>
                <w:sz w:val="18"/>
                <w:szCs w:val="18"/>
              </w:rPr>
              <w:t xml:space="preserve"> Preuss [Pleosporales: Pleosporaceae]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Uredo cissicola</w:t>
            </w:r>
            <w:r>
              <w:rPr>
                <w:rFonts w:ascii="Helvetica" w:hAnsi="Helvetica" w:cs="Helvetica"/>
                <w:sz w:val="18"/>
                <w:szCs w:val="18"/>
              </w:rPr>
              <w:t xml:space="preserve"> Cummins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These fungi have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w:t>
            </w:r>
            <w:r>
              <w:rPr>
                <w:rFonts w:ascii="Helvetica" w:hAnsi="Helvetica" w:cs="Helvetica"/>
                <w:i/>
                <w:sz w:val="18"/>
                <w:szCs w:val="18"/>
              </w:rPr>
              <w:t>Uredo</w:t>
            </w:r>
            <w:r>
              <w:rPr>
                <w:rFonts w:ascii="Helvetica" w:hAnsi="Helvetica" w:cs="Helvetica"/>
                <w:sz w:val="18"/>
                <w:szCs w:val="18"/>
              </w:rPr>
              <w:t xml:space="preserve"> species generally occur on leaves and cause leaf rust (Farr </w:t>
            </w:r>
            <w:r>
              <w:rPr>
                <w:rFonts w:ascii="Helvetica" w:hAnsi="Helvetica" w:cs="Helvetica"/>
                <w:i/>
                <w:sz w:val="18"/>
                <w:szCs w:val="18"/>
              </w:rPr>
              <w:t>et al</w:t>
            </w:r>
            <w:r>
              <w:rPr>
                <w:rFonts w:ascii="Helvetica" w:hAnsi="Helvetica" w:cs="Helvetica"/>
                <w:sz w:val="18"/>
                <w:szCs w:val="18"/>
              </w:rPr>
              <w:t>. 1989). Therefore, foliage free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Uredo</w:t>
            </w:r>
            <w:r>
              <w:rPr>
                <w:rFonts w:ascii="Helvetica" w:hAnsi="Helvetica" w:cs="Helvetica"/>
                <w:sz w:val="18"/>
                <w:szCs w:val="18"/>
              </w:rPr>
              <w:t xml:space="preserve"> </w:t>
            </w:r>
            <w:r>
              <w:rPr>
                <w:rFonts w:ascii="Helvetica" w:hAnsi="Helvetica" w:cs="Helvetica"/>
                <w:i/>
                <w:sz w:val="18"/>
                <w:szCs w:val="18"/>
              </w:rPr>
              <w:t>cissi</w:t>
            </w:r>
            <w:r>
              <w:rPr>
                <w:rFonts w:ascii="Helvetica" w:hAnsi="Helvetica" w:cs="Helvetica"/>
                <w:sz w:val="18"/>
                <w:szCs w:val="18"/>
              </w:rPr>
              <w:t>-</w:t>
            </w:r>
            <w:r>
              <w:rPr>
                <w:rFonts w:ascii="Helvetica" w:hAnsi="Helvetica" w:cs="Helvetica"/>
                <w:i/>
                <w:sz w:val="18"/>
                <w:szCs w:val="18"/>
              </w:rPr>
              <w:t>pterocladae</w:t>
            </w:r>
            <w:r>
              <w:rPr>
                <w:rFonts w:ascii="Helvetica" w:hAnsi="Helvetica" w:cs="Helvetica"/>
                <w:sz w:val="18"/>
                <w:szCs w:val="18"/>
              </w:rPr>
              <w:t xml:space="preserve"> Hirats.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Uromyces</w:t>
            </w:r>
            <w:r>
              <w:rPr>
                <w:rFonts w:ascii="Helvetica" w:hAnsi="Helvetica" w:cs="Helvetica"/>
                <w:sz w:val="18"/>
                <w:szCs w:val="18"/>
              </w:rPr>
              <w:t xml:space="preserve"> </w:t>
            </w:r>
            <w:r>
              <w:rPr>
                <w:rFonts w:ascii="Helvetica" w:hAnsi="Helvetica" w:cs="Helvetica"/>
                <w:i/>
                <w:sz w:val="18"/>
                <w:szCs w:val="18"/>
              </w:rPr>
              <w:t>cladomanes</w:t>
            </w:r>
            <w:r>
              <w:rPr>
                <w:rFonts w:ascii="Helvetica" w:hAnsi="Helvetica" w:cs="Helvetica"/>
                <w:sz w:val="18"/>
                <w:szCs w:val="18"/>
              </w:rPr>
              <w:t xml:space="preserve"> Traverso [Pucciniales: Pucciniaceae]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 xml:space="preserve">. Uromyces </w:t>
            </w:r>
            <w:r>
              <w:rPr>
                <w:rFonts w:ascii="Helvetica" w:hAnsi="Helvetica" w:cs="Helvetica"/>
                <w:sz w:val="18"/>
                <w:szCs w:val="18"/>
              </w:rPr>
              <w:t xml:space="preserve">species are generally associated with leaf and stem rust (Farr </w:t>
            </w:r>
            <w:r>
              <w:rPr>
                <w:rFonts w:ascii="Helvetica" w:hAnsi="Helvetica" w:cs="Helvetica"/>
                <w:i/>
                <w:sz w:val="18"/>
                <w:szCs w:val="18"/>
              </w:rPr>
              <w:t>et al.</w:t>
            </w:r>
            <w:r>
              <w:rPr>
                <w:rFonts w:ascii="Helvetica" w:hAnsi="Helvetica" w:cs="Helvetica"/>
                <w:sz w:val="18"/>
                <w:szCs w:val="18"/>
              </w:rPr>
              <w:t xml:space="preserve"> 1989). However, since it was reported on </w:t>
            </w:r>
            <w:r>
              <w:rPr>
                <w:rFonts w:ascii="Helvetica" w:hAnsi="Helvetica" w:cs="Helvetica"/>
                <w:i/>
                <w:sz w:val="18"/>
                <w:szCs w:val="18"/>
              </w:rPr>
              <w:t>Vitis</w:t>
            </w:r>
            <w:r>
              <w:rPr>
                <w:rFonts w:ascii="Helvetica" w:hAnsi="Helvetica" w:cs="Helvetica"/>
                <w:sz w:val="18"/>
                <w:szCs w:val="18"/>
              </w:rPr>
              <w:t xml:space="preserve"> in 1937, it has not been reported from any other country, indicating that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16" w:history="1">
              <w:r>
                <w:rPr>
                  <w:rFonts w:ascii="Helvetica" w:hAnsi="Helvetica" w:cs="Helvetica"/>
                  <w:i/>
                  <w:sz w:val="18"/>
                  <w:szCs w:val="18"/>
                </w:rPr>
                <w:t>Valsa</w:t>
              </w:r>
              <w:r>
                <w:rPr>
                  <w:rFonts w:ascii="Helvetica" w:hAnsi="Helvetica" w:cs="Helvetica"/>
                  <w:sz w:val="18"/>
                  <w:szCs w:val="18"/>
                </w:rPr>
                <w:t xml:space="preserve"> </w:t>
              </w:r>
              <w:r>
                <w:rPr>
                  <w:rFonts w:ascii="Helvetica" w:hAnsi="Helvetica" w:cs="Helvetica"/>
                  <w:i/>
                  <w:sz w:val="18"/>
                  <w:szCs w:val="18"/>
                </w:rPr>
                <w:t>ceratosperma</w:t>
              </w:r>
            </w:hyperlink>
            <w:r>
              <w:rPr>
                <w:rFonts w:ascii="Helvetica" w:hAnsi="Helvetica" w:cs="Helvetica"/>
                <w:sz w:val="18"/>
                <w:szCs w:val="18"/>
              </w:rPr>
              <w:t xml:space="preserve"> (Tode) Maire [Diaporthales: Valsaceae]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Valsa</w:t>
            </w:r>
            <w:r>
              <w:rPr>
                <w:rFonts w:ascii="Helvetica" w:hAnsi="Helvetica" w:cs="Helvetica"/>
                <w:sz w:val="18"/>
                <w:szCs w:val="18"/>
              </w:rPr>
              <w:t xml:space="preserve"> </w:t>
            </w:r>
            <w:r>
              <w:rPr>
                <w:rFonts w:ascii="Helvetica" w:hAnsi="Helvetica" w:cs="Helvetica"/>
                <w:i/>
                <w:sz w:val="18"/>
                <w:szCs w:val="18"/>
              </w:rPr>
              <w:t>vitigera</w:t>
            </w:r>
            <w:r>
              <w:rPr>
                <w:rFonts w:ascii="Helvetica" w:hAnsi="Helvetica" w:cs="Helvetica"/>
                <w:sz w:val="18"/>
                <w:szCs w:val="18"/>
              </w:rPr>
              <w:t xml:space="preserve"> Cooke [Diaporthales: Valsaceae]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 xml:space="preserve">. </w:t>
            </w:r>
            <w:r>
              <w:rPr>
                <w:rFonts w:ascii="Helvetica" w:hAnsi="Helvetica" w:cs="Helvetica"/>
                <w:sz w:val="18"/>
                <w:szCs w:val="18"/>
              </w:rPr>
              <w:t xml:space="preserve">Most </w:t>
            </w:r>
            <w:r>
              <w:rPr>
                <w:rFonts w:ascii="Helvetica" w:hAnsi="Helvetica" w:cs="Helvetica"/>
                <w:i/>
                <w:sz w:val="18"/>
                <w:szCs w:val="18"/>
              </w:rPr>
              <w:t>Valsa</w:t>
            </w:r>
            <w:r>
              <w:rPr>
                <w:rFonts w:ascii="Helvetica" w:hAnsi="Helvetica" w:cs="Helvetica"/>
                <w:sz w:val="18"/>
                <w:szCs w:val="18"/>
              </w:rPr>
              <w:t xml:space="preserve"> species affect the dead twigs and bark of mature trees (Jones and Aldwinkle 1991, Farr and Rossman 2011).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Valsaria</w:t>
            </w:r>
            <w:r>
              <w:rPr>
                <w:rFonts w:ascii="Helvetica" w:hAnsi="Helvetica" w:cs="Helvetica"/>
                <w:sz w:val="18"/>
                <w:szCs w:val="18"/>
              </w:rPr>
              <w:t xml:space="preserve"> </w:t>
            </w:r>
            <w:r>
              <w:rPr>
                <w:rFonts w:ascii="Helvetica" w:hAnsi="Helvetica" w:cs="Helvetica"/>
                <w:i/>
                <w:sz w:val="18"/>
                <w:szCs w:val="18"/>
              </w:rPr>
              <w:t>insitiva</w:t>
            </w:r>
            <w:r>
              <w:rPr>
                <w:rFonts w:ascii="Helvetica" w:hAnsi="Helvetica" w:cs="Helvetica"/>
                <w:sz w:val="18"/>
                <w:szCs w:val="18"/>
              </w:rPr>
              <w:t xml:space="preserve"> (Tode) Ces. &amp; De Not. [Diaporthales: Valsaceae]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Generally, this species is saprobic on dead wood (Farr </w:t>
            </w:r>
            <w:r>
              <w:rPr>
                <w:rFonts w:ascii="Helvetica" w:hAnsi="Helvetica" w:cs="Helvetica"/>
                <w:i/>
                <w:sz w:val="18"/>
                <w:szCs w:val="18"/>
              </w:rPr>
              <w:t>et al.</w:t>
            </w:r>
            <w:r>
              <w:rPr>
                <w:rFonts w:ascii="Helvetica" w:hAnsi="Helvetica" w:cs="Helvetica"/>
                <w:sz w:val="18"/>
                <w:szCs w:val="18"/>
              </w:rPr>
              <w:t xml:space="preserve"> 1989; Ellis and Ellis 1997).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Vararia pectinata</w:t>
            </w:r>
            <w:r>
              <w:rPr>
                <w:rFonts w:ascii="Helvetica" w:hAnsi="Helvetica" w:cs="Helvetica"/>
                <w:sz w:val="18"/>
                <w:szCs w:val="18"/>
              </w:rPr>
              <w:t xml:space="preserve"> (Burt) DP Rogers &amp; HS Jacks. [Russulales: Lachnocladiaceae]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Generally, </w:t>
            </w:r>
            <w:r>
              <w:rPr>
                <w:rFonts w:ascii="Helvetica" w:hAnsi="Helvetica" w:cs="Helvetica"/>
                <w:i/>
                <w:sz w:val="18"/>
                <w:szCs w:val="18"/>
              </w:rPr>
              <w:t xml:space="preserve">Vararia </w:t>
            </w:r>
            <w:r>
              <w:rPr>
                <w:rFonts w:ascii="Helvetica" w:hAnsi="Helvetica" w:cs="Helvetica"/>
                <w:sz w:val="18"/>
                <w:szCs w:val="18"/>
              </w:rPr>
              <w:t xml:space="preserve">species occur on wood and dead branches (Farr </w:t>
            </w:r>
            <w:r>
              <w:rPr>
                <w:rFonts w:ascii="Helvetica" w:hAnsi="Helvetica" w:cs="Helvetica"/>
                <w:i/>
                <w:sz w:val="18"/>
                <w:szCs w:val="18"/>
              </w:rPr>
              <w:t>et al</w:t>
            </w:r>
            <w:r>
              <w:rPr>
                <w:rFonts w:ascii="Helvetica" w:hAnsi="Helvetica" w:cs="Helvetica"/>
                <w:sz w:val="18"/>
                <w:szCs w:val="18"/>
              </w:rPr>
              <w:t>. 1989). Therefore,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Vermicularia compacta</w:t>
            </w:r>
            <w:r>
              <w:rPr>
                <w:rFonts w:ascii="Helvetica" w:hAnsi="Helvetica" w:cs="Helvetica"/>
                <w:sz w:val="18"/>
                <w:szCs w:val="18"/>
              </w:rPr>
              <w:t xml:space="preserve"> Cooke &amp; Ellis [Incertae sedis: Glomerellaceae]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Verticillium albo-atrum</w:t>
            </w:r>
            <w:r>
              <w:rPr>
                <w:rFonts w:ascii="Helvetica" w:hAnsi="Helvetica" w:cs="Helvetica"/>
                <w:sz w:val="18"/>
                <w:szCs w:val="18"/>
              </w:rPr>
              <w:t xml:space="preserve"> Reinke &amp; Berthold [Incertae sedis: Plectosphaerellaceae]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Yes (Walker 1990)</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pStyle w:val="NormalWeb"/>
              <w:spacing w:before="20" w:beforeAutospacing="0" w:after="0" w:afterAutospacing="0" w:line="240" w:lineRule="atLeast"/>
              <w:jc w:val="left"/>
              <w:rPr>
                <w:rFonts w:ascii="Helvetica" w:eastAsia="Times New Roman"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Verticillium dahliae</w:t>
            </w:r>
            <w:r>
              <w:rPr>
                <w:rFonts w:ascii="Helvetica" w:hAnsi="Helvetica" w:cs="Helvetica"/>
                <w:sz w:val="18"/>
                <w:szCs w:val="18"/>
              </w:rPr>
              <w:t xml:space="preserve"> Kleb. [Incertae sedis: Plectosphaerellaceae]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iCs/>
                <w:sz w:val="18"/>
                <w:szCs w:val="18"/>
              </w:rPr>
            </w:pPr>
            <w:r>
              <w:rPr>
                <w:rFonts w:ascii="Helvetica" w:hAnsi="Helvetica" w:cs="Helvetica"/>
                <w:sz w:val="18"/>
                <w:szCs w:val="18"/>
              </w:rPr>
              <w:t>Yes (Harding and Wicks 2007)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Xenosporium berkeleyi</w:t>
            </w:r>
            <w:r>
              <w:rPr>
                <w:rFonts w:ascii="Helvetica" w:hAnsi="Helvetica" w:cs="Helvetica"/>
                <w:sz w:val="18"/>
                <w:szCs w:val="18"/>
              </w:rPr>
              <w:t xml:space="preserve"> (M.A. Curtis) Piroz. [Pleosporales: Tubeufiaceae]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Generally, this species occurs on decaying, woody substrates (Farr and Rossman 2011). Therefore, semi-hardwood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hyperlink r:id="rId117" w:history="1">
              <w:r>
                <w:rPr>
                  <w:rFonts w:ascii="Helvetica" w:hAnsi="Helvetica" w:cs="Helvetica"/>
                  <w:i/>
                  <w:sz w:val="18"/>
                  <w:szCs w:val="18"/>
                </w:rPr>
                <w:t>Xylaria arbuscula</w:t>
              </w:r>
            </w:hyperlink>
            <w:r>
              <w:rPr>
                <w:rFonts w:ascii="Helvetica" w:hAnsi="Helvetica" w:cs="Helvetica"/>
                <w:sz w:val="18"/>
                <w:szCs w:val="18"/>
              </w:rPr>
              <w:t xml:space="preserve"> Sacc.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This fungus has been recorded on </w:t>
            </w:r>
            <w:r>
              <w:rPr>
                <w:rFonts w:ascii="Helvetica" w:hAnsi="Helvetica" w:cs="Helvetica"/>
                <w:i/>
                <w:sz w:val="18"/>
                <w:szCs w:val="18"/>
              </w:rPr>
              <w:t>Vitis</w:t>
            </w:r>
            <w:r>
              <w:rPr>
                <w:rFonts w:ascii="Helvetica" w:hAnsi="Helvetica" w:cs="Helvetica"/>
                <w:sz w:val="18"/>
                <w:szCs w:val="18"/>
              </w:rPr>
              <w:t xml:space="preserve"> species (Farr and Rossman 2011), but affected plant parts are not mentioned</w:t>
            </w:r>
            <w:r>
              <w:rPr>
                <w:rFonts w:ascii="Helvetica" w:hAnsi="Helvetica" w:cs="Helvetica"/>
                <w:i/>
                <w:sz w:val="18"/>
                <w:szCs w:val="18"/>
              </w:rPr>
              <w:t>.</w:t>
            </w:r>
            <w:r>
              <w:rPr>
                <w:rFonts w:ascii="Helvetica" w:hAnsi="Helvetica" w:cs="Helvetica"/>
                <w:sz w:val="18"/>
                <w:szCs w:val="18"/>
              </w:rPr>
              <w:t xml:space="preserve"> Generally, </w:t>
            </w:r>
            <w:r>
              <w:rPr>
                <w:rFonts w:ascii="Helvetica" w:hAnsi="Helvetica" w:cs="Helvetica"/>
                <w:i/>
                <w:sz w:val="18"/>
                <w:szCs w:val="18"/>
              </w:rPr>
              <w:t>Xylaria s</w:t>
            </w:r>
            <w:r>
              <w:rPr>
                <w:rFonts w:ascii="Helvetica" w:hAnsi="Helvetica" w:cs="Helvetica"/>
                <w:sz w:val="18"/>
                <w:szCs w:val="18"/>
              </w:rPr>
              <w:t>pecies cause decay of dead stumps and hardwood timber (Sivanesan and Holliday 1972). Therefore, semi-hardwood dormant cuttings do not provide a pathway for these fungi.</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Xylaria hypoxylon</w:t>
            </w:r>
            <w:r>
              <w:rPr>
                <w:rFonts w:ascii="Helvetica" w:hAnsi="Helvetica" w:cs="Helvetica"/>
                <w:sz w:val="18"/>
                <w:szCs w:val="18"/>
              </w:rPr>
              <w:t xml:space="preserve"> (L.) Grev.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Xylaria polymorpha</w:t>
            </w:r>
            <w:r>
              <w:rPr>
                <w:rFonts w:ascii="Helvetica" w:hAnsi="Helvetica" w:cs="Helvetica"/>
                <w:sz w:val="18"/>
                <w:szCs w:val="18"/>
              </w:rPr>
              <w:t xml:space="preserve"> (Pers.) Grev. [Xylariales: Xylariaceae]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63"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17" w:type="dxa"/>
            <w:gridSpan w:val="2"/>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STRAMINOPILA</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Phytophthora cactorum </w:t>
            </w:r>
            <w:r>
              <w:rPr>
                <w:rFonts w:ascii="Helvetica" w:hAnsi="Helvetica" w:cs="Helvetica"/>
                <w:sz w:val="18"/>
                <w:szCs w:val="18"/>
              </w:rPr>
              <w:t>(Lebert &amp; Cohn) J. Schröt.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(Golzar </w:t>
            </w:r>
            <w:r>
              <w:rPr>
                <w:rFonts w:ascii="Helvetica" w:hAnsi="Helvetica" w:cs="Helvetica"/>
                <w:i/>
                <w:sz w:val="18"/>
                <w:szCs w:val="18"/>
              </w:rPr>
              <w:t xml:space="preserve">et al. </w:t>
            </w:r>
            <w:r>
              <w:rPr>
                <w:rFonts w:ascii="Helvetica" w:hAnsi="Helvetica" w:cs="Helvetica"/>
                <w:sz w:val="18"/>
                <w:szCs w:val="18"/>
              </w:rPr>
              <w:t>2007)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Phytophthora cambivora </w:t>
            </w:r>
            <w:r>
              <w:rPr>
                <w:rFonts w:ascii="Helvetica" w:hAnsi="Helvetica" w:cs="Helvetica"/>
                <w:sz w:val="18"/>
                <w:szCs w:val="18"/>
              </w:rPr>
              <w:t>(Petri) Buisman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(Wicks and Hall 1990)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Phytophthora cinnamomi </w:t>
            </w:r>
            <w:r>
              <w:rPr>
                <w:rFonts w:ascii="Helvetica" w:hAnsi="Helvetica" w:cs="Helvetica"/>
                <w:sz w:val="18"/>
                <w:szCs w:val="18"/>
              </w:rPr>
              <w:t>Rands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(Cahill </w:t>
            </w:r>
            <w:r>
              <w:rPr>
                <w:rFonts w:ascii="Helvetica" w:hAnsi="Helvetica" w:cs="Helvetica"/>
                <w:i/>
                <w:sz w:val="18"/>
                <w:szCs w:val="18"/>
              </w:rPr>
              <w:t>et al</w:t>
            </w:r>
            <w:r>
              <w:rPr>
                <w:rFonts w:ascii="Helvetica" w:hAnsi="Helvetica" w:cs="Helvetica"/>
                <w:sz w:val="18"/>
                <w:szCs w:val="18"/>
              </w:rPr>
              <w:t>. 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Phytophthora citricola </w:t>
            </w:r>
            <w:r>
              <w:rPr>
                <w:rFonts w:ascii="Helvetica" w:hAnsi="Helvetica" w:cs="Helvetica"/>
                <w:sz w:val="18"/>
                <w:szCs w:val="18"/>
              </w:rPr>
              <w:t>Sawada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(Stukely </w:t>
            </w:r>
            <w:r>
              <w:rPr>
                <w:rFonts w:ascii="Helvetica" w:hAnsi="Helvetica" w:cs="Helvetica"/>
                <w:i/>
                <w:sz w:val="18"/>
                <w:szCs w:val="18"/>
              </w:rPr>
              <w:t>et al</w:t>
            </w:r>
            <w:r>
              <w:rPr>
                <w:rFonts w:ascii="Helvetica" w:hAnsi="Helvetica" w:cs="Helvetica"/>
                <w:sz w:val="18"/>
                <w:szCs w:val="18"/>
              </w:rPr>
              <w:t>. 2007)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Phytophthora cryptogea </w:t>
            </w:r>
            <w:r>
              <w:rPr>
                <w:rFonts w:ascii="Helvetica" w:hAnsi="Helvetica" w:cs="Helvetica"/>
                <w:sz w:val="18"/>
                <w:szCs w:val="18"/>
              </w:rPr>
              <w:t>Pethybr. &amp; Laff.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(Stukely </w:t>
            </w:r>
            <w:r>
              <w:rPr>
                <w:rFonts w:ascii="Helvetica" w:hAnsi="Helvetica" w:cs="Helvetica"/>
                <w:i/>
                <w:sz w:val="18"/>
                <w:szCs w:val="18"/>
              </w:rPr>
              <w:t>et al</w:t>
            </w:r>
            <w:r>
              <w:rPr>
                <w:rFonts w:ascii="Helvetica" w:hAnsi="Helvetica" w:cs="Helvetica"/>
                <w:sz w:val="18"/>
                <w:szCs w:val="18"/>
              </w:rPr>
              <w:t>. 2007)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Phytophthora drechsleri </w:t>
            </w:r>
            <w:r>
              <w:rPr>
                <w:rFonts w:ascii="Helvetica" w:hAnsi="Helvetica" w:cs="Helvetica"/>
                <w:sz w:val="18"/>
                <w:szCs w:val="18"/>
              </w:rPr>
              <w:t>Tucker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(Stukely </w:t>
            </w:r>
            <w:r>
              <w:rPr>
                <w:rFonts w:ascii="Helvetica" w:hAnsi="Helvetica" w:cs="Helvetica"/>
                <w:i/>
                <w:sz w:val="18"/>
                <w:szCs w:val="18"/>
              </w:rPr>
              <w:t>et al</w:t>
            </w:r>
            <w:r>
              <w:rPr>
                <w:rFonts w:ascii="Helvetica" w:hAnsi="Helvetica" w:cs="Helvetica"/>
                <w:sz w:val="18"/>
                <w:szCs w:val="18"/>
              </w:rPr>
              <w:t>. 2007)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iCs/>
                <w:sz w:val="18"/>
                <w:szCs w:val="18"/>
              </w:rPr>
              <w:t xml:space="preserve">Phytophthora megasperma </w:t>
            </w:r>
            <w:r>
              <w:rPr>
                <w:rFonts w:ascii="Helvetica" w:hAnsi="Helvetica" w:cs="Helvetica"/>
                <w:sz w:val="18"/>
                <w:szCs w:val="18"/>
              </w:rPr>
              <w:t>Drechsler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(Stukely </w:t>
            </w:r>
            <w:r>
              <w:rPr>
                <w:rFonts w:ascii="Helvetica" w:hAnsi="Helvetica" w:cs="Helvetica"/>
                <w:i/>
                <w:sz w:val="18"/>
                <w:szCs w:val="18"/>
              </w:rPr>
              <w:t>et al</w:t>
            </w:r>
            <w:r>
              <w:rPr>
                <w:rFonts w:ascii="Helvetica" w:hAnsi="Helvetica" w:cs="Helvetica"/>
                <w:sz w:val="18"/>
                <w:szCs w:val="18"/>
              </w:rPr>
              <w:t>. 2007)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 xml:space="preserve">Phytophthora nicotianae </w:t>
            </w:r>
            <w:r>
              <w:rPr>
                <w:rFonts w:ascii="Helvetica" w:hAnsi="Helvetica" w:cs="Helvetica"/>
                <w:sz w:val="18"/>
                <w:szCs w:val="18"/>
              </w:rPr>
              <w:t>Breda de Haan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(Stukely </w:t>
            </w:r>
            <w:r>
              <w:rPr>
                <w:rFonts w:ascii="Helvetica" w:hAnsi="Helvetica" w:cs="Helvetica"/>
                <w:i/>
                <w:sz w:val="18"/>
                <w:szCs w:val="18"/>
              </w:rPr>
              <w:t>et al</w:t>
            </w:r>
            <w:r>
              <w:rPr>
                <w:rFonts w:ascii="Helvetica" w:hAnsi="Helvetica" w:cs="Helvetica"/>
                <w:sz w:val="18"/>
                <w:szCs w:val="18"/>
              </w:rPr>
              <w:t>. 2007)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3F3F3"/>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Plasmopara viticola</w:t>
            </w:r>
            <w:r>
              <w:rPr>
                <w:rFonts w:ascii="Helvetica" w:hAnsi="Helvetica" w:cs="Helvetica"/>
                <w:sz w:val="18"/>
                <w:szCs w:val="18"/>
              </w:rPr>
              <w:t xml:space="preserve"> (Berk. &amp; M.A. Curtis) Berl. &amp; De Toni [Peronosporales: Peronosporaceae]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(Constable and Drew 2004)</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 xml:space="preserve">Pythium acanthicum </w:t>
            </w:r>
            <w:r>
              <w:rPr>
                <w:rFonts w:ascii="Helvetica" w:hAnsi="Helvetica" w:cs="Helvetica"/>
                <w:sz w:val="18"/>
                <w:szCs w:val="18"/>
              </w:rPr>
              <w:t>Drechsler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(Vaartaja 1965)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aphanidermatum</w:t>
            </w:r>
            <w:r>
              <w:rPr>
                <w:rFonts w:ascii="Helvetica" w:hAnsi="Helvetica" w:cs="Helvetica"/>
                <w:sz w:val="18"/>
                <w:szCs w:val="18"/>
              </w:rPr>
              <w:t xml:space="preserve"> (Edson) Fitzp.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(Male and Vawdrey 2010)</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debaryanum</w:t>
            </w:r>
            <w:r>
              <w:rPr>
                <w:rFonts w:ascii="Helvetica" w:hAnsi="Helvetica" w:cs="Helvetica"/>
                <w:sz w:val="18"/>
                <w:szCs w:val="18"/>
              </w:rPr>
              <w:t xml:space="preserve"> R. Hesse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(Wong </w:t>
            </w:r>
            <w:r>
              <w:rPr>
                <w:rFonts w:ascii="Helvetica" w:hAnsi="Helvetica" w:cs="Helvetica"/>
                <w:i/>
                <w:sz w:val="18"/>
                <w:szCs w:val="18"/>
              </w:rPr>
              <w:t>et al</w:t>
            </w:r>
            <w:r>
              <w:rPr>
                <w:rFonts w:ascii="Helvetica" w:hAnsi="Helvetica" w:cs="Helvetica"/>
                <w:sz w:val="18"/>
                <w:szCs w:val="18"/>
              </w:rPr>
              <w:t>. 1985)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irregulare</w:t>
            </w:r>
            <w:r>
              <w:rPr>
                <w:rFonts w:ascii="Helvetica" w:hAnsi="Helvetica" w:cs="Helvetica"/>
                <w:sz w:val="18"/>
                <w:szCs w:val="18"/>
              </w:rPr>
              <w:t xml:space="preserve"> Buisman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(Vaartaja 1965)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mamillatum</w:t>
            </w:r>
            <w:r>
              <w:rPr>
                <w:rFonts w:ascii="Helvetica" w:hAnsi="Helvetica" w:cs="Helvetica"/>
                <w:sz w:val="18"/>
                <w:szCs w:val="18"/>
              </w:rPr>
              <w:t xml:space="preserve"> Meurs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(Vaartaja 1965)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middletonii</w:t>
            </w:r>
            <w:r>
              <w:rPr>
                <w:rFonts w:ascii="Helvetica" w:hAnsi="Helvetica" w:cs="Helvetica"/>
                <w:sz w:val="18"/>
                <w:szCs w:val="18"/>
              </w:rPr>
              <w:t xml:space="preserve"> Sparrow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(Irwin and Jones 1977)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w:t>
            </w:r>
            <w:r>
              <w:rPr>
                <w:rFonts w:ascii="Helvetica" w:hAnsi="Helvetica" w:cs="Helvetica"/>
                <w:sz w:val="18"/>
                <w:szCs w:val="18"/>
              </w:rPr>
              <w:t xml:space="preserve"> </w:t>
            </w:r>
            <w:r>
              <w:rPr>
                <w:rFonts w:ascii="Helvetica" w:hAnsi="Helvetica" w:cs="Helvetica"/>
                <w:i/>
                <w:iCs/>
                <w:sz w:val="18"/>
                <w:szCs w:val="18"/>
              </w:rPr>
              <w:t>parasiticum</w:t>
            </w:r>
            <w:r>
              <w:rPr>
                <w:rFonts w:ascii="Helvetica" w:hAnsi="Helvetica" w:cs="Helvetica"/>
                <w:sz w:val="18"/>
                <w:szCs w:val="18"/>
              </w:rPr>
              <w:t xml:space="preserve"> S. Rajagop. &amp; K. Ramakr.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w:t>
            </w:r>
            <w:r>
              <w:rPr>
                <w:rFonts w:ascii="Helvetica" w:hAnsi="Helvetica" w:cs="Helvetica"/>
                <w:bCs/>
                <w:i/>
                <w:sz w:val="18"/>
                <w:szCs w:val="18"/>
              </w:rPr>
              <w:t xml:space="preserve">Pythium </w:t>
            </w:r>
            <w:r>
              <w:rPr>
                <w:rFonts w:ascii="Helvetica" w:hAnsi="Helvetica" w:cs="Helvetica"/>
                <w:sz w:val="18"/>
                <w:szCs w:val="18"/>
              </w:rPr>
              <w:t>species are soil-borne and infect the roots of host plants, causing various rots, lesions, damping-off, discoloration, abnormal growth, dieback and death (Farr and Rossman 2011).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rostratum</w:t>
            </w:r>
            <w:r>
              <w:rPr>
                <w:rFonts w:ascii="Helvetica" w:hAnsi="Helvetica" w:cs="Helvetica"/>
                <w:sz w:val="18"/>
                <w:szCs w:val="18"/>
              </w:rPr>
              <w:t xml:space="preserve"> E.J. Butler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(Vaartaja 1965)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spinosum</w:t>
            </w:r>
            <w:r>
              <w:rPr>
                <w:rFonts w:ascii="Helvetica" w:hAnsi="Helvetica" w:cs="Helvetica"/>
                <w:sz w:val="18"/>
                <w:szCs w:val="18"/>
              </w:rPr>
              <w:t xml:space="preserve"> Sawada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(Wong </w:t>
            </w:r>
            <w:r>
              <w:rPr>
                <w:rFonts w:ascii="Helvetica" w:hAnsi="Helvetica" w:cs="Helvetica"/>
                <w:i/>
                <w:sz w:val="18"/>
                <w:szCs w:val="18"/>
              </w:rPr>
              <w:t>et al</w:t>
            </w:r>
            <w:r>
              <w:rPr>
                <w:rFonts w:ascii="Helvetica" w:hAnsi="Helvetica" w:cs="Helvetica"/>
                <w:sz w:val="18"/>
                <w:szCs w:val="18"/>
              </w:rPr>
              <w:t>. 1985)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splendens</w:t>
            </w:r>
            <w:r>
              <w:rPr>
                <w:rFonts w:ascii="Helvetica" w:hAnsi="Helvetica" w:cs="Helvetica"/>
                <w:sz w:val="18"/>
                <w:szCs w:val="18"/>
              </w:rPr>
              <w:t xml:space="preserve"> Hans Braun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sylvaticum</w:t>
            </w:r>
            <w:r>
              <w:rPr>
                <w:rFonts w:ascii="Helvetica" w:hAnsi="Helvetica" w:cs="Helvetica"/>
                <w:sz w:val="18"/>
                <w:szCs w:val="18"/>
              </w:rPr>
              <w:t xml:space="preserve"> WA Campbell &amp; FF Hendrix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w:t>
            </w:r>
            <w:r>
              <w:rPr>
                <w:rFonts w:ascii="Helvetica" w:hAnsi="Helvetica" w:cs="Helvetica"/>
                <w:sz w:val="18"/>
                <w:szCs w:val="18"/>
              </w:rPr>
              <w:t xml:space="preserve">: </w:t>
            </w:r>
            <w:r>
              <w:rPr>
                <w:rFonts w:ascii="Helvetica" w:hAnsi="Helvetica" w:cs="Helvetica"/>
                <w:i/>
                <w:sz w:val="18"/>
                <w:szCs w:val="18"/>
              </w:rPr>
              <w:t>Pythium</w:t>
            </w:r>
            <w:r>
              <w:rPr>
                <w:rFonts w:ascii="Helvetica" w:hAnsi="Helvetica" w:cs="Helvetica"/>
                <w:b/>
                <w:bCs/>
                <w:sz w:val="18"/>
                <w:szCs w:val="18"/>
              </w:rPr>
              <w:t xml:space="preserve"> </w:t>
            </w:r>
            <w:r>
              <w:rPr>
                <w:rFonts w:ascii="Helvetica" w:hAnsi="Helvetica" w:cs="Helvetica"/>
                <w:sz w:val="18"/>
                <w:szCs w:val="18"/>
              </w:rPr>
              <w:t>species are soil-borne and infect the roots of host plants, causing various rots, lesions, damping-off, discoloration, abnormal growth, dieback and death (Farr and Rossman 2011). Therefore, root free dormant cuttings do not provide a pathway for this fungus.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ultimum</w:t>
            </w:r>
            <w:r>
              <w:rPr>
                <w:rFonts w:ascii="Helvetica" w:hAnsi="Helvetica" w:cs="Helvetica"/>
                <w:sz w:val="18"/>
                <w:szCs w:val="18"/>
              </w:rPr>
              <w:t xml:space="preserve"> Trow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(Vaartaja 1965)</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i/>
                <w:iCs/>
                <w:sz w:val="18"/>
                <w:szCs w:val="18"/>
              </w:rPr>
              <w:t>Pythium vexans</w:t>
            </w:r>
            <w:r>
              <w:rPr>
                <w:rFonts w:ascii="Helvetica" w:hAnsi="Helvetica" w:cs="Helvetica"/>
                <w:sz w:val="18"/>
                <w:szCs w:val="18"/>
              </w:rPr>
              <w:t xml:space="preserve"> de Bary [Pythiales: Pythiaceae]</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(Irwin and Jones 1977)</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PHYTOPLASMA</w:t>
            </w:r>
            <w:r>
              <w:rPr>
                <w:rStyle w:val="FootnoteReference"/>
                <w:rFonts w:ascii="Helvetica" w:hAnsi="Helvetica" w:cs="Helvetica"/>
                <w:b/>
                <w:szCs w:val="18"/>
              </w:rPr>
              <w:footnoteReference w:id="20"/>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Buckland Valley grapevine yellows (BVGY) Phytoplasma [</w:t>
            </w:r>
            <w:r>
              <w:rPr>
                <w:rFonts w:ascii="Helvetica" w:hAnsi="Helvetica" w:cs="Helvetica"/>
                <w:b/>
                <w:sz w:val="18"/>
                <w:szCs w:val="18"/>
              </w:rPr>
              <w:t>16SrI–</w:t>
            </w:r>
            <w:r>
              <w:rPr>
                <w:rFonts w:ascii="Helvetica" w:hAnsi="Helvetica" w:cs="Helvetica"/>
                <w:sz w:val="18"/>
                <w:szCs w:val="18"/>
              </w:rPr>
              <w:t>related]</w:t>
            </w:r>
          </w:p>
        </w:tc>
        <w:tc>
          <w:tcPr>
            <w:tcW w:w="1680" w:type="dxa"/>
            <w:tcBorders>
              <w:top w:val="single" w:sz="4" w:space="0" w:color="auto"/>
              <w:left w:val="single" w:sz="4" w:space="0" w:color="auto"/>
              <w:bottom w:val="single" w:sz="4" w:space="0" w:color="auto"/>
              <w:right w:val="single" w:sz="4" w:space="0" w:color="auto"/>
            </w:tcBorders>
          </w:tcPr>
          <w:p>
            <w:pPr>
              <w:tabs>
                <w:tab w:val="left" w:pos="1470"/>
              </w:tabs>
              <w:spacing w:before="20" w:line="240" w:lineRule="atLeast"/>
              <w:jc w:val="left"/>
              <w:rPr>
                <w:rFonts w:ascii="Helvetica" w:hAnsi="Helvetica" w:cs="Helvetica"/>
                <w:sz w:val="18"/>
                <w:szCs w:val="18"/>
              </w:rPr>
            </w:pPr>
            <w:r>
              <w:rPr>
                <w:rFonts w:ascii="Helvetica" w:hAnsi="Helvetica" w:cs="Helvetica"/>
                <w:sz w:val="18"/>
                <w:szCs w:val="18"/>
              </w:rPr>
              <w:t xml:space="preserve">Yes (Constable 2010)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Candidatus </w:t>
            </w:r>
            <w:r>
              <w:rPr>
                <w:rFonts w:ascii="Helvetica" w:hAnsi="Helvetica" w:cs="Helvetica"/>
                <w:sz w:val="18"/>
                <w:szCs w:val="18"/>
              </w:rPr>
              <w:t>Phytoplasma asteris</w:t>
            </w:r>
            <w:r>
              <w:rPr>
                <w:rFonts w:ascii="Helvetica" w:hAnsi="Helvetica" w:cs="Helvetica"/>
                <w:i/>
                <w:sz w:val="18"/>
                <w:szCs w:val="18"/>
              </w:rPr>
              <w:t xml:space="preserve"> </w:t>
            </w:r>
            <w:r>
              <w:rPr>
                <w:rFonts w:ascii="Helvetica" w:hAnsi="Helvetica" w:cs="Helvetica"/>
                <w:bCs/>
                <w:sz w:val="18"/>
                <w:szCs w:val="18"/>
              </w:rPr>
              <w:t>[</w:t>
            </w:r>
            <w:r>
              <w:rPr>
                <w:rFonts w:ascii="Helvetica" w:hAnsi="Helvetica" w:cs="Helvetica"/>
                <w:b/>
                <w:bCs/>
                <w:sz w:val="18"/>
                <w:szCs w:val="18"/>
              </w:rPr>
              <w:t>16SrI</w:t>
            </w:r>
            <w:r>
              <w:rPr>
                <w:rFonts w:ascii="Helvetica" w:hAnsi="Helvetica" w:cs="Helvetica"/>
                <w:bCs/>
                <w:sz w:val="18"/>
                <w:szCs w:val="18"/>
              </w:rPr>
              <w:t xml:space="preserve"> – Aster yellows group]</w:t>
            </w:r>
            <w:r>
              <w:rPr>
                <w:rStyle w:val="FootnoteReference"/>
                <w:rFonts w:ascii="Helvetica" w:hAnsi="Helvetica" w:cs="Helvetica"/>
                <w:bCs/>
                <w:szCs w:val="18"/>
              </w:rPr>
              <w:footnoteReference w:id="21"/>
            </w:r>
            <w:r>
              <w:rPr>
                <w:rFonts w:ascii="Helvetica" w:hAnsi="Helvetica" w:cs="Helvetica"/>
                <w:bCs/>
                <w:sz w:val="18"/>
                <w:szCs w:val="18"/>
              </w:rPr>
              <w:t xml:space="preserve"> </w:t>
            </w:r>
            <w:r>
              <w:rPr>
                <w:rFonts w:ascii="Helvetica" w:hAnsi="Helvetica" w:cs="Helvetica"/>
                <w:sz w:val="18"/>
                <w:szCs w:val="18"/>
              </w:rPr>
              <w:t>(</w:t>
            </w:r>
            <w:r>
              <w:rPr>
                <w:rFonts w:ascii="Helvetica" w:hAnsi="Helvetica" w:cs="Helvetica"/>
                <w:bCs/>
                <w:sz w:val="18"/>
                <w:szCs w:val="18"/>
              </w:rPr>
              <w:t>Virginia grapevine yellows I (VGYI), Aster yellow phytoplasma)</w:t>
            </w:r>
          </w:p>
        </w:tc>
        <w:tc>
          <w:tcPr>
            <w:tcW w:w="1680" w:type="dxa"/>
            <w:tcBorders>
              <w:top w:val="single" w:sz="4" w:space="0" w:color="auto"/>
              <w:left w:val="single" w:sz="4" w:space="0" w:color="auto"/>
              <w:bottom w:val="single" w:sz="4" w:space="0" w:color="auto"/>
              <w:right w:val="single" w:sz="4" w:space="0" w:color="auto"/>
            </w:tcBorders>
          </w:tcPr>
          <w:p>
            <w:pPr>
              <w:tabs>
                <w:tab w:val="left" w:pos="1470"/>
              </w:tabs>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Phytoplasmas are obligate parasitic, phloem-restricted pathogens that cause grapevine yellows</w:t>
            </w:r>
            <w:r>
              <w:rPr>
                <w:rStyle w:val="FootnoteReference"/>
                <w:rFonts w:ascii="Helvetica" w:hAnsi="Helvetica" w:cs="Helvetica"/>
                <w:szCs w:val="18"/>
              </w:rPr>
              <w:footnoteReference w:id="22"/>
            </w:r>
            <w:r>
              <w:rPr>
                <w:rFonts w:ascii="Helvetica" w:hAnsi="Helvetica" w:cs="Helvetica"/>
                <w:sz w:val="18"/>
                <w:szCs w:val="18"/>
              </w:rPr>
              <w:t xml:space="preserve"> (Weintraub and Jones 2010). Several molecularly distinct phytoplasma groups which cause grapevine yellows have been identified (Hren </w:t>
            </w:r>
            <w:r>
              <w:rPr>
                <w:rFonts w:ascii="Helvetica" w:hAnsi="Helvetica" w:cs="Helvetica"/>
                <w:i/>
                <w:sz w:val="18"/>
                <w:szCs w:val="18"/>
              </w:rPr>
              <w:t>et al</w:t>
            </w:r>
            <w:r>
              <w:rPr>
                <w:rFonts w:ascii="Helvetica" w:hAnsi="Helvetica" w:cs="Helvetica"/>
                <w:sz w:val="18"/>
                <w:szCs w:val="18"/>
              </w:rPr>
              <w:t xml:space="preserve">. 2009). Phytoplasmas are transmitted by propagative material (Caudwell </w:t>
            </w:r>
            <w:r>
              <w:rPr>
                <w:rFonts w:ascii="Helvetica" w:hAnsi="Helvetica" w:cs="Helvetica"/>
                <w:i/>
                <w:sz w:val="18"/>
                <w:szCs w:val="18"/>
              </w:rPr>
              <w:t>et al</w:t>
            </w:r>
            <w:r>
              <w:rPr>
                <w:rFonts w:ascii="Helvetica" w:hAnsi="Helvetica" w:cs="Helvetica"/>
                <w:sz w:val="18"/>
                <w:szCs w:val="18"/>
              </w:rPr>
              <w:t>. 1994). Propagative material therefore provides a pathway for this phytoplasma.</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i/>
                <w:sz w:val="18"/>
                <w:szCs w:val="18"/>
              </w:rPr>
              <w:t>Candidatus</w:t>
            </w:r>
            <w:r>
              <w:rPr>
                <w:rFonts w:ascii="Helvetica" w:hAnsi="Helvetica" w:cs="Helvetica"/>
                <w:sz w:val="18"/>
                <w:szCs w:val="18"/>
              </w:rPr>
              <w:t xml:space="preserve"> phytoplasma asteris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of different grapevine regions of the world (</w:t>
            </w:r>
            <w:r>
              <w:rPr>
                <w:rStyle w:val="Emphasis"/>
                <w:rFonts w:ascii="Helvetica" w:hAnsi="Helvetica" w:cs="Helvetica"/>
                <w:i w:val="0"/>
                <w:sz w:val="18"/>
                <w:szCs w:val="18"/>
              </w:rPr>
              <w:t xml:space="preserve">Constable 2010) </w:t>
            </w:r>
            <w:r>
              <w:rPr>
                <w:rFonts w:ascii="Helvetica" w:hAnsi="Helvetica" w:cs="Helvetica"/>
                <w:sz w:val="18"/>
                <w:szCs w:val="18"/>
              </w:rPr>
              <w:t xml:space="preserve">and can spread naturally in infected propagative material (Caudwell </w:t>
            </w:r>
            <w:r>
              <w:rPr>
                <w:rFonts w:ascii="Helvetica" w:hAnsi="Helvetica" w:cs="Helvetica"/>
                <w:i/>
                <w:sz w:val="18"/>
                <w:szCs w:val="18"/>
              </w:rPr>
              <w:t>et al</w:t>
            </w:r>
            <w:r>
              <w:rPr>
                <w:rFonts w:ascii="Helvetica" w:hAnsi="Helvetica" w:cs="Helvetica"/>
                <w:sz w:val="18"/>
                <w:szCs w:val="18"/>
              </w:rPr>
              <w:t xml:space="preserve">. 1994; Matus </w:t>
            </w:r>
            <w:r>
              <w:rPr>
                <w:rFonts w:ascii="Helvetica" w:hAnsi="Helvetica" w:cs="Helvetica"/>
                <w:i/>
                <w:sz w:val="18"/>
                <w:szCs w:val="18"/>
              </w:rPr>
              <w:t>et al</w:t>
            </w:r>
            <w:r>
              <w:rPr>
                <w:rFonts w:ascii="Helvetica" w:hAnsi="Helvetica" w:cs="Helvetica"/>
                <w:sz w:val="18"/>
                <w:szCs w:val="18"/>
              </w:rPr>
              <w:t>. 2008; Constable 2010). Distribution of infected propagative material will help spread grape infecting phytoplasmas within Australia. Therefore, grape infecting phytoplasmas have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b/>
                <w:sz w:val="18"/>
                <w:szCs w:val="18"/>
              </w:rPr>
              <w:t xml:space="preserve">Yes: </w:t>
            </w:r>
            <w:r>
              <w:rPr>
                <w:rFonts w:ascii="Helvetica" w:hAnsi="Helvetica" w:cs="Helvetica"/>
                <w:sz w:val="18"/>
                <w:szCs w:val="18"/>
              </w:rPr>
              <w:t xml:space="preserve">The aster yellows group of phytoplasmas are associated with over 100 economically important diseases worldwide (Lee </w:t>
            </w:r>
            <w:r>
              <w:rPr>
                <w:rFonts w:ascii="Helvetica" w:hAnsi="Helvetica" w:cs="Helvetica"/>
                <w:i/>
                <w:sz w:val="18"/>
                <w:szCs w:val="18"/>
              </w:rPr>
              <w:t>et al</w:t>
            </w:r>
            <w:r>
              <w:rPr>
                <w:rFonts w:ascii="Helvetica" w:hAnsi="Helvetica" w:cs="Helvetica"/>
                <w:sz w:val="18"/>
                <w:szCs w:val="18"/>
              </w:rPr>
              <w:t xml:space="preserve">. 2004a). Typical symptoms of grapevine yellows include leaf chlorosis and rolling, flower abortion or berry withering, uneven or total lack of lignification of canes and stunting (Olivier </w:t>
            </w:r>
            <w:r>
              <w:rPr>
                <w:rFonts w:ascii="Helvetica" w:hAnsi="Helvetica" w:cs="Helvetica"/>
                <w:i/>
                <w:sz w:val="18"/>
                <w:szCs w:val="18"/>
              </w:rPr>
              <w:t>et al</w:t>
            </w:r>
            <w:r>
              <w:rPr>
                <w:rFonts w:ascii="Helvetica" w:hAnsi="Helvetica" w:cs="Helvetica"/>
                <w:sz w:val="18"/>
                <w:szCs w:val="18"/>
              </w:rPr>
              <w:t>. 2009b). Therefore, this phytoplasma group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left"/>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sz w:val="18"/>
                <w:szCs w:val="18"/>
              </w:rPr>
              <w:t>Candidatus</w:t>
            </w:r>
            <w:r>
              <w:rPr>
                <w:rFonts w:ascii="Helvetica" w:hAnsi="Helvetica" w:cs="Helvetica"/>
                <w:sz w:val="18"/>
                <w:szCs w:val="18"/>
              </w:rPr>
              <w:t xml:space="preserve"> Phytoplasma australiense [</w:t>
            </w:r>
            <w:r>
              <w:rPr>
                <w:rFonts w:ascii="Helvetica" w:hAnsi="Helvetica" w:cs="Helvetica"/>
                <w:b/>
                <w:sz w:val="18"/>
                <w:szCs w:val="18"/>
              </w:rPr>
              <w:t>16SrXII</w:t>
            </w:r>
            <w:r>
              <w:rPr>
                <w:rFonts w:ascii="Helvetica" w:hAnsi="Helvetica" w:cs="Helvetica"/>
                <w:b/>
                <w:bCs/>
                <w:sz w:val="18"/>
                <w:szCs w:val="18"/>
              </w:rPr>
              <w:t>–</w:t>
            </w:r>
            <w:r>
              <w:rPr>
                <w:rFonts w:ascii="Helvetica" w:hAnsi="Helvetica" w:cs="Helvetica"/>
                <w:b/>
                <w:sz w:val="18"/>
                <w:szCs w:val="18"/>
              </w:rPr>
              <w:t>B</w:t>
            </w:r>
            <w:r>
              <w:rPr>
                <w:rFonts w:ascii="Helvetica" w:hAnsi="Helvetica" w:cs="Helvetica"/>
                <w:sz w:val="18"/>
                <w:szCs w:val="18"/>
              </w:rPr>
              <w:t>] (strains: Australian grapevine yellows (AGY) Phytoplasma)</w:t>
            </w:r>
          </w:p>
        </w:tc>
        <w:tc>
          <w:tcPr>
            <w:tcW w:w="1680" w:type="dxa"/>
            <w:tcBorders>
              <w:top w:val="single" w:sz="4" w:space="0" w:color="auto"/>
              <w:left w:val="single" w:sz="4" w:space="0" w:color="auto"/>
              <w:bottom w:val="single" w:sz="4" w:space="0" w:color="auto"/>
              <w:right w:val="single" w:sz="4" w:space="0" w:color="auto"/>
            </w:tcBorders>
          </w:tcPr>
          <w:p>
            <w:pPr>
              <w:tabs>
                <w:tab w:val="left" w:pos="1470"/>
              </w:tabs>
              <w:spacing w:before="20" w:line="240" w:lineRule="atLeast"/>
              <w:jc w:val="left"/>
              <w:rPr>
                <w:rFonts w:ascii="Helvetica" w:hAnsi="Helvetica" w:cs="Helvetica"/>
                <w:sz w:val="18"/>
                <w:szCs w:val="18"/>
              </w:rPr>
            </w:pPr>
            <w:r>
              <w:rPr>
                <w:rFonts w:ascii="Helvetica" w:hAnsi="Helvetica" w:cs="Helvetica"/>
                <w:sz w:val="18"/>
                <w:szCs w:val="18"/>
              </w:rPr>
              <w:t xml:space="preserve">Yes (Constable 2010)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highlight w:val="yellow"/>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b/>
                <w:bCs/>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Candidatus</w:t>
            </w:r>
            <w:r>
              <w:rPr>
                <w:rFonts w:ascii="Helvetica" w:hAnsi="Helvetica" w:cs="Helvetica"/>
                <w:sz w:val="18"/>
                <w:szCs w:val="18"/>
              </w:rPr>
              <w:t xml:space="preserve"> Phytoplasma fraxini [</w:t>
            </w:r>
            <w:r>
              <w:rPr>
                <w:rFonts w:ascii="Helvetica" w:hAnsi="Helvetica" w:cs="Helvetica"/>
                <w:b/>
                <w:sz w:val="18"/>
                <w:szCs w:val="18"/>
              </w:rPr>
              <w:t>16SrVII</w:t>
            </w:r>
            <w:r>
              <w:rPr>
                <w:rFonts w:ascii="Helvetica" w:hAnsi="Helvetica" w:cs="Helvetica"/>
                <w:b/>
                <w:sz w:val="18"/>
                <w:szCs w:val="18"/>
              </w:rPr>
              <w:noBreakHyphen/>
              <w:t>A]</w:t>
            </w:r>
            <w:r>
              <w:rPr>
                <w:rFonts w:ascii="Helvetica" w:hAnsi="Helvetica" w:cs="Helvetica"/>
                <w:sz w:val="18"/>
                <w:szCs w:val="18"/>
              </w:rPr>
              <w:t xml:space="preserve"> (Ash yellows group) – Chile grapevine yellows strain</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Phytoplasmas are phloem restricted and symptoms include downward leaf rolling, yellowing or reddening of the leaves and incomplete shoot lignification (Gajardo </w:t>
            </w:r>
            <w:r>
              <w:rPr>
                <w:rFonts w:ascii="Helvetica" w:hAnsi="Helvetica" w:cs="Helvetica"/>
                <w:i/>
                <w:sz w:val="18"/>
                <w:szCs w:val="18"/>
              </w:rPr>
              <w:t>et al</w:t>
            </w:r>
            <w:r>
              <w:rPr>
                <w:rFonts w:ascii="Helvetica" w:hAnsi="Helvetica" w:cs="Helvetica"/>
                <w:sz w:val="18"/>
                <w:szCs w:val="18"/>
              </w:rPr>
              <w:t xml:space="preserve">. 2009). Mixed phytoplasma infections and infections of phytoplasmas together with one or more viruses also occur (Gajardo </w:t>
            </w:r>
            <w:r>
              <w:rPr>
                <w:rFonts w:ascii="Helvetica" w:hAnsi="Helvetica" w:cs="Helvetica"/>
                <w:i/>
                <w:sz w:val="18"/>
                <w:szCs w:val="18"/>
              </w:rPr>
              <w:t>et al</w:t>
            </w:r>
            <w:r>
              <w:rPr>
                <w:rFonts w:ascii="Helvetica" w:hAnsi="Helvetica" w:cs="Helvetica"/>
                <w:sz w:val="18"/>
                <w:szCs w:val="18"/>
              </w:rPr>
              <w:t xml:space="preserve">. 2009). Phytoplasmas are transmitted by propagative material (Caudwell </w:t>
            </w:r>
            <w:r>
              <w:rPr>
                <w:rFonts w:ascii="Helvetica" w:hAnsi="Helvetica" w:cs="Helvetica"/>
                <w:i/>
                <w:sz w:val="18"/>
                <w:szCs w:val="18"/>
              </w:rPr>
              <w:t>et al</w:t>
            </w:r>
            <w:r>
              <w:rPr>
                <w:rFonts w:ascii="Helvetica" w:hAnsi="Helvetica" w:cs="Helvetica"/>
                <w:sz w:val="18"/>
                <w:szCs w:val="18"/>
              </w:rPr>
              <w:t>. 1994); therefore dormant cuttings provide a pathway for this phytoplasma.</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rPr>
            </w:pPr>
            <w:r>
              <w:rPr>
                <w:rFonts w:ascii="Helvetica" w:hAnsi="Helvetica" w:cs="Helvetica"/>
                <w:b/>
                <w:sz w:val="18"/>
                <w:szCs w:val="18"/>
              </w:rPr>
              <w:t xml:space="preserve">Yes: </w:t>
            </w:r>
            <w:r>
              <w:rPr>
                <w:rFonts w:ascii="Helvetica" w:hAnsi="Helvetica" w:cs="Helvetica"/>
                <w:sz w:val="18"/>
                <w:szCs w:val="18"/>
              </w:rPr>
              <w:t>Chile grapevine yellows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in different regions of the world (</w:t>
            </w:r>
            <w:r>
              <w:rPr>
                <w:rFonts w:ascii="Helvetica" w:hAnsi="Helvetica" w:cs="Helvetica"/>
                <w:sz w:val="18"/>
                <w:szCs w:val="18"/>
              </w:rPr>
              <w:t xml:space="preserve">Gajardo </w:t>
            </w:r>
            <w:r>
              <w:rPr>
                <w:rFonts w:ascii="Helvetica" w:hAnsi="Helvetica" w:cs="Helvetica"/>
                <w:i/>
                <w:sz w:val="18"/>
                <w:szCs w:val="18"/>
              </w:rPr>
              <w:t>et al</w:t>
            </w:r>
            <w:r>
              <w:rPr>
                <w:rFonts w:ascii="Helvetica" w:hAnsi="Helvetica" w:cs="Helvetica"/>
                <w:sz w:val="18"/>
                <w:szCs w:val="18"/>
              </w:rPr>
              <w:t>. 2009</w:t>
            </w:r>
            <w:r>
              <w:rPr>
                <w:rStyle w:val="Emphasis"/>
                <w:rFonts w:ascii="Helvetica" w:hAnsi="Helvetica" w:cs="Helvetica"/>
                <w:i w:val="0"/>
                <w:sz w:val="18"/>
                <w:szCs w:val="18"/>
              </w:rPr>
              <w:t>).</w:t>
            </w:r>
            <w:r>
              <w:rPr>
                <w:rFonts w:ascii="Helvetica" w:hAnsi="Helvetica" w:cs="Helvetica"/>
                <w:sz w:val="18"/>
                <w:szCs w:val="18"/>
              </w:rPr>
              <w:t xml:space="preserve"> Phytoplasmas generally spread naturally in infected propagative material (Constable 2010). Distribution of infected propagative material will help spread grape infecting phytoplasmas within Australia. Therefore, grape infecting phytoplasmas have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b/>
                <w:sz w:val="18"/>
                <w:szCs w:val="18"/>
              </w:rPr>
              <w:t>Yes:</w:t>
            </w:r>
            <w:r>
              <w:rPr>
                <w:rFonts w:ascii="Helvetica" w:hAnsi="Helvetica" w:cs="Helvetica"/>
                <w:sz w:val="18"/>
                <w:szCs w:val="18"/>
              </w:rPr>
              <w:t xml:space="preserve"> This phytoplasma occurs on a range of hosts, including economically important crops such as peach (Zunnoon-Khan </w:t>
            </w:r>
            <w:r>
              <w:rPr>
                <w:rFonts w:ascii="Helvetica" w:hAnsi="Helvetica" w:cs="Helvetica"/>
                <w:i/>
                <w:sz w:val="18"/>
                <w:szCs w:val="18"/>
              </w:rPr>
              <w:t>et al</w:t>
            </w:r>
            <w:r>
              <w:rPr>
                <w:rFonts w:ascii="Helvetica" w:hAnsi="Helvetica" w:cs="Helvetica"/>
                <w:sz w:val="18"/>
                <w:szCs w:val="18"/>
              </w:rPr>
              <w:t xml:space="preserve">. 2010). It also causes devastating effects in ornamentals (Zunnoon-Khan </w:t>
            </w:r>
            <w:r>
              <w:rPr>
                <w:rFonts w:ascii="Helvetica" w:hAnsi="Helvetica" w:cs="Helvetica"/>
                <w:i/>
                <w:sz w:val="18"/>
                <w:szCs w:val="18"/>
              </w:rPr>
              <w:t>et al</w:t>
            </w:r>
            <w:r>
              <w:rPr>
                <w:rFonts w:ascii="Helvetica" w:hAnsi="Helvetica" w:cs="Helvetica"/>
                <w:sz w:val="18"/>
                <w:szCs w:val="18"/>
              </w:rPr>
              <w:t xml:space="preserve">. 2010). This phytoplasma causes leaf-reddening, yellowing, shortening of internodes, shoot proliferation, reduced fruit size and plant decline (Griffiths </w:t>
            </w:r>
            <w:r>
              <w:rPr>
                <w:rFonts w:ascii="Helvetica" w:hAnsi="Helvetica" w:cs="Helvetica"/>
                <w:i/>
                <w:sz w:val="18"/>
                <w:szCs w:val="18"/>
              </w:rPr>
              <w:t>et al</w:t>
            </w:r>
            <w:r>
              <w:rPr>
                <w:rFonts w:ascii="Helvetica" w:hAnsi="Helvetica" w:cs="Helvetica"/>
                <w:sz w:val="18"/>
                <w:szCs w:val="18"/>
              </w:rPr>
              <w:t xml:space="preserve">. 1999; Zunnoon-Khan </w:t>
            </w:r>
            <w:r>
              <w:rPr>
                <w:rFonts w:ascii="Helvetica" w:hAnsi="Helvetica" w:cs="Helvetica"/>
                <w:i/>
                <w:sz w:val="18"/>
                <w:szCs w:val="18"/>
              </w:rPr>
              <w:t>et al</w:t>
            </w:r>
            <w:r>
              <w:rPr>
                <w:rFonts w:ascii="Helvetica" w:hAnsi="Helvetica" w:cs="Helvetica"/>
                <w:sz w:val="18"/>
                <w:szCs w:val="18"/>
              </w:rPr>
              <w:t>. 2010). Therefore, this phytoplasma group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left"/>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Candidatus</w:t>
            </w:r>
            <w:r>
              <w:rPr>
                <w:rFonts w:ascii="Helvetica" w:hAnsi="Helvetica" w:cs="Helvetica"/>
                <w:sz w:val="18"/>
                <w:szCs w:val="18"/>
              </w:rPr>
              <w:t xml:space="preserve"> Phytoplasma pruni [16SrIII – peach X-disease phytoplasmas group]</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Phytoplasmas are phloem restricted and symptoms include yellowing of the leaves and die-back of young shoot tips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Phytoplasmas are transmitted by propagative material (Caudwell </w:t>
            </w:r>
            <w:r>
              <w:rPr>
                <w:rFonts w:ascii="Helvetica" w:hAnsi="Helvetica" w:cs="Helvetica"/>
                <w:i/>
                <w:sz w:val="18"/>
                <w:szCs w:val="18"/>
              </w:rPr>
              <w:t>et al</w:t>
            </w:r>
            <w:r>
              <w:rPr>
                <w:rFonts w:ascii="Helvetica" w:hAnsi="Helvetica" w:cs="Helvetica"/>
                <w:sz w:val="18"/>
                <w:szCs w:val="18"/>
              </w:rPr>
              <w:t>. 1994); therefore dormant cuttings provide a pathway for this phytoplasma.</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rPr>
            </w:pPr>
            <w:r>
              <w:rPr>
                <w:rFonts w:ascii="Helvetica" w:hAnsi="Helvetica" w:cs="Helvetica"/>
                <w:b/>
                <w:sz w:val="18"/>
                <w:szCs w:val="18"/>
              </w:rPr>
              <w:t xml:space="preserve">Yes: </w:t>
            </w:r>
            <w:r>
              <w:rPr>
                <w:rFonts w:ascii="Helvetica" w:hAnsi="Helvetica" w:cs="Helvetica"/>
                <w:sz w:val="18"/>
                <w:szCs w:val="18"/>
              </w:rPr>
              <w:t>North American grapevine yellows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in different regions of the world (</w:t>
            </w:r>
            <w:r>
              <w:rPr>
                <w:rFonts w:ascii="Helvetica" w:hAnsi="Helvetica" w:cs="Helvetica"/>
                <w:sz w:val="18"/>
                <w:szCs w:val="18"/>
              </w:rPr>
              <w:t>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w:t>
            </w:r>
            <w:r>
              <w:rPr>
                <w:rStyle w:val="Emphasis"/>
                <w:rFonts w:ascii="Helvetica" w:hAnsi="Helvetica" w:cs="Helvetica"/>
                <w:i w:val="0"/>
                <w:sz w:val="18"/>
                <w:szCs w:val="18"/>
              </w:rPr>
              <w:t>). P</w:t>
            </w:r>
            <w:r>
              <w:rPr>
                <w:rFonts w:ascii="Helvetica" w:hAnsi="Helvetica" w:cs="Helvetica"/>
                <w:sz w:val="18"/>
                <w:szCs w:val="18"/>
              </w:rPr>
              <w:t>hytoplasmas generally spread naturally in infected propagative material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Distribution of infected propagative material will help spread grape infecting phytoplasmas within Australia. Therefore, this phytoplasma group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
                <w:sz w:val="18"/>
                <w:szCs w:val="18"/>
              </w:rPr>
              <w:t xml:space="preserve">Candidatus </w:t>
            </w:r>
            <w:r>
              <w:rPr>
                <w:rFonts w:ascii="Helvetica" w:hAnsi="Helvetica" w:cs="Helvetica"/>
                <w:sz w:val="18"/>
                <w:szCs w:val="18"/>
              </w:rPr>
              <w:t xml:space="preserve">Phytoplasma pruni is the causal agent for several diseases, previously known as peach leaf roll, peach rosette, little peach, red suture and cherry buckskin (Olivier </w:t>
            </w:r>
            <w:r>
              <w:rPr>
                <w:rFonts w:ascii="Helvetica" w:hAnsi="Helvetica" w:cs="Helvetica"/>
                <w:i/>
                <w:sz w:val="18"/>
                <w:szCs w:val="18"/>
              </w:rPr>
              <w:t>et al</w:t>
            </w:r>
            <w:r>
              <w:rPr>
                <w:rFonts w:ascii="Helvetica" w:hAnsi="Helvetica" w:cs="Helvetica"/>
                <w:sz w:val="18"/>
                <w:szCs w:val="18"/>
              </w:rPr>
              <w:t xml:space="preserve">. 2009a). Disease incidences of up to 10% have been reported in peach orchards in the United States (Olivier </w:t>
            </w:r>
            <w:r>
              <w:rPr>
                <w:rFonts w:ascii="Helvetica" w:hAnsi="Helvetica" w:cs="Helvetica"/>
                <w:i/>
                <w:sz w:val="18"/>
                <w:szCs w:val="18"/>
              </w:rPr>
              <w:t>et al</w:t>
            </w:r>
            <w:r>
              <w:rPr>
                <w:rFonts w:ascii="Helvetica" w:hAnsi="Helvetica" w:cs="Helvetica"/>
                <w:sz w:val="18"/>
                <w:szCs w:val="18"/>
              </w:rPr>
              <w:t xml:space="preserve">. 2009a). This phytoplasma group causes economic lossess associated with reduced fruit quality and yield (Olivier </w:t>
            </w:r>
            <w:r>
              <w:rPr>
                <w:rFonts w:ascii="Helvetica" w:hAnsi="Helvetica" w:cs="Helvetica"/>
                <w:i/>
                <w:sz w:val="18"/>
                <w:szCs w:val="18"/>
              </w:rPr>
              <w:t>et al</w:t>
            </w:r>
            <w:r>
              <w:rPr>
                <w:rFonts w:ascii="Helvetica" w:hAnsi="Helvetica" w:cs="Helvetica"/>
                <w:sz w:val="18"/>
                <w:szCs w:val="18"/>
              </w:rPr>
              <w:t>. 2009a). Therefore, this phytoplasma group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Candidatus</w:t>
            </w:r>
            <w:r>
              <w:rPr>
                <w:rFonts w:ascii="Helvetica" w:hAnsi="Helvetica" w:cs="Helvetica"/>
                <w:sz w:val="18"/>
                <w:szCs w:val="18"/>
              </w:rPr>
              <w:t xml:space="preserve"> Phytoplasma solani </w:t>
            </w:r>
            <w:r>
              <w:rPr>
                <w:rFonts w:ascii="Helvetica" w:hAnsi="Helvetica" w:cs="Helvetica"/>
                <w:b/>
                <w:sz w:val="18"/>
                <w:szCs w:val="18"/>
              </w:rPr>
              <w:t>[16 SrXII–A]</w:t>
            </w:r>
            <w:r>
              <w:rPr>
                <w:rFonts w:ascii="Helvetica" w:hAnsi="Helvetica" w:cs="Helvetica"/>
                <w:sz w:val="18"/>
                <w:szCs w:val="18"/>
              </w:rPr>
              <w:t xml:space="preserve"> (Stolbur group) (strains: Vergilbungskrankheit (VK) phytoplasma, Bois noir (BN) phytoplasma)</w:t>
            </w:r>
            <w:r>
              <w:rPr>
                <w:rStyle w:val="FootnoteReference"/>
                <w:rFonts w:ascii="Helvetica" w:hAnsi="Helvetica" w:cs="Helvetica"/>
                <w:szCs w:val="18"/>
              </w:rPr>
              <w:footnoteReference w:id="23"/>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Phytoplasmas are phloem restricted and symptoms include downward leaf rolling, yellowing or reddening of the leaves and incomplete shoot lignification (Gajardo </w:t>
            </w:r>
            <w:r>
              <w:rPr>
                <w:rFonts w:ascii="Helvetica" w:hAnsi="Helvetica" w:cs="Helvetica"/>
                <w:i/>
                <w:sz w:val="18"/>
                <w:szCs w:val="18"/>
              </w:rPr>
              <w:t>et al</w:t>
            </w:r>
            <w:r>
              <w:rPr>
                <w:rFonts w:ascii="Helvetica" w:hAnsi="Helvetica" w:cs="Helvetica"/>
                <w:sz w:val="18"/>
                <w:szCs w:val="18"/>
              </w:rPr>
              <w:t xml:space="preserve">. 2009). Mixed phytoplasma infections and infections of phytoplasmas together with one or more viruses also occur (Gajardo </w:t>
            </w:r>
            <w:r>
              <w:rPr>
                <w:rFonts w:ascii="Helvetica" w:hAnsi="Helvetica" w:cs="Helvetica"/>
                <w:i/>
                <w:sz w:val="18"/>
                <w:szCs w:val="18"/>
              </w:rPr>
              <w:t>et al</w:t>
            </w:r>
            <w:r>
              <w:rPr>
                <w:rFonts w:ascii="Helvetica" w:hAnsi="Helvetica" w:cs="Helvetica"/>
                <w:sz w:val="18"/>
                <w:szCs w:val="18"/>
              </w:rPr>
              <w:t xml:space="preserve">. 2009). Phytoplasmas are transmitted by propagative material (Caudwell </w:t>
            </w:r>
            <w:r>
              <w:rPr>
                <w:rFonts w:ascii="Helvetica" w:hAnsi="Helvetica" w:cs="Helvetica"/>
                <w:i/>
                <w:sz w:val="18"/>
                <w:szCs w:val="18"/>
              </w:rPr>
              <w:t>et al</w:t>
            </w:r>
            <w:r>
              <w:rPr>
                <w:rFonts w:ascii="Helvetica" w:hAnsi="Helvetica" w:cs="Helvetica"/>
                <w:sz w:val="18"/>
                <w:szCs w:val="18"/>
              </w:rPr>
              <w:t>. 1994); therefore dormant cuttings provide a pathway for this phytoplasma.</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i/>
                <w:sz w:val="18"/>
                <w:szCs w:val="18"/>
              </w:rPr>
              <w:t>Candidatus</w:t>
            </w:r>
            <w:r>
              <w:rPr>
                <w:rFonts w:ascii="Helvetica" w:hAnsi="Helvetica" w:cs="Helvetica"/>
                <w:sz w:val="18"/>
                <w:szCs w:val="18"/>
              </w:rPr>
              <w:t xml:space="preserve"> Phytoplasma solani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of different regions of the world (</w:t>
            </w:r>
            <w:r>
              <w:rPr>
                <w:rStyle w:val="Emphasis"/>
                <w:rFonts w:ascii="Helvetica" w:hAnsi="Helvetica" w:cs="Helvetica"/>
                <w:i w:val="0"/>
                <w:sz w:val="18"/>
                <w:szCs w:val="18"/>
              </w:rPr>
              <w:t xml:space="preserve">Constable 2010) </w:t>
            </w:r>
            <w:r>
              <w:rPr>
                <w:rFonts w:ascii="Helvetica" w:hAnsi="Helvetica" w:cs="Helvetica"/>
                <w:sz w:val="18"/>
                <w:szCs w:val="18"/>
              </w:rPr>
              <w:t xml:space="preserve">and can spread naturally in infected propagative material (Constable 2010; Zorloni </w:t>
            </w:r>
            <w:r>
              <w:rPr>
                <w:rFonts w:ascii="Helvetica" w:hAnsi="Helvetica" w:cs="Helvetica"/>
                <w:i/>
                <w:sz w:val="18"/>
                <w:szCs w:val="18"/>
              </w:rPr>
              <w:t>et al</w:t>
            </w:r>
            <w:r>
              <w:rPr>
                <w:rFonts w:ascii="Helvetica" w:hAnsi="Helvetica" w:cs="Helvetica"/>
                <w:sz w:val="18"/>
                <w:szCs w:val="18"/>
              </w:rPr>
              <w:t>. 2011). Distribution of infected propagative material will help spread grape infecting phytoplasmas within Australia. Therefore, grape infecting phytoplasmas have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Bois noir Phytoplasma causes severe damage in European vineyards (Mori </w:t>
            </w:r>
            <w:r>
              <w:rPr>
                <w:rFonts w:ascii="Helvetica" w:hAnsi="Helvetica" w:cs="Helvetica"/>
                <w:i/>
                <w:sz w:val="18"/>
                <w:szCs w:val="18"/>
              </w:rPr>
              <w:t>et al</w:t>
            </w:r>
            <w:r>
              <w:rPr>
                <w:rFonts w:ascii="Helvetica" w:hAnsi="Helvetica" w:cs="Helvetica"/>
                <w:sz w:val="18"/>
                <w:szCs w:val="18"/>
              </w:rPr>
              <w:t xml:space="preserve">. 2007). Existence of different strains and mixed infections of different strains (Pacifico </w:t>
            </w:r>
            <w:r>
              <w:rPr>
                <w:rFonts w:ascii="Helvetica" w:hAnsi="Helvetica" w:cs="Helvetica"/>
                <w:i/>
                <w:sz w:val="18"/>
                <w:szCs w:val="18"/>
              </w:rPr>
              <w:t>et al</w:t>
            </w:r>
            <w:r>
              <w:rPr>
                <w:rFonts w:ascii="Helvetica" w:hAnsi="Helvetica" w:cs="Helvetica"/>
                <w:sz w:val="18"/>
                <w:szCs w:val="18"/>
              </w:rPr>
              <w:t xml:space="preserve">. 2009) may increase the severity of damage in vineyards and sometimes infected vines die-off during winter (Riedle-Bauer </w:t>
            </w:r>
            <w:r>
              <w:rPr>
                <w:rFonts w:ascii="Helvetica" w:hAnsi="Helvetica" w:cs="Helvetica"/>
                <w:i/>
                <w:sz w:val="18"/>
                <w:szCs w:val="18"/>
              </w:rPr>
              <w:t>et al</w:t>
            </w:r>
            <w:r>
              <w:rPr>
                <w:rFonts w:ascii="Helvetica" w:hAnsi="Helvetica" w:cs="Helvetica"/>
                <w:sz w:val="18"/>
                <w:szCs w:val="18"/>
              </w:rPr>
              <w:t xml:space="preserve">. 2006). BN </w:t>
            </w:r>
            <w:r>
              <w:rPr>
                <w:rFonts w:ascii="Helvetica" w:hAnsi="Helvetica" w:cs="Helvetica"/>
                <w:iCs/>
                <w:sz w:val="18"/>
                <w:szCs w:val="18"/>
              </w:rPr>
              <w:t xml:space="preserve">Phytoplasma is considered of quarantine concern by Canada. </w:t>
            </w:r>
            <w:r>
              <w:rPr>
                <w:rFonts w:ascii="Helvetica" w:hAnsi="Helvetica" w:cs="Helvetica"/>
                <w:sz w:val="18"/>
                <w:szCs w:val="18"/>
              </w:rPr>
              <w:t>Presence of this phytoplasma group in Australia would impact upon Australia’s ability to access overseas markets. Therefore, this phytoplasma group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sz w:val="18"/>
                <w:szCs w:val="18"/>
              </w:rPr>
            </w:pPr>
            <w:r>
              <w:rPr>
                <w:rFonts w:ascii="Helvetica" w:hAnsi="Helvetica" w:cs="Helvetica"/>
                <w:i/>
                <w:iCs/>
                <w:sz w:val="18"/>
                <w:szCs w:val="18"/>
              </w:rPr>
              <w:t>Candidatus</w:t>
            </w:r>
            <w:r>
              <w:rPr>
                <w:rFonts w:ascii="Helvetica" w:hAnsi="Helvetica" w:cs="Helvetica"/>
                <w:sz w:val="18"/>
                <w:szCs w:val="18"/>
              </w:rPr>
              <w:t xml:space="preserve"> Phytoplasma ulmi [</w:t>
            </w:r>
            <w:r>
              <w:rPr>
                <w:rFonts w:ascii="Helvetica" w:hAnsi="Helvetica" w:cs="Helvetica"/>
                <w:b/>
                <w:sz w:val="18"/>
                <w:szCs w:val="18"/>
              </w:rPr>
              <w:t>16SrV–A</w:t>
            </w:r>
            <w:r>
              <w:rPr>
                <w:rFonts w:ascii="Helvetica" w:hAnsi="Helvetica" w:cs="Helvetica"/>
                <w:sz w:val="18"/>
                <w:szCs w:val="18"/>
              </w:rPr>
              <w:t>] (Elm yellows group EY group)</w:t>
            </w:r>
            <w:r>
              <w:rPr>
                <w:rStyle w:val="FootnoteReference"/>
                <w:rFonts w:ascii="Helvetica" w:hAnsi="Helvetica" w:cs="Helvetica"/>
                <w:szCs w:val="18"/>
              </w:rPr>
              <w:footnoteReference w:id="24"/>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Phytoplasmas are found in the phloem sieve tubes of plants (Hren </w:t>
            </w:r>
            <w:r>
              <w:rPr>
                <w:rFonts w:ascii="Helvetica" w:hAnsi="Helvetica" w:cs="Helvetica"/>
                <w:i/>
                <w:sz w:val="18"/>
                <w:szCs w:val="18"/>
              </w:rPr>
              <w:t>et al</w:t>
            </w:r>
            <w:r>
              <w:rPr>
                <w:rFonts w:ascii="Helvetica" w:hAnsi="Helvetica" w:cs="Helvetica"/>
                <w:sz w:val="18"/>
                <w:szCs w:val="18"/>
              </w:rPr>
              <w:t xml:space="preserve">. 2009) causing grapevine yellows. Several molecularly distinct phytoplasma groups which cause grapevine yellows have been identified (Hren </w:t>
            </w:r>
            <w:r>
              <w:rPr>
                <w:rFonts w:ascii="Helvetica" w:hAnsi="Helvetica" w:cs="Helvetica"/>
                <w:i/>
                <w:sz w:val="18"/>
                <w:szCs w:val="18"/>
              </w:rPr>
              <w:t>et al</w:t>
            </w:r>
            <w:r>
              <w:rPr>
                <w:rFonts w:ascii="Helvetica" w:hAnsi="Helvetica" w:cs="Helvetica"/>
                <w:sz w:val="18"/>
                <w:szCs w:val="18"/>
              </w:rPr>
              <w:t xml:space="preserve">. 2009). Phytoplasmas are transmitted by propagative material (Caudwell </w:t>
            </w:r>
            <w:r>
              <w:rPr>
                <w:rFonts w:ascii="Helvetica" w:hAnsi="Helvetica" w:cs="Helvetica"/>
                <w:i/>
                <w:sz w:val="18"/>
                <w:szCs w:val="18"/>
              </w:rPr>
              <w:t>et al</w:t>
            </w:r>
            <w:r>
              <w:rPr>
                <w:rFonts w:ascii="Helvetica" w:hAnsi="Helvetica" w:cs="Helvetica"/>
                <w:sz w:val="18"/>
                <w:szCs w:val="18"/>
              </w:rPr>
              <w:t>. 1994); therefore dormant cuttings provide a pathway for these phytoplasmas.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EY group infection of grapevines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in different regions of the world (Botti and Bertaccini 2007</w:t>
            </w:r>
            <w:r>
              <w:rPr>
                <w:rStyle w:val="Emphasis"/>
                <w:rFonts w:ascii="Helvetica" w:hAnsi="Helvetica" w:cs="Helvetica"/>
                <w:i w:val="0"/>
                <w:sz w:val="18"/>
                <w:szCs w:val="18"/>
              </w:rPr>
              <w:t xml:space="preserve">) </w:t>
            </w:r>
            <w:r>
              <w:rPr>
                <w:rFonts w:ascii="Helvetica" w:hAnsi="Helvetica" w:cs="Helvetica"/>
                <w:sz w:val="18"/>
                <w:szCs w:val="18"/>
              </w:rPr>
              <w:t xml:space="preserve">and can spread naturally in infected propagative material (Constable 2010; Zorloni </w:t>
            </w:r>
            <w:r>
              <w:rPr>
                <w:rFonts w:ascii="Helvetica" w:hAnsi="Helvetica" w:cs="Helvetica"/>
                <w:i/>
                <w:sz w:val="18"/>
                <w:szCs w:val="18"/>
              </w:rPr>
              <w:t>et al</w:t>
            </w:r>
            <w:r>
              <w:rPr>
                <w:rFonts w:ascii="Helvetica" w:hAnsi="Helvetica" w:cs="Helvetica"/>
                <w:sz w:val="18"/>
                <w:szCs w:val="18"/>
              </w:rPr>
              <w:t>. 2011). Distribution of infected propagative material will help spread grape infecting phytoplasmas within Australia. Therefore, this phytoplasma group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b/>
                <w:sz w:val="18"/>
                <w:szCs w:val="18"/>
              </w:rPr>
              <w:t xml:space="preserve">Yes: </w:t>
            </w:r>
            <w:r>
              <w:rPr>
                <w:rFonts w:ascii="Helvetica" w:hAnsi="Helvetica" w:cs="Helvetica"/>
                <w:sz w:val="18"/>
                <w:szCs w:val="18"/>
              </w:rPr>
              <w:t>Many diseases inflicted by the EY group Phytoplasmas are economically important and are quarantine pathogens internationally (Lee</w:t>
            </w:r>
            <w:r>
              <w:rPr>
                <w:rFonts w:ascii="Helvetica" w:hAnsi="Helvetica" w:cs="Helvetica"/>
                <w:i/>
                <w:sz w:val="18"/>
                <w:szCs w:val="18"/>
              </w:rPr>
              <w:t xml:space="preserve"> et al</w:t>
            </w:r>
            <w:r>
              <w:rPr>
                <w:rFonts w:ascii="Helvetica" w:hAnsi="Helvetica" w:cs="Helvetica"/>
                <w:sz w:val="18"/>
                <w:szCs w:val="18"/>
              </w:rPr>
              <w:t xml:space="preserve">. 2004b). Phytoplasmas generally reduce fruit yield and infected clusters have high levels of acid and low sugar content (Boudon-Padieu </w:t>
            </w:r>
            <w:r>
              <w:rPr>
                <w:rFonts w:ascii="Helvetica" w:hAnsi="Helvetica" w:cs="Helvetica"/>
                <w:i/>
                <w:sz w:val="18"/>
                <w:szCs w:val="18"/>
              </w:rPr>
              <w:t>et al.</w:t>
            </w:r>
            <w:r>
              <w:rPr>
                <w:rFonts w:ascii="Helvetica" w:hAnsi="Helvetica" w:cs="Helvetica"/>
                <w:sz w:val="18"/>
                <w:szCs w:val="18"/>
              </w:rPr>
              <w:t xml:space="preserve"> 1989). Therefore, this phytoplasma group has the potential for economic consequences in Australia. </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left"/>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Candidatus</w:t>
            </w:r>
            <w:r>
              <w:rPr>
                <w:rFonts w:ascii="Helvetica" w:hAnsi="Helvetica" w:cs="Helvetica"/>
                <w:sz w:val="18"/>
                <w:szCs w:val="18"/>
              </w:rPr>
              <w:t xml:space="preserve"> Phytoplasma vitis [</w:t>
            </w:r>
            <w:r>
              <w:rPr>
                <w:rFonts w:ascii="Helvetica" w:hAnsi="Helvetica" w:cs="Helvetica"/>
                <w:b/>
                <w:sz w:val="18"/>
                <w:szCs w:val="18"/>
              </w:rPr>
              <w:t>16SrV</w:t>
            </w:r>
            <w:r>
              <w:rPr>
                <w:rFonts w:ascii="Helvetica" w:hAnsi="Helvetica" w:cs="Helvetica"/>
                <w:sz w:val="18"/>
                <w:szCs w:val="18"/>
              </w:rPr>
              <w:t>] (Elm yellows group) (strains: Grapevine Flavescence dorée (FD) phytoplasma; German Palatinate grapevine yellows phytoplasma)</w:t>
            </w:r>
            <w:r>
              <w:rPr>
                <w:rStyle w:val="FootnoteReference"/>
                <w:rFonts w:ascii="Helvetica" w:hAnsi="Helvetica" w:cs="Helvetica"/>
                <w:szCs w:val="18"/>
              </w:rPr>
              <w:footnoteReference w:id="25"/>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FD Phytoplasma is phloem restricted (Hren </w:t>
            </w:r>
            <w:r>
              <w:rPr>
                <w:rFonts w:ascii="Helvetica" w:hAnsi="Helvetica" w:cs="Helvetica"/>
                <w:i/>
                <w:sz w:val="18"/>
                <w:szCs w:val="18"/>
              </w:rPr>
              <w:t>et al</w:t>
            </w:r>
            <w:r>
              <w:rPr>
                <w:rFonts w:ascii="Helvetica" w:hAnsi="Helvetica" w:cs="Helvetica"/>
                <w:sz w:val="18"/>
                <w:szCs w:val="18"/>
              </w:rPr>
              <w:t xml:space="preserve">. 2009) and symptoms include downward leaf rolling, yellowing or reddening of the leaves and incomplete shoot lignification (Gajardo </w:t>
            </w:r>
            <w:r>
              <w:rPr>
                <w:rFonts w:ascii="Helvetica" w:hAnsi="Helvetica" w:cs="Helvetica"/>
                <w:i/>
                <w:sz w:val="18"/>
                <w:szCs w:val="18"/>
              </w:rPr>
              <w:t>et al</w:t>
            </w:r>
            <w:r>
              <w:rPr>
                <w:rFonts w:ascii="Helvetica" w:hAnsi="Helvetica" w:cs="Helvetica"/>
                <w:sz w:val="18"/>
                <w:szCs w:val="18"/>
              </w:rPr>
              <w:t xml:space="preserve">. 2009). FD and BN Phytoplasma has been reported in grapevine (Bertaccini </w:t>
            </w:r>
            <w:r>
              <w:rPr>
                <w:rFonts w:ascii="Helvetica" w:hAnsi="Helvetica" w:cs="Helvetica"/>
                <w:i/>
                <w:sz w:val="18"/>
                <w:szCs w:val="18"/>
              </w:rPr>
              <w:t>et al</w:t>
            </w:r>
            <w:r>
              <w:rPr>
                <w:rFonts w:ascii="Helvetica" w:hAnsi="Helvetica" w:cs="Helvetica"/>
                <w:sz w:val="18"/>
                <w:szCs w:val="18"/>
              </w:rPr>
              <w:t xml:space="preserve">. 1995; Daire </w:t>
            </w:r>
            <w:r>
              <w:rPr>
                <w:rFonts w:ascii="Helvetica" w:hAnsi="Helvetica" w:cs="Helvetica"/>
                <w:i/>
                <w:sz w:val="18"/>
                <w:szCs w:val="18"/>
              </w:rPr>
              <w:t>et al</w:t>
            </w:r>
            <w:r>
              <w:rPr>
                <w:rFonts w:ascii="Helvetica" w:hAnsi="Helvetica" w:cs="Helvetica"/>
                <w:sz w:val="18"/>
                <w:szCs w:val="18"/>
              </w:rPr>
              <w:t xml:space="preserve">. 1997). Most grapevine rootstocks are potentially symptomless (Caudwell </w:t>
            </w:r>
            <w:r>
              <w:rPr>
                <w:rFonts w:ascii="Helvetica" w:hAnsi="Helvetica" w:cs="Helvetica"/>
                <w:i/>
                <w:sz w:val="18"/>
                <w:szCs w:val="18"/>
              </w:rPr>
              <w:t>et al</w:t>
            </w:r>
            <w:r>
              <w:rPr>
                <w:rFonts w:ascii="Helvetica" w:hAnsi="Helvetica" w:cs="Helvetica"/>
                <w:sz w:val="18"/>
                <w:szCs w:val="18"/>
              </w:rPr>
              <w:t xml:space="preserve">.1994). This may lead to collection of budwood from symptomless parts of infected vines or from recently infected vines that have not developed symptoms (Martelli and Boudon-Padieu 2006). Propagative material therefore provides a pathway for these phytoplasmas.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FD Phytoplasma has established in areas with a wide range of climatic conditions</w:t>
            </w:r>
            <w:r>
              <w:rPr>
                <w:rFonts w:ascii="Helvetica" w:hAnsi="Helvetica" w:cs="Helvetica"/>
                <w:iCs/>
                <w:sz w:val="18"/>
                <w:szCs w:val="18"/>
              </w:rPr>
              <w:t xml:space="preserve"> in different regions of the world (</w:t>
            </w:r>
            <w:r>
              <w:rPr>
                <w:rStyle w:val="Emphasis"/>
                <w:rFonts w:ascii="Helvetica" w:hAnsi="Helvetica" w:cs="Helvetica"/>
                <w:i w:val="0"/>
                <w:sz w:val="18"/>
                <w:szCs w:val="18"/>
              </w:rPr>
              <w:t xml:space="preserve">Constable 2010) </w:t>
            </w:r>
            <w:r>
              <w:rPr>
                <w:rFonts w:ascii="Helvetica" w:hAnsi="Helvetica" w:cs="Helvetica"/>
                <w:sz w:val="18"/>
                <w:szCs w:val="18"/>
              </w:rPr>
              <w:t xml:space="preserve">and can spread naturally in infected propagative material (Caudwell </w:t>
            </w:r>
            <w:r>
              <w:rPr>
                <w:rFonts w:ascii="Helvetica" w:hAnsi="Helvetica" w:cs="Helvetica"/>
                <w:i/>
                <w:sz w:val="18"/>
                <w:szCs w:val="18"/>
              </w:rPr>
              <w:t>et al</w:t>
            </w:r>
            <w:r>
              <w:rPr>
                <w:rFonts w:ascii="Helvetica" w:hAnsi="Helvetica" w:cs="Helvetica"/>
                <w:sz w:val="18"/>
                <w:szCs w:val="18"/>
              </w:rPr>
              <w:t xml:space="preserve">. 1994; Rott </w:t>
            </w:r>
            <w:r>
              <w:rPr>
                <w:rFonts w:ascii="Helvetica" w:hAnsi="Helvetica" w:cs="Helvetica"/>
                <w:i/>
                <w:sz w:val="18"/>
                <w:szCs w:val="18"/>
              </w:rPr>
              <w:t>et al</w:t>
            </w:r>
            <w:r>
              <w:rPr>
                <w:rFonts w:ascii="Helvetica" w:hAnsi="Helvetica" w:cs="Helvetica"/>
                <w:sz w:val="18"/>
                <w:szCs w:val="18"/>
              </w:rPr>
              <w:t xml:space="preserve">. 2007; Matus </w:t>
            </w:r>
            <w:r>
              <w:rPr>
                <w:rFonts w:ascii="Helvetica" w:hAnsi="Helvetica" w:cs="Helvetica"/>
                <w:i/>
                <w:sz w:val="18"/>
                <w:szCs w:val="18"/>
              </w:rPr>
              <w:t>et al</w:t>
            </w:r>
            <w:r>
              <w:rPr>
                <w:rFonts w:ascii="Helvetica" w:hAnsi="Helvetica" w:cs="Helvetica"/>
                <w:sz w:val="18"/>
                <w:szCs w:val="18"/>
              </w:rPr>
              <w:t>. 2008; Constable 2010). Phloem-feeding hemipterans acquire the pathogen for subsequent transmission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w:t>
            </w:r>
            <w:r>
              <w:rPr>
                <w:rFonts w:ascii="Helvetica" w:hAnsi="Helvetica" w:cs="Helvetica"/>
                <w:i/>
                <w:sz w:val="18"/>
                <w:szCs w:val="18"/>
              </w:rPr>
              <w:t>et al</w:t>
            </w:r>
            <w:r>
              <w:rPr>
                <w:rFonts w:ascii="Helvetica" w:hAnsi="Helvetica" w:cs="Helvetica"/>
                <w:sz w:val="18"/>
                <w:szCs w:val="18"/>
              </w:rPr>
              <w:t>. 1989). The symptomless nature of phytoplasmas may contribute to the inadvertent propagation and distribution of infected material that will help spread grape infecting phytoplasmas within Australia. Therefore, grape infecting phytoplasmas have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Flavescence dorée is one of the most serious diseases of </w:t>
            </w:r>
            <w:r>
              <w:rPr>
                <w:rFonts w:ascii="Helvetica" w:hAnsi="Helvetica" w:cs="Helvetica"/>
                <w:iCs/>
                <w:sz w:val="18"/>
                <w:szCs w:val="18"/>
              </w:rPr>
              <w:t xml:space="preserve">grapevine (Margaria </w:t>
            </w:r>
            <w:r>
              <w:rPr>
                <w:rFonts w:ascii="Helvetica" w:hAnsi="Helvetica" w:cs="Helvetica"/>
                <w:i/>
                <w:iCs/>
                <w:sz w:val="18"/>
                <w:szCs w:val="18"/>
              </w:rPr>
              <w:t>et al</w:t>
            </w:r>
            <w:r>
              <w:rPr>
                <w:rFonts w:ascii="Helvetica" w:hAnsi="Helvetica" w:cs="Helvetica"/>
                <w:iCs/>
                <w:sz w:val="18"/>
                <w:szCs w:val="18"/>
              </w:rPr>
              <w:t xml:space="preserve">. 2007). </w:t>
            </w:r>
            <w:r>
              <w:rPr>
                <w:rFonts w:ascii="Helvetica" w:hAnsi="Helvetica" w:cs="Helvetica"/>
                <w:sz w:val="18"/>
                <w:szCs w:val="18"/>
              </w:rPr>
              <w:t xml:space="preserve">Phytoplasmas generally reduce fruit yield and infected clusters have high acid levels and a low sugar content (Boudon-Padieu </w:t>
            </w:r>
            <w:r>
              <w:rPr>
                <w:rFonts w:ascii="Helvetica" w:hAnsi="Helvetica" w:cs="Helvetica"/>
                <w:i/>
                <w:sz w:val="18"/>
                <w:szCs w:val="18"/>
              </w:rPr>
              <w:t>et al</w:t>
            </w:r>
            <w:r>
              <w:rPr>
                <w:rFonts w:ascii="Helvetica" w:hAnsi="Helvetica" w:cs="Helvetica"/>
                <w:sz w:val="18"/>
                <w:szCs w:val="18"/>
              </w:rPr>
              <w:t>. 1989).</w:t>
            </w:r>
            <w:r>
              <w:rPr>
                <w:rFonts w:ascii="Helvetica" w:hAnsi="Helvetica" w:cs="Helvetica"/>
                <w:iCs/>
                <w:sz w:val="18"/>
                <w:szCs w:val="18"/>
              </w:rPr>
              <w:t xml:space="preserve"> FD Phytoplasma is considered of quarantine concern by COSAVE and Canada. </w:t>
            </w:r>
            <w:r>
              <w:rPr>
                <w:rFonts w:ascii="Helvetica" w:hAnsi="Helvetica" w:cs="Helvetica"/>
                <w:sz w:val="18"/>
                <w:szCs w:val="18"/>
              </w:rPr>
              <w:t>The presence of this phytoplasma group in Australia would impact upon Australia’s ability to access overseas markets. Therefore, this phytoplasma group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European stone fruit yellows Phytoplasma 16SrX-B (Apple proliferation group)</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Phytoplasmas are found in the phloem sieve tubes of plants (Duduk </w:t>
            </w:r>
            <w:r>
              <w:rPr>
                <w:rFonts w:ascii="Helvetica" w:hAnsi="Helvetica" w:cs="Helvetica"/>
                <w:i/>
                <w:sz w:val="18"/>
                <w:szCs w:val="18"/>
              </w:rPr>
              <w:t>et al</w:t>
            </w:r>
            <w:r>
              <w:rPr>
                <w:rFonts w:ascii="Helvetica" w:hAnsi="Helvetica" w:cs="Helvetica"/>
                <w:sz w:val="18"/>
                <w:szCs w:val="18"/>
              </w:rPr>
              <w:t xml:space="preserve">. 2003; Hren </w:t>
            </w:r>
            <w:r>
              <w:rPr>
                <w:rFonts w:ascii="Helvetica" w:hAnsi="Helvetica" w:cs="Helvetica"/>
                <w:i/>
                <w:sz w:val="18"/>
                <w:szCs w:val="18"/>
              </w:rPr>
              <w:t>et al</w:t>
            </w:r>
            <w:r>
              <w:rPr>
                <w:rFonts w:ascii="Helvetica" w:hAnsi="Helvetica" w:cs="Helvetica"/>
                <w:sz w:val="18"/>
                <w:szCs w:val="18"/>
              </w:rPr>
              <w:t xml:space="preserve">. 2009) and cause leaf yellowing, leaf rolling and shoot drop (Varga </w:t>
            </w:r>
            <w:r>
              <w:rPr>
                <w:rFonts w:ascii="Helvetica" w:hAnsi="Helvetica" w:cs="Helvetica"/>
                <w:i/>
                <w:sz w:val="18"/>
                <w:szCs w:val="18"/>
              </w:rPr>
              <w:t>et al</w:t>
            </w:r>
            <w:r>
              <w:rPr>
                <w:rFonts w:ascii="Helvetica" w:hAnsi="Helvetica" w:cs="Helvetica"/>
                <w:sz w:val="18"/>
                <w:szCs w:val="18"/>
              </w:rPr>
              <w:t xml:space="preserve">. 2000). Phytoplasmas are transmitted by propagative material (Caudwell </w:t>
            </w:r>
            <w:r>
              <w:rPr>
                <w:rFonts w:ascii="Helvetica" w:hAnsi="Helvetica" w:cs="Helvetica"/>
                <w:i/>
                <w:sz w:val="18"/>
                <w:szCs w:val="18"/>
              </w:rPr>
              <w:t>et al</w:t>
            </w:r>
            <w:r>
              <w:rPr>
                <w:rFonts w:ascii="Helvetica" w:hAnsi="Helvetica" w:cs="Helvetica"/>
                <w:sz w:val="18"/>
                <w:szCs w:val="18"/>
              </w:rPr>
              <w:t>. 1994); therefore dormant cuttings provide a pathway for these phytoplasmas.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This phytoplasma has established in areas with a wide range of climatic conditions in different regions of the world (Varga </w:t>
            </w:r>
            <w:r>
              <w:rPr>
                <w:rFonts w:ascii="Helvetica" w:hAnsi="Helvetica" w:cs="Helvetica"/>
                <w:i/>
                <w:sz w:val="18"/>
                <w:szCs w:val="18"/>
              </w:rPr>
              <w:t>et al</w:t>
            </w:r>
            <w:r>
              <w:rPr>
                <w:rFonts w:ascii="Helvetica" w:hAnsi="Helvetica" w:cs="Helvetica"/>
                <w:sz w:val="18"/>
                <w:szCs w:val="18"/>
              </w:rPr>
              <w:t xml:space="preserve">. 2000; Duduk </w:t>
            </w:r>
            <w:r>
              <w:rPr>
                <w:rFonts w:ascii="Helvetica" w:hAnsi="Helvetica" w:cs="Helvetica"/>
                <w:i/>
                <w:sz w:val="18"/>
                <w:szCs w:val="18"/>
              </w:rPr>
              <w:t>et al</w:t>
            </w:r>
            <w:r>
              <w:rPr>
                <w:rFonts w:ascii="Helvetica" w:hAnsi="Helvetica" w:cs="Helvetica"/>
                <w:sz w:val="18"/>
                <w:szCs w:val="18"/>
              </w:rPr>
              <w:t>.2003</w:t>
            </w:r>
            <w:r>
              <w:rPr>
                <w:rFonts w:ascii="Helvetica" w:hAnsi="Helvetica" w:cs="Helvetica"/>
                <w:iCs/>
                <w:sz w:val="18"/>
                <w:szCs w:val="18"/>
              </w:rPr>
              <w:t xml:space="preserve">) </w:t>
            </w:r>
            <w:r>
              <w:rPr>
                <w:rFonts w:ascii="Helvetica" w:hAnsi="Helvetica" w:cs="Helvetica"/>
                <w:sz w:val="18"/>
                <w:szCs w:val="18"/>
              </w:rPr>
              <w:t xml:space="preserve">and can spread naturally in infected propagative material (Caudwell </w:t>
            </w:r>
            <w:r>
              <w:rPr>
                <w:rFonts w:ascii="Helvetica" w:hAnsi="Helvetica" w:cs="Helvetica"/>
                <w:i/>
                <w:sz w:val="18"/>
                <w:szCs w:val="18"/>
              </w:rPr>
              <w:t>et al</w:t>
            </w:r>
            <w:r>
              <w:rPr>
                <w:rFonts w:ascii="Helvetica" w:hAnsi="Helvetica" w:cs="Helvetica"/>
                <w:sz w:val="18"/>
                <w:szCs w:val="18"/>
              </w:rPr>
              <w:t>. 1994; Constable 2010). Distribution of infected propagative material will help spread grape infecting phytoplasmas within Australia. Therefore, grape infecting phytoplasmas have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European stone fruit yellows cause various diseases in European stone fruit (Laimer Da Câmara Machado </w:t>
            </w:r>
            <w:r>
              <w:rPr>
                <w:rFonts w:ascii="Helvetica" w:hAnsi="Helvetica" w:cs="Helvetica"/>
                <w:i/>
                <w:sz w:val="18"/>
                <w:szCs w:val="18"/>
              </w:rPr>
              <w:t>et al</w:t>
            </w:r>
            <w:r>
              <w:rPr>
                <w:rFonts w:ascii="Helvetica" w:hAnsi="Helvetica" w:cs="Helvetica"/>
                <w:sz w:val="18"/>
                <w:szCs w:val="18"/>
              </w:rPr>
              <w:t>. 2001). In apricots, it causes leaf rolling, leaf chlorosis, leaf reddening, phloem necrosis and sudden dieback (Laimer Da Câmara Machado</w:t>
            </w:r>
            <w:r>
              <w:rPr>
                <w:rFonts w:ascii="Helvetica" w:hAnsi="Helvetica" w:cs="Helvetica"/>
                <w:i/>
                <w:sz w:val="18"/>
                <w:szCs w:val="18"/>
              </w:rPr>
              <w:t xml:space="preserve"> et al</w:t>
            </w:r>
            <w:r>
              <w:rPr>
                <w:rFonts w:ascii="Helvetica" w:hAnsi="Helvetica" w:cs="Helvetica"/>
                <w:sz w:val="18"/>
                <w:szCs w:val="18"/>
              </w:rPr>
              <w:t>. 2001). In addition, affected apricot trees produce shrunken, tasteless fruit that fall prematurely from the tree (Laimer Da Câmara Machado</w:t>
            </w:r>
            <w:r>
              <w:rPr>
                <w:rFonts w:ascii="Helvetica" w:hAnsi="Helvetica" w:cs="Helvetica"/>
                <w:i/>
                <w:sz w:val="18"/>
                <w:szCs w:val="18"/>
              </w:rPr>
              <w:t xml:space="preserve"> et al</w:t>
            </w:r>
            <w:r>
              <w:rPr>
                <w:rFonts w:ascii="Helvetica" w:hAnsi="Helvetica" w:cs="Helvetica"/>
                <w:sz w:val="18"/>
                <w:szCs w:val="18"/>
              </w:rPr>
              <w:t>. 2001).  Therefore, this phytoplasma group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Phytoplasma 16SrIX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Phytoplasmas associated with grape yellows are obligate parasites and phloem restricted. Infected grapevines show redness and inward curling of leaves (Canik </w:t>
            </w:r>
            <w:r>
              <w:rPr>
                <w:rFonts w:ascii="Helvetica" w:hAnsi="Helvetica" w:cs="Helvetica"/>
                <w:i/>
                <w:sz w:val="18"/>
                <w:szCs w:val="18"/>
              </w:rPr>
              <w:t>et al</w:t>
            </w:r>
            <w:r>
              <w:rPr>
                <w:rFonts w:ascii="Helvetica" w:hAnsi="Helvetica" w:cs="Helvetica"/>
                <w:sz w:val="18"/>
                <w:szCs w:val="18"/>
              </w:rPr>
              <w:t xml:space="preserve">. 2011). Phytoplasmas are transmitted by propagative material (Caudwell </w:t>
            </w:r>
            <w:r>
              <w:rPr>
                <w:rFonts w:ascii="Helvetica" w:hAnsi="Helvetica" w:cs="Helvetica"/>
                <w:i/>
                <w:sz w:val="18"/>
                <w:szCs w:val="18"/>
              </w:rPr>
              <w:t>et al</w:t>
            </w:r>
            <w:r>
              <w:rPr>
                <w:rFonts w:ascii="Helvetica" w:hAnsi="Helvetica" w:cs="Helvetica"/>
                <w:sz w:val="18"/>
                <w:szCs w:val="18"/>
              </w:rPr>
              <w:t>. 1994); therefore dormant cuttings provide a pathway for these phytoplasmas.</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
                <w:sz w:val="18"/>
                <w:szCs w:val="18"/>
              </w:rPr>
            </w:pPr>
            <w:r>
              <w:rPr>
                <w:rFonts w:ascii="Helvetica" w:hAnsi="Helvetica" w:cs="Helvetica"/>
                <w:b/>
                <w:sz w:val="18"/>
                <w:szCs w:val="18"/>
              </w:rPr>
              <w:t xml:space="preserve">Yes: </w:t>
            </w:r>
            <w:r>
              <w:rPr>
                <w:rFonts w:ascii="Helvetica" w:hAnsi="Helvetica" w:cs="Helvetica"/>
                <w:sz w:val="18"/>
                <w:szCs w:val="18"/>
              </w:rPr>
              <w:t>Chile grapevine yellows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in different regions of the world (</w:t>
            </w:r>
            <w:r>
              <w:rPr>
                <w:rFonts w:ascii="Helvetica" w:hAnsi="Helvetica" w:cs="Helvetica"/>
                <w:sz w:val="18"/>
                <w:szCs w:val="18"/>
              </w:rPr>
              <w:t xml:space="preserve">Canik </w:t>
            </w:r>
            <w:r>
              <w:rPr>
                <w:rFonts w:ascii="Helvetica" w:hAnsi="Helvetica" w:cs="Helvetica"/>
                <w:i/>
                <w:sz w:val="18"/>
                <w:szCs w:val="18"/>
              </w:rPr>
              <w:t>et al</w:t>
            </w:r>
            <w:r>
              <w:rPr>
                <w:rFonts w:ascii="Helvetica" w:hAnsi="Helvetica" w:cs="Helvetica"/>
                <w:sz w:val="18"/>
                <w:szCs w:val="18"/>
              </w:rPr>
              <w:t>. 2011</w:t>
            </w:r>
            <w:r>
              <w:rPr>
                <w:rStyle w:val="Emphasis"/>
                <w:rFonts w:ascii="Helvetica" w:hAnsi="Helvetica" w:cs="Helvetica"/>
                <w:i w:val="0"/>
                <w:sz w:val="18"/>
                <w:szCs w:val="18"/>
              </w:rPr>
              <w:t>). P</w:t>
            </w:r>
            <w:r>
              <w:rPr>
                <w:rFonts w:ascii="Helvetica" w:hAnsi="Helvetica" w:cs="Helvetica"/>
                <w:sz w:val="18"/>
                <w:szCs w:val="18"/>
              </w:rPr>
              <w:t>hytoplasmas generally spread naturally in infected propagative material (Constable 2010). Distribution of infected propagative material will help spread grape infecting phytoplasmas within Australia. Therefore, grape infecting phytoplasmas have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The 16SrIX group has been identified in grapevines in Turkey, and can cause severe diseases in host plants (Canik </w:t>
            </w:r>
            <w:r>
              <w:rPr>
                <w:rFonts w:ascii="Helvetica" w:hAnsi="Helvetica" w:cs="Helvetica"/>
                <w:i/>
                <w:sz w:val="18"/>
                <w:szCs w:val="18"/>
              </w:rPr>
              <w:t xml:space="preserve">et al. </w:t>
            </w:r>
            <w:r>
              <w:rPr>
                <w:rFonts w:ascii="Helvetica" w:hAnsi="Helvetica" w:cs="Helvetica"/>
                <w:sz w:val="18"/>
                <w:szCs w:val="18"/>
              </w:rPr>
              <w:t>2011). Therefore, this phytoplasma group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Tomato big bud Phytoplasma [</w:t>
            </w:r>
            <w:r>
              <w:rPr>
                <w:rFonts w:ascii="Helvetica" w:hAnsi="Helvetica" w:cs="Helvetica"/>
                <w:b/>
                <w:sz w:val="18"/>
                <w:szCs w:val="18"/>
              </w:rPr>
              <w:t>16SrII-D</w:t>
            </w:r>
            <w:r>
              <w:rPr>
                <w:rFonts w:ascii="Helvetica" w:hAnsi="Helvetica" w:cs="Helvetica"/>
                <w:sz w:val="18"/>
                <w:szCs w:val="18"/>
              </w:rPr>
              <w:t>]</w:t>
            </w:r>
            <w:r>
              <w:rPr>
                <w:rStyle w:val="FootnoteReference"/>
                <w:rFonts w:ascii="Helvetica" w:hAnsi="Helvetica" w:cs="Helvetica"/>
                <w:szCs w:val="18"/>
              </w:rPr>
              <w:footnoteReference w:id="26"/>
            </w:r>
            <w:r>
              <w:rPr>
                <w:rFonts w:ascii="Helvetica" w:hAnsi="Helvetica" w:cs="Helvetica"/>
                <w:sz w:val="18"/>
                <w:szCs w:val="18"/>
              </w:rPr>
              <w:t xml:space="preserve"> </w:t>
            </w:r>
          </w:p>
        </w:tc>
        <w:tc>
          <w:tcPr>
            <w:tcW w:w="1680" w:type="dxa"/>
            <w:tcBorders>
              <w:top w:val="single" w:sz="4" w:space="0" w:color="auto"/>
              <w:left w:val="single" w:sz="4" w:space="0" w:color="auto"/>
              <w:bottom w:val="single" w:sz="4" w:space="0" w:color="auto"/>
              <w:right w:val="single" w:sz="4" w:space="0" w:color="auto"/>
            </w:tcBorders>
          </w:tcPr>
          <w:p>
            <w:pPr>
              <w:tabs>
                <w:tab w:val="left" w:pos="1470"/>
              </w:tabs>
              <w:spacing w:before="20" w:line="240" w:lineRule="atLeast"/>
              <w:jc w:val="left"/>
              <w:rPr>
                <w:rFonts w:ascii="Helvetica" w:hAnsi="Helvetica" w:cs="Helvetica"/>
                <w:sz w:val="18"/>
                <w:szCs w:val="18"/>
              </w:rPr>
            </w:pPr>
            <w:r>
              <w:rPr>
                <w:rFonts w:ascii="Helvetica" w:hAnsi="Helvetica" w:cs="Helvetica"/>
                <w:sz w:val="18"/>
                <w:szCs w:val="18"/>
              </w:rPr>
              <w:t xml:space="preserve">Yes (Constable 2010)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VIROIDS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lang w:val="en-US"/>
              </w:rPr>
            </w:pPr>
            <w:r>
              <w:rPr>
                <w:rFonts w:ascii="Helvetica" w:hAnsi="Helvetica" w:cs="Helvetica"/>
                <w:i/>
                <w:iCs/>
                <w:sz w:val="18"/>
                <w:szCs w:val="18"/>
              </w:rPr>
              <w:t>Australian</w:t>
            </w:r>
            <w:r>
              <w:rPr>
                <w:rFonts w:ascii="Helvetica" w:hAnsi="Helvetica" w:cs="Helvetica"/>
                <w:sz w:val="18"/>
                <w:szCs w:val="18"/>
              </w:rPr>
              <w:t xml:space="preserve"> </w:t>
            </w:r>
            <w:r>
              <w:rPr>
                <w:rFonts w:ascii="Helvetica" w:hAnsi="Helvetica" w:cs="Helvetica"/>
                <w:i/>
                <w:iCs/>
                <w:sz w:val="18"/>
                <w:szCs w:val="18"/>
              </w:rPr>
              <w:t>grapevine viroid</w:t>
            </w:r>
            <w:r>
              <w:rPr>
                <w:rFonts w:ascii="Helvetica" w:hAnsi="Helvetica" w:cs="Helvetica"/>
                <w:sz w:val="18"/>
                <w:szCs w:val="18"/>
              </w:rPr>
              <w:t xml:space="preserve"> (AGVd) </w:t>
            </w:r>
            <w:r>
              <w:rPr>
                <w:rFonts w:ascii="Helvetica" w:hAnsi="Helvetica" w:cs="Helvetica"/>
                <w:sz w:val="18"/>
                <w:szCs w:val="18"/>
                <w:lang w:val="en-US"/>
              </w:rPr>
              <w:t>[</w:t>
            </w:r>
            <w:r>
              <w:rPr>
                <w:rFonts w:ascii="Helvetica" w:hAnsi="Helvetica" w:cs="Helvetica"/>
                <w:sz w:val="18"/>
                <w:szCs w:val="18"/>
              </w:rPr>
              <w:t>Pospiviroidae:</w:t>
            </w:r>
            <w:r>
              <w:rPr>
                <w:rFonts w:ascii="Helvetica" w:hAnsi="Helvetica" w:cs="Helvetica"/>
                <w:i/>
                <w:iCs/>
                <w:sz w:val="18"/>
                <w:szCs w:val="18"/>
              </w:rPr>
              <w:t xml:space="preserve"> Apscaviroid</w:t>
            </w:r>
            <w:r>
              <w:rPr>
                <w:rFonts w:ascii="Helvetica" w:hAnsi="Helvetica" w:cs="Helvetica"/>
                <w:sz w:val="18"/>
                <w:szCs w:val="18"/>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(Rezaian 1990) </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iCs/>
                <w:sz w:val="18"/>
                <w:szCs w:val="18"/>
              </w:rPr>
              <w:t>Citrus exocortis viroid</w:t>
            </w:r>
            <w:r>
              <w:rPr>
                <w:rFonts w:ascii="Helvetica" w:hAnsi="Helvetica" w:cs="Helvetica"/>
                <w:sz w:val="18"/>
                <w:szCs w:val="18"/>
              </w:rPr>
              <w:t xml:space="preserve"> – grapevine (CEVd-g)</w:t>
            </w:r>
            <w:r>
              <w:rPr>
                <w:rFonts w:ascii="Helvetica" w:hAnsi="Helvetica" w:cs="Helvetica"/>
                <w:sz w:val="18"/>
                <w:szCs w:val="18"/>
                <w:lang w:val="en-US"/>
              </w:rPr>
              <w:t xml:space="preserve"> [</w:t>
            </w:r>
            <w:r>
              <w:rPr>
                <w:rFonts w:ascii="Helvetica" w:hAnsi="Helvetica" w:cs="Helvetica"/>
                <w:sz w:val="18"/>
                <w:szCs w:val="18"/>
              </w:rPr>
              <w:t xml:space="preserve">Pospiviroidae: </w:t>
            </w:r>
            <w:r>
              <w:rPr>
                <w:rFonts w:ascii="Helvetica" w:hAnsi="Helvetica" w:cs="Helvetica"/>
                <w:i/>
                <w:iCs/>
                <w:sz w:val="18"/>
                <w:szCs w:val="18"/>
              </w:rPr>
              <w:t>Pospiviroid</w:t>
            </w:r>
            <w:r>
              <w:rPr>
                <w:rFonts w:ascii="Helvetica" w:hAnsi="Helvetica" w:cs="Helvetica"/>
                <w:sz w:val="18"/>
                <w:szCs w:val="18"/>
                <w:lang w:val="en-US"/>
              </w:rPr>
              <w:t>] (s</w:t>
            </w:r>
            <w:r>
              <w:rPr>
                <w:rFonts w:ascii="Helvetica" w:hAnsi="Helvetica" w:cs="Helvetica"/>
                <w:sz w:val="18"/>
                <w:szCs w:val="18"/>
              </w:rPr>
              <w:t xml:space="preserve">ynonym: Grapevine </w:t>
            </w:r>
            <w:r>
              <w:rPr>
                <w:rFonts w:ascii="Helvetica" w:hAnsi="Helvetica" w:cs="Helvetica"/>
                <w:i/>
                <w:iCs/>
                <w:sz w:val="18"/>
                <w:szCs w:val="18"/>
              </w:rPr>
              <w:t xml:space="preserve">viroid </w:t>
            </w:r>
            <w:r>
              <w:rPr>
                <w:rFonts w:ascii="Helvetica" w:hAnsi="Helvetica" w:cs="Helvetica"/>
                <w:sz w:val="18"/>
                <w:szCs w:val="18"/>
              </w:rPr>
              <w:t>– slow (Gvd-s)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(Hardy </w:t>
            </w:r>
            <w:r>
              <w:rPr>
                <w:rFonts w:ascii="Helvetica" w:hAnsi="Helvetica" w:cs="Helvetica"/>
                <w:i/>
                <w:iCs/>
                <w:sz w:val="18"/>
                <w:szCs w:val="18"/>
              </w:rPr>
              <w:t xml:space="preserve">et al. </w:t>
            </w:r>
            <w:r>
              <w:rPr>
                <w:rFonts w:ascii="Helvetica" w:hAnsi="Helvetica" w:cs="Helvetica"/>
                <w:sz w:val="18"/>
                <w:szCs w:val="18"/>
              </w:rPr>
              <w:t>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rPr>
            </w:pPr>
            <w:r>
              <w:rPr>
                <w:rFonts w:ascii="Helvetica" w:hAnsi="Helvetica" w:cs="Helvetica"/>
                <w:sz w:val="18"/>
                <w:szCs w:val="18"/>
              </w:rPr>
              <w:t>Grapevine yellow speckle viroid 1 (GYSVd1) [Pospiviroidae: A</w:t>
            </w:r>
            <w:r>
              <w:rPr>
                <w:rFonts w:ascii="Helvetica" w:hAnsi="Helvetica" w:cs="Helvetica"/>
                <w:i/>
                <w:iCs/>
                <w:sz w:val="18"/>
                <w:szCs w:val="18"/>
              </w:rPr>
              <w:t>pscaviroid</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(Koltunow </w:t>
            </w:r>
            <w:r>
              <w:rPr>
                <w:rFonts w:ascii="Helvetica" w:hAnsi="Helvetica" w:cs="Helvetica"/>
                <w:i/>
                <w:iCs/>
                <w:sz w:val="18"/>
                <w:szCs w:val="18"/>
              </w:rPr>
              <w:t>et al.</w:t>
            </w:r>
            <w:r>
              <w:rPr>
                <w:rFonts w:ascii="Helvetica" w:hAnsi="Helvetica" w:cs="Helvetica"/>
                <w:sz w:val="18"/>
                <w:szCs w:val="18"/>
              </w:rPr>
              <w:t xml:space="preserve">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Grapevine yellow speckle </w:t>
            </w:r>
            <w:r>
              <w:rPr>
                <w:rFonts w:ascii="Helvetica" w:hAnsi="Helvetica" w:cs="Helvetica"/>
                <w:iCs/>
                <w:sz w:val="18"/>
                <w:szCs w:val="18"/>
              </w:rPr>
              <w:t>viroid</w:t>
            </w:r>
            <w:r>
              <w:rPr>
                <w:rFonts w:ascii="Helvetica" w:hAnsi="Helvetica" w:cs="Helvetica"/>
                <w:i/>
                <w:iCs/>
                <w:sz w:val="18"/>
                <w:szCs w:val="18"/>
              </w:rPr>
              <w:t xml:space="preserve"> </w:t>
            </w:r>
            <w:r>
              <w:rPr>
                <w:rFonts w:ascii="Helvetica" w:hAnsi="Helvetica" w:cs="Helvetica"/>
                <w:sz w:val="18"/>
                <w:szCs w:val="18"/>
              </w:rPr>
              <w:t xml:space="preserve">2 (GYSVd2) [Pospiviroidae: </w:t>
            </w:r>
            <w:r>
              <w:rPr>
                <w:rFonts w:ascii="Helvetica" w:hAnsi="Helvetica" w:cs="Helvetica"/>
                <w:i/>
                <w:sz w:val="18"/>
                <w:szCs w:val="18"/>
              </w:rPr>
              <w:t>Aspcaviroid</w:t>
            </w:r>
            <w:r>
              <w:rPr>
                <w:rFonts w:ascii="Helvetica" w:hAnsi="Helvetica" w:cs="Helvetica"/>
                <w:sz w:val="18"/>
                <w:szCs w:val="18"/>
              </w:rPr>
              <w:t xml:space="preserve">] synonym: Grapevine viroid (GV1B), Grapevine </w:t>
            </w:r>
            <w:r>
              <w:rPr>
                <w:rFonts w:ascii="Helvetica" w:hAnsi="Helvetica" w:cs="Helvetica"/>
                <w:i/>
                <w:iCs/>
                <w:sz w:val="18"/>
                <w:szCs w:val="18"/>
              </w:rPr>
              <w:t>viroid</w:t>
            </w:r>
            <w:r>
              <w:rPr>
                <w:rFonts w:ascii="Helvetica" w:hAnsi="Helvetica" w:cs="Helvetica"/>
                <w:sz w:val="18"/>
                <w:szCs w:val="18"/>
              </w:rPr>
              <w:t>-fast (Gvd-f)</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(Koltunow </w:t>
            </w:r>
            <w:r>
              <w:rPr>
                <w:rFonts w:ascii="Helvetica" w:hAnsi="Helvetica" w:cs="Helvetica"/>
                <w:i/>
                <w:iCs/>
                <w:sz w:val="18"/>
                <w:szCs w:val="18"/>
              </w:rPr>
              <w:t>et al.</w:t>
            </w:r>
            <w:r>
              <w:rPr>
                <w:rFonts w:ascii="Helvetica" w:hAnsi="Helvetica" w:cs="Helvetica"/>
                <w:sz w:val="18"/>
                <w:szCs w:val="18"/>
              </w:rPr>
              <w:t xml:space="preserve"> 1989)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Grapevine yellow speckle viroid 3 (GYSVd3) [Pospiviroidae: </w:t>
            </w:r>
            <w:r>
              <w:rPr>
                <w:rFonts w:ascii="Helvetica" w:hAnsi="Helvetica" w:cs="Helvetica"/>
                <w:i/>
                <w:sz w:val="18"/>
                <w:szCs w:val="18"/>
              </w:rPr>
              <w:t>Aspcaviroid</w:t>
            </w:r>
            <w:r>
              <w:rPr>
                <w:rFonts w:ascii="Helvetica" w:hAnsi="Helvetica" w:cs="Helvetica"/>
                <w:sz w:val="18"/>
                <w:szCs w:val="18"/>
              </w:rPr>
              <w:t>] (synonym: Chinese grapevine viroid)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(Benson </w:t>
            </w:r>
            <w:r>
              <w:rPr>
                <w:rFonts w:ascii="Helvetica" w:hAnsi="Helvetica" w:cs="Helvetica"/>
                <w:i/>
                <w:sz w:val="18"/>
                <w:szCs w:val="18"/>
              </w:rPr>
              <w:t>et al</w:t>
            </w:r>
            <w:r>
              <w:rPr>
                <w:rFonts w:ascii="Helvetica" w:hAnsi="Helvetica" w:cs="Helvetica"/>
                <w:sz w:val="18"/>
                <w:szCs w:val="18"/>
              </w:rPr>
              <w:t>. 2008).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Cs/>
                <w:sz w:val="18"/>
                <w:szCs w:val="18"/>
              </w:rPr>
              <w:t>Hop stunt viroid – grapevine</w:t>
            </w:r>
            <w:r>
              <w:rPr>
                <w:rFonts w:ascii="Helvetica" w:hAnsi="Helvetica" w:cs="Helvetica"/>
                <w:i/>
                <w:iCs/>
                <w:sz w:val="18"/>
                <w:szCs w:val="18"/>
              </w:rPr>
              <w:t xml:space="preserve"> </w:t>
            </w:r>
            <w:r>
              <w:rPr>
                <w:rFonts w:ascii="Helvetica" w:hAnsi="Helvetica" w:cs="Helvetica"/>
                <w:sz w:val="18"/>
                <w:szCs w:val="18"/>
              </w:rPr>
              <w:t xml:space="preserve">(HSVd-g) [Pospiviroidae: </w:t>
            </w:r>
            <w:r>
              <w:rPr>
                <w:rFonts w:ascii="Helvetica" w:hAnsi="Helvetica" w:cs="Helvetica"/>
                <w:i/>
                <w:sz w:val="18"/>
                <w:szCs w:val="18"/>
              </w:rPr>
              <w:t>Hostuviroid</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(Koltunow </w:t>
            </w:r>
            <w:r>
              <w:rPr>
                <w:rFonts w:ascii="Helvetica" w:hAnsi="Helvetica" w:cs="Helvetica"/>
                <w:i/>
                <w:iCs/>
                <w:sz w:val="18"/>
                <w:szCs w:val="18"/>
              </w:rPr>
              <w:t xml:space="preserve">et al. </w:t>
            </w:r>
            <w:r>
              <w:rPr>
                <w:rFonts w:ascii="Helvetica" w:hAnsi="Helvetica" w:cs="Helvetica"/>
                <w:sz w:val="18"/>
                <w:szCs w:val="18"/>
              </w:rPr>
              <w:t>1988)</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pStyle w:val="FootnoteText"/>
              <w:spacing w:before="20" w:line="240" w:lineRule="atLeast"/>
              <w:jc w:val="left"/>
              <w:rPr>
                <w:rFonts w:ascii="Helvetica" w:hAnsi="Helvetica" w:cs="Helvetica"/>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VIRUSES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Alfalfa mosaic virus</w:t>
            </w:r>
            <w:r>
              <w:rPr>
                <w:rFonts w:ascii="Helvetica" w:hAnsi="Helvetica" w:cs="Helvetica"/>
                <w:sz w:val="18"/>
                <w:szCs w:val="18"/>
              </w:rPr>
              <w:t xml:space="preserve"> (AMV) [Bromoviridae: Alfamovirus]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sz w:val="18"/>
                <w:szCs w:val="18"/>
                <w:lang w:val="de-DE"/>
              </w:rPr>
              <w:t>Yes (Garran and Gibbs 1982)</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lang w:val="de-DE"/>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 xml:space="preserve">Arabis mosaic virus </w:t>
            </w:r>
            <w:r>
              <w:rPr>
                <w:rFonts w:ascii="Helvetica" w:hAnsi="Helvetica" w:cs="Helvetica"/>
                <w:bCs/>
                <w:sz w:val="18"/>
                <w:szCs w:val="18"/>
              </w:rPr>
              <w:t>(ArMV) – grape strain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sz w:val="18"/>
                <w:szCs w:val="18"/>
                <w:lang w:val="de-DE"/>
              </w:rPr>
              <w:t>Not known to occur</w:t>
            </w:r>
            <w:r>
              <w:rPr>
                <w:rStyle w:val="FootnoteReference"/>
                <w:rFonts w:ascii="Helvetica" w:hAnsi="Helvetica" w:cs="Helvetica"/>
                <w:szCs w:val="18"/>
                <w:lang w:val="de-DE"/>
              </w:rPr>
              <w:footnoteReference w:id="27"/>
            </w:r>
            <w:r>
              <w:rPr>
                <w:rFonts w:ascii="Helvetica" w:hAnsi="Helvetica" w:cs="Helvetica"/>
                <w:sz w:val="18"/>
                <w:szCs w:val="18"/>
                <w:lang w:val="de-DE"/>
              </w:rPr>
              <w:t xml:space="preserve">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ArMV-grape strain infections are often symptomless and expression varies based on type of rootstock, grape variety, and environmental conditions (Anon 2011). ArMV is also seed-borne in grapevines (Lazar </w:t>
            </w:r>
            <w:r>
              <w:rPr>
                <w:rFonts w:ascii="Helvetica" w:hAnsi="Helvetica" w:cs="Helvetica"/>
                <w:i/>
                <w:sz w:val="18"/>
                <w:szCs w:val="18"/>
              </w:rPr>
              <w:t>et al</w:t>
            </w:r>
            <w:r>
              <w:rPr>
                <w:rFonts w:ascii="Helvetica" w:hAnsi="Helvetica" w:cs="Helvetica"/>
                <w:sz w:val="18"/>
                <w:szCs w:val="18"/>
              </w:rPr>
              <w:t>. 1990). ArMV-grape strains may cause mottling and flecking on the leaves and leaf deformation, including enations (Anon 2011; Oklahama State University 2011). This may lead to the propagation and distribution of infected propagative material, suggesting that ArMV-grape strains could enter Australia on propagative material.</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ArMV-grape strains have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w:t>
            </w:r>
            <w:r>
              <w:rPr>
                <w:rStyle w:val="Emphasis"/>
                <w:rFonts w:ascii="Helvetica" w:hAnsi="Helvetica" w:cs="Helvetica"/>
                <w:i w:val="0"/>
                <w:sz w:val="18"/>
                <w:szCs w:val="18"/>
              </w:rPr>
              <w:t xml:space="preserve">Cadman </w:t>
            </w:r>
            <w:r>
              <w:rPr>
                <w:rStyle w:val="Emphasis"/>
                <w:rFonts w:ascii="Helvetica" w:hAnsi="Helvetica" w:cs="Helvetica"/>
                <w:sz w:val="18"/>
                <w:szCs w:val="18"/>
              </w:rPr>
              <w:t>et al</w:t>
            </w:r>
            <w:r>
              <w:rPr>
                <w:rStyle w:val="Emphasis"/>
                <w:rFonts w:ascii="Helvetica" w:hAnsi="Helvetica" w:cs="Helvetica"/>
                <w:i w:val="0"/>
                <w:sz w:val="18"/>
                <w:szCs w:val="18"/>
              </w:rPr>
              <w:t xml:space="preserve">. 1960; Kearns and Mossop 1984; MacKenzie </w:t>
            </w:r>
            <w:r>
              <w:rPr>
                <w:rStyle w:val="Emphasis"/>
                <w:rFonts w:ascii="Helvetica" w:hAnsi="Helvetica" w:cs="Helvetica"/>
                <w:sz w:val="18"/>
                <w:szCs w:val="18"/>
              </w:rPr>
              <w:t>et al</w:t>
            </w:r>
            <w:r>
              <w:rPr>
                <w:rStyle w:val="Emphasis"/>
                <w:rFonts w:ascii="Helvetica" w:hAnsi="Helvetica" w:cs="Helvetica"/>
                <w:i w:val="0"/>
                <w:sz w:val="18"/>
                <w:szCs w:val="18"/>
              </w:rPr>
              <w:t xml:space="preserve">. 1996; Delibašić </w:t>
            </w:r>
            <w:r>
              <w:rPr>
                <w:rStyle w:val="Emphasis"/>
                <w:rFonts w:ascii="Helvetica" w:hAnsi="Helvetica" w:cs="Helvetica"/>
                <w:sz w:val="18"/>
                <w:szCs w:val="18"/>
              </w:rPr>
              <w:t>et al</w:t>
            </w:r>
            <w:r>
              <w:rPr>
                <w:rStyle w:val="Emphasis"/>
                <w:rFonts w:ascii="Helvetica" w:hAnsi="Helvetica" w:cs="Helvetica"/>
                <w:i w:val="0"/>
                <w:sz w:val="18"/>
                <w:szCs w:val="18"/>
              </w:rPr>
              <w:t xml:space="preserve">. 2000; Abelleira </w:t>
            </w:r>
            <w:r>
              <w:rPr>
                <w:rStyle w:val="Emphasis"/>
                <w:rFonts w:ascii="Helvetica" w:hAnsi="Helvetica" w:cs="Helvetica"/>
                <w:sz w:val="18"/>
                <w:szCs w:val="18"/>
              </w:rPr>
              <w:t>et al.</w:t>
            </w:r>
            <w:r>
              <w:rPr>
                <w:rStyle w:val="Emphasis"/>
                <w:rFonts w:ascii="Helvetica" w:hAnsi="Helvetica" w:cs="Helvetica"/>
                <w:i w:val="0"/>
                <w:sz w:val="18"/>
                <w:szCs w:val="18"/>
              </w:rPr>
              <w:t xml:space="preserve"> 2010) </w:t>
            </w:r>
            <w:r>
              <w:rPr>
                <w:rFonts w:ascii="Helvetica" w:hAnsi="Helvetica" w:cs="Helvetica"/>
                <w:sz w:val="18"/>
                <w:szCs w:val="18"/>
              </w:rPr>
              <w:t>and can spread naturally in infected propagative material (Anon 2011). Distribution of infected propagative material will help spread ArMV-grape strains within Australia. Therefore, ArMV-grape strains have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Infected plants may have shortened internodes and exhibit vine decline symptoms (Oklahama State University 2011). This virus can also cause very poor fruit set in affected vines (Abelleira </w:t>
            </w:r>
            <w:r>
              <w:rPr>
                <w:rFonts w:ascii="Helvetica" w:hAnsi="Helvetica" w:cs="Helvetica"/>
                <w:i/>
                <w:sz w:val="18"/>
                <w:szCs w:val="18"/>
              </w:rPr>
              <w:t>et al</w:t>
            </w:r>
            <w:r>
              <w:rPr>
                <w:rFonts w:ascii="Helvetica" w:hAnsi="Helvetica" w:cs="Helvetica"/>
                <w:sz w:val="18"/>
                <w:szCs w:val="18"/>
              </w:rPr>
              <w:t xml:space="preserve">. 2010). ArMV can be present in a mixed infection with GFLV (Weber </w:t>
            </w:r>
            <w:r>
              <w:rPr>
                <w:rFonts w:ascii="Helvetica" w:hAnsi="Helvetica" w:cs="Helvetica"/>
                <w:i/>
                <w:sz w:val="18"/>
                <w:szCs w:val="18"/>
              </w:rPr>
              <w:t>et al</w:t>
            </w:r>
            <w:r>
              <w:rPr>
                <w:rFonts w:ascii="Helvetica" w:hAnsi="Helvetica" w:cs="Helvetica"/>
                <w:sz w:val="18"/>
                <w:szCs w:val="18"/>
              </w:rPr>
              <w:t xml:space="preserve">. 2002). ArMV-grape strains are considered of quarantine significance by some trading partners. Presence of ArMV-grape strains in Australia would impact upon Australia’s ability to access overseas markets. Therefore, ArMV-grape strains have the potential for economic consequences in parts of Australia. </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Artichoke Italian latent virus</w:t>
            </w:r>
            <w:r>
              <w:rPr>
                <w:rFonts w:ascii="Helvetica" w:hAnsi="Helvetica" w:cs="Helvetica"/>
                <w:bCs/>
                <w:sz w:val="18"/>
                <w:szCs w:val="18"/>
              </w:rPr>
              <w:t xml:space="preserve"> (AILV)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bCs/>
                <w:sz w:val="18"/>
                <w:szCs w:val="18"/>
              </w:rPr>
            </w:pPr>
            <w:r>
              <w:rPr>
                <w:rFonts w:ascii="Helvetica" w:hAnsi="Helvetica" w:cs="Helvetica"/>
                <w:sz w:val="18"/>
                <w:szCs w:val="18"/>
                <w:lang w:val="de-DE"/>
              </w:rPr>
              <w:t>Not known to occur</w:t>
            </w:r>
          </w:p>
        </w:tc>
        <w:tc>
          <w:tcPr>
            <w:tcW w:w="264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iCs/>
                <w:sz w:val="18"/>
                <w:szCs w:val="18"/>
              </w:rPr>
              <w:t xml:space="preserve">AILV </w:t>
            </w:r>
            <w:r>
              <w:rPr>
                <w:rFonts w:ascii="Helvetica" w:hAnsi="Helvetica" w:cs="Helvetica"/>
                <w:sz w:val="18"/>
                <w:szCs w:val="18"/>
              </w:rPr>
              <w:t xml:space="preserve">is soil-borne (Kyriakopoulou 2008) and causes fanleaf symptoms in grapevine (Jankulova </w:t>
            </w:r>
            <w:r>
              <w:rPr>
                <w:rFonts w:ascii="Helvetica" w:hAnsi="Helvetica" w:cs="Helvetica"/>
                <w:i/>
                <w:sz w:val="18"/>
                <w:szCs w:val="18"/>
              </w:rPr>
              <w:t xml:space="preserve">et al. </w:t>
            </w:r>
            <w:r>
              <w:rPr>
                <w:rFonts w:ascii="Helvetica" w:hAnsi="Helvetica" w:cs="Helvetica"/>
                <w:sz w:val="18"/>
                <w:szCs w:val="18"/>
              </w:rPr>
              <w:t xml:space="preserve">1978; </w:t>
            </w:r>
            <w:r>
              <w:rPr>
                <w:rFonts w:ascii="Helvetica" w:hAnsi="Helvetica" w:cs="Helvetica"/>
                <w:bCs/>
                <w:sz w:val="18"/>
                <w:szCs w:val="18"/>
              </w:rPr>
              <w:t>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w:t>
            </w:r>
            <w:r>
              <w:rPr>
                <w:rFonts w:ascii="Helvetica" w:hAnsi="Helvetica" w:cs="Helvetica"/>
                <w:sz w:val="18"/>
                <w:szCs w:val="18"/>
              </w:rPr>
              <w:t xml:space="preserve">). </w:t>
            </w:r>
            <w:r>
              <w:rPr>
                <w:rFonts w:ascii="Helvetica" w:hAnsi="Helvetica" w:cs="Helvetica"/>
                <w:bCs/>
                <w:sz w:val="18"/>
                <w:szCs w:val="18"/>
              </w:rPr>
              <w:t xml:space="preserve">Viruses, as a rule, infect host plants systemically and all plant parts, including parts used for vegetative propagation, are infected (Bos1999). Therefore, </w:t>
            </w:r>
            <w:r>
              <w:rPr>
                <w:rFonts w:ascii="Helvetica" w:hAnsi="Helvetica" w:cs="Helvetica"/>
                <w:sz w:val="18"/>
                <w:szCs w:val="18"/>
              </w:rPr>
              <w:t>propagative material does provide a pathway for AILV.</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keepNext/>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AILV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w:t>
            </w:r>
            <w:r>
              <w:rPr>
                <w:rFonts w:ascii="Helvetica" w:hAnsi="Helvetica" w:cs="Helvetica"/>
                <w:sz w:val="18"/>
                <w:szCs w:val="18"/>
              </w:rPr>
              <w:t xml:space="preserve">Roca </w:t>
            </w:r>
            <w:r>
              <w:rPr>
                <w:rFonts w:ascii="Helvetica" w:hAnsi="Helvetica" w:cs="Helvetica"/>
                <w:i/>
                <w:sz w:val="18"/>
                <w:szCs w:val="18"/>
              </w:rPr>
              <w:t>et al</w:t>
            </w:r>
            <w:r>
              <w:rPr>
                <w:rFonts w:ascii="Helvetica" w:hAnsi="Helvetica" w:cs="Helvetica"/>
                <w:sz w:val="18"/>
                <w:szCs w:val="18"/>
              </w:rPr>
              <w:t xml:space="preserve">. 1975; Savino </w:t>
            </w:r>
            <w:r>
              <w:rPr>
                <w:rFonts w:ascii="Helvetica" w:hAnsi="Helvetica" w:cs="Helvetica"/>
                <w:i/>
                <w:sz w:val="18"/>
                <w:szCs w:val="18"/>
              </w:rPr>
              <w:t>et al</w:t>
            </w:r>
            <w:r>
              <w:rPr>
                <w:rFonts w:ascii="Helvetica" w:hAnsi="Helvetica" w:cs="Helvetica"/>
                <w:sz w:val="18"/>
                <w:szCs w:val="18"/>
              </w:rPr>
              <w:t xml:space="preserve">. 1977; Gallitelli </w:t>
            </w:r>
            <w:r>
              <w:rPr>
                <w:rFonts w:ascii="Helvetica" w:hAnsi="Helvetica" w:cs="Helvetica"/>
                <w:i/>
                <w:sz w:val="18"/>
                <w:szCs w:val="18"/>
              </w:rPr>
              <w:t>et al</w:t>
            </w:r>
            <w:r>
              <w:rPr>
                <w:rFonts w:ascii="Helvetica" w:hAnsi="Helvetica" w:cs="Helvetica"/>
                <w:sz w:val="18"/>
                <w:szCs w:val="18"/>
              </w:rPr>
              <w:t>. 2004; Kyriakopoulou 2008) and it can spread naturally in infected propagative material. Distribution of infected propagative material will help spread AILV within Australia. Therefore, AILV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keepNext/>
              <w:spacing w:before="20" w:line="240" w:lineRule="atLeast"/>
              <w:jc w:val="left"/>
              <w:rPr>
                <w:rFonts w:ascii="Helvetica" w:hAnsi="Helvetica" w:cs="Helvetica"/>
                <w:iCs/>
                <w:sz w:val="18"/>
                <w:szCs w:val="18"/>
              </w:rPr>
            </w:pPr>
            <w:r>
              <w:rPr>
                <w:rFonts w:ascii="Helvetica" w:hAnsi="Helvetica" w:cs="Helvetica"/>
                <w:b/>
                <w:iCs/>
                <w:sz w:val="18"/>
                <w:szCs w:val="18"/>
              </w:rPr>
              <w:t xml:space="preserve">Yes: </w:t>
            </w:r>
            <w:r>
              <w:rPr>
                <w:rFonts w:ascii="Helvetica" w:hAnsi="Helvetica" w:cs="Helvetica"/>
                <w:iCs/>
                <w:sz w:val="18"/>
                <w:szCs w:val="18"/>
              </w:rPr>
              <w:t xml:space="preserve">AILV is an economically important virus due to its extensive host range and the yield losses it can cause in some hosts (Gallitelli </w:t>
            </w:r>
            <w:r>
              <w:rPr>
                <w:rFonts w:ascii="Helvetica" w:hAnsi="Helvetica" w:cs="Helvetica"/>
                <w:i/>
                <w:iCs/>
                <w:sz w:val="18"/>
                <w:szCs w:val="18"/>
              </w:rPr>
              <w:t>et al</w:t>
            </w:r>
            <w:r>
              <w:rPr>
                <w:rFonts w:ascii="Helvetica" w:hAnsi="Helvetica" w:cs="Helvetica"/>
                <w:iCs/>
                <w:sz w:val="18"/>
                <w:szCs w:val="18"/>
              </w:rPr>
              <w:t xml:space="preserve">. 2004). No information is available on economic losses caused by this virus in grapes, but </w:t>
            </w:r>
            <w:r>
              <w:rPr>
                <w:rFonts w:ascii="Helvetica" w:hAnsi="Helvetica" w:cs="Helvetica"/>
                <w:sz w:val="18"/>
                <w:szCs w:val="18"/>
              </w:rPr>
              <w:t xml:space="preserve">AILV causes patchy chlorotic stunting disease in artichokes. Infected crops are rendered unproductive (Brown </w:t>
            </w:r>
            <w:r>
              <w:rPr>
                <w:rFonts w:ascii="Helvetica" w:hAnsi="Helvetica" w:cs="Helvetica"/>
                <w:i/>
                <w:sz w:val="18"/>
                <w:szCs w:val="18"/>
              </w:rPr>
              <w:t>et al</w:t>
            </w:r>
            <w:r>
              <w:rPr>
                <w:rFonts w:ascii="Helvetica" w:hAnsi="Helvetica" w:cs="Helvetica"/>
                <w:sz w:val="18"/>
                <w:szCs w:val="18"/>
              </w:rPr>
              <w:t>. 1997). Therefore, AILV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keepNext/>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Blueberry leaf mottle virus</w:t>
            </w:r>
            <w:r>
              <w:rPr>
                <w:rFonts w:ascii="Helvetica" w:hAnsi="Helvetica" w:cs="Helvetica"/>
                <w:bCs/>
                <w:sz w:val="18"/>
                <w:szCs w:val="18"/>
              </w:rPr>
              <w:t xml:space="preserve"> (BLMoV) New York (NY) strain [</w:t>
            </w:r>
            <w:r>
              <w:rPr>
                <w:rFonts w:ascii="Helvetica" w:hAnsi="Helvetica" w:cs="Helvetica"/>
                <w:sz w:val="18"/>
                <w:szCs w:val="18"/>
              </w:rPr>
              <w:t>Secoviridae:</w:t>
            </w:r>
            <w:r>
              <w:rPr>
                <w:rFonts w:ascii="Helvetica" w:hAnsi="Helvetica" w:cs="Helvetica"/>
                <w:bCs/>
                <w:sz w:val="18"/>
                <w:szCs w:val="18"/>
              </w:rPr>
              <w:t xml:space="preserve"> Nepovirus]</w:t>
            </w:r>
            <w:r>
              <w:rPr>
                <w:rStyle w:val="FootnoteReference"/>
                <w:rFonts w:ascii="Helvetica" w:hAnsi="Helvetica" w:cs="Helvetica"/>
                <w:bCs/>
                <w:szCs w:val="18"/>
              </w:rPr>
              <w:footnoteReference w:id="28"/>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sz w:val="18"/>
                <w:szCs w:val="18"/>
                <w:lang w:val="de-DE"/>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NY strain is </w:t>
            </w:r>
            <w:r>
              <w:rPr>
                <w:rFonts w:ascii="Helvetica" w:hAnsi="Helvetica" w:cs="Helvetica"/>
                <w:bCs/>
                <w:sz w:val="18"/>
                <w:szCs w:val="18"/>
              </w:rPr>
              <w:t xml:space="preserve">associated with fanleaf like symptoms (Oliver and Fuchs 2011) and is </w:t>
            </w:r>
            <w:r>
              <w:rPr>
                <w:rFonts w:ascii="Helvetica" w:hAnsi="Helvetica" w:cs="Helvetica"/>
                <w:sz w:val="18"/>
                <w:szCs w:val="18"/>
              </w:rPr>
              <w:t xml:space="preserve">seed-borne in grapevines (Uyemoto </w:t>
            </w:r>
            <w:r>
              <w:rPr>
                <w:rFonts w:ascii="Helvetica" w:hAnsi="Helvetica" w:cs="Helvetica"/>
                <w:i/>
                <w:sz w:val="18"/>
                <w:szCs w:val="18"/>
              </w:rPr>
              <w:t>et al</w:t>
            </w:r>
            <w:r>
              <w:rPr>
                <w:rFonts w:ascii="Helvetica" w:hAnsi="Helvetica" w:cs="Helvetica"/>
                <w:sz w:val="18"/>
                <w:szCs w:val="18"/>
              </w:rPr>
              <w:t>. 1977). BLMoV-NY strain</w:t>
            </w:r>
            <w:r>
              <w:rPr>
                <w:rFonts w:ascii="Helvetica" w:hAnsi="Helvetica" w:cs="Helvetica"/>
                <w:bCs/>
                <w:sz w:val="18"/>
                <w:szCs w:val="18"/>
              </w:rPr>
              <w:t xml:space="preserve"> symptoms include pale green foliage and irregular elongation of shoots (</w:t>
            </w:r>
            <w:r>
              <w:rPr>
                <w:rFonts w:ascii="Helvetica" w:hAnsi="Helvetica" w:cs="Helvetica"/>
                <w:sz w:val="18"/>
                <w:szCs w:val="18"/>
              </w:rPr>
              <w:t xml:space="preserve">Uyemoto </w:t>
            </w:r>
            <w:r>
              <w:rPr>
                <w:rFonts w:ascii="Helvetica" w:hAnsi="Helvetica" w:cs="Helvetica"/>
                <w:i/>
                <w:sz w:val="18"/>
                <w:szCs w:val="18"/>
              </w:rPr>
              <w:t>et al</w:t>
            </w:r>
            <w:r>
              <w:rPr>
                <w:rFonts w:ascii="Helvetica" w:hAnsi="Helvetica" w:cs="Helvetica"/>
                <w:sz w:val="18"/>
                <w:szCs w:val="18"/>
              </w:rPr>
              <w:t xml:space="preserve">. 1977). </w:t>
            </w:r>
            <w:r>
              <w:rPr>
                <w:rFonts w:ascii="Helvetica" w:hAnsi="Helvetica" w:cs="Helvetica"/>
                <w:bCs/>
                <w:sz w:val="18"/>
                <w:szCs w:val="18"/>
              </w:rPr>
              <w:t>Viruses, as a rule, infect host plants systemically and all plant parts, including parts used for vegetative propagation, are infected (Bos 1999). Therefore, p</w:t>
            </w:r>
            <w:r>
              <w:rPr>
                <w:rFonts w:ascii="Helvetica" w:hAnsi="Helvetica" w:cs="Helvetica"/>
                <w:sz w:val="18"/>
                <w:szCs w:val="18"/>
              </w:rPr>
              <w:t>ropagative material provides a pathway for this virus.</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BLMoV-NY strain has established in areas with a wide range of climatic conditions</w:t>
            </w:r>
            <w:r>
              <w:rPr>
                <w:rFonts w:ascii="Helvetica" w:hAnsi="Helvetica" w:cs="Helvetica"/>
                <w:i/>
                <w:iCs/>
                <w:sz w:val="18"/>
                <w:szCs w:val="18"/>
              </w:rPr>
              <w:t xml:space="preserve"> </w:t>
            </w:r>
            <w:r>
              <w:rPr>
                <w:rFonts w:ascii="Helvetica" w:hAnsi="Helvetica" w:cs="Helvetica"/>
                <w:sz w:val="18"/>
                <w:szCs w:val="18"/>
              </w:rPr>
              <w:t xml:space="preserve">(Uyemoto </w:t>
            </w:r>
            <w:r>
              <w:rPr>
                <w:rFonts w:ascii="Helvetica" w:hAnsi="Helvetica" w:cs="Helvetica"/>
                <w:i/>
                <w:sz w:val="18"/>
                <w:szCs w:val="18"/>
              </w:rPr>
              <w:t>et al</w:t>
            </w:r>
            <w:r>
              <w:rPr>
                <w:rFonts w:ascii="Helvetica" w:hAnsi="Helvetica" w:cs="Helvetica"/>
                <w:sz w:val="18"/>
                <w:szCs w:val="18"/>
              </w:rPr>
              <w:t xml:space="preserve">. 1977) and it can spread naturally in infected propagative material. Distribution of infected propagative material will help spread BLMoV-NY strain within Australia. Therefore, BLMoV-NY strain has the potential to establish and spread in Australia.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Information on the economic consequences of BLMoV-NY strain on grapes is limited. </w:t>
            </w:r>
            <w:r>
              <w:rPr>
                <w:rFonts w:ascii="Helvetica" w:hAnsi="Helvetica" w:cs="Helvetica"/>
                <w:iCs/>
                <w:sz w:val="18"/>
                <w:szCs w:val="18"/>
              </w:rPr>
              <w:t xml:space="preserve">However, as it is a part of the virus complex associated </w:t>
            </w:r>
            <w:r>
              <w:rPr>
                <w:rFonts w:ascii="Helvetica" w:hAnsi="Helvetica" w:cs="Helvetica"/>
                <w:bCs/>
                <w:sz w:val="18"/>
                <w:szCs w:val="18"/>
              </w:rPr>
              <w:t xml:space="preserve">with fanleaf degeneration/decline disease (Oliver and Fuchs 2011), </w:t>
            </w:r>
            <w:r>
              <w:rPr>
                <w:rFonts w:ascii="Helvetica" w:hAnsi="Helvetica" w:cs="Helvetica"/>
                <w:iCs/>
                <w:sz w:val="18"/>
                <w:szCs w:val="18"/>
              </w:rPr>
              <w:t xml:space="preserve">it may cause significant crop losses. </w:t>
            </w:r>
            <w:r>
              <w:rPr>
                <w:rFonts w:ascii="Helvetica" w:hAnsi="Helvetica" w:cs="Helvetica"/>
                <w:sz w:val="18"/>
                <w:szCs w:val="18"/>
              </w:rPr>
              <w:t xml:space="preserve">BLMoV-NY strain </w:t>
            </w:r>
            <w:r>
              <w:rPr>
                <w:rFonts w:ascii="Helvetica" w:hAnsi="Helvetica" w:cs="Helvetica"/>
                <w:iCs/>
                <w:sz w:val="18"/>
                <w:szCs w:val="18"/>
              </w:rPr>
              <w:t>induces delayed bud break and straggly fruit clusters (</w:t>
            </w:r>
            <w:r>
              <w:rPr>
                <w:rFonts w:ascii="Helvetica" w:hAnsi="Helvetica" w:cs="Helvetica"/>
                <w:sz w:val="18"/>
                <w:szCs w:val="18"/>
              </w:rPr>
              <w:t xml:space="preserve">Uyemoto </w:t>
            </w:r>
            <w:r>
              <w:rPr>
                <w:rFonts w:ascii="Helvetica" w:hAnsi="Helvetica" w:cs="Helvetica"/>
                <w:i/>
                <w:sz w:val="18"/>
                <w:szCs w:val="18"/>
              </w:rPr>
              <w:t>et al</w:t>
            </w:r>
            <w:r>
              <w:rPr>
                <w:rFonts w:ascii="Helvetica" w:hAnsi="Helvetica" w:cs="Helvetica"/>
                <w:sz w:val="18"/>
                <w:szCs w:val="18"/>
              </w:rPr>
              <w:t xml:space="preserve">. 1977). </w:t>
            </w:r>
            <w:r>
              <w:rPr>
                <w:rFonts w:ascii="Helvetica" w:hAnsi="Helvetica" w:cs="Helvetica"/>
                <w:iCs/>
                <w:sz w:val="18"/>
                <w:szCs w:val="18"/>
              </w:rPr>
              <w:t xml:space="preserve">This may reduce yield and fruit quality. </w:t>
            </w:r>
            <w:r>
              <w:rPr>
                <w:rFonts w:ascii="Helvetica" w:hAnsi="Helvetica" w:cs="Helvetica"/>
                <w:sz w:val="18"/>
                <w:szCs w:val="18"/>
              </w:rPr>
              <w:t>Therefore, BLMoV-NY strain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Broad bean wilt virus </w:t>
            </w:r>
            <w:r>
              <w:rPr>
                <w:rFonts w:ascii="Helvetica" w:hAnsi="Helvetica" w:cs="Helvetica"/>
                <w:sz w:val="18"/>
                <w:szCs w:val="18"/>
              </w:rPr>
              <w:t>(BBWV) [Secoviridae:</w:t>
            </w:r>
            <w:r>
              <w:rPr>
                <w:rFonts w:ascii="Helvetica" w:hAnsi="Helvetica" w:cs="Helvetica"/>
                <w:bCs/>
                <w:sz w:val="18"/>
                <w:szCs w:val="18"/>
              </w:rPr>
              <w:t xml:space="preserve"> Fabavirus]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 xml:space="preserve">Yes (Schwinghamer </w:t>
            </w:r>
            <w:r>
              <w:rPr>
                <w:rFonts w:ascii="Helvetica" w:hAnsi="Helvetica" w:cs="Helvetica"/>
                <w:bCs/>
                <w:i/>
                <w:sz w:val="18"/>
                <w:szCs w:val="18"/>
              </w:rPr>
              <w:t>et al</w:t>
            </w:r>
            <w:r>
              <w:rPr>
                <w:rFonts w:ascii="Helvetica" w:hAnsi="Helvetica" w:cs="Helvetica"/>
                <w:bCs/>
                <w:sz w:val="18"/>
                <w:szCs w:val="18"/>
              </w:rPr>
              <w:t>. 2007)</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sz w:val="18"/>
                <w:szCs w:val="18"/>
                <w:lang w:val="de-DE"/>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Carnation mottle carmovirus </w:t>
            </w:r>
            <w:r>
              <w:rPr>
                <w:rFonts w:ascii="Helvetica" w:hAnsi="Helvetica" w:cs="Helvetica"/>
                <w:sz w:val="18"/>
                <w:szCs w:val="18"/>
              </w:rPr>
              <w:t>(CarMV) [Tombusviridae: Carmovirus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sz w:val="18"/>
                <w:szCs w:val="18"/>
                <w:lang w:val="de-DE"/>
              </w:rPr>
              <w:t>Yes (Moran 1994)</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sz w:val="18"/>
                <w:szCs w:val="18"/>
                <w:lang w:val="de-DE"/>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lang w:val="de-DE"/>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lang w:val="de-DE"/>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lang w:val="de-DE"/>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 xml:space="preserve">Cherry leafroll virus </w:t>
            </w:r>
            <w:r>
              <w:rPr>
                <w:rFonts w:ascii="Helvetica" w:hAnsi="Helvetica" w:cs="Helvetica"/>
                <w:bCs/>
                <w:sz w:val="18"/>
                <w:szCs w:val="18"/>
              </w:rPr>
              <w:t>(CLRV) – grape isolate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Nor known to occur</w:t>
            </w:r>
            <w:r>
              <w:rPr>
                <w:rStyle w:val="FootnoteReference"/>
                <w:rFonts w:ascii="Helvetica" w:hAnsi="Helvetica" w:cs="Helvetica"/>
                <w:szCs w:val="18"/>
              </w:rPr>
              <w:footnoteReference w:id="29"/>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CLRV is associated with fanleaf like symptoms (Martelli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 The symptoms caused by CLRV on grapes include leaf yellowing, leaf chlorosis and yellow leaf mosaic symptoms (Ipach </w:t>
            </w:r>
            <w:r>
              <w:rPr>
                <w:rFonts w:ascii="Helvetica" w:hAnsi="Helvetica" w:cs="Helvetica"/>
                <w:bCs/>
                <w:i/>
                <w:sz w:val="18"/>
                <w:szCs w:val="18"/>
              </w:rPr>
              <w:t>et al</w:t>
            </w:r>
            <w:r>
              <w:rPr>
                <w:rFonts w:ascii="Helvetica" w:hAnsi="Helvetica" w:cs="Helvetica"/>
                <w:bCs/>
                <w:sz w:val="18"/>
                <w:szCs w:val="18"/>
              </w:rPr>
              <w:t>. 2003). Viruses, as a rule, infect host plants systemically and all plant parts, including parts used for vegetative propagation, are infected (Bos 1999). Therefore, p</w:t>
            </w:r>
            <w:r>
              <w:rPr>
                <w:rFonts w:ascii="Helvetica" w:hAnsi="Helvetica" w:cs="Helvetica"/>
                <w:sz w:val="18"/>
                <w:szCs w:val="18"/>
              </w:rPr>
              <w:t xml:space="preserve">ropagative material provides a pathway for </w:t>
            </w:r>
            <w:r>
              <w:rPr>
                <w:rFonts w:ascii="Helvetica" w:hAnsi="Helvetica" w:cs="Helvetica"/>
                <w:bCs/>
                <w:sz w:val="18"/>
                <w:szCs w:val="18"/>
              </w:rPr>
              <w:t>CLRV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CLRV</w:t>
            </w:r>
            <w:r>
              <w:rPr>
                <w:rFonts w:ascii="Helvetica" w:hAnsi="Helvetica" w:cs="Helvetica"/>
                <w:sz w:val="18"/>
                <w:szCs w:val="18"/>
              </w:rPr>
              <w:t xml:space="preserve"> has established in areas with a wide range of climatic conditions</w:t>
            </w:r>
            <w:r>
              <w:rPr>
                <w:rFonts w:ascii="Helvetica" w:hAnsi="Helvetica" w:cs="Helvetica"/>
                <w:i/>
                <w:iCs/>
                <w:sz w:val="18"/>
                <w:szCs w:val="18"/>
              </w:rPr>
              <w:t xml:space="preserve"> </w:t>
            </w:r>
            <w:r>
              <w:rPr>
                <w:rFonts w:ascii="Helvetica" w:hAnsi="Helvetica" w:cs="Helvetica"/>
                <w:sz w:val="18"/>
                <w:szCs w:val="18"/>
              </w:rPr>
              <w:t xml:space="preserve">(Herrera and Madariaga 2001; Ipach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xml:space="preserve">. 2003) and it can spread naturally in infected propagative material. Distribution of infected propagative material will help spread </w:t>
            </w:r>
            <w:r>
              <w:rPr>
                <w:rFonts w:ascii="Helvetica" w:hAnsi="Helvetica" w:cs="Helvetica"/>
                <w:bCs/>
                <w:sz w:val="18"/>
                <w:szCs w:val="18"/>
              </w:rPr>
              <w:t>CLRV</w:t>
            </w:r>
            <w:r>
              <w:rPr>
                <w:rFonts w:ascii="Helvetica" w:hAnsi="Helvetica" w:cs="Helvetica"/>
                <w:sz w:val="18"/>
                <w:szCs w:val="18"/>
              </w:rPr>
              <w:t xml:space="preserve"> within Australia. Therefore, </w:t>
            </w:r>
            <w:r>
              <w:rPr>
                <w:rFonts w:ascii="Helvetica" w:hAnsi="Helvetica" w:cs="Helvetica"/>
                <w:bCs/>
                <w:sz w:val="18"/>
                <w:szCs w:val="18"/>
              </w:rPr>
              <w:t>CLRV</w:t>
            </w:r>
            <w:r>
              <w:rPr>
                <w:rFonts w:ascii="Helvetica" w:hAnsi="Helvetica" w:cs="Helvetica"/>
                <w:sz w:val="18"/>
                <w:szCs w:val="18"/>
              </w:rPr>
              <w:t xml:space="preserve"> has the potential to establish and spread in Australia. </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Information on the economic consequences of this virus is almost non-existent. </w:t>
            </w:r>
            <w:r>
              <w:rPr>
                <w:rFonts w:ascii="Helvetica" w:hAnsi="Helvetica" w:cs="Helvetica"/>
                <w:iCs/>
                <w:sz w:val="18"/>
                <w:szCs w:val="18"/>
              </w:rPr>
              <w:t xml:space="preserve">However, as it is a part of the virus complex associated </w:t>
            </w:r>
            <w:r>
              <w:rPr>
                <w:rFonts w:ascii="Helvetica" w:hAnsi="Helvetica" w:cs="Helvetica"/>
                <w:bCs/>
                <w:sz w:val="18"/>
                <w:szCs w:val="18"/>
              </w:rPr>
              <w:t xml:space="preserve">with fanleaf degeneration/decline disease (Oliver and Fuchs 2011), </w:t>
            </w:r>
            <w:r>
              <w:rPr>
                <w:rFonts w:ascii="Helvetica" w:hAnsi="Helvetica" w:cs="Helvetica"/>
                <w:iCs/>
                <w:sz w:val="18"/>
                <w:szCs w:val="18"/>
              </w:rPr>
              <w:t>it may cause significant crop losses. CLRV causes leaf yellowing, leaf chlorosis, yellow leaf mosaic symptoms, small fruit and premature berry abscission (</w:t>
            </w:r>
            <w:r>
              <w:rPr>
                <w:rFonts w:ascii="Helvetica" w:hAnsi="Helvetica" w:cs="Helvetica"/>
                <w:sz w:val="18"/>
                <w:szCs w:val="18"/>
              </w:rPr>
              <w:t xml:space="preserve">Ipach </w:t>
            </w:r>
            <w:r>
              <w:rPr>
                <w:rFonts w:ascii="Helvetica" w:hAnsi="Helvetica" w:cs="Helvetica"/>
                <w:i/>
                <w:sz w:val="18"/>
                <w:szCs w:val="18"/>
              </w:rPr>
              <w:t>et al</w:t>
            </w:r>
            <w:r>
              <w:rPr>
                <w:rFonts w:ascii="Helvetica" w:hAnsi="Helvetica" w:cs="Helvetica"/>
                <w:sz w:val="18"/>
                <w:szCs w:val="18"/>
              </w:rPr>
              <w:t xml:space="preserve">. 2003). </w:t>
            </w:r>
            <w:r>
              <w:rPr>
                <w:rFonts w:ascii="Helvetica" w:hAnsi="Helvetica" w:cs="Helvetica"/>
                <w:iCs/>
                <w:sz w:val="18"/>
                <w:szCs w:val="18"/>
              </w:rPr>
              <w:t xml:space="preserve">This may reduce yield and fruit quality. </w:t>
            </w:r>
            <w:r>
              <w:rPr>
                <w:rFonts w:ascii="Helvetica" w:hAnsi="Helvetica" w:cs="Helvetica"/>
                <w:sz w:val="18"/>
                <w:szCs w:val="18"/>
              </w:rPr>
              <w:t>Therefore, this virus has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i/>
                <w:sz w:val="18"/>
                <w:szCs w:val="18"/>
              </w:rPr>
              <w:t>Cucumber mosaic virus</w:t>
            </w:r>
            <w:r>
              <w:rPr>
                <w:rFonts w:ascii="Helvetica" w:hAnsi="Helvetica" w:cs="Helvetica"/>
                <w:sz w:val="18"/>
                <w:szCs w:val="18"/>
              </w:rPr>
              <w:t xml:space="preserve"> (CMV) – grape isolate (CMV-YA200) [Bromoviridae: Cucumovirus]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sz w:val="18"/>
                <w:szCs w:val="18"/>
              </w:rPr>
              <w:t>Nor known to occur</w:t>
            </w:r>
            <w:r>
              <w:rPr>
                <w:rStyle w:val="FootnoteReference"/>
                <w:rFonts w:ascii="Helvetica" w:hAnsi="Helvetica" w:cs="Helvetica"/>
                <w:szCs w:val="18"/>
              </w:rPr>
              <w:footnoteReference w:id="30"/>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CMV grape isolate naturally infects grapevine (Koklu </w:t>
            </w:r>
            <w:r>
              <w:rPr>
                <w:rFonts w:ascii="Helvetica" w:hAnsi="Helvetica" w:cs="Helvetica"/>
                <w:bCs/>
                <w:i/>
                <w:sz w:val="18"/>
                <w:szCs w:val="18"/>
              </w:rPr>
              <w:t>et al</w:t>
            </w:r>
            <w:r>
              <w:rPr>
                <w:rFonts w:ascii="Helvetica" w:hAnsi="Helvetica" w:cs="Helvetica"/>
                <w:bCs/>
                <w:sz w:val="18"/>
                <w:szCs w:val="18"/>
              </w:rPr>
              <w:t xml:space="preserve">. 1998) and infections are symptomless (Koklu </w:t>
            </w:r>
            <w:r>
              <w:rPr>
                <w:rFonts w:ascii="Helvetica" w:hAnsi="Helvetica" w:cs="Helvetica"/>
                <w:bCs/>
                <w:i/>
                <w:sz w:val="18"/>
                <w:szCs w:val="18"/>
              </w:rPr>
              <w:t>et al</w:t>
            </w:r>
            <w:r>
              <w:rPr>
                <w:rFonts w:ascii="Helvetica" w:hAnsi="Helvetica" w:cs="Helvetica"/>
                <w:bCs/>
                <w:sz w:val="18"/>
                <w:szCs w:val="18"/>
              </w:rPr>
              <w:t xml:space="preserve">. 1999). </w:t>
            </w:r>
            <w:r>
              <w:rPr>
                <w:rFonts w:ascii="Helvetica" w:hAnsi="Helvetica" w:cs="Helvetica"/>
                <w:sz w:val="18"/>
                <w:szCs w:val="18"/>
              </w:rPr>
              <w:t xml:space="preserve">This may lead to the propagation and distribution of infected propagative material, suggesting that </w:t>
            </w:r>
            <w:r>
              <w:rPr>
                <w:rFonts w:ascii="Helvetica" w:hAnsi="Helvetica" w:cs="Helvetica"/>
                <w:bCs/>
                <w:sz w:val="18"/>
                <w:szCs w:val="18"/>
              </w:rPr>
              <w:t>CMV grape isolate</w:t>
            </w:r>
            <w:r>
              <w:rPr>
                <w:rFonts w:ascii="Helvetica" w:hAnsi="Helvetica" w:cs="Helvetica"/>
                <w:sz w:val="18"/>
                <w:szCs w:val="18"/>
              </w:rPr>
              <w:t xml:space="preserve"> could enter Australia on propagative material.</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CMV grape isolate has established in areas with a wide range of climatic conditions (Paradies </w:t>
            </w:r>
            <w:r>
              <w:rPr>
                <w:rFonts w:ascii="Helvetica" w:hAnsi="Helvetica" w:cs="Helvetica"/>
                <w:i/>
                <w:sz w:val="18"/>
                <w:szCs w:val="18"/>
              </w:rPr>
              <w:t>et al</w:t>
            </w:r>
            <w:r>
              <w:rPr>
                <w:rFonts w:ascii="Helvetica" w:hAnsi="Helvetica" w:cs="Helvetica"/>
                <w:sz w:val="18"/>
                <w:szCs w:val="18"/>
              </w:rPr>
              <w:t>. 2000). The symptomless nature of this virus may contribute to the inadvertent propagation and distribution of infected material that will help spread CMV grape isolate within Australia. Therefore, CMV grape isolate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Information on the economic consequences of this virus is almost non-existent. CMV does not appear to be a threatening pathogen to grapes as infections are apparently symptomless (Paradies </w:t>
            </w:r>
            <w:r>
              <w:rPr>
                <w:rFonts w:ascii="Helvetica" w:hAnsi="Helvetica" w:cs="Helvetica"/>
                <w:i/>
                <w:sz w:val="18"/>
                <w:szCs w:val="18"/>
              </w:rPr>
              <w:t>et al</w:t>
            </w:r>
            <w:r>
              <w:rPr>
                <w:rFonts w:ascii="Helvetica" w:hAnsi="Helvetica" w:cs="Helvetica"/>
                <w:sz w:val="18"/>
                <w:szCs w:val="18"/>
              </w:rPr>
              <w:t>. 2000) and economic consequences are not reported. Therefore, this virus does not have the potential for significant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F3F3F3"/>
          </w:tcPr>
          <w:p>
            <w:pPr>
              <w:spacing w:before="20" w:line="240" w:lineRule="atLeast"/>
              <w:jc w:val="left"/>
              <w:rPr>
                <w:rFonts w:ascii="Helvetica" w:hAnsi="Helvetica" w:cs="Helvetica"/>
                <w:b/>
                <w:bCs/>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 xml:space="preserve">Grapevine ajinashika virus </w:t>
            </w:r>
            <w:r>
              <w:rPr>
                <w:rFonts w:ascii="Helvetica" w:hAnsi="Helvetica" w:cs="Helvetica"/>
                <w:bCs/>
                <w:sz w:val="18"/>
                <w:szCs w:val="18"/>
              </w:rPr>
              <w:t>(GAgV) [Luteoviridae: Luteovirus]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Nor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GAgV is symptomless in grapevines (Namba </w:t>
            </w:r>
            <w:r>
              <w:rPr>
                <w:rFonts w:ascii="Helvetica" w:hAnsi="Helvetica" w:cs="Helvetica"/>
                <w:bCs/>
                <w:i/>
                <w:sz w:val="18"/>
                <w:szCs w:val="18"/>
              </w:rPr>
              <w:t>et al</w:t>
            </w:r>
            <w:r>
              <w:rPr>
                <w:rFonts w:ascii="Helvetica" w:hAnsi="Helvetica" w:cs="Helvetica"/>
                <w:bCs/>
                <w:sz w:val="18"/>
                <w:szCs w:val="18"/>
              </w:rPr>
              <w:t xml:space="preserve">. 1991b) and this </w:t>
            </w:r>
            <w:r>
              <w:rPr>
                <w:rFonts w:ascii="Helvetica" w:hAnsi="Helvetica" w:cs="Helvetica"/>
                <w:sz w:val="18"/>
                <w:szCs w:val="18"/>
              </w:rPr>
              <w:t xml:space="preserve">may lead to the propagation and distribution of infected propagative material. </w:t>
            </w:r>
            <w:r>
              <w:rPr>
                <w:rFonts w:ascii="Helvetica" w:hAnsi="Helvetica" w:cs="Helvetica"/>
                <w:bCs/>
                <w:sz w:val="18"/>
                <w:szCs w:val="18"/>
              </w:rPr>
              <w:t>GAgV</w:t>
            </w:r>
            <w:r>
              <w:rPr>
                <w:rFonts w:ascii="Helvetica" w:hAnsi="Helvetica" w:cs="Helvetica"/>
                <w:sz w:val="18"/>
                <w:szCs w:val="18"/>
              </w:rPr>
              <w:t xml:space="preserve"> is graft transmissible (Namba </w:t>
            </w:r>
            <w:r>
              <w:rPr>
                <w:rFonts w:ascii="Helvetica" w:hAnsi="Helvetica" w:cs="Helvetica"/>
                <w:i/>
                <w:sz w:val="18"/>
                <w:szCs w:val="18"/>
              </w:rPr>
              <w:t xml:space="preserve">et </w:t>
            </w:r>
            <w:r>
              <w:rPr>
                <w:rFonts w:ascii="Helvetica" w:hAnsi="Helvetica" w:cs="Helvetica"/>
                <w:bCs/>
                <w:i/>
                <w:sz w:val="18"/>
                <w:szCs w:val="18"/>
              </w:rPr>
              <w:t>al</w:t>
            </w:r>
            <w:r>
              <w:rPr>
                <w:rFonts w:ascii="Helvetica" w:hAnsi="Helvetica" w:cs="Helvetica"/>
                <w:bCs/>
                <w:sz w:val="18"/>
                <w:szCs w:val="18"/>
              </w:rPr>
              <w:t>.1991b). T</w:t>
            </w:r>
            <w:r>
              <w:rPr>
                <w:rFonts w:ascii="Helvetica" w:hAnsi="Helvetica" w:cs="Helvetica"/>
                <w:sz w:val="18"/>
                <w:szCs w:val="18"/>
              </w:rPr>
              <w:t xml:space="preserve">herefore, propagative material may provide a pathway for </w:t>
            </w:r>
            <w:r>
              <w:rPr>
                <w:rFonts w:ascii="Helvetica" w:hAnsi="Helvetica" w:cs="Helvetica"/>
                <w:bCs/>
                <w:sz w:val="18"/>
                <w:szCs w:val="18"/>
              </w:rPr>
              <w:t>GAgV</w:t>
            </w:r>
            <w:r>
              <w:rPr>
                <w:rFonts w:ascii="Helvetica" w:hAnsi="Helvetica" w:cs="Helvetica"/>
                <w:sz w:val="18"/>
                <w:szCs w:val="18"/>
              </w:rPr>
              <w:t>.</w:t>
            </w:r>
            <w:r>
              <w:rPr>
                <w:rFonts w:ascii="Helvetica" w:hAnsi="Helvetica" w:cs="Helvetica"/>
                <w:bCs/>
                <w:sz w:val="18"/>
                <w:szCs w:val="18"/>
              </w:rPr>
              <w:t xml:space="preserve">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GAgV</w:t>
            </w:r>
            <w:r>
              <w:rPr>
                <w:rFonts w:ascii="Helvetica" w:hAnsi="Helvetica" w:cs="Helvetica"/>
                <w:sz w:val="18"/>
                <w:szCs w:val="18"/>
              </w:rPr>
              <w:t xml:space="preserve">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 xml:space="preserve">(Namba </w:t>
            </w:r>
            <w:r>
              <w:rPr>
                <w:rFonts w:ascii="Helvetica" w:hAnsi="Helvetica" w:cs="Helvetica"/>
                <w:bCs/>
                <w:i/>
                <w:sz w:val="18"/>
                <w:szCs w:val="18"/>
              </w:rPr>
              <w:t>et al</w:t>
            </w:r>
            <w:r>
              <w:rPr>
                <w:rFonts w:ascii="Helvetica" w:hAnsi="Helvetica" w:cs="Helvetica"/>
                <w:bCs/>
                <w:sz w:val="18"/>
                <w:szCs w:val="18"/>
              </w:rPr>
              <w:t>. 1979</w:t>
            </w:r>
            <w:r>
              <w:rPr>
                <w:rFonts w:ascii="Helvetica" w:hAnsi="Helvetica" w:cs="Helvetica"/>
                <w:iCs/>
                <w:sz w:val="18"/>
                <w:szCs w:val="18"/>
              </w:rPr>
              <w:t xml:space="preserve">) </w:t>
            </w:r>
            <w:r>
              <w:rPr>
                <w:rFonts w:ascii="Helvetica" w:hAnsi="Helvetica" w:cs="Helvetica"/>
                <w:sz w:val="18"/>
                <w:szCs w:val="18"/>
              </w:rPr>
              <w:t xml:space="preserve">The symptomless nature of this virus may contribute to the inadvertent propagation and distribution of infected material that will help spread </w:t>
            </w:r>
            <w:r>
              <w:rPr>
                <w:rFonts w:ascii="Helvetica" w:hAnsi="Helvetica" w:cs="Helvetica"/>
                <w:bCs/>
                <w:sz w:val="18"/>
                <w:szCs w:val="18"/>
              </w:rPr>
              <w:t>GAgV</w:t>
            </w:r>
            <w:r>
              <w:rPr>
                <w:rFonts w:ascii="Helvetica" w:hAnsi="Helvetica" w:cs="Helvetica"/>
                <w:sz w:val="18"/>
                <w:szCs w:val="18"/>
              </w:rPr>
              <w:t xml:space="preserve"> within Australia. Therefore, </w:t>
            </w:r>
            <w:r>
              <w:rPr>
                <w:rFonts w:ascii="Helvetica" w:hAnsi="Helvetica" w:cs="Helvetica"/>
                <w:bCs/>
                <w:sz w:val="18"/>
                <w:szCs w:val="18"/>
              </w:rPr>
              <w:t>GAgV</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Grapevine ajinashika is the most important graft transmissible disease in Japan since the 1970s (Namba </w:t>
            </w:r>
            <w:r>
              <w:rPr>
                <w:rFonts w:ascii="Helvetica" w:hAnsi="Helvetica" w:cs="Helvetica"/>
                <w:i/>
                <w:sz w:val="18"/>
                <w:szCs w:val="18"/>
              </w:rPr>
              <w:t>et al</w:t>
            </w:r>
            <w:r>
              <w:rPr>
                <w:rFonts w:ascii="Helvetica" w:hAnsi="Helvetica" w:cs="Helvetica"/>
                <w:sz w:val="18"/>
                <w:szCs w:val="18"/>
              </w:rPr>
              <w:t xml:space="preserve">. 1991b). </w:t>
            </w:r>
            <w:r>
              <w:rPr>
                <w:rFonts w:ascii="Helvetica" w:hAnsi="Helvetica" w:cs="Helvetica"/>
                <w:bCs/>
                <w:sz w:val="18"/>
                <w:szCs w:val="18"/>
              </w:rPr>
              <w:t>GAgV</w:t>
            </w:r>
            <w:r>
              <w:rPr>
                <w:rFonts w:ascii="Helvetica" w:hAnsi="Helvetica" w:cs="Helvetica"/>
                <w:sz w:val="18"/>
                <w:szCs w:val="18"/>
              </w:rPr>
              <w:t xml:space="preserve"> reduces the sugar content of grape berries, rendering table and wine grapes unmarketable (Namba </w:t>
            </w:r>
            <w:r>
              <w:rPr>
                <w:rFonts w:ascii="Helvetica" w:hAnsi="Helvetica" w:cs="Helvetica"/>
                <w:i/>
                <w:sz w:val="18"/>
                <w:szCs w:val="18"/>
              </w:rPr>
              <w:t>et al</w:t>
            </w:r>
            <w:r>
              <w:rPr>
                <w:rFonts w:ascii="Helvetica" w:hAnsi="Helvetica" w:cs="Helvetica"/>
                <w:sz w:val="18"/>
                <w:szCs w:val="18"/>
              </w:rPr>
              <w:t xml:space="preserve">. 1991b). Therefore, </w:t>
            </w:r>
            <w:r>
              <w:rPr>
                <w:rFonts w:ascii="Helvetica" w:hAnsi="Helvetica" w:cs="Helvetica"/>
                <w:bCs/>
                <w:sz w:val="18"/>
                <w:szCs w:val="18"/>
              </w:rPr>
              <w:t>GAgV</w:t>
            </w:r>
            <w:r>
              <w:rPr>
                <w:rFonts w:ascii="Helvetica" w:hAnsi="Helvetica" w:cs="Helvetica"/>
                <w:sz w:val="18"/>
                <w:szCs w:val="18"/>
              </w:rPr>
              <w:t xml:space="preserve"> has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Algerian latent virus</w:t>
            </w:r>
            <w:r>
              <w:rPr>
                <w:rFonts w:ascii="Helvetica" w:hAnsi="Helvetica" w:cs="Helvetica"/>
                <w:sz w:val="18"/>
                <w:szCs w:val="18"/>
              </w:rPr>
              <w:t xml:space="preserve"> (GALV) [Tombusviridae: Tombusvirus]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GALV infections are symptomless in grapevines (Gallitelli </w:t>
            </w:r>
            <w:r>
              <w:rPr>
                <w:rFonts w:ascii="Helvetica" w:hAnsi="Helvetica" w:cs="Helvetica"/>
                <w:i/>
                <w:sz w:val="18"/>
                <w:szCs w:val="18"/>
              </w:rPr>
              <w:t>et al</w:t>
            </w:r>
            <w:r>
              <w:rPr>
                <w:rFonts w:ascii="Helvetica" w:hAnsi="Helvetica" w:cs="Helvetica"/>
                <w:sz w:val="18"/>
                <w:szCs w:val="18"/>
              </w:rPr>
              <w:t xml:space="preserve">. 1989; Brunt </w:t>
            </w:r>
            <w:r>
              <w:rPr>
                <w:rFonts w:ascii="Helvetica" w:hAnsi="Helvetica" w:cs="Helvetica"/>
                <w:i/>
                <w:sz w:val="18"/>
                <w:szCs w:val="18"/>
              </w:rPr>
              <w:t>et al</w:t>
            </w:r>
            <w:r>
              <w:rPr>
                <w:rFonts w:ascii="Helvetica" w:hAnsi="Helvetica" w:cs="Helvetica"/>
                <w:sz w:val="18"/>
                <w:szCs w:val="18"/>
              </w:rPr>
              <w:t>. 1996). This may lead to the propagation and distribution of infected propagative material.</w:t>
            </w:r>
            <w:r>
              <w:rPr>
                <w:rFonts w:ascii="Helvetica" w:hAnsi="Helvetica" w:cs="Helvetica"/>
                <w:bCs/>
                <w:sz w:val="18"/>
                <w:szCs w:val="18"/>
              </w:rPr>
              <w:t xml:space="preserve"> Therefore, </w:t>
            </w:r>
            <w:r>
              <w:rPr>
                <w:rFonts w:ascii="Helvetica" w:hAnsi="Helvetica" w:cs="Helvetica"/>
                <w:sz w:val="18"/>
                <w:szCs w:val="18"/>
              </w:rPr>
              <w:t>GALV could enter Australia on propagative material.</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GALV has established in areas with a wide range of climatic </w:t>
            </w:r>
            <w:r>
              <w:rPr>
                <w:rFonts w:ascii="Helvetica" w:hAnsi="Helvetica" w:cs="Helvetica"/>
                <w:iCs/>
                <w:sz w:val="18"/>
                <w:szCs w:val="18"/>
              </w:rPr>
              <w:t xml:space="preserve">conditions (Gallitelli </w:t>
            </w:r>
            <w:r>
              <w:rPr>
                <w:rFonts w:ascii="Helvetica" w:hAnsi="Helvetica" w:cs="Helvetica"/>
                <w:i/>
                <w:iCs/>
                <w:sz w:val="18"/>
                <w:szCs w:val="18"/>
              </w:rPr>
              <w:t>et al</w:t>
            </w:r>
            <w:r>
              <w:rPr>
                <w:rFonts w:ascii="Helvetica" w:hAnsi="Helvetica" w:cs="Helvetica"/>
                <w:iCs/>
                <w:sz w:val="18"/>
                <w:szCs w:val="18"/>
              </w:rPr>
              <w:t xml:space="preserve">. 1989; Cannizzaro </w:t>
            </w:r>
            <w:r>
              <w:rPr>
                <w:rFonts w:ascii="Helvetica" w:hAnsi="Helvetica" w:cs="Helvetica"/>
                <w:i/>
                <w:iCs/>
                <w:sz w:val="18"/>
                <w:szCs w:val="18"/>
              </w:rPr>
              <w:t>et al</w:t>
            </w:r>
            <w:r>
              <w:rPr>
                <w:rFonts w:ascii="Helvetica" w:hAnsi="Helvetica" w:cs="Helvetica"/>
                <w:iCs/>
                <w:sz w:val="18"/>
                <w:szCs w:val="18"/>
              </w:rPr>
              <w:t xml:space="preserve">. 1990; Fuchs </w:t>
            </w:r>
            <w:r>
              <w:rPr>
                <w:rFonts w:ascii="Helvetica" w:hAnsi="Helvetica" w:cs="Helvetica"/>
                <w:i/>
                <w:iCs/>
                <w:sz w:val="18"/>
                <w:szCs w:val="18"/>
              </w:rPr>
              <w:t>et al</w:t>
            </w:r>
            <w:r>
              <w:rPr>
                <w:rFonts w:ascii="Helvetica" w:hAnsi="Helvetica" w:cs="Helvetica"/>
                <w:iCs/>
                <w:sz w:val="18"/>
                <w:szCs w:val="18"/>
              </w:rPr>
              <w:t xml:space="preserve">. 1994; Fujinaga </w:t>
            </w:r>
            <w:r>
              <w:rPr>
                <w:rFonts w:ascii="Helvetica" w:hAnsi="Helvetica" w:cs="Helvetica"/>
                <w:i/>
                <w:iCs/>
                <w:sz w:val="18"/>
                <w:szCs w:val="18"/>
              </w:rPr>
              <w:t>et al</w:t>
            </w:r>
            <w:r>
              <w:rPr>
                <w:rFonts w:ascii="Helvetica" w:hAnsi="Helvetica" w:cs="Helvetica"/>
                <w:iCs/>
                <w:sz w:val="18"/>
                <w:szCs w:val="18"/>
              </w:rPr>
              <w:t xml:space="preserve">. 2009). </w:t>
            </w:r>
            <w:r>
              <w:rPr>
                <w:rFonts w:ascii="Helvetica" w:hAnsi="Helvetica" w:cs="Helvetica"/>
                <w:sz w:val="18"/>
                <w:szCs w:val="18"/>
              </w:rPr>
              <w:t>Trade of infected propagative material will help spread GALV within Australia. Therefore, GALV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No: Information on the economic consequences of this virus is almost non-existent. (Gallitelli </w:t>
            </w:r>
            <w:r>
              <w:rPr>
                <w:rFonts w:ascii="Helvetica" w:hAnsi="Helvetica" w:cs="Helvetica"/>
                <w:i/>
                <w:sz w:val="18"/>
                <w:szCs w:val="18"/>
              </w:rPr>
              <w:t>et al</w:t>
            </w:r>
            <w:r>
              <w:rPr>
                <w:rFonts w:ascii="Helvetica" w:hAnsi="Helvetica" w:cs="Helvetica"/>
                <w:sz w:val="18"/>
                <w:szCs w:val="18"/>
              </w:rPr>
              <w:t xml:space="preserve">. 1989). GALV does not appear to be a threatening pathogen to grapes as infections are apparently symptomless (Gallitelli </w:t>
            </w:r>
            <w:r>
              <w:rPr>
                <w:rFonts w:ascii="Helvetica" w:hAnsi="Helvetica" w:cs="Helvetica"/>
                <w:i/>
                <w:sz w:val="18"/>
                <w:szCs w:val="18"/>
              </w:rPr>
              <w:t>et al</w:t>
            </w:r>
            <w:r>
              <w:rPr>
                <w:rFonts w:ascii="Helvetica" w:hAnsi="Helvetica" w:cs="Helvetica"/>
                <w:sz w:val="18"/>
                <w:szCs w:val="18"/>
              </w:rPr>
              <w:t>. 1989) and economic consequences are not reported. Therefore, this virus does not have the potential for significant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center"/>
              <w:rPr>
                <w:rFonts w:ascii="Helvetica" w:hAnsi="Helvetica" w:cs="Helvetica"/>
                <w:b/>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 xml:space="preserve">Grapevine Anatolian ringspot virus </w:t>
            </w:r>
            <w:r>
              <w:rPr>
                <w:rFonts w:ascii="Helvetica" w:hAnsi="Helvetica" w:cs="Helvetica"/>
                <w:bCs/>
                <w:sz w:val="18"/>
                <w:szCs w:val="18"/>
              </w:rPr>
              <w:t>(GARSV) [Secoviridae: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GARMV is associated with fanleaf degeneration/ decline disease (Goklap </w:t>
            </w:r>
            <w:r>
              <w:rPr>
                <w:rFonts w:ascii="Helvetica" w:hAnsi="Helvetica" w:cs="Helvetica"/>
                <w:bCs/>
                <w:i/>
                <w:sz w:val="18"/>
                <w:szCs w:val="18"/>
              </w:rPr>
              <w:t>et al</w:t>
            </w:r>
            <w:r>
              <w:rPr>
                <w:rFonts w:ascii="Helvetica" w:hAnsi="Helvetica" w:cs="Helvetica"/>
                <w:bCs/>
                <w:sz w:val="18"/>
                <w:szCs w:val="18"/>
              </w:rPr>
              <w:t xml:space="preserve">. 2003; Oliver and Fuchs 2011). The symptoms consist of vein clearing, mottling and leaf deformation preceded by chlorotic or necrotic local lesions (Gokalp </w:t>
            </w:r>
            <w:r>
              <w:rPr>
                <w:rFonts w:ascii="Helvetica" w:hAnsi="Helvetica" w:cs="Helvetica"/>
                <w:bCs/>
                <w:i/>
                <w:sz w:val="18"/>
                <w:szCs w:val="18"/>
              </w:rPr>
              <w:t>et al</w:t>
            </w:r>
            <w:r>
              <w:rPr>
                <w:rFonts w:ascii="Helvetica" w:hAnsi="Helvetica" w:cs="Helvetica"/>
                <w:bCs/>
                <w:sz w:val="18"/>
                <w:szCs w:val="18"/>
              </w:rPr>
              <w:t>. 2003). Viruses, as a rule, infect host plants systemically and all plant parts, including parts used for vegetative propagation, are infected (Bos 1999). Therefore, p</w:t>
            </w:r>
            <w:r>
              <w:rPr>
                <w:rFonts w:ascii="Helvetica" w:hAnsi="Helvetica" w:cs="Helvetica"/>
                <w:sz w:val="18"/>
                <w:szCs w:val="18"/>
              </w:rPr>
              <w:t>ropagative material provides a pathway for GARMV.</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GARMV</w:t>
            </w:r>
            <w:r>
              <w:rPr>
                <w:rFonts w:ascii="Helvetica" w:hAnsi="Helvetica" w:cs="Helvetica"/>
                <w:sz w:val="18"/>
                <w:szCs w:val="18"/>
              </w:rPr>
              <w:t xml:space="preserve"> has established in areas with a wide range of climatic conditions</w:t>
            </w:r>
            <w:r>
              <w:rPr>
                <w:rFonts w:ascii="Helvetica" w:hAnsi="Helvetica" w:cs="Helvetica"/>
                <w:i/>
                <w:iCs/>
                <w:sz w:val="18"/>
                <w:szCs w:val="18"/>
              </w:rPr>
              <w:t xml:space="preserve"> </w:t>
            </w:r>
            <w:r>
              <w:rPr>
                <w:rFonts w:ascii="Helvetica" w:hAnsi="Helvetica" w:cs="Helvetica"/>
                <w:sz w:val="18"/>
                <w:szCs w:val="18"/>
              </w:rPr>
              <w:t xml:space="preserve">(Cigsar </w:t>
            </w:r>
            <w:r>
              <w:rPr>
                <w:rFonts w:ascii="Helvetica" w:hAnsi="Helvetica" w:cs="Helvetica"/>
                <w:i/>
                <w:sz w:val="18"/>
                <w:szCs w:val="18"/>
              </w:rPr>
              <w:t>et al</w:t>
            </w:r>
            <w:r>
              <w:rPr>
                <w:rFonts w:ascii="Helvetica" w:hAnsi="Helvetica" w:cs="Helvetica"/>
                <w:sz w:val="18"/>
                <w:szCs w:val="18"/>
              </w:rPr>
              <w:t xml:space="preserve">. 2002; Gokalp </w:t>
            </w:r>
            <w:r>
              <w:rPr>
                <w:rFonts w:ascii="Helvetica" w:hAnsi="Helvetica" w:cs="Helvetica"/>
                <w:i/>
                <w:sz w:val="18"/>
                <w:szCs w:val="18"/>
              </w:rPr>
              <w:t>et al</w:t>
            </w:r>
            <w:r>
              <w:rPr>
                <w:rFonts w:ascii="Helvetica" w:hAnsi="Helvetica" w:cs="Helvetica"/>
                <w:sz w:val="18"/>
                <w:szCs w:val="18"/>
              </w:rPr>
              <w:t xml:space="preserve">. 2003) and it can spread naturally in infected propagative material (Andret-Link </w:t>
            </w:r>
            <w:r>
              <w:rPr>
                <w:rFonts w:ascii="Helvetica" w:hAnsi="Helvetica" w:cs="Helvetica"/>
                <w:i/>
                <w:sz w:val="18"/>
                <w:szCs w:val="18"/>
              </w:rPr>
              <w:t>et al</w:t>
            </w:r>
            <w:r>
              <w:rPr>
                <w:rFonts w:ascii="Helvetica" w:hAnsi="Helvetica" w:cs="Helvetica"/>
                <w:sz w:val="18"/>
                <w:szCs w:val="18"/>
              </w:rPr>
              <w:t xml:space="preserve">. 2004; </w:t>
            </w:r>
            <w:r>
              <w:rPr>
                <w:rFonts w:ascii="Helvetica" w:hAnsi="Helvetica" w:cs="Helvetica"/>
                <w:bCs/>
                <w:sz w:val="18"/>
                <w:szCs w:val="18"/>
              </w:rPr>
              <w:t>Oliver and Fuchs 2011)</w:t>
            </w:r>
            <w:r>
              <w:rPr>
                <w:rFonts w:ascii="Helvetica" w:hAnsi="Helvetica" w:cs="Helvetica"/>
                <w:sz w:val="18"/>
                <w:szCs w:val="18"/>
              </w:rPr>
              <w:t xml:space="preserve">. Distribution of infected propagative material will help spread </w:t>
            </w:r>
            <w:r>
              <w:rPr>
                <w:rFonts w:ascii="Helvetica" w:hAnsi="Helvetica" w:cs="Helvetica"/>
                <w:bCs/>
                <w:sz w:val="18"/>
                <w:szCs w:val="18"/>
              </w:rPr>
              <w:t>GARMV</w:t>
            </w:r>
            <w:r>
              <w:rPr>
                <w:rFonts w:ascii="Helvetica" w:hAnsi="Helvetica" w:cs="Helvetica"/>
                <w:sz w:val="18"/>
                <w:szCs w:val="18"/>
              </w:rPr>
              <w:t xml:space="preserve"> within Australia. Therefore, </w:t>
            </w:r>
            <w:r>
              <w:rPr>
                <w:rFonts w:ascii="Helvetica" w:hAnsi="Helvetica" w:cs="Helvetica"/>
                <w:bCs/>
                <w:sz w:val="18"/>
                <w:szCs w:val="18"/>
              </w:rPr>
              <w:t>GARMV</w:t>
            </w:r>
            <w:r>
              <w:rPr>
                <w:rFonts w:ascii="Helvetica" w:hAnsi="Helvetica" w:cs="Helvetica"/>
                <w:sz w:val="18"/>
                <w:szCs w:val="18"/>
              </w:rPr>
              <w:t xml:space="preserve"> has the potential to establish and spread in Australia.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Information on the economic consequences of this virus is almost non-existent as it has only recently been described (Gokalp </w:t>
            </w:r>
            <w:r>
              <w:rPr>
                <w:rFonts w:ascii="Helvetica" w:hAnsi="Helvetica" w:cs="Helvetica"/>
                <w:i/>
                <w:sz w:val="18"/>
                <w:szCs w:val="18"/>
              </w:rPr>
              <w:t>et al</w:t>
            </w:r>
            <w:r>
              <w:rPr>
                <w:rFonts w:ascii="Helvetica" w:hAnsi="Helvetica" w:cs="Helvetica"/>
                <w:sz w:val="18"/>
                <w:szCs w:val="18"/>
              </w:rPr>
              <w:t xml:space="preserve">. 2003). </w:t>
            </w:r>
            <w:r>
              <w:rPr>
                <w:rFonts w:ascii="Helvetica" w:hAnsi="Helvetica" w:cs="Helvetica"/>
                <w:iCs/>
                <w:sz w:val="18"/>
                <w:szCs w:val="18"/>
              </w:rPr>
              <w:t>However, as it is a part of the virus complex associated</w:t>
            </w:r>
            <w:r>
              <w:rPr>
                <w:rFonts w:ascii="Helvetica" w:hAnsi="Helvetica" w:cs="Helvetica"/>
                <w:bCs/>
                <w:sz w:val="18"/>
                <w:szCs w:val="18"/>
              </w:rPr>
              <w:t xml:space="preserve"> with fanleaf degeneration/decline disease (Goklap </w:t>
            </w:r>
            <w:r>
              <w:rPr>
                <w:rFonts w:ascii="Helvetica" w:hAnsi="Helvetica" w:cs="Helvetica"/>
                <w:bCs/>
                <w:i/>
                <w:sz w:val="18"/>
                <w:szCs w:val="18"/>
              </w:rPr>
              <w:t>et al</w:t>
            </w:r>
            <w:r>
              <w:rPr>
                <w:rFonts w:ascii="Helvetica" w:hAnsi="Helvetica" w:cs="Helvetica"/>
                <w:bCs/>
                <w:sz w:val="18"/>
                <w:szCs w:val="18"/>
              </w:rPr>
              <w:t xml:space="preserve">. 2003; Oliver and Fuchs 2011), </w:t>
            </w:r>
            <w:r>
              <w:rPr>
                <w:rFonts w:ascii="Helvetica" w:hAnsi="Helvetica" w:cs="Helvetica"/>
                <w:iCs/>
                <w:sz w:val="18"/>
                <w:szCs w:val="18"/>
              </w:rPr>
              <w:t>it may cause significant crop losses. Fanleaf diseases in grapevines are important diseases (</w:t>
            </w:r>
            <w:r>
              <w:rPr>
                <w:rFonts w:ascii="Helvetica" w:hAnsi="Helvetica" w:cs="Helvetica"/>
                <w:sz w:val="18"/>
                <w:szCs w:val="18"/>
              </w:rPr>
              <w:t xml:space="preserve">Andret-Link </w:t>
            </w:r>
            <w:r>
              <w:rPr>
                <w:rFonts w:ascii="Helvetica" w:hAnsi="Helvetica" w:cs="Helvetica"/>
                <w:i/>
                <w:sz w:val="18"/>
                <w:szCs w:val="18"/>
              </w:rPr>
              <w:t>et al</w:t>
            </w:r>
            <w:r>
              <w:rPr>
                <w:rFonts w:ascii="Helvetica" w:hAnsi="Helvetica" w:cs="Helvetica"/>
                <w:sz w:val="18"/>
                <w:szCs w:val="18"/>
              </w:rPr>
              <w:t xml:space="preserve">. 2004) and </w:t>
            </w:r>
            <w:r>
              <w:rPr>
                <w:rFonts w:ascii="Helvetica" w:hAnsi="Helvetica" w:cs="Helvetica"/>
                <w:iCs/>
                <w:sz w:val="18"/>
                <w:szCs w:val="18"/>
              </w:rPr>
              <w:t xml:space="preserve">cause substantial crop loss; reduced fruit quality and shortened longevity (Laimer </w:t>
            </w:r>
            <w:r>
              <w:rPr>
                <w:rFonts w:ascii="Helvetica" w:hAnsi="Helvetica" w:cs="Helvetica"/>
                <w:i/>
                <w:iCs/>
                <w:sz w:val="18"/>
                <w:szCs w:val="18"/>
              </w:rPr>
              <w:t>et al</w:t>
            </w:r>
            <w:r>
              <w:rPr>
                <w:rFonts w:ascii="Helvetica" w:hAnsi="Helvetica" w:cs="Helvetica"/>
                <w:iCs/>
                <w:sz w:val="18"/>
                <w:szCs w:val="18"/>
              </w:rPr>
              <w:t xml:space="preserve">. 2009; </w:t>
            </w:r>
            <w:r>
              <w:rPr>
                <w:rFonts w:ascii="Helvetica" w:hAnsi="Helvetica" w:cs="Helvetica"/>
                <w:bCs/>
                <w:sz w:val="18"/>
                <w:szCs w:val="18"/>
              </w:rPr>
              <w:t>Oliver and Fuchs 2011</w:t>
            </w:r>
            <w:r>
              <w:rPr>
                <w:rFonts w:ascii="Helvetica" w:hAnsi="Helvetica" w:cs="Helvetica"/>
                <w:iCs/>
                <w:sz w:val="18"/>
                <w:szCs w:val="18"/>
              </w:rPr>
              <w:t xml:space="preserve">). </w:t>
            </w:r>
            <w:r>
              <w:rPr>
                <w:rFonts w:ascii="Helvetica" w:hAnsi="Helvetica" w:cs="Helvetica"/>
                <w:sz w:val="18"/>
                <w:szCs w:val="18"/>
              </w:rPr>
              <w:t>Therefore, this virus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 xml:space="preserve">Grapevine angular mosaic-associated virus </w:t>
            </w:r>
            <w:r>
              <w:rPr>
                <w:rFonts w:ascii="Helvetica" w:hAnsi="Helvetica" w:cs="Helvetica"/>
                <w:bCs/>
                <w:sz w:val="18"/>
                <w:szCs w:val="18"/>
              </w:rPr>
              <w:t>(GAMaV) [Bromoviridae: Ilarvirus]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Nor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GAMaV naturally infects grapevine, causing angular mosaic on leaves and gradual decline and stunting of vines (Girgis </w:t>
            </w:r>
            <w:r>
              <w:rPr>
                <w:rFonts w:ascii="Helvetica" w:hAnsi="Helvetica" w:cs="Helvetica"/>
                <w:bCs/>
                <w:i/>
                <w:sz w:val="18"/>
                <w:szCs w:val="18"/>
              </w:rPr>
              <w:t>et al</w:t>
            </w:r>
            <w:r>
              <w:rPr>
                <w:rFonts w:ascii="Helvetica" w:hAnsi="Helvetica" w:cs="Helvetica"/>
                <w:bCs/>
                <w:sz w:val="18"/>
                <w:szCs w:val="18"/>
              </w:rPr>
              <w:t>. 2000, 2009).</w:t>
            </w:r>
            <w:r>
              <w:rPr>
                <w:rFonts w:ascii="Helvetica" w:hAnsi="Helvetica" w:cs="Helvetica"/>
                <w:sz w:val="18"/>
                <w:szCs w:val="18"/>
              </w:rPr>
              <w:t xml:space="preserve"> This virus is also transmitted through seed, pollen and grafting (Girgis </w:t>
            </w:r>
            <w:r>
              <w:rPr>
                <w:rFonts w:ascii="Helvetica" w:hAnsi="Helvetica" w:cs="Helvetica"/>
                <w:i/>
                <w:sz w:val="18"/>
                <w:szCs w:val="18"/>
              </w:rPr>
              <w:t>et al</w:t>
            </w:r>
            <w:r>
              <w:rPr>
                <w:rFonts w:ascii="Helvetica" w:hAnsi="Helvetica" w:cs="Helvetica"/>
                <w:sz w:val="18"/>
                <w:szCs w:val="18"/>
              </w:rPr>
              <w:t xml:space="preserve">. 2009). </w:t>
            </w:r>
            <w:r>
              <w:rPr>
                <w:rFonts w:ascii="Helvetica" w:hAnsi="Helvetica" w:cs="Helvetica"/>
                <w:bCs/>
                <w:sz w:val="18"/>
                <w:szCs w:val="18"/>
              </w:rPr>
              <w:t>Therefore, p</w:t>
            </w:r>
            <w:r>
              <w:rPr>
                <w:rFonts w:ascii="Helvetica" w:hAnsi="Helvetica" w:cs="Helvetica"/>
                <w:sz w:val="18"/>
                <w:szCs w:val="18"/>
              </w:rPr>
              <w:t>ropagative material provides a pathway for GAMaV.</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GAMaV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w:t>
            </w:r>
            <w:r>
              <w:rPr>
                <w:rFonts w:ascii="Helvetica" w:hAnsi="Helvetica" w:cs="Helvetica"/>
                <w:bCs/>
                <w:sz w:val="18"/>
                <w:szCs w:val="18"/>
              </w:rPr>
              <w:t xml:space="preserve">Girgis </w:t>
            </w:r>
            <w:r>
              <w:rPr>
                <w:rFonts w:ascii="Helvetica" w:hAnsi="Helvetica" w:cs="Helvetica"/>
                <w:bCs/>
                <w:i/>
                <w:sz w:val="18"/>
                <w:szCs w:val="18"/>
              </w:rPr>
              <w:t>et al</w:t>
            </w:r>
            <w:r>
              <w:rPr>
                <w:rFonts w:ascii="Helvetica" w:hAnsi="Helvetica" w:cs="Helvetica"/>
                <w:bCs/>
                <w:sz w:val="18"/>
                <w:szCs w:val="18"/>
              </w:rPr>
              <w:t>. 2000, 2009</w:t>
            </w:r>
            <w:r>
              <w:rPr>
                <w:rFonts w:ascii="Helvetica" w:hAnsi="Helvetica" w:cs="Helvetica"/>
                <w:iCs/>
                <w:sz w:val="18"/>
                <w:szCs w:val="18"/>
              </w:rPr>
              <w:t>). It is graft transmissible (</w:t>
            </w:r>
            <w:r>
              <w:rPr>
                <w:rFonts w:ascii="Helvetica" w:hAnsi="Helvetica" w:cs="Helvetica"/>
                <w:bCs/>
                <w:sz w:val="18"/>
                <w:szCs w:val="18"/>
              </w:rPr>
              <w:t xml:space="preserve">Girgis </w:t>
            </w:r>
            <w:r>
              <w:rPr>
                <w:rFonts w:ascii="Helvetica" w:hAnsi="Helvetica" w:cs="Helvetica"/>
                <w:bCs/>
                <w:i/>
                <w:sz w:val="18"/>
                <w:szCs w:val="18"/>
              </w:rPr>
              <w:t>et al</w:t>
            </w:r>
            <w:r>
              <w:rPr>
                <w:rFonts w:ascii="Helvetica" w:hAnsi="Helvetica" w:cs="Helvetica"/>
                <w:bCs/>
                <w:sz w:val="18"/>
                <w:szCs w:val="18"/>
              </w:rPr>
              <w:t xml:space="preserve">. 2009) and may therefore </w:t>
            </w:r>
            <w:r>
              <w:rPr>
                <w:rFonts w:ascii="Helvetica" w:hAnsi="Helvetica" w:cs="Helvetica"/>
                <w:iCs/>
                <w:sz w:val="18"/>
                <w:szCs w:val="18"/>
              </w:rPr>
              <w:t>spread by propagative material</w:t>
            </w:r>
            <w:r>
              <w:rPr>
                <w:rFonts w:ascii="Helvetica" w:hAnsi="Helvetica" w:cs="Helvetica"/>
                <w:sz w:val="18"/>
                <w:szCs w:val="18"/>
              </w:rPr>
              <w:t>. Multiplication and distribution of infected propagative material will help spread GAMaV within Australia. Therefore, GAMaV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GAMaV causes a reduction in inflorescences, flower abortion, reduced berry size, gradual decline and stunting of the vine and can ultimately lead to the death of the plant (Girgis </w:t>
            </w:r>
            <w:r>
              <w:rPr>
                <w:rFonts w:ascii="Helvetica" w:hAnsi="Helvetica" w:cs="Helvetica"/>
                <w:i/>
                <w:sz w:val="18"/>
                <w:szCs w:val="18"/>
              </w:rPr>
              <w:t>et al.</w:t>
            </w:r>
            <w:r>
              <w:rPr>
                <w:rFonts w:ascii="Helvetica" w:hAnsi="Helvetica" w:cs="Helvetica"/>
                <w:sz w:val="18"/>
                <w:szCs w:val="18"/>
              </w:rPr>
              <w:t xml:space="preserve"> 2009). Therefore, GAMaV has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Grapevine asteroid mosaic associated virus</w:t>
            </w:r>
            <w:r>
              <w:rPr>
                <w:rFonts w:ascii="Helvetica" w:hAnsi="Helvetica" w:cs="Helvetica"/>
                <w:bCs/>
                <w:sz w:val="18"/>
                <w:szCs w:val="18"/>
              </w:rPr>
              <w:t xml:space="preserve"> (GAMV) </w:t>
            </w:r>
            <w:r>
              <w:rPr>
                <w:rFonts w:ascii="Helvetica" w:hAnsi="Helvetica" w:cs="Helvetica"/>
                <w:sz w:val="18"/>
                <w:szCs w:val="18"/>
              </w:rPr>
              <w:t>[</w:t>
            </w:r>
            <w:r>
              <w:rPr>
                <w:rFonts w:ascii="Helvetica" w:hAnsi="Helvetica" w:cs="Helvetica"/>
                <w:bCs/>
                <w:sz w:val="18"/>
                <w:szCs w:val="18"/>
              </w:rPr>
              <w:t>Tymoviridae: Marafivirus]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Nor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GAMV</w:t>
            </w:r>
            <w:r>
              <w:rPr>
                <w:rFonts w:ascii="Helvetica" w:hAnsi="Helvetica" w:cs="Helvetica"/>
                <w:sz w:val="18"/>
                <w:szCs w:val="18"/>
              </w:rPr>
              <w:t xml:space="preserve"> naturally infects grapevines, causing leaf spot and the formation of asymmetrical leaves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Grapevine varieties and rootstocks infected with a Marafivirus may be symptomless (Constable and Rodoni 2011a). This may lead to the propagation and distribution of infected propagative material, suggesting that GAMV could enter Australia on propagative material.</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GAMV has established in areas with a wide range of climatic conditions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w:t>
            </w:r>
            <w:r>
              <w:rPr>
                <w:rFonts w:ascii="Helvetica" w:hAnsi="Helvetica" w:cs="Helvetica"/>
                <w:iCs/>
                <w:sz w:val="18"/>
                <w:szCs w:val="18"/>
              </w:rPr>
              <w:t xml:space="preserve"> </w:t>
            </w:r>
            <w:r>
              <w:rPr>
                <w:rFonts w:ascii="Helvetica" w:hAnsi="Helvetica" w:cs="Helvetica"/>
                <w:sz w:val="18"/>
                <w:szCs w:val="18"/>
              </w:rPr>
              <w:t>and it may spread naturally in infected propagative material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Multiplication and distribution of infected propagative material will help spread GAMV within Australia. Therefore, GAMV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Plants infected with this virus are s</w:t>
            </w:r>
            <w:r>
              <w:rPr>
                <w:rFonts w:ascii="Helvetica" w:hAnsi="Helvetica" w:cs="Helvetica"/>
                <w:bCs/>
                <w:sz w:val="18"/>
                <w:szCs w:val="18"/>
              </w:rPr>
              <w:t>tunted and can be damaged quite severely (Frazier 1970).</w:t>
            </w:r>
            <w:r>
              <w:rPr>
                <w:rFonts w:ascii="Helvetica" w:hAnsi="Helvetica" w:cs="Helvetica"/>
                <w:sz w:val="18"/>
                <w:szCs w:val="18"/>
              </w:rPr>
              <w:t xml:space="preserve"> GAMV, in combination with other viruses like </w:t>
            </w:r>
            <w:r>
              <w:rPr>
                <w:rFonts w:ascii="Helvetica" w:hAnsi="Helvetica" w:cs="Helvetica"/>
                <w:i/>
                <w:sz w:val="18"/>
                <w:szCs w:val="18"/>
              </w:rPr>
              <w:t>Grapevine rupestris vein feathering virus</w:t>
            </w:r>
            <w:r>
              <w:rPr>
                <w:rFonts w:ascii="Helvetica" w:hAnsi="Helvetica" w:cs="Helvetica"/>
                <w:sz w:val="18"/>
                <w:szCs w:val="18"/>
              </w:rPr>
              <w:t xml:space="preserve">, </w:t>
            </w:r>
            <w:r>
              <w:rPr>
                <w:rFonts w:ascii="Helvetica" w:hAnsi="Helvetica" w:cs="Helvetica"/>
                <w:i/>
                <w:sz w:val="18"/>
                <w:szCs w:val="18"/>
              </w:rPr>
              <w:t>Grapevine angular mosaic-associated virus</w:t>
            </w:r>
            <w:r>
              <w:rPr>
                <w:rFonts w:ascii="Helvetica" w:hAnsi="Helvetica" w:cs="Helvetica"/>
                <w:sz w:val="18"/>
                <w:szCs w:val="18"/>
              </w:rPr>
              <w:t xml:space="preserve"> or </w:t>
            </w:r>
            <w:r>
              <w:rPr>
                <w:rFonts w:ascii="Helvetica" w:hAnsi="Helvetica" w:cs="Helvetica"/>
                <w:i/>
                <w:sz w:val="18"/>
                <w:szCs w:val="18"/>
              </w:rPr>
              <w:t>Grapevine Syrah virus-1</w:t>
            </w:r>
            <w:r>
              <w:rPr>
                <w:rFonts w:ascii="Helvetica" w:hAnsi="Helvetica" w:cs="Helvetica"/>
                <w:sz w:val="18"/>
                <w:szCs w:val="18"/>
              </w:rPr>
              <w:t>, may impact grapevine health. Therefore, GAMV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 xml:space="preserve">Grapevine berry inner necrosis virus </w:t>
            </w:r>
            <w:r>
              <w:rPr>
                <w:rFonts w:ascii="Helvetica" w:hAnsi="Helvetica" w:cs="Helvetica"/>
                <w:bCs/>
                <w:sz w:val="18"/>
                <w:szCs w:val="18"/>
              </w:rPr>
              <w:t>(GINV) [Betaflexividae: Trichovirus]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Nor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GINV naturally infects grapevines resulting in poor growth (Yoshikawa </w:t>
            </w:r>
            <w:r>
              <w:rPr>
                <w:rFonts w:ascii="Helvetica" w:hAnsi="Helvetica" w:cs="Helvetica"/>
                <w:bCs/>
                <w:i/>
                <w:sz w:val="18"/>
                <w:szCs w:val="18"/>
              </w:rPr>
              <w:t>et al</w:t>
            </w:r>
            <w:r>
              <w:rPr>
                <w:rFonts w:ascii="Helvetica" w:hAnsi="Helvetica" w:cs="Helvetica"/>
                <w:bCs/>
                <w:sz w:val="18"/>
                <w:szCs w:val="18"/>
              </w:rPr>
              <w:t xml:space="preserve">. 1997). The virus causes a reduction in vigour, late sprouting, inner necrosis of shoots, and mosaic patterns on leaves (Yoshikawa </w:t>
            </w:r>
            <w:r>
              <w:rPr>
                <w:rFonts w:ascii="Helvetica" w:hAnsi="Helvetica" w:cs="Helvetica"/>
                <w:bCs/>
                <w:i/>
                <w:sz w:val="18"/>
                <w:szCs w:val="18"/>
              </w:rPr>
              <w:t>et al</w:t>
            </w:r>
            <w:r>
              <w:rPr>
                <w:rFonts w:ascii="Helvetica" w:hAnsi="Helvetica" w:cs="Helvetica"/>
                <w:bCs/>
                <w:sz w:val="18"/>
                <w:szCs w:val="18"/>
              </w:rPr>
              <w:t>. 1997). Viruses, as a rule, infect host plants systemically and all plant parts, including parts used for vegetative propagation, are infected (Bos 1999). Therefore, p</w:t>
            </w:r>
            <w:r>
              <w:rPr>
                <w:rFonts w:ascii="Helvetica" w:hAnsi="Helvetica" w:cs="Helvetica"/>
                <w:sz w:val="18"/>
                <w:szCs w:val="18"/>
              </w:rPr>
              <w:t xml:space="preserve">ropagative material provides a pathway for </w:t>
            </w:r>
            <w:r>
              <w:rPr>
                <w:rFonts w:ascii="Helvetica" w:hAnsi="Helvetica" w:cs="Helvetica"/>
                <w:bCs/>
                <w:sz w:val="18"/>
                <w:szCs w:val="18"/>
              </w:rPr>
              <w:t>GINV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GINV</w:t>
            </w:r>
            <w:r>
              <w:rPr>
                <w:rFonts w:ascii="Helvetica" w:hAnsi="Helvetica" w:cs="Helvetica"/>
                <w:sz w:val="18"/>
                <w:szCs w:val="18"/>
              </w:rPr>
              <w:t xml:space="preserve"> has established in areas with a wide range of climatic conditions (Terai </w:t>
            </w:r>
            <w:r>
              <w:rPr>
                <w:rFonts w:ascii="Helvetica" w:hAnsi="Helvetica" w:cs="Helvetica"/>
                <w:i/>
                <w:sz w:val="18"/>
                <w:szCs w:val="18"/>
              </w:rPr>
              <w:t>et al</w:t>
            </w:r>
            <w:r>
              <w:rPr>
                <w:rFonts w:ascii="Helvetica" w:hAnsi="Helvetica" w:cs="Helvetica"/>
                <w:sz w:val="18"/>
                <w:szCs w:val="18"/>
              </w:rPr>
              <w:t xml:space="preserve">. 1993; </w:t>
            </w:r>
            <w:r>
              <w:rPr>
                <w:rFonts w:ascii="Helvetica" w:hAnsi="Helvetica" w:cs="Helvetica"/>
                <w:bCs/>
                <w:sz w:val="18"/>
                <w:szCs w:val="18"/>
              </w:rPr>
              <w:t xml:space="preserve">Yoshikawa </w:t>
            </w:r>
            <w:r>
              <w:rPr>
                <w:rFonts w:ascii="Helvetica" w:hAnsi="Helvetica" w:cs="Helvetica"/>
                <w:bCs/>
                <w:i/>
                <w:sz w:val="18"/>
                <w:szCs w:val="18"/>
              </w:rPr>
              <w:t>et al</w:t>
            </w:r>
            <w:r>
              <w:rPr>
                <w:rFonts w:ascii="Helvetica" w:hAnsi="Helvetica" w:cs="Helvetica"/>
                <w:bCs/>
                <w:sz w:val="18"/>
                <w:szCs w:val="18"/>
              </w:rPr>
              <w:t>. 1997</w:t>
            </w:r>
            <w:r>
              <w:rPr>
                <w:rFonts w:ascii="Helvetica" w:hAnsi="Helvetica" w:cs="Helvetica"/>
                <w:sz w:val="18"/>
                <w:szCs w:val="18"/>
              </w:rPr>
              <w:t>)</w:t>
            </w:r>
            <w:r>
              <w:rPr>
                <w:rFonts w:ascii="Helvetica" w:hAnsi="Helvetica" w:cs="Helvetica"/>
                <w:iCs/>
                <w:sz w:val="18"/>
                <w:szCs w:val="18"/>
              </w:rPr>
              <w:t xml:space="preserve"> </w:t>
            </w:r>
            <w:r>
              <w:rPr>
                <w:rFonts w:ascii="Helvetica" w:hAnsi="Helvetica" w:cs="Helvetica"/>
                <w:sz w:val="18"/>
                <w:szCs w:val="18"/>
              </w:rPr>
              <w:t xml:space="preserve">and it may spread naturally in infected propagative material (Nishijima </w:t>
            </w:r>
            <w:r>
              <w:rPr>
                <w:rFonts w:ascii="Helvetica" w:hAnsi="Helvetica" w:cs="Helvetica"/>
                <w:i/>
                <w:sz w:val="18"/>
                <w:szCs w:val="18"/>
              </w:rPr>
              <w:t>et al</w:t>
            </w:r>
            <w:r>
              <w:rPr>
                <w:rFonts w:ascii="Helvetica" w:hAnsi="Helvetica" w:cs="Helvetica"/>
                <w:sz w:val="18"/>
                <w:szCs w:val="18"/>
              </w:rPr>
              <w:t xml:space="preserve">. 2000). Multiplication and distribution of infected propagative material and </w:t>
            </w:r>
            <w:r>
              <w:rPr>
                <w:rFonts w:ascii="Helvetica" w:hAnsi="Helvetica" w:cs="Helvetica"/>
                <w:i/>
                <w:sz w:val="18"/>
                <w:szCs w:val="18"/>
              </w:rPr>
              <w:t>Colomerus vitis</w:t>
            </w:r>
            <w:r>
              <w:rPr>
                <w:rFonts w:ascii="Helvetica" w:hAnsi="Helvetica" w:cs="Helvetica"/>
                <w:sz w:val="18"/>
                <w:szCs w:val="18"/>
              </w:rPr>
              <w:t xml:space="preserve"> (Kunugi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xml:space="preserve">. 2000) will help spread </w:t>
            </w:r>
            <w:r>
              <w:rPr>
                <w:rFonts w:ascii="Helvetica" w:hAnsi="Helvetica" w:cs="Helvetica"/>
                <w:bCs/>
                <w:sz w:val="18"/>
                <w:szCs w:val="18"/>
              </w:rPr>
              <w:t>GINV</w:t>
            </w:r>
            <w:r>
              <w:rPr>
                <w:rFonts w:ascii="Helvetica" w:hAnsi="Helvetica" w:cs="Helvetica"/>
                <w:sz w:val="18"/>
                <w:szCs w:val="18"/>
              </w:rPr>
              <w:t xml:space="preserve"> within Australia. Therefore, </w:t>
            </w:r>
            <w:r>
              <w:rPr>
                <w:rFonts w:ascii="Helvetica" w:hAnsi="Helvetica" w:cs="Helvetica"/>
                <w:bCs/>
                <w:sz w:val="18"/>
                <w:szCs w:val="18"/>
              </w:rPr>
              <w:t>GINV</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In Japan, </w:t>
            </w:r>
            <w:r>
              <w:rPr>
                <w:rFonts w:ascii="Helvetica" w:hAnsi="Helvetica" w:cs="Helvetica"/>
                <w:bCs/>
                <w:sz w:val="18"/>
                <w:szCs w:val="18"/>
              </w:rPr>
              <w:t>GINV</w:t>
            </w:r>
            <w:r>
              <w:rPr>
                <w:rFonts w:ascii="Helvetica" w:hAnsi="Helvetica" w:cs="Helvetica"/>
                <w:sz w:val="18"/>
                <w:szCs w:val="18"/>
              </w:rPr>
              <w:t xml:space="preserve"> is considered to be one of the most important viruses of certain varieties of grapevines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The virus has a significant impact on the health of the grapevines, resulting in poor growth and necrosis of berries (Yoshikawa </w:t>
            </w:r>
            <w:r>
              <w:rPr>
                <w:rFonts w:ascii="Helvetica" w:hAnsi="Helvetica" w:cs="Helvetica"/>
                <w:i/>
                <w:sz w:val="18"/>
                <w:szCs w:val="18"/>
              </w:rPr>
              <w:t>et al</w:t>
            </w:r>
            <w:r>
              <w:rPr>
                <w:rFonts w:ascii="Helvetica" w:hAnsi="Helvetica" w:cs="Helvetica"/>
                <w:sz w:val="18"/>
                <w:szCs w:val="18"/>
              </w:rPr>
              <w:t>. 1997). Therefore, this virus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Grapevine Bulgarian latent virus</w:t>
            </w:r>
            <w:r>
              <w:rPr>
                <w:rFonts w:ascii="Helvetica" w:hAnsi="Helvetica" w:cs="Helvetica"/>
                <w:bCs/>
                <w:sz w:val="18"/>
                <w:szCs w:val="18"/>
              </w:rPr>
              <w:t xml:space="preserve"> (GBLV)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Nor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GBLV is associated with fanleaf degeneration/ decline disease (Oliver and Fuchs 2011) and is seed-borne in grapes (Richardson 1990). GBLV infections are symptomless (Martelli </w:t>
            </w:r>
            <w:r>
              <w:rPr>
                <w:rFonts w:ascii="Helvetica" w:hAnsi="Helvetica" w:cs="Helvetica"/>
                <w:bCs/>
                <w:i/>
                <w:sz w:val="18"/>
                <w:szCs w:val="18"/>
              </w:rPr>
              <w:t>et al</w:t>
            </w:r>
            <w:r>
              <w:rPr>
                <w:rFonts w:ascii="Helvetica" w:hAnsi="Helvetica" w:cs="Helvetica"/>
                <w:bCs/>
                <w:sz w:val="18"/>
                <w:szCs w:val="18"/>
              </w:rPr>
              <w:t xml:space="preserve">. 1977) and this may </w:t>
            </w:r>
            <w:r>
              <w:rPr>
                <w:rFonts w:ascii="Helvetica" w:hAnsi="Helvetica" w:cs="Helvetica"/>
                <w:sz w:val="18"/>
                <w:szCs w:val="18"/>
              </w:rPr>
              <w:t xml:space="preserve">lead to the propagation and distribution of infected propagative material. </w:t>
            </w:r>
            <w:r>
              <w:rPr>
                <w:rFonts w:ascii="Helvetica" w:hAnsi="Helvetica" w:cs="Helvetica"/>
                <w:bCs/>
                <w:sz w:val="18"/>
                <w:szCs w:val="18"/>
              </w:rPr>
              <w:t>Viruses, as a rule, infect host plants systemically and all plant parts, including parts used for vegetative propagation, are infected (Bos 1999). Therefore, p</w:t>
            </w:r>
            <w:r>
              <w:rPr>
                <w:rFonts w:ascii="Helvetica" w:hAnsi="Helvetica" w:cs="Helvetica"/>
                <w:sz w:val="18"/>
                <w:szCs w:val="18"/>
              </w:rPr>
              <w:t xml:space="preserve">ropagative material provides a pathway for </w:t>
            </w:r>
            <w:r>
              <w:rPr>
                <w:rFonts w:ascii="Helvetica" w:hAnsi="Helvetica" w:cs="Helvetica"/>
                <w:bCs/>
                <w:sz w:val="18"/>
                <w:szCs w:val="18"/>
              </w:rPr>
              <w:t>GBLV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GBLV</w:t>
            </w:r>
            <w:r>
              <w:rPr>
                <w:rFonts w:ascii="Helvetica" w:hAnsi="Helvetica" w:cs="Helvetica"/>
                <w:sz w:val="18"/>
                <w:szCs w:val="18"/>
              </w:rPr>
              <w:t xml:space="preserve"> has established in areas with a wide range of climatic conditions</w:t>
            </w:r>
            <w:r>
              <w:rPr>
                <w:rFonts w:ascii="Helvetica" w:hAnsi="Helvetica" w:cs="Helvetica"/>
                <w:i/>
                <w:iCs/>
                <w:sz w:val="18"/>
                <w:szCs w:val="18"/>
              </w:rPr>
              <w:t xml:space="preserve"> </w:t>
            </w:r>
            <w:r>
              <w:rPr>
                <w:rFonts w:ascii="Helvetica" w:hAnsi="Helvetica" w:cs="Helvetica"/>
                <w:sz w:val="18"/>
                <w:szCs w:val="18"/>
              </w:rPr>
              <w:t>(</w:t>
            </w:r>
            <w:r>
              <w:rPr>
                <w:rFonts w:ascii="Helvetica" w:hAnsi="Helvetica" w:cs="Helvetica"/>
                <w:bCs/>
                <w:sz w:val="18"/>
                <w:szCs w:val="18"/>
              </w:rPr>
              <w:t xml:space="preserve">Martelli </w:t>
            </w:r>
            <w:r>
              <w:rPr>
                <w:rFonts w:ascii="Helvetica" w:hAnsi="Helvetica" w:cs="Helvetica"/>
                <w:bCs/>
                <w:i/>
                <w:sz w:val="18"/>
                <w:szCs w:val="18"/>
              </w:rPr>
              <w:t>et al</w:t>
            </w:r>
            <w:r>
              <w:rPr>
                <w:rFonts w:ascii="Helvetica" w:hAnsi="Helvetica" w:cs="Helvetica"/>
                <w:bCs/>
                <w:sz w:val="18"/>
                <w:szCs w:val="18"/>
              </w:rPr>
              <w:t>. 1978</w:t>
            </w:r>
            <w:r>
              <w:rPr>
                <w:rFonts w:ascii="Helvetica" w:hAnsi="Helvetica" w:cs="Helvetica"/>
                <w:sz w:val="18"/>
                <w:szCs w:val="18"/>
              </w:rPr>
              <w:t xml:space="preserve">; Uyemoto </w:t>
            </w:r>
            <w:r>
              <w:rPr>
                <w:rFonts w:ascii="Helvetica" w:hAnsi="Helvetica" w:cs="Helvetica"/>
                <w:i/>
                <w:sz w:val="18"/>
                <w:szCs w:val="18"/>
              </w:rPr>
              <w:t>et al</w:t>
            </w:r>
            <w:r>
              <w:rPr>
                <w:rFonts w:ascii="Helvetica" w:hAnsi="Helvetica" w:cs="Helvetica"/>
                <w:sz w:val="18"/>
                <w:szCs w:val="18"/>
              </w:rPr>
              <w:t xml:space="preserve">. 1977; Sequeira and Mendonça 1992) and it can spread naturally in infected propagative material. The symptomless nature of this virus may contribute to the inadvertent propagation and distribution of infected material that will help spread </w:t>
            </w:r>
            <w:r>
              <w:rPr>
                <w:rFonts w:ascii="Helvetica" w:hAnsi="Helvetica" w:cs="Helvetica"/>
                <w:bCs/>
                <w:sz w:val="18"/>
                <w:szCs w:val="18"/>
              </w:rPr>
              <w:t>GBLV</w:t>
            </w:r>
            <w:r>
              <w:rPr>
                <w:rFonts w:ascii="Helvetica" w:hAnsi="Helvetica" w:cs="Helvetica"/>
                <w:sz w:val="18"/>
                <w:szCs w:val="18"/>
              </w:rPr>
              <w:t xml:space="preserve"> within Australia. Therefore, </w:t>
            </w:r>
            <w:r>
              <w:rPr>
                <w:rFonts w:ascii="Helvetica" w:hAnsi="Helvetica" w:cs="Helvetica"/>
                <w:bCs/>
                <w:sz w:val="18"/>
                <w:szCs w:val="18"/>
              </w:rPr>
              <w:t>GBLV</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Information on the economic consequences of this virus is almost non-existent. </w:t>
            </w:r>
            <w:r>
              <w:rPr>
                <w:rFonts w:ascii="Helvetica" w:hAnsi="Helvetica" w:cs="Helvetica"/>
                <w:iCs/>
                <w:sz w:val="18"/>
                <w:szCs w:val="18"/>
              </w:rPr>
              <w:t>However, as it is a part of the virus complex associated</w:t>
            </w:r>
            <w:r>
              <w:rPr>
                <w:rFonts w:ascii="Helvetica" w:hAnsi="Helvetica" w:cs="Helvetica"/>
                <w:bCs/>
                <w:sz w:val="18"/>
                <w:szCs w:val="18"/>
              </w:rPr>
              <w:t xml:space="preserve"> with fanleaf degeneration/decline disease (Oliver and Fuchs 2011), </w:t>
            </w:r>
            <w:r>
              <w:rPr>
                <w:rFonts w:ascii="Helvetica" w:hAnsi="Helvetica" w:cs="Helvetica"/>
                <w:iCs/>
                <w:sz w:val="18"/>
                <w:szCs w:val="18"/>
              </w:rPr>
              <w:t xml:space="preserve">it may cause significant crop losses. A New York isolate caused delayed bud break and differential elongation of bud shoots and smaller fruit clusters with many aborted berries (Uyemoto </w:t>
            </w:r>
            <w:r>
              <w:rPr>
                <w:rFonts w:ascii="Helvetica" w:hAnsi="Helvetica" w:cs="Helvetica"/>
                <w:i/>
                <w:iCs/>
                <w:sz w:val="18"/>
                <w:szCs w:val="18"/>
              </w:rPr>
              <w:t>et al</w:t>
            </w:r>
            <w:r>
              <w:rPr>
                <w:rFonts w:ascii="Helvetica" w:hAnsi="Helvetica" w:cs="Helvetica"/>
                <w:iCs/>
                <w:sz w:val="18"/>
                <w:szCs w:val="18"/>
              </w:rPr>
              <w:t xml:space="preserve">. 1977). </w:t>
            </w:r>
            <w:r>
              <w:rPr>
                <w:rFonts w:ascii="Helvetica" w:hAnsi="Helvetica" w:cs="Helvetica"/>
                <w:sz w:val="18"/>
                <w:szCs w:val="18"/>
              </w:rPr>
              <w:t>Therefore, this virus has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Grapevine chrome mosaic virus</w:t>
            </w:r>
            <w:r>
              <w:rPr>
                <w:rFonts w:ascii="Helvetica" w:hAnsi="Helvetica" w:cs="Helvetica"/>
                <w:bCs/>
                <w:sz w:val="18"/>
                <w:szCs w:val="18"/>
              </w:rPr>
              <w:t xml:space="preserve"> (GCMV)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Nor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GCMV is associated with fanleaf degeneration/ decline disease (Oliver and Fuchs 2011). GCMV</w:t>
            </w:r>
            <w:r>
              <w:rPr>
                <w:rFonts w:ascii="Helvetica" w:hAnsi="Helvetica" w:cs="Helvetica"/>
                <w:sz w:val="18"/>
                <w:szCs w:val="18"/>
              </w:rPr>
              <w:t xml:space="preserve"> is seed-borne in grapevines (Lazar </w:t>
            </w:r>
            <w:r>
              <w:rPr>
                <w:rFonts w:ascii="Helvetica" w:hAnsi="Helvetica" w:cs="Helvetica"/>
                <w:i/>
                <w:sz w:val="18"/>
                <w:szCs w:val="18"/>
              </w:rPr>
              <w:t>et al</w:t>
            </w:r>
            <w:r>
              <w:rPr>
                <w:rFonts w:ascii="Helvetica" w:hAnsi="Helvetica" w:cs="Helvetica"/>
                <w:sz w:val="18"/>
                <w:szCs w:val="18"/>
              </w:rPr>
              <w:t xml:space="preserve">. 1990; </w:t>
            </w:r>
            <w:r>
              <w:rPr>
                <w:rFonts w:ascii="Helvetica" w:hAnsi="Helvetica" w:cs="Helvetica"/>
                <w:bCs/>
                <w:sz w:val="18"/>
                <w:szCs w:val="18"/>
              </w:rPr>
              <w:t>Lehoczky 1991</w:t>
            </w:r>
            <w:r>
              <w:rPr>
                <w:rFonts w:ascii="Helvetica" w:hAnsi="Helvetica" w:cs="Helvetica"/>
                <w:sz w:val="18"/>
                <w:szCs w:val="18"/>
              </w:rPr>
              <w:t xml:space="preserve">) and </w:t>
            </w:r>
            <w:r>
              <w:rPr>
                <w:rFonts w:ascii="Helvetica" w:hAnsi="Helvetica" w:cs="Helvetica"/>
                <w:bCs/>
                <w:sz w:val="18"/>
                <w:szCs w:val="18"/>
              </w:rPr>
              <w:t xml:space="preserve">causes chrome yellow or white discolouration of the leaves with leaf and cane deformations (Martelli </w:t>
            </w:r>
            <w:r>
              <w:rPr>
                <w:rFonts w:ascii="Helvetica" w:hAnsi="Helvetica" w:cs="Helvetica"/>
                <w:bCs/>
                <w:i/>
                <w:sz w:val="18"/>
                <w:szCs w:val="18"/>
              </w:rPr>
              <w:t>et al</w:t>
            </w:r>
            <w:r>
              <w:rPr>
                <w:rFonts w:ascii="Helvetica" w:hAnsi="Helvetica" w:cs="Helvetica"/>
                <w:bCs/>
                <w:sz w:val="18"/>
                <w:szCs w:val="18"/>
              </w:rPr>
              <w:t xml:space="preserve">. 1970; Dimou </w:t>
            </w:r>
            <w:r>
              <w:rPr>
                <w:rFonts w:ascii="Helvetica" w:hAnsi="Helvetica" w:cs="Helvetica"/>
                <w:bCs/>
                <w:i/>
                <w:sz w:val="18"/>
                <w:szCs w:val="18"/>
              </w:rPr>
              <w:t>et al</w:t>
            </w:r>
            <w:r>
              <w:rPr>
                <w:rFonts w:ascii="Helvetica" w:hAnsi="Helvetica" w:cs="Helvetica"/>
                <w:bCs/>
                <w:sz w:val="18"/>
                <w:szCs w:val="18"/>
              </w:rPr>
              <w:t>. 1994). However, symptomless infection may occur (Martelli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 Therefore, p</w:t>
            </w:r>
            <w:r>
              <w:rPr>
                <w:rFonts w:ascii="Helvetica" w:hAnsi="Helvetica" w:cs="Helvetica"/>
                <w:sz w:val="18"/>
                <w:szCs w:val="18"/>
              </w:rPr>
              <w:t xml:space="preserve">ropagative material provides a pathway for </w:t>
            </w:r>
            <w:r>
              <w:rPr>
                <w:rFonts w:ascii="Helvetica" w:hAnsi="Helvetica" w:cs="Helvetica"/>
                <w:bCs/>
                <w:sz w:val="18"/>
                <w:szCs w:val="18"/>
              </w:rPr>
              <w:t>GCMV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GCMV has established in areas with a wide range of climatic conditions (Uyemoto </w:t>
            </w:r>
            <w:r>
              <w:rPr>
                <w:rFonts w:ascii="Helvetica" w:hAnsi="Helvetica" w:cs="Helvetica"/>
                <w:i/>
                <w:sz w:val="18"/>
                <w:szCs w:val="18"/>
              </w:rPr>
              <w:t>et al</w:t>
            </w:r>
            <w:r>
              <w:rPr>
                <w:rFonts w:ascii="Helvetica" w:hAnsi="Helvetica" w:cs="Helvetica"/>
                <w:sz w:val="18"/>
                <w:szCs w:val="18"/>
              </w:rPr>
              <w:t>. 2009) and it can spread naturally in infected propagative material (</w:t>
            </w:r>
            <w:r>
              <w:rPr>
                <w:rFonts w:ascii="Helvetica" w:hAnsi="Helvetica" w:cs="Helvetica"/>
                <w:bCs/>
                <w:sz w:val="18"/>
                <w:szCs w:val="18"/>
              </w:rPr>
              <w:t xml:space="preserve">Dimou </w:t>
            </w:r>
            <w:r>
              <w:rPr>
                <w:rFonts w:ascii="Helvetica" w:hAnsi="Helvetica" w:cs="Helvetica"/>
                <w:bCs/>
                <w:i/>
                <w:sz w:val="18"/>
                <w:szCs w:val="18"/>
              </w:rPr>
              <w:t>et al</w:t>
            </w:r>
            <w:r>
              <w:rPr>
                <w:rFonts w:ascii="Helvetica" w:hAnsi="Helvetica" w:cs="Helvetica"/>
                <w:bCs/>
                <w:sz w:val="18"/>
                <w:szCs w:val="18"/>
              </w:rPr>
              <w:t>. 1994)</w:t>
            </w:r>
            <w:r>
              <w:rPr>
                <w:rFonts w:ascii="Helvetica" w:hAnsi="Helvetica" w:cs="Helvetica"/>
                <w:sz w:val="18"/>
                <w:szCs w:val="18"/>
              </w:rPr>
              <w:t xml:space="preserve">. The symptomless nature of this virus may contribute to the inadvertent propagation and distribution of infected material that will help spread </w:t>
            </w:r>
            <w:r>
              <w:rPr>
                <w:rFonts w:ascii="Helvetica" w:hAnsi="Helvetica" w:cs="Helvetica"/>
                <w:bCs/>
                <w:sz w:val="18"/>
                <w:szCs w:val="18"/>
              </w:rPr>
              <w:t xml:space="preserve">GCMV </w:t>
            </w:r>
            <w:r>
              <w:rPr>
                <w:rFonts w:ascii="Helvetica" w:hAnsi="Helvetica" w:cs="Helvetica"/>
                <w:sz w:val="18"/>
                <w:szCs w:val="18"/>
              </w:rPr>
              <w:t>within Australia. Therefore, GCMV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Infected vines show a remarkable reduction in vigour and progressive decline leading to low fruit yield (</w:t>
            </w:r>
            <w:r>
              <w:rPr>
                <w:rFonts w:ascii="Helvetica" w:hAnsi="Helvetica" w:cs="Helvetica"/>
                <w:bCs/>
                <w:sz w:val="18"/>
                <w:szCs w:val="18"/>
              </w:rPr>
              <w:t xml:space="preserve">Martelli </w:t>
            </w:r>
            <w:r>
              <w:rPr>
                <w:rFonts w:ascii="Helvetica" w:hAnsi="Helvetica" w:cs="Helvetica"/>
                <w:bCs/>
                <w:i/>
                <w:sz w:val="18"/>
                <w:szCs w:val="18"/>
              </w:rPr>
              <w:t>et al</w:t>
            </w:r>
            <w:r>
              <w:rPr>
                <w:rFonts w:ascii="Helvetica" w:hAnsi="Helvetica" w:cs="Helvetica"/>
                <w:bCs/>
                <w:sz w:val="18"/>
                <w:szCs w:val="18"/>
              </w:rPr>
              <w:t xml:space="preserve">. 1970) </w:t>
            </w:r>
            <w:r>
              <w:rPr>
                <w:rFonts w:ascii="Helvetica" w:hAnsi="Helvetica" w:cs="Helvetica"/>
                <w:sz w:val="18"/>
                <w:szCs w:val="18"/>
              </w:rPr>
              <w:t>and eventual death of the plants 5–6 years after infection (</w:t>
            </w:r>
            <w:r>
              <w:rPr>
                <w:rFonts w:ascii="Helvetica" w:hAnsi="Helvetica" w:cs="Helvetica"/>
                <w:bCs/>
                <w:sz w:val="18"/>
                <w:szCs w:val="18"/>
              </w:rPr>
              <w:t xml:space="preserve">Martelli </w:t>
            </w:r>
            <w:r>
              <w:rPr>
                <w:rFonts w:ascii="Helvetica" w:hAnsi="Helvetica" w:cs="Helvetica"/>
                <w:bCs/>
                <w:i/>
                <w:sz w:val="18"/>
                <w:szCs w:val="18"/>
              </w:rPr>
              <w:t>et al</w:t>
            </w:r>
            <w:r>
              <w:rPr>
                <w:rFonts w:ascii="Helvetica" w:hAnsi="Helvetica" w:cs="Helvetica"/>
                <w:bCs/>
                <w:sz w:val="18"/>
                <w:szCs w:val="18"/>
              </w:rPr>
              <w:t xml:space="preserve">. 1970; </w:t>
            </w:r>
            <w:r>
              <w:rPr>
                <w:rFonts w:ascii="Helvetica" w:hAnsi="Helvetica" w:cs="Helvetica"/>
                <w:sz w:val="18"/>
                <w:szCs w:val="18"/>
              </w:rPr>
              <w:t xml:space="preserve">Pozsár </w:t>
            </w:r>
            <w:r>
              <w:rPr>
                <w:rFonts w:ascii="Helvetica" w:hAnsi="Helvetica" w:cs="Helvetica"/>
                <w:i/>
                <w:sz w:val="18"/>
                <w:szCs w:val="18"/>
              </w:rPr>
              <w:t>et al</w:t>
            </w:r>
            <w:r>
              <w:rPr>
                <w:rFonts w:ascii="Helvetica" w:hAnsi="Helvetica" w:cs="Helvetica"/>
                <w:sz w:val="18"/>
                <w:szCs w:val="18"/>
              </w:rPr>
              <w:t>. 1969). This pathogen can also reduce chlorophyll production and CO</w:t>
            </w:r>
            <w:r>
              <w:rPr>
                <w:rFonts w:ascii="Helvetica" w:hAnsi="Helvetica" w:cs="Helvetica"/>
                <w:sz w:val="18"/>
                <w:szCs w:val="18"/>
                <w:vertAlign w:val="subscript"/>
              </w:rPr>
              <w:t xml:space="preserve">2 </w:t>
            </w:r>
            <w:r>
              <w:rPr>
                <w:rFonts w:ascii="Helvetica" w:hAnsi="Helvetica" w:cs="Helvetica"/>
                <w:sz w:val="18"/>
                <w:szCs w:val="18"/>
              </w:rPr>
              <w:t xml:space="preserve">fixation (Pozsár </w:t>
            </w:r>
            <w:r>
              <w:rPr>
                <w:rFonts w:ascii="Helvetica" w:hAnsi="Helvetica" w:cs="Helvetica"/>
                <w:i/>
                <w:sz w:val="18"/>
                <w:szCs w:val="18"/>
              </w:rPr>
              <w:t>et al</w:t>
            </w:r>
            <w:r>
              <w:rPr>
                <w:rFonts w:ascii="Helvetica" w:hAnsi="Helvetica" w:cs="Helvetica"/>
                <w:sz w:val="18"/>
                <w:szCs w:val="18"/>
              </w:rPr>
              <w:t>. 1969), causing grapevine yield to decline by 66% and reducing grape sugar content (Lehoczky and Tasnády 1971). Therefore, GCMV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i/>
                <w:sz w:val="18"/>
                <w:szCs w:val="18"/>
              </w:rPr>
              <w:t>Grapevine deformation virus</w:t>
            </w:r>
            <w:r>
              <w:rPr>
                <w:rFonts w:ascii="Helvetica" w:hAnsi="Helvetica" w:cs="Helvetica"/>
                <w:bCs/>
                <w:sz w:val="18"/>
                <w:szCs w:val="18"/>
              </w:rPr>
              <w:t xml:space="preserve"> (GDefV)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Nor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GDefV is associated with fanleaf-like symptoms (Martelli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 GDefV does not always display easily detectable symptoms (Cigsar </w:t>
            </w:r>
            <w:r>
              <w:rPr>
                <w:rFonts w:ascii="Helvetica" w:hAnsi="Helvetica" w:cs="Helvetica"/>
                <w:bCs/>
                <w:i/>
                <w:sz w:val="18"/>
                <w:szCs w:val="18"/>
              </w:rPr>
              <w:t>et al</w:t>
            </w:r>
            <w:r>
              <w:rPr>
                <w:rFonts w:ascii="Helvetica" w:hAnsi="Helvetica" w:cs="Helvetica"/>
                <w:bCs/>
                <w:sz w:val="18"/>
                <w:szCs w:val="18"/>
              </w:rPr>
              <w:t xml:space="preserve">. 2003). </w:t>
            </w:r>
            <w:r>
              <w:rPr>
                <w:rFonts w:ascii="Helvetica" w:hAnsi="Helvetica" w:cs="Helvetica"/>
                <w:sz w:val="18"/>
                <w:szCs w:val="18"/>
              </w:rPr>
              <w:t>This virus can spread naturally in infected propagative material (</w:t>
            </w:r>
            <w:r>
              <w:rPr>
                <w:rFonts w:ascii="Helvetica" w:hAnsi="Helvetica" w:cs="Helvetica"/>
                <w:bCs/>
                <w:sz w:val="18"/>
                <w:szCs w:val="18"/>
              </w:rPr>
              <w:t xml:space="preserve">Cigsar </w:t>
            </w:r>
            <w:r>
              <w:rPr>
                <w:rFonts w:ascii="Helvetica" w:hAnsi="Helvetica" w:cs="Helvetica"/>
                <w:bCs/>
                <w:i/>
                <w:sz w:val="18"/>
                <w:szCs w:val="18"/>
              </w:rPr>
              <w:t>et al</w:t>
            </w:r>
            <w:r>
              <w:rPr>
                <w:rFonts w:ascii="Helvetica" w:hAnsi="Helvetica" w:cs="Helvetica"/>
                <w:bCs/>
                <w:sz w:val="18"/>
                <w:szCs w:val="18"/>
              </w:rPr>
              <w:t>. 2003)</w:t>
            </w:r>
            <w:r>
              <w:rPr>
                <w:rFonts w:ascii="Helvetica" w:hAnsi="Helvetica" w:cs="Helvetica"/>
                <w:sz w:val="18"/>
                <w:szCs w:val="18"/>
              </w:rPr>
              <w:t xml:space="preserve">. </w:t>
            </w:r>
            <w:r>
              <w:rPr>
                <w:rFonts w:ascii="Helvetica" w:hAnsi="Helvetica" w:cs="Helvetica"/>
                <w:bCs/>
                <w:sz w:val="18"/>
                <w:szCs w:val="18"/>
              </w:rPr>
              <w:t>Therefore, p</w:t>
            </w:r>
            <w:r>
              <w:rPr>
                <w:rFonts w:ascii="Helvetica" w:hAnsi="Helvetica" w:cs="Helvetica"/>
                <w:sz w:val="18"/>
                <w:szCs w:val="18"/>
              </w:rPr>
              <w:t xml:space="preserve">ropagative material provides a pathway for </w:t>
            </w:r>
            <w:r>
              <w:rPr>
                <w:rFonts w:ascii="Helvetica" w:hAnsi="Helvetica" w:cs="Helvetica"/>
                <w:bCs/>
                <w:sz w:val="18"/>
                <w:szCs w:val="18"/>
              </w:rPr>
              <w:t>GDefV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GDefV</w:t>
            </w:r>
            <w:r>
              <w:rPr>
                <w:rFonts w:ascii="Helvetica" w:hAnsi="Helvetica" w:cs="Helvetica"/>
                <w:sz w:val="18"/>
                <w:szCs w:val="18"/>
              </w:rPr>
              <w:t xml:space="preserve"> has established in areas with a wide range of climatic conditions (</w:t>
            </w:r>
            <w:r>
              <w:rPr>
                <w:rFonts w:ascii="Helvetica" w:hAnsi="Helvetica" w:cs="Helvetica"/>
                <w:bCs/>
                <w:sz w:val="18"/>
                <w:szCs w:val="18"/>
              </w:rPr>
              <w:t xml:space="preserve">Cigsar </w:t>
            </w:r>
            <w:r>
              <w:rPr>
                <w:rFonts w:ascii="Helvetica" w:hAnsi="Helvetica" w:cs="Helvetica"/>
                <w:bCs/>
                <w:i/>
                <w:sz w:val="18"/>
                <w:szCs w:val="18"/>
              </w:rPr>
              <w:t>et al</w:t>
            </w:r>
            <w:r>
              <w:rPr>
                <w:rFonts w:ascii="Helvetica" w:hAnsi="Helvetica" w:cs="Helvetica"/>
                <w:bCs/>
                <w:sz w:val="18"/>
                <w:szCs w:val="18"/>
              </w:rPr>
              <w:t>. 2003</w:t>
            </w:r>
            <w:r>
              <w:rPr>
                <w:rFonts w:ascii="Helvetica" w:hAnsi="Helvetica" w:cs="Helvetica"/>
                <w:sz w:val="18"/>
                <w:szCs w:val="18"/>
              </w:rPr>
              <w:t>) and it can spread naturally in infected propagative material (</w:t>
            </w:r>
            <w:r>
              <w:rPr>
                <w:rFonts w:ascii="Helvetica" w:hAnsi="Helvetica" w:cs="Helvetica"/>
                <w:bCs/>
                <w:sz w:val="18"/>
                <w:szCs w:val="18"/>
              </w:rPr>
              <w:t xml:space="preserve">Cigsar </w:t>
            </w:r>
            <w:r>
              <w:rPr>
                <w:rFonts w:ascii="Helvetica" w:hAnsi="Helvetica" w:cs="Helvetica"/>
                <w:bCs/>
                <w:i/>
                <w:sz w:val="18"/>
                <w:szCs w:val="18"/>
              </w:rPr>
              <w:t>et al</w:t>
            </w:r>
            <w:r>
              <w:rPr>
                <w:rFonts w:ascii="Helvetica" w:hAnsi="Helvetica" w:cs="Helvetica"/>
                <w:bCs/>
                <w:sz w:val="18"/>
                <w:szCs w:val="18"/>
              </w:rPr>
              <w:t>. 2003)</w:t>
            </w:r>
            <w:r>
              <w:rPr>
                <w:rFonts w:ascii="Helvetica" w:hAnsi="Helvetica" w:cs="Helvetica"/>
                <w:sz w:val="18"/>
                <w:szCs w:val="18"/>
              </w:rPr>
              <w:t xml:space="preserve">. Multiplication and distribution of infected propagative material will help spread </w:t>
            </w:r>
            <w:r>
              <w:rPr>
                <w:rFonts w:ascii="Helvetica" w:hAnsi="Helvetica" w:cs="Helvetica"/>
                <w:bCs/>
                <w:sz w:val="18"/>
                <w:szCs w:val="18"/>
              </w:rPr>
              <w:t>GDefV</w:t>
            </w:r>
            <w:r>
              <w:rPr>
                <w:rFonts w:ascii="Helvetica" w:hAnsi="Helvetica" w:cs="Helvetica"/>
                <w:sz w:val="18"/>
                <w:szCs w:val="18"/>
              </w:rPr>
              <w:t xml:space="preserve"> within Australia. Therefore, </w:t>
            </w:r>
            <w:r>
              <w:rPr>
                <w:rFonts w:ascii="Helvetica" w:hAnsi="Helvetica" w:cs="Helvetica"/>
                <w:bCs/>
                <w:sz w:val="18"/>
                <w:szCs w:val="18"/>
              </w:rPr>
              <w:t>GDefV</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Information on the economic consequences of this virus is almost non-existent. </w:t>
            </w:r>
            <w:r>
              <w:rPr>
                <w:rFonts w:ascii="Helvetica" w:hAnsi="Helvetica" w:cs="Helvetica"/>
                <w:iCs/>
                <w:sz w:val="18"/>
                <w:szCs w:val="18"/>
              </w:rPr>
              <w:t>However, as it is a part of the virus complex associated</w:t>
            </w:r>
            <w:r>
              <w:rPr>
                <w:rFonts w:ascii="Helvetica" w:hAnsi="Helvetica" w:cs="Helvetica"/>
                <w:bCs/>
                <w:sz w:val="18"/>
                <w:szCs w:val="18"/>
              </w:rPr>
              <w:t xml:space="preserve"> with fanleaf degeneration/decline disease (Oliver and Fuchs 2011), </w:t>
            </w:r>
            <w:r>
              <w:rPr>
                <w:rFonts w:ascii="Helvetica" w:hAnsi="Helvetica" w:cs="Helvetica"/>
                <w:iCs/>
                <w:sz w:val="18"/>
                <w:szCs w:val="18"/>
              </w:rPr>
              <w:t xml:space="preserve">it may cause significant crop losses. </w:t>
            </w:r>
            <w:r>
              <w:rPr>
                <w:rFonts w:ascii="Helvetica" w:hAnsi="Helvetica" w:cs="Helvetica"/>
                <w:bCs/>
                <w:sz w:val="18"/>
                <w:szCs w:val="18"/>
              </w:rPr>
              <w:t xml:space="preserve">Affected plants have depressed growth and straggly fruit clusters </w:t>
            </w:r>
            <w:r>
              <w:rPr>
                <w:rFonts w:ascii="Helvetica" w:hAnsi="Helvetica" w:cs="Helvetica"/>
                <w:sz w:val="18"/>
                <w:szCs w:val="18"/>
              </w:rPr>
              <w:t>(</w:t>
            </w:r>
            <w:r>
              <w:rPr>
                <w:rFonts w:ascii="Helvetica" w:hAnsi="Helvetica" w:cs="Helvetica"/>
                <w:bCs/>
                <w:sz w:val="18"/>
                <w:szCs w:val="18"/>
              </w:rPr>
              <w:t xml:space="preserve">Cigsar </w:t>
            </w:r>
            <w:r>
              <w:rPr>
                <w:rFonts w:ascii="Helvetica" w:hAnsi="Helvetica" w:cs="Helvetica"/>
                <w:bCs/>
                <w:i/>
                <w:sz w:val="18"/>
                <w:szCs w:val="18"/>
              </w:rPr>
              <w:t>et al</w:t>
            </w:r>
            <w:r>
              <w:rPr>
                <w:rFonts w:ascii="Helvetica" w:hAnsi="Helvetica" w:cs="Helvetica"/>
                <w:bCs/>
                <w:sz w:val="18"/>
                <w:szCs w:val="18"/>
              </w:rPr>
              <w:t>. 2003). This may reduce fruit yield and quality</w:t>
            </w:r>
            <w:r>
              <w:rPr>
                <w:rFonts w:ascii="Helvetica" w:hAnsi="Helvetica" w:cs="Helvetica"/>
                <w:sz w:val="18"/>
                <w:szCs w:val="18"/>
              </w:rPr>
              <w:t>. Therefore, GCMV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fanleaf virus</w:t>
            </w:r>
            <w:r>
              <w:rPr>
                <w:rFonts w:ascii="Helvetica" w:hAnsi="Helvetica" w:cs="Helvetica"/>
                <w:sz w:val="18"/>
                <w:szCs w:val="18"/>
              </w:rPr>
              <w:t xml:space="preserve"> (GFLV)</w:t>
            </w:r>
            <w:r>
              <w:rPr>
                <w:rFonts w:ascii="Helvetica" w:hAnsi="Helvetica" w:cs="Helvetica"/>
                <w:bCs/>
                <w:sz w:val="18"/>
                <w:szCs w:val="18"/>
              </w:rPr>
              <w:t xml:space="preserve">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r>
              <w:rPr>
                <w:rStyle w:val="FootnoteReference"/>
                <w:rFonts w:ascii="Helvetica" w:hAnsi="Helvetica" w:cs="Helvetica"/>
                <w:szCs w:val="18"/>
              </w:rPr>
              <w:footnoteReference w:id="31"/>
            </w:r>
            <w:r>
              <w:rPr>
                <w:rFonts w:ascii="Helvetica" w:hAnsi="Helvetica" w:cs="Helvetica"/>
                <w:sz w:val="18"/>
                <w:szCs w:val="18"/>
              </w:rPr>
              <w:t xml:space="preserve">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GFLV is associated with fanleaf (Martelli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 and is seed-borne in grapes (Richardson 1990). GFLV causes a variety of symptoms that differ in type and severity (Martelli 1993). Typical symptoms include distorted leaves, chlorotic mottling, yellow mosaic and cane malformation (Raski </w:t>
            </w:r>
            <w:r>
              <w:rPr>
                <w:rFonts w:ascii="Helvetica" w:hAnsi="Helvetica" w:cs="Helvetica"/>
                <w:bCs/>
                <w:i/>
                <w:sz w:val="18"/>
                <w:szCs w:val="18"/>
              </w:rPr>
              <w:t>et al</w:t>
            </w:r>
            <w:r>
              <w:rPr>
                <w:rFonts w:ascii="Helvetica" w:hAnsi="Helvetica" w:cs="Helvetica"/>
                <w:bCs/>
                <w:sz w:val="18"/>
                <w:szCs w:val="18"/>
              </w:rPr>
              <w:t>. 1983). However, leaf and cane malformation symptoms may not always be prominent (Martelli 1993). Therefore, p</w:t>
            </w:r>
            <w:r>
              <w:rPr>
                <w:rFonts w:ascii="Helvetica" w:hAnsi="Helvetica" w:cs="Helvetica"/>
                <w:sz w:val="18"/>
                <w:szCs w:val="18"/>
              </w:rPr>
              <w:t xml:space="preserve">ropagative material provides a pathway for </w:t>
            </w:r>
            <w:r>
              <w:rPr>
                <w:rFonts w:ascii="Helvetica" w:hAnsi="Helvetica" w:cs="Helvetica"/>
                <w:bCs/>
                <w:sz w:val="18"/>
                <w:szCs w:val="18"/>
              </w:rPr>
              <w:t>GFLV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 xml:space="preserve">GFLV </w:t>
            </w:r>
            <w:r>
              <w:rPr>
                <w:rFonts w:ascii="Helvetica" w:hAnsi="Helvetica" w:cs="Helvetica"/>
                <w:sz w:val="18"/>
                <w:szCs w:val="18"/>
              </w:rPr>
              <w:t xml:space="preserve">has established in areas with a wide range of climatic conditions (Andret-Link </w:t>
            </w:r>
            <w:r>
              <w:rPr>
                <w:rFonts w:ascii="Helvetica" w:hAnsi="Helvetica" w:cs="Helvetica"/>
                <w:i/>
                <w:sz w:val="18"/>
                <w:szCs w:val="18"/>
              </w:rPr>
              <w:t>et al</w:t>
            </w:r>
            <w:r>
              <w:rPr>
                <w:rFonts w:ascii="Helvetica" w:hAnsi="Helvetica" w:cs="Helvetica"/>
                <w:sz w:val="18"/>
                <w:szCs w:val="18"/>
              </w:rPr>
              <w:t xml:space="preserve">. 2004) and it can spread naturally in infected propagative material. Multiplication and distribution of infected propagative material will help spread </w:t>
            </w:r>
            <w:r>
              <w:rPr>
                <w:rFonts w:ascii="Helvetica" w:hAnsi="Helvetica" w:cs="Helvetica"/>
                <w:bCs/>
                <w:sz w:val="18"/>
                <w:szCs w:val="18"/>
              </w:rPr>
              <w:t>GFLV</w:t>
            </w:r>
            <w:r>
              <w:rPr>
                <w:rFonts w:ascii="Helvetica" w:hAnsi="Helvetica" w:cs="Helvetica"/>
                <w:sz w:val="18"/>
                <w:szCs w:val="18"/>
              </w:rPr>
              <w:t xml:space="preserve"> within Australia. Therefore, </w:t>
            </w:r>
            <w:r>
              <w:rPr>
                <w:rFonts w:ascii="Helvetica" w:hAnsi="Helvetica" w:cs="Helvetica"/>
                <w:bCs/>
                <w:sz w:val="18"/>
                <w:szCs w:val="18"/>
              </w:rPr>
              <w:t>GGLV</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GFLV is associated with fanleaf degeneration, causing substantial crop losses, reduced fruit quality and shortened longevity of vineyards (Andret-Link </w:t>
            </w:r>
            <w:r>
              <w:rPr>
                <w:rFonts w:ascii="Helvetica" w:hAnsi="Helvetica" w:cs="Helvetica"/>
                <w:i/>
                <w:sz w:val="18"/>
                <w:szCs w:val="18"/>
              </w:rPr>
              <w:t>et al</w:t>
            </w:r>
            <w:r>
              <w:rPr>
                <w:rFonts w:ascii="Helvetica" w:hAnsi="Helvetica" w:cs="Helvetica"/>
                <w:sz w:val="18"/>
                <w:szCs w:val="18"/>
              </w:rPr>
              <w:t xml:space="preserve">. 2004). Crop losses depend on the virulence of the virus isolate, the susceptibility of the cultivar and environmental factors (Bovey </w:t>
            </w:r>
            <w:r>
              <w:rPr>
                <w:rFonts w:ascii="Helvetica" w:hAnsi="Helvetica" w:cs="Helvetica"/>
                <w:i/>
                <w:sz w:val="18"/>
                <w:szCs w:val="18"/>
              </w:rPr>
              <w:t>et al</w:t>
            </w:r>
            <w:r>
              <w:rPr>
                <w:rFonts w:ascii="Helvetica" w:hAnsi="Helvetica" w:cs="Helvetica"/>
                <w:sz w:val="18"/>
                <w:szCs w:val="18"/>
              </w:rPr>
              <w:t xml:space="preserve">. 1990). GFLV also reduces fruit quality, with a substantial descrease in sugar content and titratable acidity (Andret-Link </w:t>
            </w:r>
            <w:r>
              <w:rPr>
                <w:rFonts w:ascii="Helvetica" w:hAnsi="Helvetica" w:cs="Helvetica"/>
                <w:i/>
                <w:sz w:val="18"/>
                <w:szCs w:val="18"/>
              </w:rPr>
              <w:t>et al</w:t>
            </w:r>
            <w:r>
              <w:rPr>
                <w:rFonts w:ascii="Helvetica" w:hAnsi="Helvetica" w:cs="Helvetica"/>
                <w:sz w:val="18"/>
                <w:szCs w:val="18"/>
              </w:rPr>
              <w:t>. 2004). Therefore, GFLV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fleck virus</w:t>
            </w:r>
            <w:r>
              <w:rPr>
                <w:rFonts w:ascii="Helvetica" w:hAnsi="Helvetica" w:cs="Helvetica"/>
                <w:sz w:val="18"/>
                <w:szCs w:val="18"/>
              </w:rPr>
              <w:t xml:space="preserve"> (GFkV) [Tymoviridae: Maculavirus]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(Habili </w:t>
            </w:r>
            <w:r>
              <w:rPr>
                <w:rFonts w:ascii="Helvetica" w:hAnsi="Helvetica" w:cs="Helvetica"/>
                <w:i/>
                <w:sz w:val="18"/>
                <w:szCs w:val="18"/>
              </w:rPr>
              <w:t>et al</w:t>
            </w:r>
            <w:r>
              <w:rPr>
                <w:rFonts w:ascii="Helvetica" w:hAnsi="Helvetica" w:cs="Helvetica"/>
                <w:sz w:val="18"/>
                <w:szCs w:val="18"/>
              </w:rPr>
              <w:t>. 2003)</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E6E6E6"/>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1 (GLRaV-1) [Closteroviridae: Ampelovirus]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(Habili </w:t>
            </w:r>
            <w:r>
              <w:rPr>
                <w:rFonts w:ascii="Helvetica" w:hAnsi="Helvetica" w:cs="Helvetica"/>
                <w:i/>
                <w:sz w:val="18"/>
                <w:szCs w:val="18"/>
              </w:rPr>
              <w:t>et al</w:t>
            </w:r>
            <w:r>
              <w:rPr>
                <w:rFonts w:ascii="Helvetica" w:hAnsi="Helvetica" w:cs="Helvetica"/>
                <w:sz w:val="18"/>
                <w:szCs w:val="18"/>
              </w:rPr>
              <w:t>. 2007)</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E6E6E6"/>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2 (GLRaV-2) [Closteroviridae: Closterovirus]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(Constable </w:t>
            </w:r>
            <w:r>
              <w:rPr>
                <w:rFonts w:ascii="Helvetica" w:hAnsi="Helvetica" w:cs="Helvetica"/>
                <w:i/>
                <w:sz w:val="18"/>
                <w:szCs w:val="18"/>
              </w:rPr>
              <w:t>et al.</w:t>
            </w:r>
            <w:r>
              <w:rPr>
                <w:rFonts w:ascii="Helvetica" w:hAnsi="Helvetica" w:cs="Helvetica"/>
                <w:sz w:val="18"/>
                <w:szCs w:val="18"/>
              </w:rPr>
              <w:t xml:space="preserve"> 2010)</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E6E6E6"/>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3 (GLRaV-3) [Closteroviridae: Ampelovirus]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(Habili and Symons 2000)</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E6E6E6"/>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4 (GLRaV-4) [Closteroviridae: Ampelovirus]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(Constable </w:t>
            </w:r>
            <w:r>
              <w:rPr>
                <w:rFonts w:ascii="Helvetica" w:hAnsi="Helvetica" w:cs="Helvetica"/>
                <w:i/>
                <w:sz w:val="18"/>
                <w:szCs w:val="18"/>
              </w:rPr>
              <w:t>et al.</w:t>
            </w:r>
            <w:r>
              <w:rPr>
                <w:rFonts w:ascii="Helvetica" w:hAnsi="Helvetica" w:cs="Helvetica"/>
                <w:sz w:val="18"/>
                <w:szCs w:val="18"/>
              </w:rPr>
              <w:t xml:space="preserve"> 2010)</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E6E6E6"/>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5 (GLRaV-5) [Closteroviridae: Ampelovirus]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(Constable </w:t>
            </w:r>
            <w:r>
              <w:rPr>
                <w:rFonts w:ascii="Helvetica" w:hAnsi="Helvetica" w:cs="Helvetica"/>
                <w:i/>
                <w:sz w:val="18"/>
                <w:szCs w:val="18"/>
              </w:rPr>
              <w:t>et al.</w:t>
            </w:r>
            <w:r>
              <w:rPr>
                <w:rFonts w:ascii="Helvetica" w:hAnsi="Helvetica" w:cs="Helvetica"/>
                <w:sz w:val="18"/>
                <w:szCs w:val="18"/>
              </w:rPr>
              <w:t xml:space="preserve"> 2010)</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r>
              <w:rPr>
                <w:rFonts w:ascii="Helvetica" w:hAnsi="Helvetica" w:cs="Helvetica"/>
                <w:sz w:val="18"/>
                <w:szCs w:val="18"/>
              </w:rPr>
              <w:t>.</w:t>
            </w:r>
          </w:p>
        </w:tc>
        <w:tc>
          <w:tcPr>
            <w:tcW w:w="1200" w:type="dxa"/>
            <w:tcBorders>
              <w:top w:val="single" w:sz="4" w:space="0" w:color="auto"/>
              <w:left w:val="single" w:sz="4" w:space="0" w:color="auto"/>
              <w:bottom w:val="single" w:sz="4" w:space="0" w:color="auto"/>
              <w:right w:val="single" w:sz="12" w:space="0" w:color="008000"/>
            </w:tcBorders>
            <w:shd w:val="clear" w:color="auto" w:fill="E6E6E6"/>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6 (GLRaV-6) [Closteroviridae: Ampelovirus]</w:t>
            </w:r>
            <w:r>
              <w:rPr>
                <w:rStyle w:val="FootnoteReference"/>
                <w:rFonts w:ascii="Helvetica" w:hAnsi="Helvetica" w:cs="Helvetica"/>
                <w:szCs w:val="18"/>
              </w:rPr>
              <w:footnoteReference w:id="32"/>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GLRaVs colonize and reproduce in the grapevine phloem tissue (Martinson </w:t>
            </w:r>
            <w:r>
              <w:rPr>
                <w:rFonts w:ascii="Helvetica" w:hAnsi="Helvetica" w:cs="Helvetica"/>
                <w:i/>
                <w:sz w:val="18"/>
                <w:szCs w:val="18"/>
              </w:rPr>
              <w:t>et al</w:t>
            </w:r>
            <w:r>
              <w:rPr>
                <w:rFonts w:ascii="Helvetica" w:hAnsi="Helvetica" w:cs="Helvetica"/>
                <w:sz w:val="18"/>
                <w:szCs w:val="18"/>
              </w:rPr>
              <w:t xml:space="preserve">. 2008) and mixed infections of GLRaV are common (Hu </w:t>
            </w:r>
            <w:r>
              <w:rPr>
                <w:rFonts w:ascii="Helvetica" w:hAnsi="Helvetica" w:cs="Helvetica"/>
                <w:i/>
                <w:sz w:val="18"/>
                <w:szCs w:val="18"/>
              </w:rPr>
              <w:t xml:space="preserve">et al. </w:t>
            </w:r>
            <w:r>
              <w:rPr>
                <w:rFonts w:ascii="Helvetica" w:hAnsi="Helvetica" w:cs="Helvetica"/>
                <w:sz w:val="18"/>
                <w:szCs w:val="18"/>
              </w:rPr>
              <w:t xml:space="preserve">1990; Zimmerman </w:t>
            </w:r>
            <w:r>
              <w:rPr>
                <w:rFonts w:ascii="Helvetica" w:hAnsi="Helvetica" w:cs="Helvetica"/>
                <w:i/>
                <w:sz w:val="18"/>
                <w:szCs w:val="18"/>
              </w:rPr>
              <w:t>et al</w:t>
            </w:r>
            <w:r>
              <w:rPr>
                <w:rFonts w:ascii="Helvetica" w:hAnsi="Helvetica" w:cs="Helvetica"/>
                <w:sz w:val="18"/>
                <w:szCs w:val="18"/>
              </w:rPr>
              <w:t xml:space="preserve">. 1990). Symptoms are not expressed on all infected vines (Fuchs 2007; Martinson </w:t>
            </w:r>
            <w:r>
              <w:rPr>
                <w:rFonts w:ascii="Helvetica" w:hAnsi="Helvetica" w:cs="Helvetica"/>
                <w:i/>
                <w:sz w:val="18"/>
                <w:szCs w:val="18"/>
              </w:rPr>
              <w:t>et al</w:t>
            </w:r>
            <w:r>
              <w:rPr>
                <w:rFonts w:ascii="Helvetica" w:hAnsi="Helvetica" w:cs="Helvetica"/>
                <w:sz w:val="18"/>
                <w:szCs w:val="18"/>
              </w:rPr>
              <w:t>. 2008). This may lead to the propagation and distribution of infected propagative material, suggesting that GLRaVs could enter Australia on propagative material.</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GLRaVs have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w:t>
            </w:r>
            <w:r>
              <w:rPr>
                <w:rFonts w:ascii="Helvetica" w:hAnsi="Helvetica" w:cs="Helvetica"/>
                <w:sz w:val="18"/>
                <w:szCs w:val="18"/>
              </w:rPr>
              <w:t xml:space="preserve">Cigsar </w:t>
            </w:r>
            <w:r>
              <w:rPr>
                <w:rFonts w:ascii="Helvetica" w:hAnsi="Helvetica" w:cs="Helvetica"/>
                <w:i/>
                <w:sz w:val="18"/>
                <w:szCs w:val="18"/>
              </w:rPr>
              <w:t xml:space="preserve">et al. </w:t>
            </w:r>
            <w:r>
              <w:rPr>
                <w:rFonts w:ascii="Helvetica" w:hAnsi="Helvetica" w:cs="Helvetica"/>
                <w:sz w:val="18"/>
                <w:szCs w:val="18"/>
              </w:rPr>
              <w:t>2002;</w:t>
            </w:r>
            <w:r>
              <w:rPr>
                <w:rFonts w:ascii="Helvetica" w:hAnsi="Helvetica" w:cs="Helvetica"/>
                <w:iCs/>
                <w:sz w:val="18"/>
                <w:szCs w:val="18"/>
              </w:rPr>
              <w:t xml:space="preserve"> </w:t>
            </w:r>
            <w:r>
              <w:rPr>
                <w:rFonts w:ascii="Helvetica" w:hAnsi="Helvetica" w:cs="Helvetica"/>
                <w:sz w:val="18"/>
                <w:szCs w:val="18"/>
              </w:rPr>
              <w:t xml:space="preserve">Kuniyuki </w:t>
            </w:r>
            <w:r>
              <w:rPr>
                <w:rFonts w:ascii="Helvetica" w:hAnsi="Helvetica" w:cs="Helvetica"/>
                <w:i/>
                <w:sz w:val="18"/>
                <w:szCs w:val="18"/>
              </w:rPr>
              <w:t xml:space="preserve">et al. </w:t>
            </w:r>
            <w:r>
              <w:rPr>
                <w:rFonts w:ascii="Helvetica" w:hAnsi="Helvetica" w:cs="Helvetica"/>
                <w:sz w:val="18"/>
                <w:szCs w:val="18"/>
              </w:rPr>
              <w:t xml:space="preserve">2006; </w:t>
            </w:r>
            <w:r>
              <w:rPr>
                <w:rFonts w:ascii="Helvetica" w:hAnsi="Helvetica" w:cs="Helvetica"/>
                <w:iCs/>
                <w:sz w:val="18"/>
                <w:szCs w:val="18"/>
              </w:rPr>
              <w:t xml:space="preserve">Martinson </w:t>
            </w:r>
            <w:r>
              <w:rPr>
                <w:rFonts w:ascii="Helvetica" w:hAnsi="Helvetica" w:cs="Helvetica"/>
                <w:i/>
                <w:iCs/>
                <w:sz w:val="18"/>
                <w:szCs w:val="18"/>
              </w:rPr>
              <w:t>et al</w:t>
            </w:r>
            <w:r>
              <w:rPr>
                <w:rFonts w:ascii="Helvetica" w:hAnsi="Helvetica" w:cs="Helvetica"/>
                <w:iCs/>
                <w:sz w:val="18"/>
                <w:szCs w:val="18"/>
              </w:rPr>
              <w:t xml:space="preserve">. 2008; </w:t>
            </w:r>
            <w:r>
              <w:rPr>
                <w:rFonts w:ascii="Helvetica" w:hAnsi="Helvetica" w:cs="Helvetica"/>
                <w:sz w:val="18"/>
                <w:szCs w:val="18"/>
              </w:rPr>
              <w:t xml:space="preserve">Eddin </w:t>
            </w:r>
            <w:r>
              <w:rPr>
                <w:rFonts w:ascii="Helvetica" w:hAnsi="Helvetica" w:cs="Helvetica"/>
                <w:i/>
                <w:sz w:val="18"/>
                <w:szCs w:val="18"/>
              </w:rPr>
              <w:t xml:space="preserve">et al. </w:t>
            </w:r>
            <w:r>
              <w:rPr>
                <w:rFonts w:ascii="Helvetica" w:hAnsi="Helvetica" w:cs="Helvetica"/>
                <w:sz w:val="18"/>
                <w:szCs w:val="18"/>
              </w:rPr>
              <w:t xml:space="preserve">2008; Mahfoudhi </w:t>
            </w:r>
            <w:r>
              <w:rPr>
                <w:rFonts w:ascii="Helvetica" w:hAnsi="Helvetica" w:cs="Helvetica"/>
                <w:i/>
                <w:sz w:val="18"/>
                <w:szCs w:val="18"/>
              </w:rPr>
              <w:t xml:space="preserve">et al. </w:t>
            </w:r>
            <w:r>
              <w:rPr>
                <w:rFonts w:ascii="Helvetica" w:hAnsi="Helvetica" w:cs="Helvetica"/>
                <w:sz w:val="18"/>
                <w:szCs w:val="18"/>
              </w:rPr>
              <w:t>2009</w:t>
            </w:r>
            <w:r>
              <w:rPr>
                <w:rFonts w:ascii="Helvetica" w:hAnsi="Helvetica" w:cs="Helvetica"/>
                <w:iCs/>
                <w:sz w:val="18"/>
                <w:szCs w:val="18"/>
              </w:rPr>
              <w:t xml:space="preserve">) and spread by propagative material </w:t>
            </w:r>
            <w:r>
              <w:rPr>
                <w:rFonts w:ascii="Helvetica" w:hAnsi="Helvetica" w:cs="Helvetica"/>
                <w:sz w:val="18"/>
                <w:szCs w:val="18"/>
              </w:rPr>
              <w:t xml:space="preserve">(Weber </w:t>
            </w:r>
            <w:r>
              <w:rPr>
                <w:rFonts w:ascii="Helvetica" w:hAnsi="Helvetica" w:cs="Helvetica"/>
                <w:i/>
                <w:sz w:val="18"/>
                <w:szCs w:val="18"/>
              </w:rPr>
              <w:t>et al</w:t>
            </w:r>
            <w:r>
              <w:rPr>
                <w:rFonts w:ascii="Helvetica" w:hAnsi="Helvetica" w:cs="Helvetica"/>
                <w:sz w:val="18"/>
                <w:szCs w:val="18"/>
              </w:rPr>
              <w:t>.1993). Distribution of infected propagative material will help spread GLRaVs within Australia. Therefore, GLRaVs have the potential to establish and spread in Australia.</w:t>
            </w:r>
          </w:p>
        </w:tc>
        <w:tc>
          <w:tcPr>
            <w:tcW w:w="2880" w:type="dxa"/>
            <w:gridSpan w:val="2"/>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GLRaVs pose a significant threat to the grape industry through yield reduction, reduced fruit quality and the need to introduce control measures such as replanting vineyards (Maliogka </w:t>
            </w:r>
            <w:r>
              <w:rPr>
                <w:rFonts w:ascii="Helvetica" w:hAnsi="Helvetica" w:cs="Helvetica"/>
                <w:i/>
                <w:sz w:val="18"/>
                <w:szCs w:val="18"/>
              </w:rPr>
              <w:t>et al</w:t>
            </w:r>
            <w:r>
              <w:rPr>
                <w:rFonts w:ascii="Helvetica" w:hAnsi="Helvetica" w:cs="Helvetica"/>
                <w:sz w:val="18"/>
                <w:szCs w:val="18"/>
              </w:rPr>
              <w:t xml:space="preserve">. 2008a). Infected vines often have fewer clusters, lower yield (up to 30-50%) and delayed fruit ripening (Martinson </w:t>
            </w:r>
            <w:r>
              <w:rPr>
                <w:rFonts w:ascii="Helvetica" w:hAnsi="Helvetica" w:cs="Helvetica"/>
                <w:i/>
                <w:sz w:val="18"/>
                <w:szCs w:val="18"/>
              </w:rPr>
              <w:t>et al</w:t>
            </w:r>
            <w:r>
              <w:rPr>
                <w:rFonts w:ascii="Helvetica" w:hAnsi="Helvetica" w:cs="Helvetica"/>
                <w:sz w:val="18"/>
                <w:szCs w:val="18"/>
              </w:rPr>
              <w:t>. 2008). Therefore, GLRaVs have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7 (GLRaV-7) [Closteroviridae: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2880" w:type="dxa"/>
            <w:gridSpan w:val="2"/>
            <w:vMerge/>
            <w:tcBorders>
              <w:left w:val="single" w:sz="4" w:space="0" w:color="auto"/>
              <w:right w:val="single" w:sz="4" w:space="0" w:color="auto"/>
            </w:tcBorders>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left"/>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9 (GLRaV-9) [Closteroviridae: Ampelovirus]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(Habili </w:t>
            </w:r>
            <w:r>
              <w:rPr>
                <w:rFonts w:ascii="Helvetica" w:hAnsi="Helvetica" w:cs="Helvetica"/>
                <w:i/>
                <w:sz w:val="18"/>
                <w:szCs w:val="18"/>
              </w:rPr>
              <w:t>et al</w:t>
            </w:r>
            <w:r>
              <w:rPr>
                <w:rFonts w:ascii="Helvetica" w:hAnsi="Helvetica" w:cs="Helvetica"/>
                <w:sz w:val="18"/>
                <w:szCs w:val="18"/>
              </w:rPr>
              <w:t>. 2003)</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E6E6E6"/>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E6E6E6"/>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10</w:t>
            </w:r>
            <w:r>
              <w:rPr>
                <w:rFonts w:ascii="Helvetica" w:hAnsi="Helvetica" w:cs="Helvetica"/>
                <w:i/>
                <w:sz w:val="18"/>
                <w:szCs w:val="18"/>
              </w:rPr>
              <w:t xml:space="preserve"> </w:t>
            </w:r>
            <w:r>
              <w:rPr>
                <w:rFonts w:ascii="Helvetica" w:hAnsi="Helvetica" w:cs="Helvetica"/>
                <w:sz w:val="18"/>
                <w:szCs w:val="18"/>
              </w:rPr>
              <w:t>(GLRaV-10) [Closteroviridae: Ampelovirus]</w:t>
            </w:r>
            <w:r>
              <w:rPr>
                <w:rStyle w:val="FootnoteReference"/>
                <w:rFonts w:ascii="Helvetica" w:hAnsi="Helvetica" w:cs="Helvetica"/>
                <w:szCs w:val="18"/>
              </w:rPr>
              <w:footnoteReference w:id="33"/>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val="restart"/>
            <w:tcBorders>
              <w:top w:val="single" w:sz="4" w:space="0" w:color="auto"/>
              <w:left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GLRaVs colonize and reproduce in the grapevine phloem tissue (Martinson </w:t>
            </w:r>
            <w:r>
              <w:rPr>
                <w:rFonts w:ascii="Helvetica" w:hAnsi="Helvetica" w:cs="Helvetica"/>
                <w:i/>
                <w:sz w:val="18"/>
                <w:szCs w:val="18"/>
              </w:rPr>
              <w:t>et al</w:t>
            </w:r>
            <w:r>
              <w:rPr>
                <w:rFonts w:ascii="Helvetica" w:hAnsi="Helvetica" w:cs="Helvetica"/>
                <w:sz w:val="18"/>
                <w:szCs w:val="18"/>
              </w:rPr>
              <w:t xml:space="preserve">. 2008) and mixed infections of GLRaV are common (Hu </w:t>
            </w:r>
            <w:r>
              <w:rPr>
                <w:rFonts w:ascii="Helvetica" w:hAnsi="Helvetica" w:cs="Helvetica"/>
                <w:i/>
                <w:sz w:val="18"/>
                <w:szCs w:val="18"/>
              </w:rPr>
              <w:t xml:space="preserve">et al. </w:t>
            </w:r>
            <w:r>
              <w:rPr>
                <w:rFonts w:ascii="Helvetica" w:hAnsi="Helvetica" w:cs="Helvetica"/>
                <w:sz w:val="18"/>
                <w:szCs w:val="18"/>
              </w:rPr>
              <w:t xml:space="preserve">1990; Zimmerman </w:t>
            </w:r>
            <w:r>
              <w:rPr>
                <w:rFonts w:ascii="Helvetica" w:hAnsi="Helvetica" w:cs="Helvetica"/>
                <w:i/>
                <w:sz w:val="18"/>
                <w:szCs w:val="18"/>
              </w:rPr>
              <w:t>et al</w:t>
            </w:r>
            <w:r>
              <w:rPr>
                <w:rFonts w:ascii="Helvetica" w:hAnsi="Helvetica" w:cs="Helvetica"/>
                <w:sz w:val="18"/>
                <w:szCs w:val="18"/>
              </w:rPr>
              <w:t xml:space="preserve">. 1990). Symptoms are not expressed on all infected vines (Martinson </w:t>
            </w:r>
            <w:r>
              <w:rPr>
                <w:rFonts w:ascii="Helvetica" w:hAnsi="Helvetica" w:cs="Helvetica"/>
                <w:i/>
                <w:sz w:val="18"/>
                <w:szCs w:val="18"/>
              </w:rPr>
              <w:t>et al</w:t>
            </w:r>
            <w:r>
              <w:rPr>
                <w:rFonts w:ascii="Helvetica" w:hAnsi="Helvetica" w:cs="Helvetica"/>
                <w:sz w:val="18"/>
                <w:szCs w:val="18"/>
              </w:rPr>
              <w:t>. 2008, Fuchs 2007). This may lead to the propagation and distribution of infected propagative material, suggesting that GLRaVs could enter Australia on propagative material.</w:t>
            </w:r>
          </w:p>
        </w:tc>
        <w:tc>
          <w:tcPr>
            <w:tcW w:w="2640" w:type="dxa"/>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GLRaVs have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w:t>
            </w:r>
            <w:r>
              <w:rPr>
                <w:rFonts w:ascii="Helvetica" w:hAnsi="Helvetica" w:cs="Helvetica"/>
                <w:sz w:val="18"/>
                <w:szCs w:val="18"/>
              </w:rPr>
              <w:t xml:space="preserve">Cigsar </w:t>
            </w:r>
            <w:r>
              <w:rPr>
                <w:rFonts w:ascii="Helvetica" w:hAnsi="Helvetica" w:cs="Helvetica"/>
                <w:i/>
                <w:sz w:val="18"/>
                <w:szCs w:val="18"/>
              </w:rPr>
              <w:t xml:space="preserve">et al. </w:t>
            </w:r>
            <w:r>
              <w:rPr>
                <w:rFonts w:ascii="Helvetica" w:hAnsi="Helvetica" w:cs="Helvetica"/>
                <w:sz w:val="18"/>
                <w:szCs w:val="18"/>
              </w:rPr>
              <w:t>2002;</w:t>
            </w:r>
            <w:r>
              <w:rPr>
                <w:rFonts w:ascii="Helvetica" w:hAnsi="Helvetica" w:cs="Helvetica"/>
                <w:iCs/>
                <w:sz w:val="18"/>
                <w:szCs w:val="18"/>
              </w:rPr>
              <w:t xml:space="preserve"> </w:t>
            </w:r>
            <w:r>
              <w:rPr>
                <w:rFonts w:ascii="Helvetica" w:hAnsi="Helvetica" w:cs="Helvetica"/>
                <w:sz w:val="18"/>
                <w:szCs w:val="18"/>
              </w:rPr>
              <w:t xml:space="preserve">Kuniyuki </w:t>
            </w:r>
            <w:r>
              <w:rPr>
                <w:rFonts w:ascii="Helvetica" w:hAnsi="Helvetica" w:cs="Helvetica"/>
                <w:i/>
                <w:sz w:val="18"/>
                <w:szCs w:val="18"/>
              </w:rPr>
              <w:t xml:space="preserve">et al. </w:t>
            </w:r>
            <w:r>
              <w:rPr>
                <w:rFonts w:ascii="Helvetica" w:hAnsi="Helvetica" w:cs="Helvetica"/>
                <w:sz w:val="18"/>
                <w:szCs w:val="18"/>
              </w:rPr>
              <w:t xml:space="preserve">2006; </w:t>
            </w:r>
            <w:r>
              <w:rPr>
                <w:rFonts w:ascii="Helvetica" w:hAnsi="Helvetica" w:cs="Helvetica"/>
                <w:iCs/>
                <w:sz w:val="18"/>
                <w:szCs w:val="18"/>
              </w:rPr>
              <w:t xml:space="preserve">Martinson </w:t>
            </w:r>
            <w:r>
              <w:rPr>
                <w:rFonts w:ascii="Helvetica" w:hAnsi="Helvetica" w:cs="Helvetica"/>
                <w:i/>
                <w:iCs/>
                <w:sz w:val="18"/>
                <w:szCs w:val="18"/>
              </w:rPr>
              <w:t>et al</w:t>
            </w:r>
            <w:r>
              <w:rPr>
                <w:rFonts w:ascii="Helvetica" w:hAnsi="Helvetica" w:cs="Helvetica"/>
                <w:iCs/>
                <w:sz w:val="18"/>
                <w:szCs w:val="18"/>
              </w:rPr>
              <w:t>. 2008</w:t>
            </w:r>
            <w:r>
              <w:rPr>
                <w:rFonts w:ascii="Helvetica" w:hAnsi="Helvetica" w:cs="Helvetica"/>
                <w:sz w:val="18"/>
                <w:szCs w:val="18"/>
              </w:rPr>
              <w:t xml:space="preserve">; Mahfoudhi </w:t>
            </w:r>
            <w:r>
              <w:rPr>
                <w:rFonts w:ascii="Helvetica" w:hAnsi="Helvetica" w:cs="Helvetica"/>
                <w:i/>
                <w:sz w:val="18"/>
                <w:szCs w:val="18"/>
              </w:rPr>
              <w:t xml:space="preserve">et al. </w:t>
            </w:r>
            <w:r>
              <w:rPr>
                <w:rFonts w:ascii="Helvetica" w:hAnsi="Helvetica" w:cs="Helvetica"/>
                <w:sz w:val="18"/>
                <w:szCs w:val="18"/>
              </w:rPr>
              <w:t>2009</w:t>
            </w:r>
            <w:r>
              <w:rPr>
                <w:rFonts w:ascii="Helvetica" w:hAnsi="Helvetica" w:cs="Helvetica"/>
                <w:iCs/>
                <w:sz w:val="18"/>
                <w:szCs w:val="18"/>
              </w:rPr>
              <w:t xml:space="preserve">) and spread by propagative material </w:t>
            </w:r>
            <w:r>
              <w:rPr>
                <w:rFonts w:ascii="Helvetica" w:hAnsi="Helvetica" w:cs="Helvetica"/>
                <w:sz w:val="18"/>
                <w:szCs w:val="18"/>
              </w:rPr>
              <w:t xml:space="preserve">(Weber </w:t>
            </w:r>
            <w:r>
              <w:rPr>
                <w:rFonts w:ascii="Helvetica" w:hAnsi="Helvetica" w:cs="Helvetica"/>
                <w:i/>
                <w:sz w:val="18"/>
                <w:szCs w:val="18"/>
              </w:rPr>
              <w:t>et al</w:t>
            </w:r>
            <w:r>
              <w:rPr>
                <w:rFonts w:ascii="Helvetica" w:hAnsi="Helvetica" w:cs="Helvetica"/>
                <w:sz w:val="18"/>
                <w:szCs w:val="18"/>
              </w:rPr>
              <w:t>.1993). Distribution of infected propagative material will help spread GLRaVs within Australia. Therefore, GLRaVs have the potential to establish and spread in Australia.</w:t>
            </w:r>
          </w:p>
        </w:tc>
        <w:tc>
          <w:tcPr>
            <w:tcW w:w="2880" w:type="dxa"/>
            <w:gridSpan w:val="2"/>
            <w:vMerge w:val="restart"/>
            <w:tcBorders>
              <w:top w:val="single" w:sz="4" w:space="0" w:color="auto"/>
              <w:left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GLRaVs pose a significant threat to the grape industry through yield reductions, reduced fruit quality and the need to introduce control measures such as replanting vineyards (Maliogka </w:t>
            </w:r>
            <w:r>
              <w:rPr>
                <w:rFonts w:ascii="Helvetica" w:hAnsi="Helvetica" w:cs="Helvetica"/>
                <w:i/>
                <w:sz w:val="18"/>
                <w:szCs w:val="18"/>
              </w:rPr>
              <w:t>et al</w:t>
            </w:r>
            <w:r>
              <w:rPr>
                <w:rFonts w:ascii="Helvetica" w:hAnsi="Helvetica" w:cs="Helvetica"/>
                <w:sz w:val="18"/>
                <w:szCs w:val="18"/>
              </w:rPr>
              <w:t xml:space="preserve">. 2008a). Infected vines often have fewer clusters, lower yield (up to 30-50% yield reduction) and delayed fruit ripening (Martinson </w:t>
            </w:r>
            <w:r>
              <w:rPr>
                <w:rFonts w:ascii="Helvetica" w:hAnsi="Helvetica" w:cs="Helvetica"/>
                <w:i/>
                <w:sz w:val="18"/>
                <w:szCs w:val="18"/>
              </w:rPr>
              <w:t>et al</w:t>
            </w:r>
            <w:r>
              <w:rPr>
                <w:rFonts w:ascii="Helvetica" w:hAnsi="Helvetica" w:cs="Helvetica"/>
                <w:sz w:val="18"/>
                <w:szCs w:val="18"/>
              </w:rPr>
              <w:t>. 2008). Therefore, GLRaVs have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leafroll associated virus </w:t>
            </w:r>
            <w:r>
              <w:rPr>
                <w:rFonts w:ascii="Helvetica" w:hAnsi="Helvetica" w:cs="Helvetica"/>
                <w:sz w:val="18"/>
                <w:szCs w:val="18"/>
              </w:rPr>
              <w:t>11</w:t>
            </w:r>
            <w:r>
              <w:rPr>
                <w:rFonts w:ascii="Helvetica" w:hAnsi="Helvetica" w:cs="Helvetica"/>
                <w:i/>
                <w:sz w:val="18"/>
                <w:szCs w:val="18"/>
              </w:rPr>
              <w:t xml:space="preserve"> </w:t>
            </w:r>
            <w:r>
              <w:rPr>
                <w:rFonts w:ascii="Helvetica" w:hAnsi="Helvetica" w:cs="Helvetica"/>
                <w:sz w:val="18"/>
                <w:szCs w:val="18"/>
              </w:rPr>
              <w:t>(GLRaV-11) [Closteroviridae: Ampelovirus]</w:t>
            </w:r>
            <w:r>
              <w:rPr>
                <w:rStyle w:val="FootnoteReference"/>
                <w:rFonts w:ascii="Helvetica" w:hAnsi="Helvetica" w:cs="Helvetica"/>
                <w:szCs w:val="18"/>
              </w:rPr>
              <w:footnoteReference w:id="34"/>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vMerge/>
            <w:tcBorders>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p>
        </w:tc>
        <w:tc>
          <w:tcPr>
            <w:tcW w:w="2640" w:type="dxa"/>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2880" w:type="dxa"/>
            <w:gridSpan w:val="2"/>
            <w:vMerge/>
            <w:tcBorders>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Grapevine line pattern virus</w:t>
            </w:r>
            <w:r>
              <w:rPr>
                <w:rFonts w:ascii="Helvetica" w:hAnsi="Helvetica" w:cs="Helvetica"/>
                <w:bCs/>
                <w:sz w:val="18"/>
                <w:szCs w:val="18"/>
              </w:rPr>
              <w:t xml:space="preserve"> (GLPV) [Bromoviridae: Ilarvirus]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GLPV naturally infects grapevines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GLPV</w:t>
            </w:r>
            <w:r>
              <w:rPr>
                <w:rFonts w:ascii="Helvetica" w:hAnsi="Helvetica" w:cs="Helvetica"/>
                <w:bCs/>
                <w:sz w:val="18"/>
                <w:szCs w:val="18"/>
              </w:rPr>
              <w:t xml:space="preserve"> is seed-borne in grapevines (Lehoczky </w:t>
            </w:r>
            <w:r>
              <w:rPr>
                <w:rFonts w:ascii="Helvetica" w:hAnsi="Helvetica" w:cs="Helvetica"/>
                <w:bCs/>
                <w:i/>
                <w:sz w:val="18"/>
                <w:szCs w:val="18"/>
              </w:rPr>
              <w:t>et al</w:t>
            </w:r>
            <w:r>
              <w:rPr>
                <w:rFonts w:ascii="Helvetica" w:hAnsi="Helvetica" w:cs="Helvetica"/>
                <w:bCs/>
                <w:sz w:val="18"/>
                <w:szCs w:val="18"/>
              </w:rPr>
              <w:t xml:space="preserve">. 1992). Viruses, as a rule, infect host plants systemically and all plant parts, including parts used for vegetative propagation, are infected (Bos 1999). Therefore, propagative </w:t>
            </w:r>
            <w:r>
              <w:rPr>
                <w:rFonts w:ascii="Helvetica" w:hAnsi="Helvetica" w:cs="Helvetica"/>
                <w:sz w:val="18"/>
                <w:szCs w:val="18"/>
              </w:rPr>
              <w:t xml:space="preserve">material provides a pathway for </w:t>
            </w:r>
            <w:r>
              <w:rPr>
                <w:rFonts w:ascii="Helvetica" w:hAnsi="Helvetica" w:cs="Helvetica"/>
                <w:bCs/>
                <w:sz w:val="18"/>
                <w:szCs w:val="18"/>
              </w:rPr>
              <w:t>GLPV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GLPV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 xml:space="preserve">and spreads by propagative material </w:t>
            </w:r>
            <w:r>
              <w:rPr>
                <w:rFonts w:ascii="Helvetica" w:hAnsi="Helvetica" w:cs="Helvetica"/>
                <w:sz w:val="18"/>
                <w:szCs w:val="18"/>
              </w:rPr>
              <w:t>(Martelli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Distribution of infected propagative material and seed will help spread GLPV within Australia. Therefore, GLPV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iCs/>
                <w:sz w:val="18"/>
                <w:szCs w:val="18"/>
              </w:rPr>
              <w:t>GLPV is known to impact on vine vigour and yield is progressively reduced (Martelli 1993).</w:t>
            </w:r>
            <w:r>
              <w:rPr>
                <w:rFonts w:ascii="Helvetica" w:hAnsi="Helvetica" w:cs="Helvetica"/>
                <w:sz w:val="18"/>
                <w:szCs w:val="18"/>
              </w:rPr>
              <w:t xml:space="preserve"> Infected vines show small yellow spots and flecks on the leaf margins (Martelli 1993). Therefore, GLPV has the potential for economic consequences in parts of Australia. </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red globe virus</w:t>
            </w:r>
            <w:r>
              <w:rPr>
                <w:rFonts w:ascii="Helvetica" w:hAnsi="Helvetica" w:cs="Helvetica"/>
                <w:sz w:val="18"/>
                <w:szCs w:val="18"/>
              </w:rPr>
              <w:t xml:space="preserve"> (GRGV) [Tymoviridae: Maculavirus]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GRGV is part of the fleck complex of grapevines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causing latent or semi-latent infections in </w:t>
            </w:r>
            <w:r>
              <w:rPr>
                <w:rFonts w:ascii="Helvetica" w:hAnsi="Helvetica" w:cs="Helvetica"/>
                <w:i/>
                <w:sz w:val="18"/>
                <w:szCs w:val="18"/>
              </w:rPr>
              <w:t xml:space="preserve">Vitis vinifera </w:t>
            </w:r>
            <w:r>
              <w:rPr>
                <w:rFonts w:ascii="Helvetica" w:hAnsi="Helvetica" w:cs="Helvetica"/>
                <w:sz w:val="18"/>
                <w:szCs w:val="18"/>
              </w:rPr>
              <w:t xml:space="preserve">and most American </w:t>
            </w:r>
            <w:r>
              <w:rPr>
                <w:rFonts w:ascii="Helvetica" w:hAnsi="Helvetica" w:cs="Helvetica"/>
                <w:i/>
                <w:sz w:val="18"/>
                <w:szCs w:val="18"/>
              </w:rPr>
              <w:t xml:space="preserve">Vitis </w:t>
            </w:r>
            <w:r>
              <w:rPr>
                <w:rFonts w:ascii="Helvetica" w:hAnsi="Helvetica" w:cs="Helvetica"/>
                <w:sz w:val="18"/>
                <w:szCs w:val="18"/>
              </w:rPr>
              <w:t>species and rootstock hybrids (Martelli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This may lead to the propagation and distribution of infected propagative material, suggesting that GRGV could enter Australia on propagative material.</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GRGV has established in areas with a wide range of climatic conditions</w:t>
            </w:r>
            <w:r>
              <w:rPr>
                <w:rFonts w:ascii="Helvetica" w:hAnsi="Helvetica" w:cs="Helvetica"/>
                <w:i/>
                <w:iCs/>
                <w:sz w:val="18"/>
                <w:szCs w:val="18"/>
              </w:rPr>
              <w:t xml:space="preserve"> </w:t>
            </w:r>
            <w:r>
              <w:rPr>
                <w:rFonts w:ascii="Helvetica" w:hAnsi="Helvetica" w:cs="Helvetica"/>
                <w:sz w:val="18"/>
                <w:szCs w:val="18"/>
              </w:rPr>
              <w:t>(Martelli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and may spread naturally with propagative material. Distribution of infected propagative material will help spread GRGV within Australia. Therefore, GRGV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Information on the economic consequences of this virus is almost non-existent. </w:t>
            </w:r>
            <w:r>
              <w:rPr>
                <w:rFonts w:ascii="Helvetica" w:hAnsi="Helvetica" w:cs="Helvetica"/>
                <w:iCs/>
                <w:sz w:val="18"/>
                <w:szCs w:val="18"/>
              </w:rPr>
              <w:t xml:space="preserve">However, as it is a part of the </w:t>
            </w:r>
            <w:r>
              <w:rPr>
                <w:rFonts w:ascii="Helvetica" w:hAnsi="Helvetica" w:cs="Helvetica"/>
                <w:sz w:val="18"/>
                <w:szCs w:val="18"/>
              </w:rPr>
              <w:t xml:space="preserve">fleck complex </w:t>
            </w:r>
            <w:r>
              <w:rPr>
                <w:rFonts w:ascii="Helvetica" w:hAnsi="Helvetica" w:cs="Helvetica"/>
                <w:bCs/>
                <w:sz w:val="18"/>
                <w:szCs w:val="18"/>
              </w:rPr>
              <w:t>(</w:t>
            </w:r>
            <w:r>
              <w:rPr>
                <w:rFonts w:ascii="Helvetica" w:hAnsi="Helvetica" w:cs="Helvetica"/>
                <w:sz w:val="18"/>
                <w:szCs w:val="18"/>
              </w:rPr>
              <w:t>Martelli and Boudon-Padieu 2006),</w:t>
            </w:r>
            <w:r>
              <w:rPr>
                <w:rFonts w:ascii="Helvetica" w:hAnsi="Helvetica" w:cs="Helvetica"/>
                <w:bCs/>
                <w:sz w:val="18"/>
                <w:szCs w:val="18"/>
              </w:rPr>
              <w:t xml:space="preserve"> </w:t>
            </w:r>
            <w:r>
              <w:rPr>
                <w:rFonts w:ascii="Helvetica" w:hAnsi="Helvetica" w:cs="Helvetica"/>
                <w:iCs/>
                <w:sz w:val="18"/>
                <w:szCs w:val="18"/>
              </w:rPr>
              <w:t>it may cause significant crop losses. Adverse effects on vine vigour and rooting ability of root stocks have been reported as a result of fleck complex (</w:t>
            </w:r>
            <w:r>
              <w:rPr>
                <w:rFonts w:ascii="Helvetica" w:hAnsi="Helvetica" w:cs="Helvetica"/>
                <w:sz w:val="18"/>
                <w:szCs w:val="18"/>
              </w:rPr>
              <w:t>Martelli and Boudon-Padieu 2006).</w:t>
            </w:r>
            <w:r>
              <w:rPr>
                <w:rFonts w:ascii="Helvetica" w:hAnsi="Helvetica" w:cs="Helvetica"/>
                <w:bCs/>
                <w:sz w:val="18"/>
                <w:szCs w:val="18"/>
              </w:rPr>
              <w:t xml:space="preserve"> </w:t>
            </w:r>
            <w:r>
              <w:rPr>
                <w:rFonts w:ascii="Helvetica" w:hAnsi="Helvetica" w:cs="Helvetica"/>
                <w:sz w:val="18"/>
                <w:szCs w:val="18"/>
              </w:rPr>
              <w:t>Therefore, GRGV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Grapevine rootstock stem lesion closterovirus </w:t>
            </w:r>
            <w:r>
              <w:rPr>
                <w:rFonts w:ascii="Helvetica" w:hAnsi="Helvetica" w:cs="Helvetica"/>
                <w:sz w:val="18"/>
                <w:szCs w:val="18"/>
              </w:rPr>
              <w:t>(GRSLaV = strain of GLRaV-2)</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Yes (Constable and Drew 2004)</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rupestris stem pitting associated virus</w:t>
            </w:r>
            <w:r>
              <w:rPr>
                <w:rFonts w:ascii="Helvetica" w:hAnsi="Helvetica" w:cs="Helvetica"/>
                <w:sz w:val="18"/>
                <w:szCs w:val="18"/>
              </w:rPr>
              <w:t xml:space="preserve"> (GRSPaV) </w:t>
            </w:r>
            <w:r>
              <w:rPr>
                <w:rFonts w:ascii="Helvetica" w:hAnsi="Helvetica" w:cs="Helvetica"/>
                <w:bCs/>
                <w:sz w:val="18"/>
                <w:szCs w:val="18"/>
              </w:rPr>
              <w:t>[Betaflexiviridae: Foveavirus]</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bCs/>
                <w:sz w:val="18"/>
                <w:szCs w:val="18"/>
              </w:rPr>
            </w:pPr>
            <w:r>
              <w:rPr>
                <w:rFonts w:ascii="Helvetica" w:hAnsi="Helvetica" w:cs="Helvetica"/>
                <w:bCs/>
                <w:sz w:val="18"/>
                <w:szCs w:val="18"/>
              </w:rPr>
              <w:t xml:space="preserve">Yes (Habili and Symons 2000) </w:t>
            </w:r>
          </w:p>
        </w:tc>
        <w:tc>
          <w:tcPr>
            <w:tcW w:w="264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keepNext/>
              <w:spacing w:before="20" w:line="240" w:lineRule="atLeast"/>
              <w:jc w:val="left"/>
              <w:rPr>
                <w:rFonts w:ascii="Helvetica" w:hAnsi="Helvetica" w:cs="Helvetica"/>
                <w:bCs/>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keepNext/>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keepNext/>
              <w:spacing w:before="20" w:line="240" w:lineRule="atLeast"/>
              <w:jc w:val="left"/>
              <w:rPr>
                <w:rFonts w:ascii="Helvetica" w:hAnsi="Helvetica" w:cs="Helvetica"/>
                <w:b/>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rupestris vein feathering virus</w:t>
            </w:r>
            <w:r>
              <w:rPr>
                <w:rFonts w:ascii="Helvetica" w:hAnsi="Helvetica" w:cs="Helvetica"/>
                <w:sz w:val="18"/>
                <w:szCs w:val="18"/>
              </w:rPr>
              <w:t xml:space="preserve"> (GRVFV) [</w:t>
            </w:r>
            <w:r>
              <w:rPr>
                <w:rFonts w:ascii="Helvetica" w:hAnsi="Helvetica" w:cs="Helvetica"/>
                <w:bCs/>
                <w:sz w:val="18"/>
                <w:szCs w:val="18"/>
              </w:rPr>
              <w:t>Tymoviridae: Marafivirus]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GRVFV in association with other viruses causes grapevine fleck complex or Syrah Decline (Al Rwahnih </w:t>
            </w:r>
            <w:r>
              <w:rPr>
                <w:rFonts w:ascii="Helvetica" w:hAnsi="Helvetica" w:cs="Helvetica"/>
                <w:i/>
                <w:sz w:val="18"/>
                <w:szCs w:val="18"/>
              </w:rPr>
              <w:t>et al</w:t>
            </w:r>
            <w:r>
              <w:rPr>
                <w:rFonts w:ascii="Helvetica" w:hAnsi="Helvetica" w:cs="Helvetica"/>
                <w:sz w:val="18"/>
                <w:szCs w:val="18"/>
              </w:rPr>
              <w:t xml:space="preserve">. 2009; Uyemoto </w:t>
            </w:r>
            <w:r>
              <w:rPr>
                <w:rFonts w:ascii="Helvetica" w:hAnsi="Helvetica" w:cs="Helvetica"/>
                <w:i/>
                <w:sz w:val="18"/>
                <w:szCs w:val="18"/>
              </w:rPr>
              <w:t>et al</w:t>
            </w:r>
            <w:r>
              <w:rPr>
                <w:rFonts w:ascii="Helvetica" w:hAnsi="Helvetica" w:cs="Helvetica"/>
                <w:sz w:val="18"/>
                <w:szCs w:val="18"/>
              </w:rPr>
              <w:t xml:space="preserve">. 2009). In the absence of other viruses, GRVFV induces mild chlorosis of primary and secondary leaf veins (Uyemoto </w:t>
            </w:r>
            <w:r>
              <w:rPr>
                <w:rFonts w:ascii="Helvetica" w:hAnsi="Helvetica" w:cs="Helvetica"/>
                <w:i/>
                <w:sz w:val="18"/>
                <w:szCs w:val="18"/>
              </w:rPr>
              <w:t>et al</w:t>
            </w:r>
            <w:r>
              <w:rPr>
                <w:rFonts w:ascii="Helvetica" w:hAnsi="Helvetica" w:cs="Helvetica"/>
                <w:sz w:val="18"/>
                <w:szCs w:val="18"/>
              </w:rPr>
              <w:t xml:space="preserve">. 2009). Grapevine infected with a Marafivirus may be symptomless (Constable and Rodoni 2011a). </w:t>
            </w:r>
            <w:r>
              <w:rPr>
                <w:rFonts w:ascii="Helvetica" w:hAnsi="Helvetica" w:cs="Helvetica"/>
                <w:bCs/>
                <w:sz w:val="18"/>
                <w:szCs w:val="18"/>
              </w:rPr>
              <w:t xml:space="preserve">Therefore, propagative </w:t>
            </w:r>
            <w:r>
              <w:rPr>
                <w:rFonts w:ascii="Helvetica" w:hAnsi="Helvetica" w:cs="Helvetica"/>
                <w:sz w:val="18"/>
                <w:szCs w:val="18"/>
              </w:rPr>
              <w:t>material provides a pathway for GRVFV.</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GRVFV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w:t>
            </w:r>
            <w:r>
              <w:rPr>
                <w:rFonts w:ascii="Helvetica" w:hAnsi="Helvetica" w:cs="Helvetica"/>
                <w:sz w:val="18"/>
                <w:szCs w:val="18"/>
              </w:rPr>
              <w:t xml:space="preserve">Al Rwahnih </w:t>
            </w:r>
            <w:r>
              <w:rPr>
                <w:rFonts w:ascii="Helvetica" w:hAnsi="Helvetica" w:cs="Helvetica"/>
                <w:i/>
                <w:sz w:val="18"/>
                <w:szCs w:val="18"/>
              </w:rPr>
              <w:t>et al</w:t>
            </w:r>
            <w:r>
              <w:rPr>
                <w:rFonts w:ascii="Helvetica" w:hAnsi="Helvetica" w:cs="Helvetica"/>
                <w:sz w:val="18"/>
                <w:szCs w:val="18"/>
              </w:rPr>
              <w:t xml:space="preserve">. 2009; Uyemoto </w:t>
            </w:r>
            <w:r>
              <w:rPr>
                <w:rFonts w:ascii="Helvetica" w:hAnsi="Helvetica" w:cs="Helvetica"/>
                <w:i/>
                <w:sz w:val="18"/>
                <w:szCs w:val="18"/>
              </w:rPr>
              <w:t>et al</w:t>
            </w:r>
            <w:r>
              <w:rPr>
                <w:rFonts w:ascii="Helvetica" w:hAnsi="Helvetica" w:cs="Helvetica"/>
                <w:sz w:val="18"/>
                <w:szCs w:val="18"/>
              </w:rPr>
              <w:t>. 2009</w:t>
            </w:r>
            <w:r>
              <w:rPr>
                <w:rFonts w:ascii="Helvetica" w:hAnsi="Helvetica" w:cs="Helvetica"/>
                <w:iCs/>
                <w:sz w:val="18"/>
                <w:szCs w:val="18"/>
              </w:rPr>
              <w:t xml:space="preserve">) and spread by propagative material </w:t>
            </w:r>
            <w:r>
              <w:rPr>
                <w:rFonts w:ascii="Helvetica" w:hAnsi="Helvetica" w:cs="Helvetica"/>
                <w:sz w:val="18"/>
                <w:szCs w:val="18"/>
              </w:rPr>
              <w:t>(Martelli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Constable and Rodoni 2011a). Distribution of infected propagative material will help spread GRVFV within Australia. Therefore, GRVFV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Information on the economic consequences of this virus is almost non-existent. However, this virus is associated with Syrah decline, which causes leaf reddening and scorching, swelling of the graft union, superficial cracking and pitting of woody tissue, stem necrosis, and the eventual death of the vines (Al-Rwahnih </w:t>
            </w:r>
            <w:r>
              <w:rPr>
                <w:rFonts w:ascii="Helvetica" w:hAnsi="Helvetica" w:cs="Helvetica"/>
                <w:i/>
                <w:sz w:val="18"/>
                <w:szCs w:val="18"/>
              </w:rPr>
              <w:t>et al</w:t>
            </w:r>
            <w:r>
              <w:rPr>
                <w:rFonts w:ascii="Helvetica" w:hAnsi="Helvetica" w:cs="Helvetica"/>
                <w:sz w:val="18"/>
                <w:szCs w:val="18"/>
              </w:rPr>
              <w:t>. 2009). Therefore, GRVFV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Grapevine syrah virus I</w:t>
            </w:r>
            <w:r>
              <w:rPr>
                <w:rFonts w:ascii="Helvetica" w:hAnsi="Helvetica" w:cs="Helvetica"/>
                <w:bCs/>
                <w:sz w:val="18"/>
                <w:szCs w:val="18"/>
              </w:rPr>
              <w:t xml:space="preserve"> (GSyV-I) </w:t>
            </w:r>
            <w:r>
              <w:rPr>
                <w:rFonts w:ascii="Helvetica" w:hAnsi="Helvetica" w:cs="Helvetica"/>
                <w:sz w:val="18"/>
                <w:szCs w:val="18"/>
              </w:rPr>
              <w:t>[</w:t>
            </w:r>
            <w:r>
              <w:rPr>
                <w:rFonts w:ascii="Helvetica" w:hAnsi="Helvetica" w:cs="Helvetica"/>
                <w:bCs/>
                <w:sz w:val="18"/>
                <w:szCs w:val="18"/>
              </w:rPr>
              <w:t>Tymoviridae: Marafivirus]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b/>
                <w:bCs/>
                <w:sz w:val="18"/>
                <w:szCs w:val="18"/>
              </w:rPr>
            </w:pPr>
            <w:r>
              <w:rPr>
                <w:rFonts w:ascii="Helvetica" w:hAnsi="Helvetica" w:cs="Helvetica"/>
                <w:b/>
                <w:bCs/>
                <w:sz w:val="18"/>
                <w:szCs w:val="18"/>
              </w:rPr>
              <w:t xml:space="preserve">Yes: </w:t>
            </w:r>
            <w:r>
              <w:rPr>
                <w:rFonts w:ascii="Helvetica" w:hAnsi="Helvetica" w:cs="Helvetica"/>
                <w:bCs/>
                <w:sz w:val="18"/>
                <w:szCs w:val="18"/>
              </w:rPr>
              <w:t xml:space="preserve">GSyV-I, </w:t>
            </w:r>
            <w:r>
              <w:rPr>
                <w:rFonts w:ascii="Helvetica" w:hAnsi="Helvetica" w:cs="Helvetica"/>
                <w:sz w:val="18"/>
                <w:szCs w:val="18"/>
              </w:rPr>
              <w:t xml:space="preserve">in association with other viruses, causes Syrah decline disease (Al-Rawhnih </w:t>
            </w:r>
            <w:r>
              <w:rPr>
                <w:rFonts w:ascii="Helvetica" w:hAnsi="Helvetica" w:cs="Helvetica"/>
                <w:i/>
                <w:sz w:val="18"/>
                <w:szCs w:val="18"/>
              </w:rPr>
              <w:t>et al</w:t>
            </w:r>
            <w:r>
              <w:rPr>
                <w:rFonts w:ascii="Helvetica" w:hAnsi="Helvetica" w:cs="Helvetica"/>
                <w:sz w:val="18"/>
                <w:szCs w:val="18"/>
              </w:rPr>
              <w:t xml:space="preserve">. 2009). </w:t>
            </w:r>
            <w:r>
              <w:rPr>
                <w:rFonts w:ascii="Helvetica" w:hAnsi="Helvetica" w:cs="Helvetica"/>
                <w:bCs/>
                <w:sz w:val="18"/>
                <w:szCs w:val="18"/>
              </w:rPr>
              <w:t>G</w:t>
            </w:r>
            <w:r>
              <w:rPr>
                <w:rFonts w:ascii="Helvetica" w:hAnsi="Helvetica" w:cs="Helvetica"/>
                <w:sz w:val="18"/>
                <w:szCs w:val="18"/>
              </w:rPr>
              <w:t xml:space="preserve">rapevine infected with a Marafivirus may be symptomless (Constable and Rodoni 2011a). </w:t>
            </w:r>
            <w:r>
              <w:rPr>
                <w:rFonts w:ascii="Helvetica" w:hAnsi="Helvetica" w:cs="Helvetica"/>
                <w:bCs/>
                <w:sz w:val="18"/>
                <w:szCs w:val="18"/>
              </w:rPr>
              <w:t xml:space="preserve">Therefore, propagative </w:t>
            </w:r>
            <w:r>
              <w:rPr>
                <w:rFonts w:ascii="Helvetica" w:hAnsi="Helvetica" w:cs="Helvetica"/>
                <w:sz w:val="18"/>
                <w:szCs w:val="18"/>
              </w:rPr>
              <w:t>material provides a pathway for</w:t>
            </w:r>
            <w:r>
              <w:rPr>
                <w:rFonts w:ascii="Helvetica" w:hAnsi="Helvetica" w:cs="Helvetica"/>
                <w:bCs/>
                <w:sz w:val="18"/>
                <w:szCs w:val="18"/>
              </w:rPr>
              <w:t xml:space="preserve"> GSyV-I</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GSyV-I</w:t>
            </w:r>
            <w:r>
              <w:rPr>
                <w:rFonts w:ascii="Helvetica" w:hAnsi="Helvetica" w:cs="Helvetica"/>
                <w:sz w:val="18"/>
                <w:szCs w:val="18"/>
              </w:rPr>
              <w:t xml:space="preserve"> has established in areas with a wide range of climatic conditions</w:t>
            </w:r>
            <w:r>
              <w:rPr>
                <w:rFonts w:ascii="Helvetica" w:hAnsi="Helvetica" w:cs="Helvetica"/>
                <w:i/>
                <w:iCs/>
                <w:sz w:val="18"/>
                <w:szCs w:val="18"/>
              </w:rPr>
              <w:t xml:space="preserve"> </w:t>
            </w:r>
            <w:r>
              <w:rPr>
                <w:rFonts w:ascii="Helvetica" w:hAnsi="Helvetica" w:cs="Helvetica"/>
                <w:iCs/>
                <w:sz w:val="18"/>
                <w:szCs w:val="18"/>
              </w:rPr>
              <w:t>(</w:t>
            </w:r>
            <w:r>
              <w:rPr>
                <w:rFonts w:ascii="Helvetica" w:hAnsi="Helvetica" w:cs="Helvetica"/>
                <w:sz w:val="18"/>
                <w:szCs w:val="18"/>
              </w:rPr>
              <w:t xml:space="preserve">Al Rwahnih </w:t>
            </w:r>
            <w:r>
              <w:rPr>
                <w:rFonts w:ascii="Helvetica" w:hAnsi="Helvetica" w:cs="Helvetica"/>
                <w:i/>
                <w:sz w:val="18"/>
                <w:szCs w:val="18"/>
              </w:rPr>
              <w:t>et al</w:t>
            </w:r>
            <w:r>
              <w:rPr>
                <w:rFonts w:ascii="Helvetica" w:hAnsi="Helvetica" w:cs="Helvetica"/>
                <w:sz w:val="18"/>
                <w:szCs w:val="18"/>
              </w:rPr>
              <w:t xml:space="preserve">. 2009; </w:t>
            </w:r>
            <w:r>
              <w:rPr>
                <w:rFonts w:ascii="Helvetica" w:hAnsi="Helvetica" w:cs="Helvetica"/>
                <w:bCs/>
                <w:sz w:val="18"/>
                <w:szCs w:val="18"/>
              </w:rPr>
              <w:t xml:space="preserve">Engel </w:t>
            </w:r>
            <w:r>
              <w:rPr>
                <w:rFonts w:ascii="Helvetica" w:hAnsi="Helvetica" w:cs="Helvetica"/>
                <w:bCs/>
                <w:i/>
                <w:sz w:val="18"/>
                <w:szCs w:val="18"/>
              </w:rPr>
              <w:t>et al</w:t>
            </w:r>
            <w:r>
              <w:rPr>
                <w:rFonts w:ascii="Helvetica" w:hAnsi="Helvetica" w:cs="Helvetica"/>
                <w:bCs/>
                <w:sz w:val="18"/>
                <w:szCs w:val="18"/>
              </w:rPr>
              <w:t>. 2010</w:t>
            </w:r>
            <w:r>
              <w:rPr>
                <w:rFonts w:ascii="Helvetica" w:hAnsi="Helvetica" w:cs="Helvetica"/>
                <w:iCs/>
                <w:sz w:val="18"/>
                <w:szCs w:val="18"/>
              </w:rPr>
              <w:t xml:space="preserve">) and spreads by propagative material </w:t>
            </w:r>
            <w:r>
              <w:rPr>
                <w:rFonts w:ascii="Helvetica" w:hAnsi="Helvetica" w:cs="Helvetica"/>
                <w:sz w:val="18"/>
                <w:szCs w:val="18"/>
              </w:rPr>
              <w:t>(</w:t>
            </w:r>
            <w:r>
              <w:rPr>
                <w:rFonts w:ascii="Helvetica" w:hAnsi="Helvetica" w:cs="Helvetica"/>
                <w:bCs/>
                <w:sz w:val="18"/>
                <w:szCs w:val="18"/>
              </w:rPr>
              <w:t xml:space="preserve">Engel </w:t>
            </w:r>
            <w:r>
              <w:rPr>
                <w:rFonts w:ascii="Helvetica" w:hAnsi="Helvetica" w:cs="Helvetica"/>
                <w:bCs/>
                <w:i/>
                <w:sz w:val="18"/>
                <w:szCs w:val="18"/>
              </w:rPr>
              <w:t>et al</w:t>
            </w:r>
            <w:r>
              <w:rPr>
                <w:rFonts w:ascii="Helvetica" w:hAnsi="Helvetica" w:cs="Helvetica"/>
                <w:bCs/>
                <w:sz w:val="18"/>
                <w:szCs w:val="18"/>
              </w:rPr>
              <w:t xml:space="preserve">. 2010; </w:t>
            </w:r>
            <w:r>
              <w:rPr>
                <w:rFonts w:ascii="Helvetica" w:hAnsi="Helvetica" w:cs="Helvetica"/>
                <w:sz w:val="18"/>
                <w:szCs w:val="18"/>
              </w:rPr>
              <w:t xml:space="preserve">Constable and Rodoni 2011a). Distribution of infected propagative material will help spread </w:t>
            </w:r>
            <w:r>
              <w:rPr>
                <w:rFonts w:ascii="Helvetica" w:hAnsi="Helvetica" w:cs="Helvetica"/>
                <w:bCs/>
                <w:sz w:val="18"/>
                <w:szCs w:val="18"/>
              </w:rPr>
              <w:t>GSyV-I</w:t>
            </w:r>
            <w:r>
              <w:rPr>
                <w:rFonts w:ascii="Helvetica" w:hAnsi="Helvetica" w:cs="Helvetica"/>
                <w:sz w:val="18"/>
                <w:szCs w:val="18"/>
              </w:rPr>
              <w:t xml:space="preserve"> within Australia. Therefore, </w:t>
            </w:r>
            <w:r>
              <w:rPr>
                <w:rFonts w:ascii="Helvetica" w:hAnsi="Helvetica" w:cs="Helvetica"/>
                <w:bCs/>
                <w:sz w:val="18"/>
                <w:szCs w:val="18"/>
              </w:rPr>
              <w:t>GSyV-I</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Information on the economic consequences of this virus is almost non-existent. </w:t>
            </w:r>
            <w:r>
              <w:rPr>
                <w:rFonts w:ascii="Helvetica" w:hAnsi="Helvetica" w:cs="Helvetica"/>
                <w:iCs/>
                <w:sz w:val="18"/>
                <w:szCs w:val="18"/>
              </w:rPr>
              <w:t>However, t</w:t>
            </w:r>
            <w:r>
              <w:rPr>
                <w:rFonts w:ascii="Helvetica" w:hAnsi="Helvetica" w:cs="Helvetica"/>
                <w:sz w:val="18"/>
                <w:szCs w:val="18"/>
              </w:rPr>
              <w:t xml:space="preserve">his virus is associated with Syrah decline, which causes leaf reddening and scorching, swelling of the graft union, superficial cracking and pitting of woody tissue, stem necrosis and eventual death of the vines (Al-Rwahnih </w:t>
            </w:r>
            <w:r>
              <w:rPr>
                <w:rFonts w:ascii="Helvetica" w:hAnsi="Helvetica" w:cs="Helvetica"/>
                <w:i/>
                <w:sz w:val="18"/>
                <w:szCs w:val="18"/>
              </w:rPr>
              <w:t>et al</w:t>
            </w:r>
            <w:r>
              <w:rPr>
                <w:rFonts w:ascii="Helvetica" w:hAnsi="Helvetica" w:cs="Helvetica"/>
                <w:sz w:val="18"/>
                <w:szCs w:val="18"/>
              </w:rPr>
              <w:t xml:space="preserve">. 2009). Therefore, </w:t>
            </w:r>
            <w:r>
              <w:rPr>
                <w:rFonts w:ascii="Helvetica" w:hAnsi="Helvetica" w:cs="Helvetica"/>
                <w:bCs/>
                <w:sz w:val="18"/>
                <w:szCs w:val="18"/>
              </w:rPr>
              <w:t>GSyV-I</w:t>
            </w:r>
            <w:r>
              <w:rPr>
                <w:rFonts w:ascii="Helvetica" w:hAnsi="Helvetica" w:cs="Helvetica"/>
                <w:sz w:val="18"/>
                <w:szCs w:val="18"/>
              </w:rPr>
              <w:t xml:space="preserve"> has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 xml:space="preserve">Grapevine Tunisian ringspot virus </w:t>
            </w:r>
            <w:r>
              <w:rPr>
                <w:rFonts w:ascii="Helvetica" w:hAnsi="Helvetica" w:cs="Helvetica"/>
                <w:bCs/>
                <w:sz w:val="18"/>
                <w:szCs w:val="18"/>
              </w:rPr>
              <w:t>(GTRSV)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GTRSV is found in vines with mild fanleaf-like symptoms (Mahfoudhi </w:t>
            </w:r>
            <w:r>
              <w:rPr>
                <w:rFonts w:ascii="Helvetica" w:hAnsi="Helvetica" w:cs="Helvetica"/>
                <w:bCs/>
                <w:i/>
                <w:sz w:val="18"/>
                <w:szCs w:val="18"/>
              </w:rPr>
              <w:t>et al</w:t>
            </w:r>
            <w:r>
              <w:rPr>
                <w:rFonts w:ascii="Helvetica" w:hAnsi="Helvetica" w:cs="Helvetica"/>
                <w:bCs/>
                <w:sz w:val="18"/>
                <w:szCs w:val="18"/>
              </w:rPr>
              <w:t xml:space="preserve">. 1998). Symptoms include mild mottling and leaf deformation (Ouertani </w:t>
            </w:r>
            <w:r>
              <w:rPr>
                <w:rFonts w:ascii="Helvetica" w:hAnsi="Helvetica" w:cs="Helvetica"/>
                <w:bCs/>
                <w:i/>
                <w:sz w:val="18"/>
                <w:szCs w:val="18"/>
              </w:rPr>
              <w:t>et al</w:t>
            </w:r>
            <w:r>
              <w:rPr>
                <w:rFonts w:ascii="Helvetica" w:hAnsi="Helvetica" w:cs="Helvetica"/>
                <w:bCs/>
                <w:sz w:val="18"/>
                <w:szCs w:val="18"/>
              </w:rPr>
              <w:t xml:space="preserve">. 1992). Viruses, as a rule, infect host plants systemically and all plant parts, including parts used for vegetative propagation, are infected (Bos 1999). </w:t>
            </w:r>
            <w:r>
              <w:rPr>
                <w:rFonts w:ascii="Helvetica" w:hAnsi="Helvetica" w:cs="Helvetica"/>
                <w:sz w:val="18"/>
                <w:szCs w:val="18"/>
              </w:rPr>
              <w:t xml:space="preserve">Therefore, propagative material provides a pathway for </w:t>
            </w:r>
            <w:r>
              <w:rPr>
                <w:rFonts w:ascii="Helvetica" w:hAnsi="Helvetica" w:cs="Helvetica"/>
                <w:bCs/>
                <w:sz w:val="18"/>
                <w:szCs w:val="18"/>
              </w:rPr>
              <w:t>GTRSV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GTRSV</w:t>
            </w:r>
            <w:r>
              <w:rPr>
                <w:rFonts w:ascii="Helvetica" w:hAnsi="Helvetica" w:cs="Helvetica"/>
                <w:sz w:val="18"/>
                <w:szCs w:val="18"/>
              </w:rPr>
              <w:t xml:space="preserve"> has established in areas with a wide range of climatic conditions (</w:t>
            </w:r>
            <w:r>
              <w:rPr>
                <w:rFonts w:ascii="Helvetica" w:hAnsi="Helvetica" w:cs="Helvetica"/>
                <w:bCs/>
                <w:sz w:val="18"/>
                <w:szCs w:val="18"/>
              </w:rPr>
              <w:t xml:space="preserve">Ouertani </w:t>
            </w:r>
            <w:r>
              <w:rPr>
                <w:rFonts w:ascii="Helvetica" w:hAnsi="Helvetica" w:cs="Helvetica"/>
                <w:bCs/>
                <w:i/>
                <w:sz w:val="18"/>
                <w:szCs w:val="18"/>
              </w:rPr>
              <w:t>et al</w:t>
            </w:r>
            <w:r>
              <w:rPr>
                <w:rFonts w:ascii="Helvetica" w:hAnsi="Helvetica" w:cs="Helvetica"/>
                <w:bCs/>
                <w:sz w:val="18"/>
                <w:szCs w:val="18"/>
              </w:rPr>
              <w:t>. 1992</w:t>
            </w:r>
            <w:r>
              <w:rPr>
                <w:rFonts w:ascii="Helvetica" w:hAnsi="Helvetica" w:cs="Helvetica"/>
                <w:sz w:val="18"/>
                <w:szCs w:val="18"/>
              </w:rPr>
              <w:t xml:space="preserve">) and it can spread in infected propagative material. Multiplication and distribution of infected propagative material will help spread </w:t>
            </w:r>
            <w:r>
              <w:rPr>
                <w:rFonts w:ascii="Helvetica" w:hAnsi="Helvetica" w:cs="Helvetica"/>
                <w:bCs/>
                <w:sz w:val="18"/>
                <w:szCs w:val="18"/>
              </w:rPr>
              <w:t>GTRSV</w:t>
            </w:r>
            <w:r>
              <w:rPr>
                <w:rFonts w:ascii="Helvetica" w:hAnsi="Helvetica" w:cs="Helvetica"/>
                <w:sz w:val="18"/>
                <w:szCs w:val="18"/>
              </w:rPr>
              <w:t xml:space="preserve"> within Australia. Therefore, </w:t>
            </w:r>
            <w:r>
              <w:rPr>
                <w:rFonts w:ascii="Helvetica" w:hAnsi="Helvetica" w:cs="Helvetica"/>
                <w:bCs/>
                <w:sz w:val="18"/>
                <w:szCs w:val="18"/>
              </w:rPr>
              <w:t>GTRSV</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sz w:val="18"/>
                <w:szCs w:val="18"/>
              </w:rPr>
              <w:t xml:space="preserve">Information on the economic consequences of this virus is almost non-existent. </w:t>
            </w:r>
            <w:r>
              <w:rPr>
                <w:rFonts w:ascii="Helvetica" w:hAnsi="Helvetica" w:cs="Helvetica"/>
                <w:iCs/>
                <w:sz w:val="18"/>
                <w:szCs w:val="18"/>
              </w:rPr>
              <w:t xml:space="preserve">However, as a part of </w:t>
            </w:r>
            <w:r>
              <w:rPr>
                <w:rFonts w:ascii="Helvetica" w:hAnsi="Helvetica" w:cs="Helvetica"/>
                <w:bCs/>
                <w:sz w:val="18"/>
                <w:szCs w:val="18"/>
              </w:rPr>
              <w:t xml:space="preserve">virus complex associated with fanleaf degeneration/decline disease (Oliver and Fuchs 2011), </w:t>
            </w:r>
            <w:r>
              <w:rPr>
                <w:rFonts w:ascii="Helvetica" w:hAnsi="Helvetica" w:cs="Helvetica"/>
                <w:iCs/>
                <w:sz w:val="18"/>
                <w:szCs w:val="18"/>
              </w:rPr>
              <w:t xml:space="preserve">it may cause significant crop losses. </w:t>
            </w:r>
            <w:r>
              <w:rPr>
                <w:rFonts w:ascii="Helvetica" w:hAnsi="Helvetica" w:cs="Helvetica"/>
                <w:bCs/>
                <w:sz w:val="18"/>
                <w:szCs w:val="18"/>
              </w:rPr>
              <w:t xml:space="preserve">Affected plants have depressed growth and straggly fruit clusters </w:t>
            </w:r>
            <w:r>
              <w:rPr>
                <w:rFonts w:ascii="Helvetica" w:hAnsi="Helvetica" w:cs="Helvetica"/>
                <w:sz w:val="18"/>
                <w:szCs w:val="18"/>
              </w:rPr>
              <w:t>(</w:t>
            </w:r>
            <w:r>
              <w:rPr>
                <w:rFonts w:ascii="Helvetica" w:hAnsi="Helvetica" w:cs="Helvetica"/>
                <w:bCs/>
                <w:sz w:val="18"/>
                <w:szCs w:val="18"/>
              </w:rPr>
              <w:t xml:space="preserve">Cigsar </w:t>
            </w:r>
            <w:r>
              <w:rPr>
                <w:rFonts w:ascii="Helvetica" w:hAnsi="Helvetica" w:cs="Helvetica"/>
                <w:bCs/>
                <w:i/>
                <w:sz w:val="18"/>
                <w:szCs w:val="18"/>
              </w:rPr>
              <w:t>et al</w:t>
            </w:r>
            <w:r>
              <w:rPr>
                <w:rFonts w:ascii="Helvetica" w:hAnsi="Helvetica" w:cs="Helvetica"/>
                <w:bCs/>
                <w:sz w:val="18"/>
                <w:szCs w:val="18"/>
              </w:rPr>
              <w:t>. 2003). This may reduce fruit yield and quality</w:t>
            </w:r>
            <w:r>
              <w:rPr>
                <w:rFonts w:ascii="Helvetica" w:hAnsi="Helvetica" w:cs="Helvetica"/>
                <w:sz w:val="18"/>
                <w:szCs w:val="18"/>
              </w:rPr>
              <w:t>. Therefore, GCMV has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keepNext/>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virus A</w:t>
            </w:r>
            <w:r>
              <w:rPr>
                <w:rFonts w:ascii="Helvetica" w:hAnsi="Helvetica" w:cs="Helvetica"/>
                <w:sz w:val="18"/>
                <w:szCs w:val="18"/>
              </w:rPr>
              <w:t xml:space="preserve"> (GVA) [Betaflexividae: Vitivirus]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Yes (Habili and Symons 2000) </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keepNext/>
              <w:spacing w:before="20" w:line="240" w:lineRule="atLeast"/>
              <w:jc w:val="left"/>
              <w:rPr>
                <w:rFonts w:ascii="Helvetica" w:hAnsi="Helvetica" w:cs="Helvetica"/>
                <w:b/>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keepNext/>
              <w:spacing w:before="20" w:line="240" w:lineRule="atLeast"/>
              <w:jc w:val="left"/>
              <w:rPr>
                <w:rFonts w:ascii="Helvetica" w:hAnsi="Helvetica" w:cs="Helvetica"/>
                <w:b/>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hemeFill="background1" w:themeFillShade="F2"/>
          </w:tcPr>
          <w:p>
            <w:pPr>
              <w:keepNext/>
              <w:spacing w:before="20" w:line="240" w:lineRule="atLeast"/>
              <w:jc w:val="center"/>
              <w:rPr>
                <w:rFonts w:ascii="Helvetica" w:hAnsi="Helvetica" w:cs="Helvetica"/>
                <w:b/>
                <w:bCs/>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virus B virus</w:t>
            </w:r>
            <w:r>
              <w:rPr>
                <w:rFonts w:ascii="Helvetica" w:hAnsi="Helvetica" w:cs="Helvetica"/>
                <w:sz w:val="18"/>
                <w:szCs w:val="18"/>
              </w:rPr>
              <w:t xml:space="preserve"> (GVB) [Betaflexividae: Vitivirus]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(Habili 2009)</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virus B</w:t>
            </w:r>
            <w:r>
              <w:rPr>
                <w:rFonts w:ascii="Helvetica" w:hAnsi="Helvetica" w:cs="Helvetica"/>
                <w:sz w:val="18"/>
                <w:szCs w:val="18"/>
              </w:rPr>
              <w:t xml:space="preserve"> (GVB) (strains associated with grapevine corky bark) [Betaflexividae: Vitivirus]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This phloem limited virus associated with grapevine corky bark is latent </w:t>
            </w:r>
            <w:r>
              <w:rPr>
                <w:rFonts w:ascii="Helvetica" w:hAnsi="Helvetica" w:cs="Helvetica"/>
                <w:sz w:val="18"/>
                <w:szCs w:val="18"/>
              </w:rPr>
              <w:t xml:space="preserve">(Golino 1993; Abdullah </w:t>
            </w:r>
            <w:r>
              <w:rPr>
                <w:rFonts w:ascii="Helvetica" w:hAnsi="Helvetica" w:cs="Helvetica"/>
                <w:i/>
                <w:sz w:val="18"/>
                <w:szCs w:val="18"/>
              </w:rPr>
              <w:t>et al</w:t>
            </w:r>
            <w:r>
              <w:rPr>
                <w:rFonts w:ascii="Helvetica" w:hAnsi="Helvetica" w:cs="Helvetica"/>
                <w:sz w:val="18"/>
                <w:szCs w:val="18"/>
              </w:rPr>
              <w:t xml:space="preserve">. 2003) or produces a mild reduction in plant vigour (Namba </w:t>
            </w:r>
            <w:r>
              <w:rPr>
                <w:rFonts w:ascii="Helvetica" w:hAnsi="Helvetica" w:cs="Helvetica"/>
                <w:i/>
                <w:sz w:val="18"/>
                <w:szCs w:val="18"/>
              </w:rPr>
              <w:t>et al</w:t>
            </w:r>
            <w:r>
              <w:rPr>
                <w:rFonts w:ascii="Helvetica" w:hAnsi="Helvetica" w:cs="Helvetica"/>
                <w:sz w:val="18"/>
                <w:szCs w:val="18"/>
              </w:rPr>
              <w:t xml:space="preserve">. 1991a). This may lead to the inadvertent propagation and distribution of infected propagative material. Therefore, propagative material may provide a pathway for </w:t>
            </w:r>
            <w:r>
              <w:rPr>
                <w:rFonts w:ascii="Helvetica" w:hAnsi="Helvetica" w:cs="Helvetica"/>
                <w:bCs/>
                <w:sz w:val="18"/>
                <w:szCs w:val="18"/>
              </w:rPr>
              <w:t>GVB strains associated with corky bark</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 xml:space="preserve">GVB strains associated with grapevine corky bark </w:t>
            </w:r>
            <w:r>
              <w:rPr>
                <w:rFonts w:ascii="Helvetica" w:hAnsi="Helvetica" w:cs="Helvetica"/>
                <w:sz w:val="18"/>
                <w:szCs w:val="18"/>
              </w:rPr>
              <w:t xml:space="preserve">have established in areas with a wide range of climatic conditions (Namba </w:t>
            </w:r>
            <w:r>
              <w:rPr>
                <w:rFonts w:ascii="Helvetica" w:hAnsi="Helvetica" w:cs="Helvetica"/>
                <w:i/>
                <w:sz w:val="18"/>
                <w:szCs w:val="18"/>
              </w:rPr>
              <w:t>et al</w:t>
            </w:r>
            <w:r>
              <w:rPr>
                <w:rFonts w:ascii="Helvetica" w:hAnsi="Helvetica" w:cs="Helvetica"/>
                <w:sz w:val="18"/>
                <w:szCs w:val="18"/>
              </w:rPr>
              <w:t xml:space="preserve">. 1991a; Abdullah </w:t>
            </w:r>
            <w:r>
              <w:rPr>
                <w:rFonts w:ascii="Helvetica" w:hAnsi="Helvetica" w:cs="Helvetica"/>
                <w:i/>
                <w:sz w:val="18"/>
                <w:szCs w:val="18"/>
              </w:rPr>
              <w:t>et al</w:t>
            </w:r>
            <w:r>
              <w:rPr>
                <w:rFonts w:ascii="Helvetica" w:hAnsi="Helvetica" w:cs="Helvetica"/>
                <w:sz w:val="18"/>
                <w:szCs w:val="18"/>
              </w:rPr>
              <w:t xml:space="preserve">. 2003) and it can spread naturally in infected propagative material (Abdullah </w:t>
            </w:r>
            <w:r>
              <w:rPr>
                <w:rFonts w:ascii="Helvetica" w:hAnsi="Helvetica" w:cs="Helvetica"/>
                <w:bCs/>
                <w:i/>
                <w:sz w:val="18"/>
                <w:szCs w:val="18"/>
              </w:rPr>
              <w:t>et al</w:t>
            </w:r>
            <w:r>
              <w:rPr>
                <w:rFonts w:ascii="Helvetica" w:hAnsi="Helvetica" w:cs="Helvetica"/>
                <w:bCs/>
                <w:sz w:val="18"/>
                <w:szCs w:val="18"/>
              </w:rPr>
              <w:t>. 2003)</w:t>
            </w:r>
            <w:r>
              <w:rPr>
                <w:rFonts w:ascii="Helvetica" w:hAnsi="Helvetica" w:cs="Helvetica"/>
                <w:sz w:val="18"/>
                <w:szCs w:val="18"/>
              </w:rPr>
              <w:t>. Multiplication and distribution of infected propagative material will help spread this virus within Australia. Therefore, this virus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 xml:space="preserve">GVB strains associated with grapevine corkybark are </w:t>
            </w:r>
            <w:r>
              <w:rPr>
                <w:rFonts w:ascii="Helvetica" w:hAnsi="Helvetica" w:cs="Helvetica"/>
                <w:sz w:val="18"/>
                <w:szCs w:val="18"/>
              </w:rPr>
              <w:t xml:space="preserve">of major importance to viticulture worldwide (Constable and Rodoni 2011b). This virus is associated with grapevine degeneration where grapevine yield is decreased by 66% and the grapes have reduced sugar content (Lehoczky and Tasnady 1971). Therefore, </w:t>
            </w:r>
            <w:r>
              <w:rPr>
                <w:rFonts w:ascii="Helvetica" w:hAnsi="Helvetica" w:cs="Helvetica"/>
                <w:bCs/>
                <w:sz w:val="18"/>
                <w:szCs w:val="18"/>
              </w:rPr>
              <w:t xml:space="preserve">GVB strains associated with grapevine corky bark </w:t>
            </w:r>
            <w:r>
              <w:rPr>
                <w:rFonts w:ascii="Helvetica" w:hAnsi="Helvetica" w:cs="Helvetica"/>
                <w:sz w:val="18"/>
                <w:szCs w:val="18"/>
              </w:rPr>
              <w:t xml:space="preserve">have the potential for economic consequences in parts of Australia. </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virus C</w:t>
            </w:r>
            <w:r>
              <w:rPr>
                <w:rFonts w:ascii="Helvetica" w:hAnsi="Helvetica" w:cs="Helvetica"/>
                <w:sz w:val="18"/>
                <w:szCs w:val="18"/>
              </w:rPr>
              <w:t xml:space="preserve"> (GVC) (strain of GLRaV-2)</w:t>
            </w:r>
            <w:r>
              <w:rPr>
                <w:rStyle w:val="FootnoteReference"/>
                <w:rFonts w:ascii="Helvetica" w:hAnsi="Helvetica" w:cs="Helvetica"/>
                <w:szCs w:val="18"/>
              </w:rPr>
              <w:t xml:space="preserve"> </w:t>
            </w:r>
            <w:r>
              <w:rPr>
                <w:rStyle w:val="FootnoteReference"/>
                <w:rFonts w:ascii="Helvetica" w:hAnsi="Helvetica" w:cs="Helvetica"/>
                <w:szCs w:val="18"/>
              </w:rPr>
              <w:footnoteReference w:id="35"/>
            </w:r>
            <w:r>
              <w:rPr>
                <w:rFonts w:ascii="Helvetica" w:hAnsi="Helvetica" w:cs="Helvetica"/>
                <w:sz w:val="18"/>
                <w:szCs w:val="18"/>
              </w:rPr>
              <w:t xml:space="preserve"> [Betaflexividae: Vitivirus]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sz w:val="18"/>
                <w:szCs w:val="18"/>
              </w:rPr>
              <w:t xml:space="preserve">Yes (Constable </w:t>
            </w:r>
            <w:r>
              <w:rPr>
                <w:rFonts w:ascii="Helvetica" w:hAnsi="Helvetica" w:cs="Helvetica"/>
                <w:i/>
                <w:sz w:val="18"/>
                <w:szCs w:val="18"/>
              </w:rPr>
              <w:t>et</w:t>
            </w:r>
            <w:r>
              <w:rPr>
                <w:rFonts w:ascii="Helvetica" w:hAnsi="Helvetica" w:cs="Helvetica"/>
                <w:sz w:val="18"/>
                <w:szCs w:val="18"/>
              </w:rPr>
              <w:t xml:space="preserve"> </w:t>
            </w:r>
            <w:r>
              <w:rPr>
                <w:rFonts w:ascii="Helvetica" w:hAnsi="Helvetica" w:cs="Helvetica"/>
                <w:i/>
                <w:sz w:val="18"/>
                <w:szCs w:val="18"/>
              </w:rPr>
              <w:t>al</w:t>
            </w:r>
            <w:r>
              <w:rPr>
                <w:rFonts w:ascii="Helvetica" w:hAnsi="Helvetica" w:cs="Helvetica"/>
                <w:sz w:val="18"/>
                <w:szCs w:val="18"/>
              </w:rPr>
              <w:t>. 2010)</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b/>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virus D</w:t>
            </w:r>
            <w:r>
              <w:rPr>
                <w:rFonts w:ascii="Helvetica" w:hAnsi="Helvetica" w:cs="Helvetica"/>
                <w:sz w:val="18"/>
                <w:szCs w:val="18"/>
              </w:rPr>
              <w:t xml:space="preserve"> (GVD) [Betaflexividae: Vitivirus]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Yes (Habili pers. comm. 2009)</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Grapevine virus E</w:t>
            </w:r>
            <w:r>
              <w:rPr>
                <w:rFonts w:ascii="Helvetica" w:hAnsi="Helvetica" w:cs="Helvetica"/>
                <w:sz w:val="18"/>
                <w:szCs w:val="18"/>
              </w:rPr>
              <w:t xml:space="preserve"> (GVE) [Betaflexividae: Vitivirus]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This virus is associated with grapevine causing typical Shiraz disease symptoms including canes lacking lignifications, delayed leaf fall and reduced vigour (Coetzee </w:t>
            </w:r>
            <w:r>
              <w:rPr>
                <w:rFonts w:ascii="Helvetica" w:hAnsi="Helvetica" w:cs="Helvetica"/>
                <w:bCs/>
                <w:i/>
                <w:sz w:val="18"/>
                <w:szCs w:val="18"/>
              </w:rPr>
              <w:t>et al</w:t>
            </w:r>
            <w:r>
              <w:rPr>
                <w:rFonts w:ascii="Helvetica" w:hAnsi="Helvetica" w:cs="Helvetica"/>
                <w:bCs/>
                <w:sz w:val="18"/>
                <w:szCs w:val="18"/>
              </w:rPr>
              <w:t>. 2010). Canes may also not show symptoms and t</w:t>
            </w:r>
            <w:r>
              <w:rPr>
                <w:rFonts w:ascii="Helvetica" w:hAnsi="Helvetica" w:cs="Helvetica"/>
                <w:sz w:val="18"/>
                <w:szCs w:val="18"/>
              </w:rPr>
              <w:t xml:space="preserve">his may lead to the inadvertent propagation and distribution of infected propagative material. Therefore, propagative material may provide a pathway for </w:t>
            </w:r>
            <w:r>
              <w:rPr>
                <w:rFonts w:ascii="Helvetica" w:hAnsi="Helvetica" w:cs="Helvetica"/>
                <w:bCs/>
                <w:sz w:val="18"/>
                <w:szCs w:val="18"/>
              </w:rPr>
              <w:t>GVE</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GVE</w:t>
            </w:r>
            <w:r>
              <w:rPr>
                <w:rFonts w:ascii="Helvetica" w:hAnsi="Helvetica" w:cs="Helvetica"/>
                <w:sz w:val="18"/>
                <w:szCs w:val="18"/>
              </w:rPr>
              <w:t xml:space="preserve"> has established in areas with a wide range of climatic conditions (Nakaune </w:t>
            </w:r>
            <w:r>
              <w:rPr>
                <w:rFonts w:ascii="Helvetica" w:hAnsi="Helvetica" w:cs="Helvetica"/>
                <w:i/>
                <w:sz w:val="18"/>
                <w:szCs w:val="18"/>
              </w:rPr>
              <w:t>et al</w:t>
            </w:r>
            <w:r>
              <w:rPr>
                <w:rFonts w:ascii="Helvetica" w:hAnsi="Helvetica" w:cs="Helvetica"/>
                <w:sz w:val="18"/>
                <w:szCs w:val="18"/>
              </w:rPr>
              <w:t xml:space="preserve">. 2008; </w:t>
            </w:r>
            <w:r>
              <w:rPr>
                <w:rFonts w:ascii="Helvetica" w:hAnsi="Helvetica" w:cs="Helvetica"/>
                <w:bCs/>
                <w:sz w:val="18"/>
                <w:szCs w:val="18"/>
              </w:rPr>
              <w:t xml:space="preserve">Coetzee </w:t>
            </w:r>
            <w:r>
              <w:rPr>
                <w:rFonts w:ascii="Helvetica" w:hAnsi="Helvetica" w:cs="Helvetica"/>
                <w:bCs/>
                <w:i/>
                <w:sz w:val="18"/>
                <w:szCs w:val="18"/>
              </w:rPr>
              <w:t>et al</w:t>
            </w:r>
            <w:r>
              <w:rPr>
                <w:rFonts w:ascii="Helvetica" w:hAnsi="Helvetica" w:cs="Helvetica"/>
                <w:bCs/>
                <w:sz w:val="18"/>
                <w:szCs w:val="18"/>
              </w:rPr>
              <w:t xml:space="preserve">. </w:t>
            </w:r>
            <w:r>
              <w:rPr>
                <w:rFonts w:ascii="Helvetica" w:hAnsi="Helvetica" w:cs="Helvetica"/>
                <w:sz w:val="18"/>
                <w:szCs w:val="18"/>
              </w:rPr>
              <w:t>2010) and it may spread naturally in infected propagative material. Propagation and distribution of infected material will help spread GVE within Australia. Therefore, GVE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iCs/>
                <w:sz w:val="18"/>
                <w:szCs w:val="18"/>
              </w:rPr>
              <w:t>Vitiviruses may display delayed bud burst, and thick, rough bark with an enlarged scion trunk</w:t>
            </w:r>
            <w:r>
              <w:rPr>
                <w:rFonts w:ascii="Helvetica" w:hAnsi="Helvetica" w:cs="Helvetica"/>
                <w:sz w:val="18"/>
                <w:szCs w:val="18"/>
              </w:rPr>
              <w:t xml:space="preserve"> (Uyemoto </w:t>
            </w:r>
            <w:r>
              <w:rPr>
                <w:rFonts w:ascii="Helvetica" w:hAnsi="Helvetica" w:cs="Helvetica"/>
                <w:i/>
                <w:sz w:val="18"/>
                <w:szCs w:val="18"/>
              </w:rPr>
              <w:t xml:space="preserve">et al. </w:t>
            </w:r>
            <w:r>
              <w:rPr>
                <w:rFonts w:ascii="Helvetica" w:hAnsi="Helvetica" w:cs="Helvetica"/>
                <w:sz w:val="18"/>
                <w:szCs w:val="18"/>
              </w:rPr>
              <w:t xml:space="preserve">2009). Information on the economic consequences of this virus is almost non-existent. </w:t>
            </w:r>
            <w:r>
              <w:rPr>
                <w:rFonts w:ascii="Helvetica" w:hAnsi="Helvetica" w:cs="Helvetica"/>
                <w:iCs/>
                <w:sz w:val="18"/>
                <w:szCs w:val="18"/>
              </w:rPr>
              <w:t xml:space="preserve">However, as it is a part of the </w:t>
            </w:r>
            <w:r>
              <w:rPr>
                <w:rFonts w:ascii="Helvetica" w:hAnsi="Helvetica" w:cs="Helvetica"/>
                <w:bCs/>
                <w:sz w:val="18"/>
                <w:szCs w:val="18"/>
              </w:rPr>
              <w:t xml:space="preserve">virus complex associated with rugose wood </w:t>
            </w:r>
            <w:r>
              <w:rPr>
                <w:rFonts w:ascii="Helvetica" w:hAnsi="Helvetica" w:cs="Helvetica"/>
                <w:sz w:val="18"/>
                <w:szCs w:val="18"/>
              </w:rPr>
              <w:t xml:space="preserve">(Martelli </w:t>
            </w:r>
            <w:r>
              <w:rPr>
                <w:rFonts w:ascii="Helvetica" w:hAnsi="Helvetica" w:cs="Helvetica"/>
                <w:i/>
                <w:sz w:val="18"/>
                <w:szCs w:val="18"/>
              </w:rPr>
              <w:t>et al</w:t>
            </w:r>
            <w:r>
              <w:rPr>
                <w:rFonts w:ascii="Helvetica" w:hAnsi="Helvetica" w:cs="Helvetica"/>
                <w:sz w:val="18"/>
                <w:szCs w:val="18"/>
              </w:rPr>
              <w:t xml:space="preserve">. 2007), </w:t>
            </w:r>
            <w:r>
              <w:rPr>
                <w:rFonts w:ascii="Helvetica" w:hAnsi="Helvetica" w:cs="Helvetica"/>
                <w:iCs/>
                <w:sz w:val="18"/>
                <w:szCs w:val="18"/>
              </w:rPr>
              <w:t xml:space="preserve">it may cause significant crop losses. </w:t>
            </w:r>
            <w:r>
              <w:rPr>
                <w:rFonts w:ascii="Helvetica" w:hAnsi="Helvetica" w:cs="Helvetica"/>
                <w:sz w:val="18"/>
                <w:szCs w:val="18"/>
              </w:rPr>
              <w:t xml:space="preserve">Therefore, </w:t>
            </w:r>
            <w:r>
              <w:rPr>
                <w:rFonts w:ascii="Helvetica" w:hAnsi="Helvetica" w:cs="Helvetica"/>
                <w:bCs/>
                <w:sz w:val="18"/>
                <w:szCs w:val="18"/>
              </w:rPr>
              <w:t>GVE</w:t>
            </w:r>
            <w:r>
              <w:rPr>
                <w:rFonts w:ascii="Helvetica" w:hAnsi="Helvetica" w:cs="Helvetica"/>
                <w:sz w:val="18"/>
                <w:szCs w:val="18"/>
              </w:rPr>
              <w:t xml:space="preserve">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Peach rosette mosaic virus</w:t>
            </w:r>
            <w:r>
              <w:rPr>
                <w:rFonts w:ascii="Helvetica" w:hAnsi="Helvetica" w:cs="Helvetica"/>
                <w:bCs/>
                <w:sz w:val="18"/>
                <w:szCs w:val="18"/>
              </w:rPr>
              <w:t xml:space="preserve"> (PRMV)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PRMV is seed-borne and soil-borne (Richardson 1990). It is associated with symptoms similar to those of fanleaf degeneration and decline (Martelli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 Viruses, as a rule, infect host plants systemically and all plant parts, including parts used for vegetative propagation, are infected (Bos 1999). Therefore, p</w:t>
            </w:r>
            <w:r>
              <w:rPr>
                <w:rFonts w:ascii="Helvetica" w:hAnsi="Helvetica" w:cs="Helvetica"/>
                <w:sz w:val="18"/>
                <w:szCs w:val="18"/>
              </w:rPr>
              <w:t>ropagative material provides a pathway for PRMV.</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PRMV</w:t>
            </w:r>
            <w:r>
              <w:rPr>
                <w:rFonts w:ascii="Helvetica" w:hAnsi="Helvetica" w:cs="Helvetica"/>
                <w:sz w:val="18"/>
                <w:szCs w:val="18"/>
              </w:rPr>
              <w:t xml:space="preserve"> has established in areas with a wide range of climatic conditions (Uyemoto </w:t>
            </w:r>
            <w:r>
              <w:rPr>
                <w:rFonts w:ascii="Helvetica" w:hAnsi="Helvetica" w:cs="Helvetica"/>
                <w:i/>
                <w:sz w:val="18"/>
                <w:szCs w:val="18"/>
              </w:rPr>
              <w:t>et al</w:t>
            </w:r>
            <w:r>
              <w:rPr>
                <w:rFonts w:ascii="Helvetica" w:hAnsi="Helvetica" w:cs="Helvetica"/>
                <w:sz w:val="18"/>
                <w:szCs w:val="18"/>
              </w:rPr>
              <w:t>. 2009) and it can spread naturally in infected propagative material (</w:t>
            </w:r>
            <w:r>
              <w:rPr>
                <w:rFonts w:ascii="Helvetica" w:hAnsi="Helvetica" w:cs="Helvetica"/>
                <w:bCs/>
                <w:sz w:val="18"/>
                <w:szCs w:val="18"/>
              </w:rPr>
              <w:t>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w:t>
            </w:r>
            <w:r>
              <w:rPr>
                <w:rFonts w:ascii="Helvetica" w:hAnsi="Helvetica" w:cs="Helvetica"/>
                <w:sz w:val="18"/>
                <w:szCs w:val="18"/>
              </w:rPr>
              <w:t xml:space="preserve">). Propagation and distribution of infected material will help spread </w:t>
            </w:r>
            <w:r>
              <w:rPr>
                <w:rFonts w:ascii="Helvetica" w:hAnsi="Helvetica" w:cs="Helvetica"/>
                <w:bCs/>
                <w:sz w:val="18"/>
                <w:szCs w:val="18"/>
              </w:rPr>
              <w:t>PRMV</w:t>
            </w:r>
            <w:r>
              <w:rPr>
                <w:rFonts w:ascii="Helvetica" w:hAnsi="Helvetica" w:cs="Helvetica"/>
                <w:sz w:val="18"/>
                <w:szCs w:val="18"/>
              </w:rPr>
              <w:t xml:space="preserve"> within Australia. Therefore, </w:t>
            </w:r>
            <w:r>
              <w:rPr>
                <w:rFonts w:ascii="Helvetica" w:hAnsi="Helvetica" w:cs="Helvetica"/>
                <w:bCs/>
                <w:sz w:val="18"/>
                <w:szCs w:val="18"/>
              </w:rPr>
              <w:t>PRMV</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PRMV causes </w:t>
            </w:r>
            <w:r>
              <w:rPr>
                <w:rFonts w:ascii="Helvetica" w:hAnsi="Helvetica" w:cs="Helvetica"/>
                <w:bCs/>
                <w:sz w:val="18"/>
                <w:szCs w:val="18"/>
              </w:rPr>
              <w:t>delayed bud burst, small sized berries, stunted vines and a progressive decline in plant health, which can lead to grapevine death (Martelli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 Crop losses of up to 60% and death of susceptible </w:t>
            </w:r>
            <w:r>
              <w:rPr>
                <w:rFonts w:ascii="Helvetica" w:hAnsi="Helvetica" w:cs="Helvetica"/>
                <w:bCs/>
                <w:i/>
                <w:sz w:val="18"/>
                <w:szCs w:val="18"/>
              </w:rPr>
              <w:t xml:space="preserve">Vitis labrusca </w:t>
            </w:r>
            <w:r>
              <w:rPr>
                <w:rFonts w:ascii="Helvetica" w:hAnsi="Helvetica" w:cs="Helvetica"/>
                <w:bCs/>
                <w:sz w:val="18"/>
                <w:szCs w:val="18"/>
              </w:rPr>
              <w:t>cultivars and a number of American-French hybrids have been recorded (Martelli and Boudon-Padi</w:t>
            </w:r>
            <w:smartTag w:uri="urn:schemas-microsoft-com:office:smarttags" w:element="PersonName">
              <w:r>
                <w:rPr>
                  <w:rFonts w:ascii="Helvetica" w:hAnsi="Helvetica" w:cs="Helvetica"/>
                  <w:bCs/>
                  <w:sz w:val="18"/>
                  <w:szCs w:val="18"/>
                </w:rPr>
                <w:t>eu</w:t>
              </w:r>
            </w:smartTag>
            <w:r>
              <w:rPr>
                <w:rFonts w:ascii="Helvetica" w:hAnsi="Helvetica" w:cs="Helvetica"/>
                <w:bCs/>
                <w:sz w:val="18"/>
                <w:szCs w:val="18"/>
              </w:rPr>
              <w:t xml:space="preserve"> 2006). </w:t>
            </w:r>
            <w:r>
              <w:rPr>
                <w:rFonts w:ascii="Helvetica" w:hAnsi="Helvetica" w:cs="Helvetica"/>
                <w:sz w:val="18"/>
                <w:szCs w:val="18"/>
              </w:rPr>
              <w:t>Therefore, this virus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i/>
                <w:iCs/>
                <w:sz w:val="18"/>
                <w:szCs w:val="18"/>
              </w:rPr>
            </w:pPr>
            <w:r>
              <w:rPr>
                <w:rFonts w:ascii="Helvetica" w:hAnsi="Helvetica" w:cs="Helvetica"/>
                <w:i/>
                <w:sz w:val="18"/>
                <w:szCs w:val="18"/>
              </w:rPr>
              <w:t>Petunia asteroid mosaic virus</w:t>
            </w:r>
            <w:r>
              <w:rPr>
                <w:rFonts w:ascii="Helvetica" w:hAnsi="Helvetica" w:cs="Helvetica"/>
                <w:sz w:val="18"/>
                <w:szCs w:val="18"/>
              </w:rPr>
              <w:t xml:space="preserve"> (PeAMV) [Tombusviridae: Tombusvirus]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PeAMV is a soil-borne virus and infects plant systemically via roots (Kegler and Kontzog 1990; Lovisolo 1990). The infections may be latent (Kegler and Kontzog 1990).</w:t>
            </w:r>
            <w:r>
              <w:rPr>
                <w:rFonts w:ascii="Helvetica" w:hAnsi="Helvetica" w:cs="Helvetica"/>
                <w:sz w:val="18"/>
                <w:szCs w:val="18"/>
              </w:rPr>
              <w:t xml:space="preserve"> This may lead to the inadvertent propagation and distribution of infected propagative material. Therefore, propagative material provides a pathway for PeAMV.</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PeAMV</w:t>
            </w:r>
            <w:r>
              <w:rPr>
                <w:rFonts w:ascii="Helvetica" w:hAnsi="Helvetica" w:cs="Helvetica"/>
                <w:sz w:val="18"/>
                <w:szCs w:val="18"/>
              </w:rPr>
              <w:t xml:space="preserve"> has established in areas with a wide range of climatic conditions (Bercks 1967; Novák and Lanzová 1976; Smith </w:t>
            </w:r>
            <w:r>
              <w:rPr>
                <w:rFonts w:ascii="Helvetica" w:hAnsi="Helvetica" w:cs="Helvetica"/>
                <w:i/>
                <w:sz w:val="18"/>
                <w:szCs w:val="18"/>
              </w:rPr>
              <w:t>et al</w:t>
            </w:r>
            <w:r>
              <w:rPr>
                <w:rFonts w:ascii="Helvetica" w:hAnsi="Helvetica" w:cs="Helvetica"/>
                <w:sz w:val="18"/>
                <w:szCs w:val="18"/>
              </w:rPr>
              <w:t xml:space="preserve">. 1988; Koenig </w:t>
            </w:r>
            <w:r>
              <w:rPr>
                <w:rFonts w:ascii="Helvetica" w:hAnsi="Helvetica" w:cs="Helvetica"/>
                <w:i/>
                <w:sz w:val="18"/>
                <w:szCs w:val="18"/>
              </w:rPr>
              <w:t>et al</w:t>
            </w:r>
            <w:r>
              <w:rPr>
                <w:rFonts w:ascii="Helvetica" w:hAnsi="Helvetica" w:cs="Helvetica"/>
                <w:sz w:val="18"/>
                <w:szCs w:val="18"/>
              </w:rPr>
              <w:t xml:space="preserve">. 1989; Martelli 1993; Constable </w:t>
            </w:r>
            <w:r>
              <w:rPr>
                <w:rFonts w:ascii="Helvetica" w:hAnsi="Helvetica" w:cs="Helvetica"/>
                <w:i/>
                <w:sz w:val="18"/>
                <w:szCs w:val="18"/>
              </w:rPr>
              <w:t>et al</w:t>
            </w:r>
            <w:r>
              <w:rPr>
                <w:rFonts w:ascii="Helvetica" w:hAnsi="Helvetica" w:cs="Helvetica"/>
                <w:sz w:val="18"/>
                <w:szCs w:val="18"/>
              </w:rPr>
              <w:t>. 2010) and it can spread naturally in infected propagative material. Propagation and distribution of infected material will help spread PeAMV within Australia. Therefore, PeAMV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Information on the economic consequences of this virus is almost non-existent. However, PeAMV generally occur in mixed infections (Constable </w:t>
            </w:r>
            <w:r>
              <w:rPr>
                <w:rFonts w:ascii="Helvetica" w:hAnsi="Helvetica" w:cs="Helvetica"/>
                <w:i/>
                <w:sz w:val="18"/>
                <w:szCs w:val="18"/>
              </w:rPr>
              <w:t>et al</w:t>
            </w:r>
            <w:r>
              <w:rPr>
                <w:rFonts w:ascii="Helvetica" w:hAnsi="Helvetica" w:cs="Helvetica"/>
                <w:sz w:val="18"/>
                <w:szCs w:val="18"/>
              </w:rPr>
              <w:t xml:space="preserve">. 2010). PeAMV is associated with a serious disease—viral necrosis of sweet cherry—that causes heavy damage due to canker-like deformations on the shoots as well as bark splits, necrosis of leaf mid-veins and misshapen fruits with necrotic spots (Pfeilstetter </w:t>
            </w:r>
            <w:r>
              <w:rPr>
                <w:rFonts w:ascii="Helvetica" w:hAnsi="Helvetica" w:cs="Helvetica"/>
                <w:i/>
                <w:sz w:val="18"/>
                <w:szCs w:val="18"/>
              </w:rPr>
              <w:t xml:space="preserve">et al. </w:t>
            </w:r>
            <w:r>
              <w:rPr>
                <w:rFonts w:ascii="Helvetica" w:hAnsi="Helvetica" w:cs="Helvetica"/>
                <w:sz w:val="18"/>
                <w:szCs w:val="18"/>
              </w:rPr>
              <w:t>1992). Therefore, this virus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Raspberry bushy dwarf virus</w:t>
            </w:r>
            <w:r>
              <w:rPr>
                <w:rFonts w:ascii="Helvetica" w:hAnsi="Helvetica" w:cs="Helvetica"/>
                <w:bCs/>
                <w:sz w:val="18"/>
                <w:szCs w:val="18"/>
              </w:rPr>
              <w:t xml:space="preserve"> (RBDV) [Unassigned: Ideaeovirus]</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sz w:val="18"/>
                <w:szCs w:val="18"/>
              </w:rPr>
            </w:pPr>
            <w:r>
              <w:rPr>
                <w:rFonts w:ascii="Helvetica" w:hAnsi="Helvetica" w:cs="Helvetica"/>
                <w:sz w:val="18"/>
                <w:szCs w:val="18"/>
              </w:rPr>
              <w:t xml:space="preserve">Yes (McGregor </w:t>
            </w:r>
            <w:r>
              <w:rPr>
                <w:rFonts w:ascii="Helvetica" w:hAnsi="Helvetica" w:cs="Helvetica"/>
                <w:i/>
                <w:sz w:val="18"/>
                <w:szCs w:val="18"/>
              </w:rPr>
              <w:t>et al</w:t>
            </w:r>
            <w:r>
              <w:rPr>
                <w:rFonts w:ascii="Helvetica" w:hAnsi="Helvetica" w:cs="Helvetica"/>
                <w:sz w:val="18"/>
                <w:szCs w:val="18"/>
              </w:rPr>
              <w:t>. 1996)</w:t>
            </w:r>
          </w:p>
        </w:tc>
        <w:tc>
          <w:tcPr>
            <w:tcW w:w="264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bCs/>
                <w:sz w:val="18"/>
                <w:szCs w:val="18"/>
              </w:rPr>
            </w:pPr>
            <w:r>
              <w:rPr>
                <w:rFonts w:ascii="Helvetica" w:hAnsi="Helvetica" w:cs="Helvetica"/>
                <w:bCs/>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pct5" w:color="auto" w:fill="auto"/>
          </w:tcPr>
          <w:p>
            <w:pPr>
              <w:keepNext/>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pct5" w:color="auto" w:fill="auto"/>
          </w:tcPr>
          <w:p>
            <w:pPr>
              <w:keepNext/>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hemeFill="background1" w:themeFillShade="F2"/>
          </w:tcPr>
          <w:p>
            <w:pPr>
              <w:keepNext/>
              <w:spacing w:before="20" w:line="240" w:lineRule="atLeast"/>
              <w:jc w:val="center"/>
              <w:rPr>
                <w:rFonts w:ascii="Helvetica" w:hAnsi="Helvetica" w:cs="Helvetica"/>
                <w:b/>
                <w:bCs/>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Raspberry ringspot virus</w:t>
            </w:r>
            <w:r>
              <w:rPr>
                <w:rFonts w:ascii="Helvetica" w:hAnsi="Helvetica" w:cs="Helvetica"/>
                <w:bCs/>
                <w:sz w:val="18"/>
                <w:szCs w:val="18"/>
              </w:rPr>
              <w:t xml:space="preserve"> (RpRSV) grapevine strain</w:t>
            </w:r>
            <w:r>
              <w:rPr>
                <w:rStyle w:val="FootnoteReference"/>
                <w:rFonts w:ascii="Helvetica" w:hAnsi="Helvetica" w:cs="Helvetica"/>
                <w:bCs/>
                <w:szCs w:val="18"/>
              </w:rPr>
              <w:footnoteReference w:id="36"/>
            </w:r>
            <w:r>
              <w:rPr>
                <w:rFonts w:ascii="Helvetica" w:hAnsi="Helvetica" w:cs="Helvetica"/>
                <w:bCs/>
                <w:sz w:val="18"/>
                <w:szCs w:val="18"/>
              </w:rPr>
              <w:t xml:space="preserve">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RpRSV grapevine strain causes symptoms similar to those of fanleaf degeneration disease (Stellmach and Querfurth 1978;</w:t>
            </w:r>
            <w:r>
              <w:rPr>
                <w:rFonts w:ascii="Helvetica" w:hAnsi="Helvetica" w:cs="Helvetica"/>
                <w:sz w:val="18"/>
                <w:szCs w:val="18"/>
              </w:rPr>
              <w:t xml:space="preserve"> </w:t>
            </w:r>
            <w:r>
              <w:rPr>
                <w:rFonts w:ascii="Helvetica" w:hAnsi="Helvetica" w:cs="Helvetica"/>
                <w:bCs/>
                <w:sz w:val="18"/>
                <w:szCs w:val="18"/>
              </w:rPr>
              <w:t xml:space="preserve">Wetzel </w:t>
            </w:r>
            <w:r>
              <w:rPr>
                <w:rFonts w:ascii="Helvetica" w:hAnsi="Helvetica" w:cs="Helvetica"/>
                <w:bCs/>
                <w:i/>
                <w:sz w:val="18"/>
                <w:szCs w:val="18"/>
              </w:rPr>
              <w:t>et al</w:t>
            </w:r>
            <w:r>
              <w:rPr>
                <w:rFonts w:ascii="Helvetica" w:hAnsi="Helvetica" w:cs="Helvetica"/>
                <w:bCs/>
                <w:sz w:val="18"/>
                <w:szCs w:val="18"/>
              </w:rPr>
              <w:t>. 2006, Wetzel and Kraczal 2007). Viruses, as a rule, infect host plants systemically and all plant parts, including parts used for vegetative propagation, are infected (Bos 1999). Therefore, p</w:t>
            </w:r>
            <w:r>
              <w:rPr>
                <w:rFonts w:ascii="Helvetica" w:hAnsi="Helvetica" w:cs="Helvetica"/>
                <w:sz w:val="18"/>
                <w:szCs w:val="18"/>
              </w:rPr>
              <w:t xml:space="preserve">ropagative material provides a pathway for </w:t>
            </w:r>
            <w:r>
              <w:rPr>
                <w:rFonts w:ascii="Helvetica" w:hAnsi="Helvetica" w:cs="Helvetica"/>
                <w:bCs/>
                <w:sz w:val="18"/>
                <w:szCs w:val="18"/>
              </w:rPr>
              <w:t>RpRSV grapevine strain.</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 xml:space="preserve">RpRSV grapevine strain </w:t>
            </w:r>
            <w:r>
              <w:rPr>
                <w:rFonts w:ascii="Helvetica" w:hAnsi="Helvetica" w:cs="Helvetica"/>
                <w:sz w:val="18"/>
                <w:szCs w:val="18"/>
              </w:rPr>
              <w:t>has established in areas with a wide range of climatic conditions</w:t>
            </w:r>
            <w:r>
              <w:rPr>
                <w:rFonts w:ascii="Helvetica" w:hAnsi="Helvetica" w:cs="Helvetica"/>
                <w:i/>
                <w:iCs/>
                <w:sz w:val="18"/>
                <w:szCs w:val="18"/>
              </w:rPr>
              <w:t xml:space="preserve"> </w:t>
            </w:r>
            <w:r>
              <w:rPr>
                <w:rFonts w:ascii="Helvetica" w:hAnsi="Helvetica" w:cs="Helvetica"/>
                <w:sz w:val="18"/>
                <w:szCs w:val="18"/>
              </w:rPr>
              <w:t>(Martelli and Boudon-Padi</w:t>
            </w:r>
            <w:smartTag w:uri="urn:schemas-microsoft-com:office:smarttags" w:element="PersonName">
              <w:r>
                <w:rPr>
                  <w:rFonts w:ascii="Helvetica" w:hAnsi="Helvetica" w:cs="Helvetica"/>
                  <w:sz w:val="18"/>
                  <w:szCs w:val="18"/>
                </w:rPr>
                <w:t>eu</w:t>
              </w:r>
            </w:smartTag>
            <w:r>
              <w:rPr>
                <w:rFonts w:ascii="Helvetica" w:hAnsi="Helvetica" w:cs="Helvetica"/>
                <w:sz w:val="18"/>
                <w:szCs w:val="18"/>
              </w:rPr>
              <w:t xml:space="preserve"> 2006; </w:t>
            </w:r>
            <w:r>
              <w:rPr>
                <w:rFonts w:ascii="Helvetica" w:hAnsi="Helvetica" w:cs="Helvetica"/>
                <w:bCs/>
                <w:sz w:val="18"/>
                <w:szCs w:val="18"/>
              </w:rPr>
              <w:t xml:space="preserve">Wetzel </w:t>
            </w:r>
            <w:r>
              <w:rPr>
                <w:rFonts w:ascii="Helvetica" w:hAnsi="Helvetica" w:cs="Helvetica"/>
                <w:bCs/>
                <w:i/>
                <w:sz w:val="18"/>
                <w:szCs w:val="18"/>
              </w:rPr>
              <w:t>et al</w:t>
            </w:r>
            <w:r>
              <w:rPr>
                <w:rFonts w:ascii="Helvetica" w:hAnsi="Helvetica" w:cs="Helvetica"/>
                <w:bCs/>
                <w:sz w:val="18"/>
                <w:szCs w:val="18"/>
              </w:rPr>
              <w:t>. 2006</w:t>
            </w:r>
            <w:r>
              <w:rPr>
                <w:rFonts w:ascii="Helvetica" w:hAnsi="Helvetica" w:cs="Helvetica"/>
                <w:sz w:val="18"/>
                <w:szCs w:val="18"/>
              </w:rPr>
              <w:t xml:space="preserve">) and it can spread naturally in infected propagative material. Propagation and distribution of infected material will help spread </w:t>
            </w:r>
            <w:r>
              <w:rPr>
                <w:rFonts w:ascii="Helvetica" w:hAnsi="Helvetica" w:cs="Helvetica"/>
                <w:bCs/>
                <w:sz w:val="18"/>
                <w:szCs w:val="18"/>
              </w:rPr>
              <w:t xml:space="preserve">RpRSV </w:t>
            </w:r>
            <w:r>
              <w:rPr>
                <w:rFonts w:ascii="Helvetica" w:hAnsi="Helvetica" w:cs="Helvetica"/>
                <w:sz w:val="18"/>
                <w:szCs w:val="18"/>
              </w:rPr>
              <w:t xml:space="preserve">within Australia. Therefore, </w:t>
            </w:r>
            <w:r>
              <w:rPr>
                <w:rFonts w:ascii="Helvetica" w:hAnsi="Helvetica" w:cs="Helvetica"/>
                <w:bCs/>
                <w:sz w:val="18"/>
                <w:szCs w:val="18"/>
              </w:rPr>
              <w:t>RpRSV grapevine strain h</w:t>
            </w:r>
            <w:r>
              <w:rPr>
                <w:rFonts w:ascii="Helvetica" w:hAnsi="Helvetica" w:cs="Helvetica"/>
                <w:sz w:val="18"/>
                <w:szCs w:val="18"/>
              </w:rPr>
              <w:t>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RpRSV</w:t>
            </w:r>
            <w:r>
              <w:rPr>
                <w:rFonts w:ascii="Helvetica" w:hAnsi="Helvetica" w:cs="Helvetica"/>
                <w:sz w:val="18"/>
                <w:szCs w:val="18"/>
              </w:rPr>
              <w:t xml:space="preserve"> is a causal agent of grapevine fanleaf disease, one of the most widespread and damaging diseases of grapevine (Wetzel </w:t>
            </w:r>
            <w:r>
              <w:rPr>
                <w:rFonts w:ascii="Helvetica" w:hAnsi="Helvetica" w:cs="Helvetica"/>
                <w:i/>
                <w:sz w:val="18"/>
                <w:szCs w:val="18"/>
              </w:rPr>
              <w:t>et al</w:t>
            </w:r>
            <w:r>
              <w:rPr>
                <w:rFonts w:ascii="Helvetica" w:hAnsi="Helvetica" w:cs="Helvetica"/>
                <w:sz w:val="18"/>
                <w:szCs w:val="18"/>
              </w:rPr>
              <w:t xml:space="preserve">. 2006). Crop losses caused by </w:t>
            </w:r>
            <w:r>
              <w:rPr>
                <w:rFonts w:ascii="Helvetica" w:hAnsi="Helvetica" w:cs="Helvetica"/>
                <w:bCs/>
                <w:sz w:val="18"/>
                <w:szCs w:val="18"/>
              </w:rPr>
              <w:t xml:space="preserve">RpRSV grapevine strain </w:t>
            </w:r>
            <w:r>
              <w:rPr>
                <w:rFonts w:ascii="Helvetica" w:hAnsi="Helvetica" w:cs="Helvetica"/>
                <w:sz w:val="18"/>
                <w:szCs w:val="18"/>
              </w:rPr>
              <w:t>can be higher than 30% (Martelli and Boudon-Padieu 2006). Therefore, this virus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Sowbane mosaic virus</w:t>
            </w:r>
            <w:r>
              <w:rPr>
                <w:rFonts w:ascii="Helvetica" w:hAnsi="Helvetica" w:cs="Helvetica"/>
                <w:bCs/>
                <w:sz w:val="18"/>
                <w:szCs w:val="18"/>
              </w:rPr>
              <w:t xml:space="preserve"> (SoMV) – grape infecting strain [Unassigned: Sobemovirus]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Not known to occur</w:t>
            </w:r>
            <w:r>
              <w:rPr>
                <w:rStyle w:val="FootnoteReference"/>
                <w:rFonts w:ascii="Helvetica" w:hAnsi="Helvetica" w:cs="Helvetica"/>
                <w:bCs/>
                <w:szCs w:val="18"/>
              </w:rPr>
              <w:footnoteReference w:id="37"/>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 xml:space="preserve">Yes: SoMV grape infecting strain may be latent in naturally infected grapevines (Bercks and Querfurth 1969). </w:t>
            </w:r>
            <w:r>
              <w:rPr>
                <w:rFonts w:ascii="Helvetica" w:hAnsi="Helvetica" w:cs="Helvetica"/>
                <w:sz w:val="18"/>
                <w:szCs w:val="18"/>
              </w:rPr>
              <w:t xml:space="preserve">This may lead to the inadvertent propagation and distribution of infected propagative material. Therefore, propagative material provides a pathway for </w:t>
            </w:r>
            <w:r>
              <w:rPr>
                <w:rFonts w:ascii="Helvetica" w:hAnsi="Helvetica" w:cs="Helvetica"/>
                <w:bCs/>
                <w:sz w:val="18"/>
                <w:szCs w:val="18"/>
              </w:rPr>
              <w:t>SoMV grape infecting strain.</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SoMV grape infecting strain</w:t>
            </w:r>
            <w:r>
              <w:rPr>
                <w:rFonts w:ascii="Helvetica" w:hAnsi="Helvetica" w:cs="Helvetica"/>
                <w:sz w:val="18"/>
                <w:szCs w:val="18"/>
              </w:rPr>
              <w:t xml:space="preserve"> has established in areas with a wide range of climatic conditions (Bercks and Querfurth 1969; Jankulova 1972; Pozdena </w:t>
            </w:r>
            <w:r>
              <w:rPr>
                <w:rFonts w:ascii="Helvetica" w:hAnsi="Helvetica" w:cs="Helvetica"/>
                <w:i/>
                <w:sz w:val="18"/>
                <w:szCs w:val="18"/>
              </w:rPr>
              <w:t>et al</w:t>
            </w:r>
            <w:r>
              <w:rPr>
                <w:rFonts w:ascii="Helvetica" w:hAnsi="Helvetica" w:cs="Helvetica"/>
                <w:sz w:val="18"/>
                <w:szCs w:val="18"/>
              </w:rPr>
              <w:t>. 1977</w:t>
            </w:r>
            <w:r>
              <w:rPr>
                <w:rFonts w:ascii="Helvetica" w:hAnsi="Helvetica" w:cs="Helvetica"/>
                <w:bCs/>
                <w:sz w:val="18"/>
                <w:szCs w:val="18"/>
              </w:rPr>
              <w:t>) and</w:t>
            </w:r>
            <w:r>
              <w:rPr>
                <w:rFonts w:ascii="Helvetica" w:hAnsi="Helvetica" w:cs="Helvetica"/>
                <w:sz w:val="18"/>
                <w:szCs w:val="18"/>
              </w:rPr>
              <w:t xml:space="preserve"> it can spread naturally in infected propagative material. Therefore, </w:t>
            </w:r>
            <w:r>
              <w:rPr>
                <w:rFonts w:ascii="Helvetica" w:hAnsi="Helvetica" w:cs="Helvetica"/>
                <w:bCs/>
                <w:sz w:val="18"/>
                <w:szCs w:val="18"/>
              </w:rPr>
              <w:t xml:space="preserve">SoMV grape infecting strain </w:t>
            </w:r>
            <w:r>
              <w:rPr>
                <w:rFonts w:ascii="Helvetica" w:hAnsi="Helvetica" w:cs="Helvetica"/>
                <w:sz w:val="18"/>
                <w:szCs w:val="18"/>
              </w:rPr>
              <w:t>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sz w:val="18"/>
                <w:szCs w:val="18"/>
              </w:rPr>
              <w:t xml:space="preserve">Yes: </w:t>
            </w:r>
            <w:r>
              <w:rPr>
                <w:rFonts w:ascii="Helvetica" w:hAnsi="Helvetica" w:cs="Helvetica"/>
                <w:sz w:val="18"/>
                <w:szCs w:val="18"/>
              </w:rPr>
              <w:t xml:space="preserve">Information on the economic consequences of this virus is almost non-existent. </w:t>
            </w:r>
            <w:r>
              <w:rPr>
                <w:rFonts w:ascii="Helvetica" w:hAnsi="Helvetica" w:cs="Helvetica"/>
                <w:iCs/>
                <w:sz w:val="18"/>
                <w:szCs w:val="18"/>
              </w:rPr>
              <w:t xml:space="preserve">However, </w:t>
            </w:r>
            <w:r>
              <w:rPr>
                <w:rFonts w:ascii="Helvetica" w:hAnsi="Helvetica" w:cs="Helvetica"/>
                <w:bCs/>
                <w:sz w:val="18"/>
                <w:szCs w:val="18"/>
              </w:rPr>
              <w:t xml:space="preserve">SoMV </w:t>
            </w:r>
            <w:r>
              <w:rPr>
                <w:rFonts w:ascii="Helvetica" w:hAnsi="Helvetica" w:cs="Helvetica"/>
                <w:sz w:val="18"/>
                <w:szCs w:val="18"/>
              </w:rPr>
              <w:t xml:space="preserve">grape infecting strain is considered of quarantine significance by some trading partners. Presence of </w:t>
            </w:r>
            <w:r>
              <w:rPr>
                <w:rFonts w:ascii="Helvetica" w:hAnsi="Helvetica" w:cs="Helvetica"/>
                <w:bCs/>
                <w:sz w:val="18"/>
                <w:szCs w:val="18"/>
              </w:rPr>
              <w:t>SoMV</w:t>
            </w:r>
            <w:r>
              <w:rPr>
                <w:rFonts w:ascii="Helvetica" w:hAnsi="Helvetica" w:cs="Helvetica"/>
                <w:sz w:val="18"/>
                <w:szCs w:val="18"/>
              </w:rPr>
              <w:t xml:space="preserve"> grape infecting strain in Australia would impact upon Australia’s ability to access overseas markets. Therefore, </w:t>
            </w:r>
            <w:r>
              <w:rPr>
                <w:rFonts w:ascii="Helvetica" w:hAnsi="Helvetica" w:cs="Helvetica"/>
                <w:bCs/>
                <w:sz w:val="18"/>
                <w:szCs w:val="18"/>
              </w:rPr>
              <w:t xml:space="preserve">SoMV </w:t>
            </w:r>
            <w:r>
              <w:rPr>
                <w:rFonts w:ascii="Helvetica" w:hAnsi="Helvetica" w:cs="Helvetica"/>
                <w:sz w:val="18"/>
                <w:szCs w:val="18"/>
              </w:rPr>
              <w:t>grape infecting strain has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bCs/>
                <w:sz w:val="18"/>
                <w:szCs w:val="18"/>
              </w:rPr>
            </w:pPr>
            <w:r>
              <w:rPr>
                <w:rFonts w:ascii="Helvetica" w:hAnsi="Helvetica" w:cs="Helvetica"/>
                <w:b/>
                <w:bCs/>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Strawberry latent ringspot virus</w:t>
            </w:r>
            <w:r>
              <w:rPr>
                <w:rFonts w:ascii="Helvetica" w:hAnsi="Helvetica" w:cs="Helvetica"/>
                <w:sz w:val="18"/>
                <w:szCs w:val="18"/>
              </w:rPr>
              <w:t xml:space="preserve"> (SLRSV) [Comoviridae: Unassigned]</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Not known to occur</w:t>
            </w:r>
            <w:r>
              <w:rPr>
                <w:rStyle w:val="FootnoteReference"/>
                <w:rFonts w:ascii="Helvetica" w:hAnsi="Helvetica" w:cs="Helvetica"/>
                <w:szCs w:val="18"/>
              </w:rPr>
              <w:footnoteReference w:id="38"/>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SLRSV is associated with symptoms similar to those of fanleaf degeneration (Martelli and Walter 1993 Constable </w:t>
            </w:r>
            <w:r>
              <w:rPr>
                <w:rFonts w:ascii="Helvetica" w:hAnsi="Helvetica" w:cs="Helvetica"/>
                <w:bCs/>
                <w:i/>
                <w:sz w:val="18"/>
                <w:szCs w:val="18"/>
              </w:rPr>
              <w:t>et al</w:t>
            </w:r>
            <w:r>
              <w:rPr>
                <w:rFonts w:ascii="Helvetica" w:hAnsi="Helvetica" w:cs="Helvetica"/>
                <w:bCs/>
                <w:sz w:val="18"/>
                <w:szCs w:val="18"/>
              </w:rPr>
              <w:t xml:space="preserve">. 2010; Oliver and Fuchs 2011). SLRSV infections are generally latent, but SLRSV may induce leaf deformity, chlorotic mottling on leaf, leaf roll symptoms, reddish discoloration of the tip of the spring shoots and reduced or stunted growth (Savino </w:t>
            </w:r>
            <w:r>
              <w:rPr>
                <w:rFonts w:ascii="Helvetica" w:hAnsi="Helvetica" w:cs="Helvetica"/>
                <w:bCs/>
                <w:i/>
                <w:sz w:val="18"/>
                <w:szCs w:val="18"/>
              </w:rPr>
              <w:t>et al</w:t>
            </w:r>
            <w:r>
              <w:rPr>
                <w:rFonts w:ascii="Helvetica" w:hAnsi="Helvetica" w:cs="Helvetica"/>
                <w:bCs/>
                <w:sz w:val="18"/>
                <w:szCs w:val="18"/>
              </w:rPr>
              <w:t>. 1987; Martelli and Walter 1993). Therefore, p</w:t>
            </w:r>
            <w:r>
              <w:rPr>
                <w:rFonts w:ascii="Helvetica" w:hAnsi="Helvetica" w:cs="Helvetica"/>
                <w:sz w:val="18"/>
                <w:szCs w:val="18"/>
              </w:rPr>
              <w:t xml:space="preserve">ropagative material provides a pathway for </w:t>
            </w:r>
            <w:r>
              <w:rPr>
                <w:rFonts w:ascii="Helvetica" w:hAnsi="Helvetica" w:cs="Helvetica"/>
                <w:bCs/>
                <w:sz w:val="18"/>
                <w:szCs w:val="18"/>
              </w:rPr>
              <w:t>SLRSV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SLRSV has established in areas with a wide range of climatic conditions (Murant 1983; EPPO 2010a) and it can spread naturally in infected propagative material (Savino </w:t>
            </w:r>
            <w:r>
              <w:rPr>
                <w:rFonts w:ascii="Helvetica" w:hAnsi="Helvetica" w:cs="Helvetica"/>
                <w:i/>
                <w:sz w:val="18"/>
                <w:szCs w:val="18"/>
              </w:rPr>
              <w:t>et al</w:t>
            </w:r>
            <w:r>
              <w:rPr>
                <w:rFonts w:ascii="Helvetica" w:hAnsi="Helvetica" w:cs="Helvetica"/>
                <w:sz w:val="18"/>
                <w:szCs w:val="18"/>
              </w:rPr>
              <w:t xml:space="preserve">. 1987; Holleinova </w:t>
            </w:r>
            <w:r>
              <w:rPr>
                <w:rFonts w:ascii="Helvetica" w:hAnsi="Helvetica" w:cs="Helvetica"/>
                <w:i/>
                <w:sz w:val="18"/>
                <w:szCs w:val="18"/>
              </w:rPr>
              <w:t>et al</w:t>
            </w:r>
            <w:r>
              <w:rPr>
                <w:rFonts w:ascii="Helvetica" w:hAnsi="Helvetica" w:cs="Helvetica"/>
                <w:sz w:val="18"/>
                <w:szCs w:val="18"/>
              </w:rPr>
              <w:t>. 2009). The symptomless nature of this virus may contribute to the inadvertent propagation and distribution of infected material that will help spread SLRSV within Australia. Therefore, SLRSV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SLRSV is an economically important virus due to its extensive host range and the yield losses it can cause (Tzanetakis </w:t>
            </w:r>
            <w:r>
              <w:rPr>
                <w:rFonts w:ascii="Helvetica" w:hAnsi="Helvetica" w:cs="Helvetica"/>
                <w:i/>
                <w:sz w:val="18"/>
                <w:szCs w:val="18"/>
              </w:rPr>
              <w:t>et al</w:t>
            </w:r>
            <w:r>
              <w:rPr>
                <w:rFonts w:ascii="Helvetica" w:hAnsi="Helvetica" w:cs="Helvetica"/>
                <w:sz w:val="18"/>
                <w:szCs w:val="18"/>
              </w:rPr>
              <w:t xml:space="preserve">. 2006). SLRSV occurrence varies from 3% to 18% in grapevines (Akbas and Erdiller 1993; Komínek 2008; Holleinovà </w:t>
            </w:r>
            <w:r>
              <w:rPr>
                <w:rFonts w:ascii="Helvetica" w:hAnsi="Helvetica" w:cs="Helvetica"/>
                <w:i/>
                <w:sz w:val="18"/>
                <w:szCs w:val="18"/>
              </w:rPr>
              <w:t>et al</w:t>
            </w:r>
            <w:r>
              <w:rPr>
                <w:rFonts w:ascii="Helvetica" w:hAnsi="Helvetica" w:cs="Helvetica"/>
                <w:sz w:val="18"/>
                <w:szCs w:val="18"/>
              </w:rPr>
              <w:t>. 2009). Heavy yield losses (up to 80% of the crop) are associated with SLRSV infections in grapevine (Rudel 1985; Martelli and Walter 1993). Therefore, this virus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Tobacco mosaic virus</w:t>
            </w:r>
            <w:r>
              <w:rPr>
                <w:rFonts w:ascii="Helvetica" w:hAnsi="Helvetica" w:cs="Helvetica"/>
                <w:bCs/>
                <w:sz w:val="18"/>
                <w:szCs w:val="18"/>
              </w:rPr>
              <w:t xml:space="preserve"> (TMV) [Unassigned: Tobamovirus]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sz w:val="18"/>
                <w:szCs w:val="18"/>
              </w:rPr>
              <w:t>Yes (Randles 1986)</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bCs/>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bCs/>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 xml:space="preserve">Tobacco necrosis virus </w:t>
            </w:r>
            <w:r>
              <w:rPr>
                <w:rFonts w:ascii="Helvetica" w:hAnsi="Helvetica" w:cs="Helvetica"/>
                <w:sz w:val="18"/>
                <w:szCs w:val="18"/>
              </w:rPr>
              <w:t>(TNV) grape strain [Tombusviridae: Necrovirus]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Cs/>
                <w:sz w:val="18"/>
                <w:szCs w:val="18"/>
              </w:rPr>
              <w:t>Not known to occur</w:t>
            </w:r>
            <w:r>
              <w:rPr>
                <w:rStyle w:val="FootnoteReference"/>
                <w:rFonts w:ascii="Helvetica" w:hAnsi="Helvetica" w:cs="Helvetica"/>
                <w:bCs/>
                <w:szCs w:val="18"/>
              </w:rPr>
              <w:footnoteReference w:id="39"/>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TNV grape strain causes yellowing and mottling on grapevine leaves (Cesati and Van Regenmortel 1969) and infections are systemic (Cesati and Van Regenmortel 1969). Therefore, p</w:t>
            </w:r>
            <w:r>
              <w:rPr>
                <w:rFonts w:ascii="Helvetica" w:hAnsi="Helvetica" w:cs="Helvetica"/>
                <w:sz w:val="18"/>
                <w:szCs w:val="18"/>
              </w:rPr>
              <w:t xml:space="preserve">ropagative material provides a pathway for </w:t>
            </w:r>
            <w:r>
              <w:rPr>
                <w:rFonts w:ascii="Helvetica" w:hAnsi="Helvetica" w:cs="Helvetica"/>
                <w:bCs/>
                <w:sz w:val="18"/>
                <w:szCs w:val="18"/>
              </w:rPr>
              <w:t>TNV grape strain</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w:t>
            </w:r>
            <w:r>
              <w:rPr>
                <w:rFonts w:ascii="Helvetica" w:hAnsi="Helvetica" w:cs="Helvetica"/>
                <w:bCs/>
                <w:sz w:val="18"/>
                <w:szCs w:val="18"/>
              </w:rPr>
              <w:t xml:space="preserve">TNV grape strain </w:t>
            </w:r>
            <w:r>
              <w:rPr>
                <w:rFonts w:ascii="Helvetica" w:hAnsi="Helvetica" w:cs="Helvetica"/>
                <w:sz w:val="18"/>
                <w:szCs w:val="18"/>
              </w:rPr>
              <w:t>has established in areas with a wide range of climatic conditions (</w:t>
            </w:r>
            <w:r>
              <w:rPr>
                <w:rFonts w:ascii="Helvetica" w:hAnsi="Helvetica" w:cs="Helvetica"/>
                <w:bCs/>
                <w:sz w:val="18"/>
                <w:szCs w:val="18"/>
              </w:rPr>
              <w:t>Cesati and Van Regenmortel 1969</w:t>
            </w:r>
            <w:r>
              <w:rPr>
                <w:rFonts w:ascii="Helvetica" w:hAnsi="Helvetica" w:cs="Helvetica"/>
                <w:sz w:val="18"/>
                <w:szCs w:val="18"/>
              </w:rPr>
              <w:t>) and it is graft transmissible (</w:t>
            </w:r>
            <w:r>
              <w:rPr>
                <w:rFonts w:ascii="Helvetica" w:hAnsi="Helvetica" w:cs="Helvetica"/>
                <w:bCs/>
                <w:sz w:val="18"/>
                <w:szCs w:val="18"/>
              </w:rPr>
              <w:t>Cesati and Van Regenmortel 1969</w:t>
            </w:r>
            <w:r>
              <w:rPr>
                <w:rFonts w:ascii="Helvetica" w:hAnsi="Helvetica" w:cs="Helvetica"/>
                <w:sz w:val="18"/>
                <w:szCs w:val="18"/>
              </w:rPr>
              <w:t>). Propagation and distribution of infected material, and the presence of efficient vectors (</w:t>
            </w:r>
            <w:r>
              <w:rPr>
                <w:rFonts w:ascii="Helvetica" w:hAnsi="Helvetica" w:cs="Helvetica"/>
                <w:i/>
                <w:sz w:val="18"/>
                <w:szCs w:val="18"/>
              </w:rPr>
              <w:t xml:space="preserve">Olpidium </w:t>
            </w:r>
            <w:r>
              <w:rPr>
                <w:rFonts w:ascii="Helvetica" w:hAnsi="Helvetica" w:cs="Helvetica"/>
                <w:sz w:val="18"/>
                <w:szCs w:val="18"/>
              </w:rPr>
              <w:t xml:space="preserve">species), will help spread </w:t>
            </w:r>
            <w:r>
              <w:rPr>
                <w:rFonts w:ascii="Helvetica" w:hAnsi="Helvetica" w:cs="Helvetica"/>
                <w:bCs/>
                <w:sz w:val="18"/>
                <w:szCs w:val="18"/>
              </w:rPr>
              <w:t xml:space="preserve">TNV grape strain </w:t>
            </w:r>
            <w:r>
              <w:rPr>
                <w:rFonts w:ascii="Helvetica" w:hAnsi="Helvetica" w:cs="Helvetica"/>
                <w:sz w:val="18"/>
                <w:szCs w:val="18"/>
              </w:rPr>
              <w:t xml:space="preserve">within Australia. Therefore, </w:t>
            </w:r>
            <w:r>
              <w:rPr>
                <w:rFonts w:ascii="Helvetica" w:hAnsi="Helvetica" w:cs="Helvetica"/>
                <w:bCs/>
                <w:sz w:val="18"/>
                <w:szCs w:val="18"/>
              </w:rPr>
              <w:t>TNV grape strain</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Yes:</w:t>
            </w:r>
            <w:r>
              <w:rPr>
                <w:rFonts w:ascii="Helvetica" w:hAnsi="Helvetica" w:cs="Helvetica"/>
                <w:sz w:val="18"/>
                <w:szCs w:val="18"/>
              </w:rPr>
              <w:t xml:space="preserve"> Information on the economic consequences of this virus on grapevines is almost non-existent. </w:t>
            </w:r>
            <w:r>
              <w:rPr>
                <w:rFonts w:ascii="Helvetica" w:hAnsi="Helvetica" w:cs="Helvetica"/>
                <w:iCs/>
                <w:sz w:val="18"/>
                <w:szCs w:val="18"/>
              </w:rPr>
              <w:t xml:space="preserve">However, in other hosts TNVs cause significant yield losses. </w:t>
            </w:r>
            <w:r>
              <w:rPr>
                <w:rFonts w:ascii="Helvetica" w:hAnsi="Helvetica" w:cs="Helvetica"/>
                <w:sz w:val="18"/>
                <w:szCs w:val="18"/>
              </w:rPr>
              <w:t>In strawberry in the Czech Republic, TNV has caused dwarfing and leaf and root necrosis (Martin and Tzanetakis 2006). Losses as high as 50% have been recorded in tulips and glasshouse grown cucumbers (CABI 2012a). Therefore, this virus has the potential for economic consequences in Australia.</w:t>
            </w:r>
          </w:p>
        </w:tc>
        <w:tc>
          <w:tcPr>
            <w:tcW w:w="1200" w:type="dxa"/>
            <w:tcBorders>
              <w:top w:val="single" w:sz="4" w:space="0" w:color="auto"/>
              <w:left w:val="single" w:sz="4" w:space="0" w:color="auto"/>
              <w:bottom w:val="single" w:sz="4" w:space="0" w:color="auto"/>
              <w:right w:val="single" w:sz="12" w:space="0" w:color="008000"/>
            </w:tcBorders>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i/>
                <w:sz w:val="18"/>
                <w:szCs w:val="18"/>
              </w:rPr>
              <w:t>Tobacco ringspot virus</w:t>
            </w:r>
            <w:r>
              <w:rPr>
                <w:rFonts w:ascii="Helvetica" w:hAnsi="Helvetica" w:cs="Helvetica"/>
                <w:sz w:val="18"/>
                <w:szCs w:val="18"/>
              </w:rPr>
              <w:t xml:space="preserve"> (TRSV) [Secoviridae:</w:t>
            </w:r>
            <w:r>
              <w:rPr>
                <w:rFonts w:ascii="Helvetica" w:hAnsi="Helvetica" w:cs="Helvetica"/>
                <w:bCs/>
                <w:sz w:val="18"/>
                <w:szCs w:val="18"/>
              </w:rPr>
              <w:t xml:space="preserve"> Nepovirus</w:t>
            </w:r>
            <w:r>
              <w:rPr>
                <w:rFonts w:ascii="Helvetica" w:hAnsi="Helvetica" w:cs="Helvetica"/>
                <w:sz w:val="18"/>
                <w:szCs w:val="18"/>
              </w:rPr>
              <w:t>]</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lang w:val="de-DE"/>
              </w:rPr>
            </w:pPr>
            <w:r>
              <w:rPr>
                <w:rFonts w:ascii="Helvetica" w:hAnsi="Helvetica" w:cs="Helvetica"/>
                <w:sz w:val="18"/>
                <w:szCs w:val="18"/>
                <w:lang w:val="de-DE"/>
              </w:rPr>
              <w:t>Yes (Randles 1986)</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Tomato black ring virus</w:t>
            </w:r>
            <w:r>
              <w:rPr>
                <w:rFonts w:ascii="Helvetica" w:hAnsi="Helvetica" w:cs="Helvetica"/>
                <w:bCs/>
                <w:sz w:val="18"/>
                <w:szCs w:val="18"/>
              </w:rPr>
              <w:t xml:space="preserve"> (TBRV)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bCs/>
                <w:sz w:val="18"/>
                <w:szCs w:val="18"/>
              </w:rPr>
            </w:pPr>
            <w:r>
              <w:rPr>
                <w:rFonts w:ascii="Helvetica" w:hAnsi="Helvetica" w:cs="Helvetica"/>
                <w:bCs/>
                <w:sz w:val="18"/>
                <w:szCs w:val="18"/>
              </w:rPr>
              <w:t>Not known to occur</w:t>
            </w:r>
          </w:p>
        </w:tc>
        <w:tc>
          <w:tcPr>
            <w:tcW w:w="2640" w:type="dxa"/>
            <w:tcBorders>
              <w:top w:val="single" w:sz="4" w:space="0" w:color="auto"/>
              <w:left w:val="single" w:sz="4" w:space="0" w:color="auto"/>
              <w:bottom w:val="single" w:sz="4" w:space="0" w:color="auto"/>
              <w:right w:val="single" w:sz="4" w:space="0" w:color="auto"/>
            </w:tcBorders>
          </w:tcPr>
          <w:p>
            <w:pPr>
              <w:keepNext/>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TBRV naturally infects grapevines and produces chlorotic spots, rings and lines on newly infected vines, and mottling of the older leaves (Stobbs and van Schagen 1984; Walker 2006). TBRV is seed-borne in grapevines (Martelli 1978). Viruses, as a rule, infect host plants systemically and all plant parts, including parts used for vegetative propagation, are infected (Bos 1999). Therefore, p</w:t>
            </w:r>
            <w:r>
              <w:rPr>
                <w:rFonts w:ascii="Helvetica" w:hAnsi="Helvetica" w:cs="Helvetica"/>
                <w:sz w:val="18"/>
                <w:szCs w:val="18"/>
              </w:rPr>
              <w:t xml:space="preserve">ropagative material provides a pathway for </w:t>
            </w:r>
            <w:r>
              <w:rPr>
                <w:rFonts w:ascii="Helvetica" w:hAnsi="Helvetica" w:cs="Helvetica"/>
                <w:bCs/>
                <w:sz w:val="18"/>
                <w:szCs w:val="18"/>
              </w:rPr>
              <w:t>TBRV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pPr>
              <w:keepNext/>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 xml:space="preserve">TBRV </w:t>
            </w:r>
            <w:r>
              <w:rPr>
                <w:rFonts w:ascii="Helvetica" w:hAnsi="Helvetica" w:cs="Helvetica"/>
                <w:sz w:val="18"/>
                <w:szCs w:val="18"/>
              </w:rPr>
              <w:t xml:space="preserve">has established in areas with a wide range of climatic conditions (Harper </w:t>
            </w:r>
            <w:r>
              <w:rPr>
                <w:rFonts w:ascii="Helvetica" w:hAnsi="Helvetica" w:cs="Helvetica"/>
                <w:i/>
                <w:sz w:val="18"/>
                <w:szCs w:val="18"/>
              </w:rPr>
              <w:t>et al</w:t>
            </w:r>
            <w:r>
              <w:rPr>
                <w:rFonts w:ascii="Helvetica" w:hAnsi="Helvetica" w:cs="Helvetica"/>
                <w:sz w:val="18"/>
                <w:szCs w:val="18"/>
              </w:rPr>
              <w:t xml:space="preserve">. 2010) and it can spread naturally in infected propagative material. Multiplication and distribution of infected propagative material, and the presence of its nematode vectors in Australia (Stirling </w:t>
            </w:r>
            <w:r>
              <w:rPr>
                <w:rFonts w:ascii="Helvetica" w:hAnsi="Helvetica" w:cs="Helvetica"/>
                <w:i/>
                <w:sz w:val="18"/>
                <w:szCs w:val="18"/>
              </w:rPr>
              <w:t>et al</w:t>
            </w:r>
            <w:r>
              <w:rPr>
                <w:rFonts w:ascii="Helvetica" w:hAnsi="Helvetica" w:cs="Helvetica"/>
                <w:sz w:val="18"/>
                <w:szCs w:val="18"/>
              </w:rPr>
              <w:t xml:space="preserve">. 1992), will help spread </w:t>
            </w:r>
            <w:r>
              <w:rPr>
                <w:rFonts w:ascii="Helvetica" w:hAnsi="Helvetica" w:cs="Helvetica"/>
                <w:bCs/>
                <w:sz w:val="18"/>
                <w:szCs w:val="18"/>
              </w:rPr>
              <w:t>TBRV</w:t>
            </w:r>
            <w:r>
              <w:rPr>
                <w:rFonts w:ascii="Helvetica" w:hAnsi="Helvetica" w:cs="Helvetica"/>
                <w:sz w:val="18"/>
                <w:szCs w:val="18"/>
              </w:rPr>
              <w:t xml:space="preserve"> within Australia. Therefore, </w:t>
            </w:r>
            <w:r>
              <w:rPr>
                <w:rFonts w:ascii="Helvetica" w:hAnsi="Helvetica" w:cs="Helvetica"/>
                <w:bCs/>
                <w:sz w:val="18"/>
                <w:szCs w:val="18"/>
              </w:rPr>
              <w:t>TBRV h</w:t>
            </w:r>
            <w:r>
              <w:rPr>
                <w:rFonts w:ascii="Helvetica" w:hAnsi="Helvetica" w:cs="Helvetica"/>
                <w:sz w:val="18"/>
                <w:szCs w:val="18"/>
              </w:rPr>
              <w:t>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FFFFF"/>
          </w:tcPr>
          <w:p>
            <w:pPr>
              <w:keepNext/>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Production losses caused by TBRV in grapevine are not known precisely, but they can be high (Uyemoto </w:t>
            </w:r>
            <w:r>
              <w:rPr>
                <w:rFonts w:ascii="Helvetica" w:hAnsi="Helvetica" w:cs="Helvetica"/>
                <w:bCs/>
                <w:i/>
                <w:sz w:val="18"/>
                <w:szCs w:val="18"/>
              </w:rPr>
              <w:t>et al</w:t>
            </w:r>
            <w:r>
              <w:rPr>
                <w:rFonts w:ascii="Helvetica" w:hAnsi="Helvetica" w:cs="Helvetica"/>
                <w:bCs/>
                <w:sz w:val="18"/>
                <w:szCs w:val="18"/>
              </w:rPr>
              <w:t>. 2009).</w:t>
            </w:r>
            <w:r>
              <w:rPr>
                <w:rFonts w:ascii="Helvetica" w:hAnsi="Helvetica" w:cs="Helvetica"/>
                <w:sz w:val="18"/>
                <w:szCs w:val="18"/>
              </w:rPr>
              <w:t xml:space="preserve"> </w:t>
            </w:r>
            <w:r>
              <w:rPr>
                <w:rFonts w:ascii="Helvetica" w:hAnsi="Helvetica" w:cs="Helvetica"/>
                <w:bCs/>
                <w:sz w:val="18"/>
                <w:szCs w:val="18"/>
              </w:rPr>
              <w:t>Vines infected with TBSV are generally stunted with older leaves showing mottling, yellowing of leaf margins, vein bunching, leaf deformation, and small, poorly set berries (Stobbs and van Schagen 1984).</w:t>
            </w:r>
            <w:r>
              <w:rPr>
                <w:rFonts w:ascii="Helvetica" w:hAnsi="Helvetica" w:cs="Helvetica"/>
                <w:iCs/>
                <w:sz w:val="18"/>
                <w:szCs w:val="18"/>
              </w:rPr>
              <w:t xml:space="preserve"> </w:t>
            </w:r>
            <w:r>
              <w:rPr>
                <w:rFonts w:ascii="Helvetica" w:hAnsi="Helvetica" w:cs="Helvetica"/>
                <w:bCs/>
                <w:sz w:val="18"/>
                <w:szCs w:val="18"/>
              </w:rPr>
              <w:t xml:space="preserve">This may reduce yield and fruit quality. Yield losses of up to 20% in raspberry (Taylor </w:t>
            </w:r>
            <w:r>
              <w:rPr>
                <w:rFonts w:ascii="Helvetica" w:hAnsi="Helvetica" w:cs="Helvetica"/>
                <w:bCs/>
                <w:i/>
                <w:sz w:val="18"/>
                <w:szCs w:val="18"/>
              </w:rPr>
              <w:t>et al</w:t>
            </w:r>
            <w:r>
              <w:rPr>
                <w:rFonts w:ascii="Helvetica" w:hAnsi="Helvetica" w:cs="Helvetica"/>
                <w:bCs/>
                <w:sz w:val="18"/>
                <w:szCs w:val="18"/>
              </w:rPr>
              <w:t>. 1965) and up to 40% on artichoke (</w:t>
            </w:r>
            <w:r>
              <w:rPr>
                <w:rFonts w:ascii="Helvetica" w:hAnsi="Helvetica" w:cs="Helvetica"/>
                <w:sz w:val="18"/>
                <w:szCs w:val="18"/>
              </w:rPr>
              <w:t xml:space="preserve">Harper </w:t>
            </w:r>
            <w:r>
              <w:rPr>
                <w:rFonts w:ascii="Helvetica" w:hAnsi="Helvetica" w:cs="Helvetica"/>
                <w:i/>
                <w:sz w:val="18"/>
                <w:szCs w:val="18"/>
              </w:rPr>
              <w:t>et al</w:t>
            </w:r>
            <w:r>
              <w:rPr>
                <w:rFonts w:ascii="Helvetica" w:hAnsi="Helvetica" w:cs="Helvetica"/>
                <w:sz w:val="18"/>
                <w:szCs w:val="18"/>
              </w:rPr>
              <w:t xml:space="preserve">. 2010) have been reported due to TBRV. </w:t>
            </w:r>
            <w:r>
              <w:rPr>
                <w:rFonts w:ascii="Helvetica" w:hAnsi="Helvetica" w:cs="Helvetica"/>
                <w:bCs/>
                <w:sz w:val="18"/>
                <w:szCs w:val="18"/>
              </w:rPr>
              <w:t>TBRV is of quarantine significance for NAPPO and New Zealand (</w:t>
            </w:r>
            <w:r>
              <w:rPr>
                <w:rFonts w:ascii="Helvetica" w:hAnsi="Helvetica" w:cs="Helvetica"/>
                <w:sz w:val="18"/>
                <w:szCs w:val="18"/>
              </w:rPr>
              <w:t xml:space="preserve">Harper </w:t>
            </w:r>
            <w:r>
              <w:rPr>
                <w:rFonts w:ascii="Helvetica" w:hAnsi="Helvetica" w:cs="Helvetica"/>
                <w:i/>
                <w:sz w:val="18"/>
                <w:szCs w:val="18"/>
              </w:rPr>
              <w:t>et al</w:t>
            </w:r>
            <w:r>
              <w:rPr>
                <w:rFonts w:ascii="Helvetica" w:hAnsi="Helvetica" w:cs="Helvetica"/>
                <w:sz w:val="18"/>
                <w:szCs w:val="18"/>
              </w:rPr>
              <w:t xml:space="preserve">. 2010). Therefore, </w:t>
            </w:r>
            <w:r>
              <w:rPr>
                <w:rFonts w:ascii="Helvetica" w:hAnsi="Helvetica" w:cs="Helvetica"/>
                <w:bCs/>
                <w:sz w:val="18"/>
                <w:szCs w:val="18"/>
              </w:rPr>
              <w:t>TBRV</w:t>
            </w:r>
            <w:r>
              <w:rPr>
                <w:rFonts w:ascii="Helvetica" w:hAnsi="Helvetica" w:cs="Helvetica"/>
                <w:sz w:val="18"/>
                <w:szCs w:val="18"/>
              </w:rPr>
              <w:t xml:space="preserve">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keepNext/>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Tomato mosaic virus</w:t>
            </w:r>
            <w:r>
              <w:rPr>
                <w:rFonts w:ascii="Helvetica" w:hAnsi="Helvetica" w:cs="Helvetica"/>
                <w:bCs/>
                <w:sz w:val="18"/>
                <w:szCs w:val="18"/>
              </w:rPr>
              <w:t xml:space="preserve"> (ToMV) [Unassigned: Tobamovirus]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iCs/>
                <w:sz w:val="18"/>
                <w:szCs w:val="18"/>
              </w:rPr>
            </w:pPr>
            <w:r>
              <w:rPr>
                <w:rFonts w:ascii="Helvetica" w:hAnsi="Helvetica" w:cs="Helvetica"/>
                <w:sz w:val="18"/>
                <w:szCs w:val="18"/>
              </w:rPr>
              <w:t>Yes (PHA 2001)</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bCs/>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bCs/>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bCs/>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 xml:space="preserve">Tomato ringspot virus </w:t>
            </w:r>
            <w:r>
              <w:rPr>
                <w:rFonts w:ascii="Helvetica" w:hAnsi="Helvetica" w:cs="Helvetica"/>
                <w:bCs/>
                <w:sz w:val="18"/>
                <w:szCs w:val="18"/>
              </w:rPr>
              <w:t>(ToRSV) [</w:t>
            </w:r>
            <w:r>
              <w:rPr>
                <w:rFonts w:ascii="Helvetica" w:hAnsi="Helvetica" w:cs="Helvetica"/>
                <w:sz w:val="18"/>
                <w:szCs w:val="18"/>
              </w:rPr>
              <w:t>Secoviridae:</w:t>
            </w:r>
            <w:r>
              <w:rPr>
                <w:rFonts w:ascii="Helvetica" w:hAnsi="Helvetica" w:cs="Helvetica"/>
                <w:bCs/>
                <w:sz w:val="18"/>
                <w:szCs w:val="18"/>
              </w:rPr>
              <w:t xml:space="preserve"> Nepovirus]</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sz w:val="18"/>
                <w:szCs w:val="18"/>
              </w:rPr>
              <w:t>Not known to occur</w:t>
            </w:r>
            <w:r>
              <w:rPr>
                <w:rStyle w:val="FootnoteReference"/>
                <w:rFonts w:ascii="Helvetica" w:hAnsi="Helvetica" w:cs="Helvetica"/>
                <w:bCs/>
                <w:szCs w:val="18"/>
              </w:rPr>
              <w:footnoteReference w:id="40"/>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xml:space="preserve">: ToRSV naturally infects grapevines causing faint chlorotic mottling, small, distorted leaves, irregular, ringlike line patterns on leaves and shortened internodes (Uyemoto </w:t>
            </w:r>
            <w:r>
              <w:rPr>
                <w:rFonts w:ascii="Helvetica" w:hAnsi="Helvetica" w:cs="Helvetica"/>
                <w:bCs/>
                <w:i/>
                <w:sz w:val="18"/>
                <w:szCs w:val="18"/>
              </w:rPr>
              <w:t>et al</w:t>
            </w:r>
            <w:r>
              <w:rPr>
                <w:rFonts w:ascii="Helvetica" w:hAnsi="Helvetica" w:cs="Helvetica"/>
                <w:bCs/>
                <w:sz w:val="18"/>
                <w:szCs w:val="18"/>
              </w:rPr>
              <w:t>. 2009; Schilder 2011). ToRSV is seed-transmitted in grapes (Uyemoto 1975). Viruses, as a rule, infect host plants systemically and all plant parts, including parts used for vegetative propagation, are infected (Bos 1999). Therefore, p</w:t>
            </w:r>
            <w:r>
              <w:rPr>
                <w:rFonts w:ascii="Helvetica" w:hAnsi="Helvetica" w:cs="Helvetica"/>
                <w:sz w:val="18"/>
                <w:szCs w:val="18"/>
              </w:rPr>
              <w:t xml:space="preserve">ropagative material provides a pathway for </w:t>
            </w:r>
            <w:r>
              <w:rPr>
                <w:rFonts w:ascii="Helvetica" w:hAnsi="Helvetica" w:cs="Helvetica"/>
                <w:bCs/>
                <w:sz w:val="18"/>
                <w:szCs w:val="18"/>
              </w:rPr>
              <w:t>ToRSV</w:t>
            </w:r>
            <w:r>
              <w:rPr>
                <w:rFonts w:ascii="Helvetica" w:hAnsi="Helvetica" w:cs="Helvetica"/>
                <w:sz w:val="18"/>
                <w:szCs w:val="18"/>
              </w:rPr>
              <w:t>.</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b/>
                <w:sz w:val="18"/>
                <w:szCs w:val="18"/>
              </w:rPr>
              <w:t xml:space="preserve">Yes: </w:t>
            </w:r>
            <w:r>
              <w:rPr>
                <w:rFonts w:ascii="Helvetica" w:hAnsi="Helvetica" w:cs="Helvetica"/>
                <w:bCs/>
                <w:sz w:val="18"/>
                <w:szCs w:val="18"/>
              </w:rPr>
              <w:t>ToRSV</w:t>
            </w:r>
            <w:r>
              <w:rPr>
                <w:rFonts w:ascii="Helvetica" w:hAnsi="Helvetica" w:cs="Helvetica"/>
                <w:sz w:val="18"/>
                <w:szCs w:val="18"/>
              </w:rPr>
              <w:t xml:space="preserve"> has established in areas with a wide range of climatic conditions (</w:t>
            </w:r>
            <w:r>
              <w:rPr>
                <w:rFonts w:ascii="Helvetica" w:hAnsi="Helvetica" w:cs="Helvetica"/>
                <w:bCs/>
                <w:sz w:val="18"/>
                <w:szCs w:val="18"/>
              </w:rPr>
              <w:t>EPPO 2010b</w:t>
            </w:r>
            <w:r>
              <w:rPr>
                <w:rFonts w:ascii="Helvetica" w:hAnsi="Helvetica" w:cs="Helvetica"/>
                <w:sz w:val="18"/>
                <w:szCs w:val="18"/>
              </w:rPr>
              <w:t xml:space="preserve">) and it can spread naturally in infected propagative material (Gooding and Téliv 1970; </w:t>
            </w:r>
            <w:r>
              <w:rPr>
                <w:rFonts w:ascii="Helvetica" w:hAnsi="Helvetica" w:cs="Helvetica"/>
                <w:bCs/>
                <w:sz w:val="18"/>
                <w:szCs w:val="18"/>
              </w:rPr>
              <w:t>Schilder 2011</w:t>
            </w:r>
            <w:r>
              <w:rPr>
                <w:rFonts w:ascii="Helvetica" w:hAnsi="Helvetica" w:cs="Helvetica"/>
                <w:sz w:val="18"/>
                <w:szCs w:val="18"/>
              </w:rPr>
              <w:t xml:space="preserve">). Multiplication and distribution of infected propagative material, and the presence of nematode vectors in Australia (Stirling </w:t>
            </w:r>
            <w:r>
              <w:rPr>
                <w:rFonts w:ascii="Helvetica" w:hAnsi="Helvetica" w:cs="Helvetica"/>
                <w:i/>
                <w:sz w:val="18"/>
                <w:szCs w:val="18"/>
              </w:rPr>
              <w:t>et al</w:t>
            </w:r>
            <w:r>
              <w:rPr>
                <w:rFonts w:ascii="Helvetica" w:hAnsi="Helvetica" w:cs="Helvetica"/>
                <w:sz w:val="18"/>
                <w:szCs w:val="18"/>
              </w:rPr>
              <w:t xml:space="preserve">. 1992), will help spread </w:t>
            </w:r>
            <w:r>
              <w:rPr>
                <w:rFonts w:ascii="Helvetica" w:hAnsi="Helvetica" w:cs="Helvetica"/>
                <w:bCs/>
                <w:sz w:val="18"/>
                <w:szCs w:val="18"/>
              </w:rPr>
              <w:t>ToRSV</w:t>
            </w:r>
            <w:r>
              <w:rPr>
                <w:rFonts w:ascii="Helvetica" w:hAnsi="Helvetica" w:cs="Helvetica"/>
                <w:sz w:val="18"/>
                <w:szCs w:val="18"/>
              </w:rPr>
              <w:t xml:space="preserve"> within Australia. Therefore, </w:t>
            </w:r>
            <w:r>
              <w:rPr>
                <w:rFonts w:ascii="Helvetica" w:hAnsi="Helvetica" w:cs="Helvetica"/>
                <w:bCs/>
                <w:sz w:val="18"/>
                <w:szCs w:val="18"/>
              </w:rPr>
              <w:t>ToRSV</w:t>
            </w:r>
            <w:r>
              <w:rPr>
                <w:rFonts w:ascii="Helvetica" w:hAnsi="Helvetica" w:cs="Helvetica"/>
                <w:sz w:val="18"/>
                <w:szCs w:val="18"/>
              </w:rPr>
              <w:t xml:space="preserve"> has the potential to establish and spread in Australia.</w:t>
            </w:r>
          </w:p>
        </w:tc>
        <w:tc>
          <w:tcPr>
            <w:tcW w:w="2880" w:type="dxa"/>
            <w:gridSpan w:val="2"/>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
                <w:bCs/>
                <w:sz w:val="18"/>
                <w:szCs w:val="18"/>
              </w:rPr>
              <w:t>Yes</w:t>
            </w:r>
            <w:r>
              <w:rPr>
                <w:rFonts w:ascii="Helvetica" w:hAnsi="Helvetica" w:cs="Helvetica"/>
                <w:bCs/>
                <w:sz w:val="18"/>
                <w:szCs w:val="18"/>
              </w:rPr>
              <w:t>: ToRSV is an economically important pathogen.</w:t>
            </w:r>
            <w:r>
              <w:rPr>
                <w:rFonts w:ascii="Helvetica" w:hAnsi="Helvetica" w:cs="Helvetica"/>
                <w:sz w:val="18"/>
                <w:szCs w:val="18"/>
              </w:rPr>
              <w:t xml:space="preserve"> </w:t>
            </w:r>
            <w:r>
              <w:rPr>
                <w:rFonts w:ascii="Helvetica" w:hAnsi="Helvetica" w:cs="Helvetica"/>
                <w:bCs/>
                <w:sz w:val="18"/>
                <w:szCs w:val="18"/>
              </w:rPr>
              <w:t>Vines infected with ToRSV show shortened internodes, distorted leaves and sparse fruit clusters with many berries aborting (Uyemoto 1975). Infected raspberries experience a gradual decline and up to 80% of fruiting canes may be killed in the third year of infection (EPPO 2010b). TomRSV is an A2 quarantine pest for EPPO (OEPP/EPPO 1982) and has quarantine significance for the Inter-African Phytosanitary Council (IAPSC).</w:t>
            </w:r>
            <w:r>
              <w:rPr>
                <w:rFonts w:ascii="Helvetica" w:hAnsi="Helvetica" w:cs="Helvetica"/>
                <w:sz w:val="18"/>
                <w:szCs w:val="18"/>
              </w:rPr>
              <w:t xml:space="preserve"> Therefore, </w:t>
            </w:r>
            <w:r>
              <w:rPr>
                <w:rFonts w:ascii="Helvetica" w:hAnsi="Helvetica" w:cs="Helvetica"/>
                <w:bCs/>
                <w:sz w:val="18"/>
                <w:szCs w:val="18"/>
              </w:rPr>
              <w:t>ToRSV</w:t>
            </w:r>
            <w:r>
              <w:rPr>
                <w:rFonts w:ascii="Helvetica" w:hAnsi="Helvetica" w:cs="Helvetica"/>
                <w:sz w:val="18"/>
                <w:szCs w:val="18"/>
              </w:rPr>
              <w:t xml:space="preserve"> has the potential for economic consequences in parts of Australia.</w:t>
            </w:r>
          </w:p>
        </w:tc>
        <w:tc>
          <w:tcPr>
            <w:tcW w:w="1200" w:type="dxa"/>
            <w:tcBorders>
              <w:top w:val="single" w:sz="4" w:space="0" w:color="auto"/>
              <w:left w:val="single" w:sz="4" w:space="0" w:color="auto"/>
              <w:bottom w:val="single" w:sz="4" w:space="0" w:color="auto"/>
              <w:right w:val="single" w:sz="12" w:space="0" w:color="008000"/>
            </w:tcBorders>
            <w:shd w:val="clear" w:color="auto" w:fill="auto"/>
          </w:tcPr>
          <w:p>
            <w:pPr>
              <w:spacing w:before="20" w:line="240" w:lineRule="atLeast"/>
              <w:jc w:val="center"/>
              <w:rPr>
                <w:rFonts w:ascii="Helvetica" w:hAnsi="Helvetica" w:cs="Helvetica"/>
                <w:b/>
                <w:sz w:val="18"/>
                <w:szCs w:val="18"/>
              </w:rPr>
            </w:pPr>
            <w:r>
              <w:rPr>
                <w:rFonts w:ascii="Helvetica" w:hAnsi="Helvetica" w:cs="Helvetica"/>
                <w:b/>
                <w:sz w:val="18"/>
                <w:szCs w:val="18"/>
              </w:rPr>
              <w:t>Yes</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bCs/>
                <w:i/>
                <w:sz w:val="18"/>
                <w:szCs w:val="18"/>
              </w:rPr>
              <w:t>Tomato spotted wilt virus</w:t>
            </w:r>
            <w:r>
              <w:rPr>
                <w:rFonts w:ascii="Helvetica" w:hAnsi="Helvetica" w:cs="Helvetica"/>
                <w:bCs/>
                <w:sz w:val="18"/>
                <w:szCs w:val="18"/>
              </w:rPr>
              <w:t xml:space="preserve"> (TSWV) [Bunyavidiae: Tospovirus]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bCs/>
                <w:sz w:val="18"/>
                <w:szCs w:val="18"/>
              </w:rPr>
            </w:pPr>
            <w:r>
              <w:rPr>
                <w:rFonts w:ascii="Helvetica" w:hAnsi="Helvetica" w:cs="Helvetica"/>
                <w:sz w:val="18"/>
                <w:szCs w:val="18"/>
              </w:rPr>
              <w:t xml:space="preserve">Yes (Persely </w:t>
            </w:r>
            <w:r>
              <w:rPr>
                <w:rFonts w:ascii="Helvetica" w:hAnsi="Helvetica" w:cs="Helvetica"/>
                <w:i/>
                <w:sz w:val="18"/>
                <w:szCs w:val="18"/>
              </w:rPr>
              <w:t>et al</w:t>
            </w:r>
            <w:r>
              <w:rPr>
                <w:rFonts w:ascii="Helvetica" w:hAnsi="Helvetica" w:cs="Helvetica"/>
                <w:sz w:val="18"/>
                <w:szCs w:val="18"/>
              </w:rPr>
              <w:t>. 2006)</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bCs/>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bCs/>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bCs/>
                <w:sz w:val="18"/>
                <w:szCs w:val="18"/>
              </w:rPr>
            </w:pPr>
          </w:p>
        </w:tc>
      </w:tr>
      <w:tr>
        <w:tc>
          <w:tcPr>
            <w:tcW w:w="14508" w:type="dxa"/>
            <w:gridSpan w:val="7"/>
            <w:tcBorders>
              <w:top w:val="single" w:sz="12" w:space="0" w:color="008000"/>
              <w:left w:val="single" w:sz="12" w:space="0" w:color="008000"/>
              <w:bottom w:val="single" w:sz="4" w:space="0" w:color="auto"/>
              <w:right w:val="single" w:sz="12" w:space="0" w:color="008000"/>
            </w:tcBorders>
            <w:shd w:val="clear" w:color="auto" w:fill="E6E6E6"/>
          </w:tcPr>
          <w:p>
            <w:pPr>
              <w:spacing w:before="40" w:after="40" w:line="240" w:lineRule="atLeast"/>
              <w:jc w:val="left"/>
              <w:rPr>
                <w:rFonts w:ascii="Helvetica" w:hAnsi="Helvetica" w:cs="Helvetica"/>
                <w:b/>
                <w:bCs/>
                <w:sz w:val="18"/>
                <w:szCs w:val="18"/>
              </w:rPr>
            </w:pPr>
            <w:r>
              <w:rPr>
                <w:rFonts w:ascii="Helvetica" w:hAnsi="Helvetica" w:cs="Helvetica"/>
                <w:b/>
                <w:bCs/>
                <w:sz w:val="18"/>
                <w:szCs w:val="18"/>
              </w:rPr>
              <w:t>DISEASES OF UNKNOWN AETIOLOGY</w:t>
            </w: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highlight w:val="yellow"/>
                <w:u w:val="single"/>
                <w:lang w:val="en-US"/>
              </w:rPr>
            </w:pPr>
            <w:r>
              <w:rPr>
                <w:rFonts w:ascii="Helvetica" w:hAnsi="Helvetica" w:cs="Helvetica"/>
                <w:sz w:val="18"/>
                <w:szCs w:val="18"/>
              </w:rPr>
              <w:t xml:space="preserve">Grapevine enation disease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Present (Krake </w:t>
            </w:r>
            <w:r>
              <w:rPr>
                <w:rFonts w:ascii="Helvetica" w:hAnsi="Helvetica" w:cs="Helvetica"/>
                <w:i/>
                <w:sz w:val="18"/>
                <w:szCs w:val="18"/>
              </w:rPr>
              <w:t xml:space="preserve">et al. </w:t>
            </w:r>
            <w:r>
              <w:rPr>
                <w:rFonts w:ascii="Helvetica" w:hAnsi="Helvetica" w:cs="Helvetica"/>
                <w:sz w:val="18"/>
                <w:szCs w:val="18"/>
              </w:rPr>
              <w:t>1999)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Grapevine vein mosaic</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Present (Uyemoto </w:t>
            </w:r>
            <w:r>
              <w:rPr>
                <w:rFonts w:ascii="Helvetica" w:hAnsi="Helvetica" w:cs="Helvetica"/>
                <w:i/>
                <w:sz w:val="18"/>
                <w:szCs w:val="18"/>
              </w:rPr>
              <w:t>et al</w:t>
            </w:r>
            <w:r>
              <w:rPr>
                <w:rFonts w:ascii="Helvetica" w:hAnsi="Helvetica" w:cs="Helvetica"/>
                <w:sz w:val="18"/>
                <w:szCs w:val="18"/>
              </w:rPr>
              <w:t>. 2009)</w:t>
            </w:r>
          </w:p>
        </w:tc>
        <w:tc>
          <w:tcPr>
            <w:tcW w:w="2640" w:type="dxa"/>
            <w:tcBorders>
              <w:top w:val="single" w:sz="4" w:space="0" w:color="auto"/>
              <w:left w:val="single" w:sz="4" w:space="0" w:color="auto"/>
              <w:bottom w:val="single" w:sz="4" w:space="0" w:color="auto"/>
              <w:right w:val="single" w:sz="4" w:space="0" w:color="auto"/>
            </w:tcBorders>
            <w:shd w:val="clear" w:color="auto" w:fill="auto"/>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4" w:space="0" w:color="auto"/>
              <w:right w:val="single" w:sz="4" w:space="0" w:color="auto"/>
            </w:tcBorders>
          </w:tcPr>
          <w:p>
            <w:pPr>
              <w:spacing w:before="20" w:line="240" w:lineRule="atLeast"/>
              <w:jc w:val="left"/>
              <w:rPr>
                <w:rFonts w:ascii="Helvetica" w:hAnsi="Helvetica" w:cs="Helvetica"/>
                <w:b/>
                <w:bCs/>
                <w:sz w:val="18"/>
                <w:szCs w:val="18"/>
              </w:rPr>
            </w:pPr>
            <w:r>
              <w:rPr>
                <w:rFonts w:ascii="Helvetica" w:hAnsi="Helvetica" w:cs="Helvetica"/>
                <w:sz w:val="18"/>
                <w:szCs w:val="18"/>
              </w:rPr>
              <w:t xml:space="preserve">Grapevine vein necrosis </w:t>
            </w:r>
          </w:p>
        </w:tc>
        <w:tc>
          <w:tcPr>
            <w:tcW w:w="168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Present (Woodham and Krake 1984)</w:t>
            </w:r>
          </w:p>
        </w:tc>
        <w:tc>
          <w:tcPr>
            <w:tcW w:w="2640" w:type="dxa"/>
            <w:tcBorders>
              <w:top w:val="single" w:sz="4" w:space="0" w:color="auto"/>
              <w:left w:val="single" w:sz="4" w:space="0" w:color="auto"/>
              <w:bottom w:val="single" w:sz="4" w:space="0" w:color="auto"/>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4" w:space="0" w:color="auto"/>
              <w:right w:val="single" w:sz="12" w:space="0" w:color="008000"/>
            </w:tcBorders>
            <w:shd w:val="clear" w:color="auto" w:fill="F2F2F2"/>
          </w:tcPr>
          <w:p>
            <w:pPr>
              <w:spacing w:before="20" w:line="240" w:lineRule="atLeast"/>
              <w:jc w:val="left"/>
              <w:rPr>
                <w:rFonts w:ascii="Helvetica" w:hAnsi="Helvetica" w:cs="Helvetica"/>
                <w:sz w:val="18"/>
                <w:szCs w:val="18"/>
              </w:rPr>
            </w:pPr>
          </w:p>
        </w:tc>
      </w:tr>
      <w:tr>
        <w:tc>
          <w:tcPr>
            <w:tcW w:w="3468" w:type="dxa"/>
            <w:tcBorders>
              <w:top w:val="single" w:sz="4" w:space="0" w:color="auto"/>
              <w:left w:val="single" w:sz="12" w:space="0" w:color="008000"/>
              <w:bottom w:val="single" w:sz="12" w:space="0" w:color="008000"/>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 xml:space="preserve">Summer mottle </w:t>
            </w:r>
          </w:p>
        </w:tc>
        <w:tc>
          <w:tcPr>
            <w:tcW w:w="1680" w:type="dxa"/>
            <w:tcBorders>
              <w:top w:val="single" w:sz="4" w:space="0" w:color="auto"/>
              <w:left w:val="single" w:sz="4" w:space="0" w:color="auto"/>
              <w:bottom w:val="single" w:sz="12" w:space="0" w:color="008000"/>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Present (Woodham and Krake 1984)</w:t>
            </w:r>
          </w:p>
        </w:tc>
        <w:tc>
          <w:tcPr>
            <w:tcW w:w="2640" w:type="dxa"/>
            <w:tcBorders>
              <w:top w:val="single" w:sz="4" w:space="0" w:color="auto"/>
              <w:left w:val="single" w:sz="4" w:space="0" w:color="auto"/>
              <w:bottom w:val="single" w:sz="12" w:space="0" w:color="008000"/>
              <w:right w:val="single" w:sz="4" w:space="0" w:color="auto"/>
            </w:tcBorders>
          </w:tcPr>
          <w:p>
            <w:pPr>
              <w:spacing w:before="20" w:line="240" w:lineRule="atLeast"/>
              <w:jc w:val="left"/>
              <w:rPr>
                <w:rFonts w:ascii="Helvetica" w:hAnsi="Helvetica" w:cs="Helvetica"/>
                <w:sz w:val="18"/>
                <w:szCs w:val="18"/>
              </w:rPr>
            </w:pPr>
            <w:r>
              <w:rPr>
                <w:rFonts w:ascii="Helvetica" w:hAnsi="Helvetica" w:cs="Helvetica"/>
                <w:sz w:val="18"/>
                <w:szCs w:val="18"/>
              </w:rPr>
              <w:t>Assessment not required</w:t>
            </w:r>
          </w:p>
        </w:tc>
        <w:tc>
          <w:tcPr>
            <w:tcW w:w="2640" w:type="dxa"/>
            <w:tcBorders>
              <w:top w:val="single" w:sz="4" w:space="0" w:color="auto"/>
              <w:left w:val="single" w:sz="4" w:space="0" w:color="auto"/>
              <w:bottom w:val="single" w:sz="12" w:space="0" w:color="008000"/>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2880" w:type="dxa"/>
            <w:gridSpan w:val="2"/>
            <w:tcBorders>
              <w:top w:val="single" w:sz="4" w:space="0" w:color="auto"/>
              <w:left w:val="single" w:sz="4" w:space="0" w:color="auto"/>
              <w:bottom w:val="single" w:sz="12" w:space="0" w:color="008000"/>
              <w:right w:val="single" w:sz="4" w:space="0" w:color="auto"/>
            </w:tcBorders>
            <w:shd w:val="clear" w:color="auto" w:fill="F2F2F2"/>
          </w:tcPr>
          <w:p>
            <w:pPr>
              <w:spacing w:before="20" w:line="240" w:lineRule="atLeast"/>
              <w:jc w:val="left"/>
              <w:rPr>
                <w:rFonts w:ascii="Helvetica" w:hAnsi="Helvetica" w:cs="Helvetica"/>
                <w:sz w:val="18"/>
                <w:szCs w:val="18"/>
              </w:rPr>
            </w:pPr>
          </w:p>
        </w:tc>
        <w:tc>
          <w:tcPr>
            <w:tcW w:w="1200" w:type="dxa"/>
            <w:tcBorders>
              <w:top w:val="single" w:sz="4" w:space="0" w:color="auto"/>
              <w:left w:val="single" w:sz="4" w:space="0" w:color="auto"/>
              <w:bottom w:val="single" w:sz="12" w:space="0" w:color="008000"/>
              <w:right w:val="single" w:sz="12" w:space="0" w:color="008000"/>
            </w:tcBorders>
            <w:shd w:val="clear" w:color="auto" w:fill="F2F2F2"/>
          </w:tcPr>
          <w:p>
            <w:pPr>
              <w:spacing w:before="20" w:line="240" w:lineRule="atLeast"/>
              <w:jc w:val="left"/>
              <w:rPr>
                <w:rFonts w:ascii="Helvetica" w:hAnsi="Helvetica" w:cs="Helvetica"/>
                <w:sz w:val="18"/>
                <w:szCs w:val="18"/>
              </w:rPr>
            </w:pPr>
          </w:p>
        </w:tc>
      </w:tr>
    </w:tbl>
    <w:p>
      <w:pPr>
        <w:spacing w:line="280" w:lineRule="atLeast"/>
        <w:jc w:val="left"/>
        <w:rPr>
          <w:sz w:val="18"/>
          <w:szCs w:val="18"/>
        </w:rPr>
      </w:pPr>
    </w:p>
    <w:p>
      <w:pPr>
        <w:spacing w:before="20" w:after="20" w:line="240" w:lineRule="atLeast"/>
        <w:jc w:val="left"/>
        <w:rPr>
          <w:sz w:val="18"/>
          <w:szCs w:val="18"/>
        </w:rPr>
        <w:sectPr>
          <w:headerReference w:type="even" r:id="rId118"/>
          <w:headerReference w:type="default" r:id="rId119"/>
          <w:footerReference w:type="default" r:id="rId120"/>
          <w:headerReference w:type="first" r:id="rId121"/>
          <w:footerReference w:type="first" r:id="rId122"/>
          <w:type w:val="nextColumn"/>
          <w:pgSz w:w="16838" w:h="11906" w:orient="landscape" w:code="9"/>
          <w:pgMar w:top="1412" w:right="1412" w:bottom="1412" w:left="1412" w:header="720" w:footer="720" w:gutter="0"/>
          <w:cols w:space="720"/>
          <w:titlePg/>
        </w:sectPr>
      </w:pPr>
    </w:p>
    <w:p>
      <w:pPr>
        <w:pStyle w:val="BAHeader1"/>
        <w:numPr>
          <w:ilvl w:val="0"/>
          <w:numId w:val="0"/>
        </w:numPr>
        <w:jc w:val="left"/>
      </w:pPr>
      <w:bookmarkStart w:id="117" w:name="_Toc293921856"/>
      <w:bookmarkStart w:id="118" w:name="_Toc345423531"/>
      <w:bookmarkStart w:id="119" w:name="_Toc97100633"/>
      <w:bookmarkStart w:id="120" w:name="_Toc104101976"/>
      <w:bookmarkStart w:id="121" w:name="_Toc189380611"/>
      <w:bookmarkStart w:id="122" w:name="_Toc179074065"/>
      <w:bookmarkStart w:id="123" w:name="_Toc190848198"/>
      <w:bookmarkStart w:id="124" w:name="_Toc198715087"/>
      <w:bookmarkStart w:id="125" w:name="_Toc275422538"/>
      <w:bookmarkStart w:id="126" w:name="_Toc275502609"/>
      <w:r>
        <w:t>Appendix B:</w:t>
      </w:r>
      <w:r>
        <w:tab/>
        <w:t>Additional quarantine pest data</w:t>
      </w:r>
      <w:bookmarkEnd w:id="117"/>
      <w:bookmarkEnd w:id="118"/>
    </w:p>
    <w:tbl>
      <w:tblPr>
        <w:tblW w:w="5000" w:type="pct"/>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ayout w:type="fixed"/>
        <w:tblCellMar>
          <w:left w:w="115" w:type="dxa"/>
          <w:right w:w="115" w:type="dxa"/>
        </w:tblCellMar>
        <w:tblLook w:val="01E0"/>
      </w:tblPr>
      <w:tblGrid>
        <w:gridCol w:w="1851"/>
        <w:gridCol w:w="7461"/>
      </w:tblGrid>
      <w:tr>
        <w:tc>
          <w:tcPr>
            <w:tcW w:w="9312" w:type="dxa"/>
            <w:gridSpan w:val="2"/>
            <w:shd w:val="clear" w:color="auto" w:fill="D9D9D9"/>
            <w:vAlign w:val="center"/>
          </w:tcPr>
          <w:p>
            <w:pPr>
              <w:pStyle w:val="TableText0"/>
              <w:spacing w:line="240" w:lineRule="atLeast"/>
              <w:jc w:val="left"/>
              <w:rPr>
                <w:rFonts w:ascii="Helvetica" w:hAnsi="Helvetica" w:cs="Helvetica"/>
                <w:i/>
                <w:iCs/>
                <w:szCs w:val="18"/>
              </w:rPr>
            </w:pPr>
            <w:r>
              <w:rPr>
                <w:rFonts w:ascii="Helvetica" w:hAnsi="Helvetica" w:cs="Helvetica"/>
                <w:b/>
                <w:szCs w:val="18"/>
              </w:rPr>
              <w:t>ARTHROPODS</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iCs/>
                <w:szCs w:val="18"/>
              </w:rPr>
              <w:t xml:space="preserve">Brevipalpus chilensis </w:t>
            </w:r>
            <w:r>
              <w:rPr>
                <w:rFonts w:ascii="Helvetica" w:hAnsi="Helvetica" w:cs="Helvetica"/>
                <w:iCs/>
                <w:szCs w:val="18"/>
              </w:rPr>
              <w:t>Baker</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vAlign w:val="center"/>
          </w:tcPr>
          <w:p>
            <w:pPr>
              <w:pStyle w:val="TableText0"/>
              <w:spacing w:before="40" w:after="40" w:line="240" w:lineRule="atLeast"/>
              <w:jc w:val="left"/>
              <w:rPr>
                <w:rFonts w:ascii="Helvetica" w:hAnsi="Helvetica" w:cs="Helvetica"/>
                <w:i/>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vAlign w:val="center"/>
          </w:tcPr>
          <w:p>
            <w:pPr>
              <w:pStyle w:val="TableText0"/>
              <w:spacing w:before="40" w:after="40" w:line="240" w:lineRule="atLeast"/>
              <w:jc w:val="left"/>
              <w:rPr>
                <w:rFonts w:ascii="Helvetica" w:hAnsi="Helvetica" w:cs="Helvetica"/>
                <w:iCs/>
                <w:szCs w:val="18"/>
              </w:rPr>
            </w:pPr>
            <w:r>
              <w:rPr>
                <w:rFonts w:ascii="Helvetica" w:hAnsi="Helvetica" w:cs="Helvetica"/>
                <w:szCs w:val="18"/>
              </w:rPr>
              <w:t>Chilean false red mite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vAlign w:val="center"/>
          </w:tcPr>
          <w:p>
            <w:pPr>
              <w:pStyle w:val="TableText0"/>
              <w:spacing w:before="40" w:after="40" w:line="240" w:lineRule="atLeast"/>
              <w:jc w:val="left"/>
              <w:rPr>
                <w:rFonts w:ascii="Helvetica" w:hAnsi="Helvetica" w:cs="Helvetica"/>
                <w:i/>
                <w:iCs/>
                <w:szCs w:val="18"/>
              </w:rPr>
            </w:pPr>
            <w:r>
              <w:rPr>
                <w:rFonts w:ascii="Helvetica" w:hAnsi="Helvetica" w:cs="Helvetica"/>
                <w:i/>
                <w:iCs/>
                <w:szCs w:val="18"/>
              </w:rPr>
              <w:t>Actinidia chinensis</w:t>
            </w:r>
            <w:r>
              <w:rPr>
                <w:rFonts w:ascii="Helvetica" w:hAnsi="Helvetica" w:cs="Helvetica"/>
                <w:szCs w:val="18"/>
              </w:rPr>
              <w:t xml:space="preserve">; </w:t>
            </w:r>
            <w:r>
              <w:rPr>
                <w:rFonts w:ascii="Helvetica" w:hAnsi="Helvetica" w:cs="Helvetica"/>
                <w:i/>
                <w:iCs/>
                <w:szCs w:val="18"/>
              </w:rPr>
              <w:t>Ampelopsis</w:t>
            </w:r>
            <w:r>
              <w:rPr>
                <w:rFonts w:ascii="Helvetica" w:hAnsi="Helvetica" w:cs="Helvetica"/>
                <w:szCs w:val="18"/>
              </w:rPr>
              <w:t xml:space="preserve"> sp.; </w:t>
            </w:r>
            <w:r>
              <w:rPr>
                <w:rFonts w:ascii="Helvetica" w:hAnsi="Helvetica" w:cs="Helvetica"/>
                <w:i/>
                <w:iCs/>
                <w:szCs w:val="18"/>
              </w:rPr>
              <w:t>Annona cherimola</w:t>
            </w:r>
            <w:r>
              <w:rPr>
                <w:rFonts w:ascii="Helvetica" w:hAnsi="Helvetica" w:cs="Helvetica"/>
                <w:szCs w:val="18"/>
              </w:rPr>
              <w:t xml:space="preserve">; </w:t>
            </w:r>
            <w:r>
              <w:rPr>
                <w:rFonts w:ascii="Helvetica" w:hAnsi="Helvetica" w:cs="Helvetica"/>
                <w:i/>
                <w:iCs/>
                <w:szCs w:val="18"/>
              </w:rPr>
              <w:t>Antirrhinium</w:t>
            </w:r>
            <w:r>
              <w:rPr>
                <w:rFonts w:ascii="Helvetica" w:hAnsi="Helvetica" w:cs="Helvetica"/>
                <w:szCs w:val="18"/>
              </w:rPr>
              <w:t xml:space="preserve"> sp.; </w:t>
            </w:r>
            <w:r>
              <w:rPr>
                <w:rFonts w:ascii="Helvetica" w:hAnsi="Helvetica" w:cs="Helvetica"/>
                <w:i/>
                <w:iCs/>
                <w:szCs w:val="18"/>
              </w:rPr>
              <w:t>Catalpa speciosa</w:t>
            </w:r>
            <w:r>
              <w:rPr>
                <w:rFonts w:ascii="Helvetica" w:hAnsi="Helvetica" w:cs="Helvetica"/>
                <w:szCs w:val="18"/>
              </w:rPr>
              <w:t xml:space="preserve">; </w:t>
            </w:r>
            <w:r>
              <w:rPr>
                <w:rFonts w:ascii="Helvetica" w:hAnsi="Helvetica" w:cs="Helvetica"/>
                <w:i/>
                <w:iCs/>
                <w:szCs w:val="18"/>
              </w:rPr>
              <w:t>Chrysanthemum</w:t>
            </w:r>
            <w:r>
              <w:rPr>
                <w:rFonts w:ascii="Helvetica" w:hAnsi="Helvetica" w:cs="Helvetica"/>
                <w:szCs w:val="18"/>
              </w:rPr>
              <w:t xml:space="preserve"> sp.; </w:t>
            </w:r>
            <w:r>
              <w:rPr>
                <w:rFonts w:ascii="Helvetica" w:hAnsi="Helvetica" w:cs="Helvetica"/>
                <w:i/>
                <w:iCs/>
                <w:szCs w:val="18"/>
              </w:rPr>
              <w:t>Citrus limon</w:t>
            </w:r>
            <w:r>
              <w:rPr>
                <w:rFonts w:ascii="Helvetica" w:hAnsi="Helvetica" w:cs="Helvetica"/>
                <w:szCs w:val="18"/>
              </w:rPr>
              <w:t xml:space="preserve">; </w:t>
            </w:r>
            <w:r>
              <w:rPr>
                <w:rFonts w:ascii="Helvetica" w:hAnsi="Helvetica" w:cs="Helvetica"/>
                <w:i/>
                <w:iCs/>
                <w:szCs w:val="18"/>
              </w:rPr>
              <w:t>Citrus sinensis</w:t>
            </w:r>
            <w:r>
              <w:rPr>
                <w:rFonts w:ascii="Helvetica" w:hAnsi="Helvetica" w:cs="Helvetica"/>
                <w:szCs w:val="18"/>
              </w:rPr>
              <w:t xml:space="preserve">; </w:t>
            </w:r>
            <w:r>
              <w:rPr>
                <w:rFonts w:ascii="Helvetica" w:hAnsi="Helvetica" w:cs="Helvetica"/>
                <w:i/>
                <w:iCs/>
                <w:szCs w:val="18"/>
              </w:rPr>
              <w:t>Cydonia oblonga</w:t>
            </w:r>
            <w:r>
              <w:rPr>
                <w:rFonts w:ascii="Helvetica" w:hAnsi="Helvetica" w:cs="Helvetica"/>
                <w:szCs w:val="18"/>
              </w:rPr>
              <w:t xml:space="preserve">; </w:t>
            </w:r>
            <w:r>
              <w:rPr>
                <w:rFonts w:ascii="Helvetica" w:hAnsi="Helvetica" w:cs="Helvetica"/>
                <w:i/>
                <w:iCs/>
                <w:szCs w:val="18"/>
              </w:rPr>
              <w:t>Diospyros kaki</w:t>
            </w:r>
            <w:r>
              <w:rPr>
                <w:rFonts w:ascii="Helvetica" w:hAnsi="Helvetica" w:cs="Helvetica"/>
                <w:szCs w:val="18"/>
              </w:rPr>
              <w:t xml:space="preserve">; </w:t>
            </w:r>
            <w:r>
              <w:rPr>
                <w:rFonts w:ascii="Helvetica" w:hAnsi="Helvetica" w:cs="Helvetica"/>
                <w:i/>
                <w:iCs/>
                <w:szCs w:val="18"/>
              </w:rPr>
              <w:t>Ficus carica</w:t>
            </w:r>
            <w:r>
              <w:rPr>
                <w:rFonts w:ascii="Helvetica" w:hAnsi="Helvetica" w:cs="Helvetica"/>
                <w:szCs w:val="18"/>
              </w:rPr>
              <w:t xml:space="preserve">; </w:t>
            </w:r>
            <w:r>
              <w:rPr>
                <w:rFonts w:ascii="Helvetica" w:hAnsi="Helvetica" w:cs="Helvetica"/>
                <w:i/>
                <w:iCs/>
                <w:szCs w:val="18"/>
              </w:rPr>
              <w:t>Garcinia</w:t>
            </w:r>
            <w:r>
              <w:rPr>
                <w:rFonts w:ascii="Helvetica" w:hAnsi="Helvetica" w:cs="Helvetica"/>
                <w:szCs w:val="18"/>
              </w:rPr>
              <w:t xml:space="preserve"> sp.; </w:t>
            </w:r>
            <w:r>
              <w:rPr>
                <w:rFonts w:ascii="Helvetica" w:hAnsi="Helvetica" w:cs="Helvetica"/>
                <w:i/>
                <w:iCs/>
                <w:szCs w:val="18"/>
              </w:rPr>
              <w:t>Jasminum angustifolium</w:t>
            </w:r>
            <w:r>
              <w:rPr>
                <w:rFonts w:ascii="Helvetica" w:hAnsi="Helvetica" w:cs="Helvetica"/>
                <w:szCs w:val="18"/>
              </w:rPr>
              <w:t xml:space="preserve">; </w:t>
            </w:r>
            <w:r>
              <w:rPr>
                <w:rFonts w:ascii="Helvetica" w:hAnsi="Helvetica" w:cs="Helvetica"/>
                <w:i/>
                <w:iCs/>
                <w:szCs w:val="18"/>
              </w:rPr>
              <w:t>Lugustrum sinensis</w:t>
            </w:r>
            <w:r>
              <w:rPr>
                <w:rFonts w:ascii="Helvetica" w:hAnsi="Helvetica" w:cs="Helvetica"/>
                <w:szCs w:val="18"/>
              </w:rPr>
              <w:t xml:space="preserve">; </w:t>
            </w:r>
            <w:r>
              <w:rPr>
                <w:rFonts w:ascii="Helvetica" w:hAnsi="Helvetica" w:cs="Helvetica"/>
                <w:i/>
                <w:iCs/>
                <w:szCs w:val="18"/>
              </w:rPr>
              <w:t>Malus pumila</w:t>
            </w:r>
            <w:r>
              <w:rPr>
                <w:rFonts w:ascii="Helvetica" w:hAnsi="Helvetica" w:cs="Helvetica"/>
                <w:szCs w:val="18"/>
              </w:rPr>
              <w:t xml:space="preserve">; </w:t>
            </w:r>
            <w:r>
              <w:rPr>
                <w:rFonts w:ascii="Helvetica" w:hAnsi="Helvetica" w:cs="Helvetica"/>
                <w:i/>
                <w:iCs/>
                <w:szCs w:val="18"/>
              </w:rPr>
              <w:t>Pelagonium</w:t>
            </w:r>
            <w:r>
              <w:rPr>
                <w:rFonts w:ascii="Helvetica" w:hAnsi="Helvetica" w:cs="Helvetica"/>
                <w:szCs w:val="18"/>
              </w:rPr>
              <w:t xml:space="preserve"> sp.; </w:t>
            </w:r>
            <w:r>
              <w:rPr>
                <w:rFonts w:ascii="Helvetica" w:hAnsi="Helvetica" w:cs="Helvetica"/>
                <w:i/>
                <w:iCs/>
                <w:szCs w:val="18"/>
              </w:rPr>
              <w:t>Prunus armeniaca</w:t>
            </w:r>
            <w:r>
              <w:rPr>
                <w:rFonts w:ascii="Helvetica" w:hAnsi="Helvetica" w:cs="Helvetica"/>
                <w:szCs w:val="18"/>
              </w:rPr>
              <w:t xml:space="preserve">; </w:t>
            </w:r>
            <w:r>
              <w:rPr>
                <w:rFonts w:ascii="Helvetica" w:hAnsi="Helvetica" w:cs="Helvetica"/>
                <w:i/>
                <w:iCs/>
                <w:szCs w:val="18"/>
              </w:rPr>
              <w:t>Prunus dulcis</w:t>
            </w:r>
            <w:r>
              <w:rPr>
                <w:rFonts w:ascii="Helvetica" w:hAnsi="Helvetica" w:cs="Helvetica"/>
                <w:szCs w:val="18"/>
              </w:rPr>
              <w:t xml:space="preserve">; </w:t>
            </w:r>
            <w:r>
              <w:rPr>
                <w:rFonts w:ascii="Helvetica" w:hAnsi="Helvetica" w:cs="Helvetica"/>
                <w:i/>
                <w:iCs/>
                <w:szCs w:val="18"/>
              </w:rPr>
              <w:t>Pyrus communis</w:t>
            </w:r>
            <w:r>
              <w:rPr>
                <w:rFonts w:ascii="Helvetica" w:hAnsi="Helvetica" w:cs="Helvetica"/>
                <w:szCs w:val="18"/>
              </w:rPr>
              <w:t xml:space="preserve">; </w:t>
            </w:r>
            <w:r>
              <w:rPr>
                <w:rFonts w:ascii="Helvetica" w:hAnsi="Helvetica" w:cs="Helvetica"/>
                <w:i/>
                <w:iCs/>
                <w:szCs w:val="18"/>
              </w:rPr>
              <w:t>Rubus ida</w:t>
            </w:r>
            <w:smartTag w:uri="urn:schemas-microsoft-com:office:smarttags" w:element="PersonName">
              <w:r>
                <w:rPr>
                  <w:rFonts w:ascii="Helvetica" w:hAnsi="Helvetica" w:cs="Helvetica"/>
                  <w:i/>
                  <w:iCs/>
                  <w:szCs w:val="18"/>
                </w:rPr>
                <w:t>eu</w:t>
              </w:r>
            </w:smartTag>
            <w:r>
              <w:rPr>
                <w:rFonts w:ascii="Helvetica" w:hAnsi="Helvetica" w:cs="Helvetica"/>
                <w:i/>
                <w:iCs/>
                <w:szCs w:val="18"/>
              </w:rPr>
              <w:t>s</w:t>
            </w:r>
            <w:r>
              <w:rPr>
                <w:rFonts w:ascii="Helvetica" w:hAnsi="Helvetica" w:cs="Helvetica"/>
                <w:szCs w:val="18"/>
              </w:rPr>
              <w:t xml:space="preserve">; </w:t>
            </w:r>
            <w:r>
              <w:rPr>
                <w:rFonts w:ascii="Helvetica" w:hAnsi="Helvetica" w:cs="Helvetica"/>
                <w:i/>
                <w:iCs/>
                <w:szCs w:val="18"/>
              </w:rPr>
              <w:t>Strongylodon macrobotrys</w:t>
            </w:r>
            <w:r>
              <w:rPr>
                <w:rFonts w:ascii="Helvetica" w:hAnsi="Helvetica" w:cs="Helvetica"/>
                <w:szCs w:val="18"/>
              </w:rPr>
              <w:t xml:space="preserve">; </w:t>
            </w:r>
            <w:r>
              <w:rPr>
                <w:rFonts w:ascii="Helvetica" w:hAnsi="Helvetica" w:cs="Helvetica"/>
                <w:i/>
                <w:iCs/>
                <w:szCs w:val="18"/>
              </w:rPr>
              <w:t>Viburnum</w:t>
            </w:r>
            <w:r>
              <w:rPr>
                <w:rFonts w:ascii="Helvetica" w:hAnsi="Helvetica" w:cs="Helvetica"/>
                <w:szCs w:val="18"/>
              </w:rPr>
              <w:t xml:space="preserve"> sp.; </w:t>
            </w:r>
            <w:r>
              <w:rPr>
                <w:rFonts w:ascii="Helvetica" w:hAnsi="Helvetica" w:cs="Helvetica"/>
                <w:i/>
                <w:iCs/>
                <w:szCs w:val="18"/>
              </w:rPr>
              <w:t>Vinca</w:t>
            </w:r>
            <w:r>
              <w:rPr>
                <w:rFonts w:ascii="Helvetica" w:hAnsi="Helvetica" w:cs="Helvetica"/>
                <w:szCs w:val="18"/>
              </w:rPr>
              <w:t xml:space="preserve"> sp.; </w:t>
            </w:r>
            <w:r>
              <w:rPr>
                <w:rFonts w:ascii="Helvetica" w:hAnsi="Helvetica" w:cs="Helvetica"/>
                <w:i/>
                <w:iCs/>
                <w:szCs w:val="18"/>
              </w:rPr>
              <w:t>Vitis vinifera</w:t>
            </w:r>
            <w:r>
              <w:rPr>
                <w:rFonts w:ascii="Helvetica" w:hAnsi="Helvetica" w:cs="Helvetica"/>
                <w:szCs w:val="18"/>
              </w:rPr>
              <w:t xml:space="preserve"> (Gonzalez 1983; Klein Koch and Waterhouse 2000; SAG/USDA 2002; CABI 2012a)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vAlign w:val="center"/>
          </w:tcPr>
          <w:p>
            <w:pPr>
              <w:pStyle w:val="TableText0"/>
              <w:spacing w:before="40" w:after="40" w:line="240" w:lineRule="atLeast"/>
              <w:jc w:val="left"/>
              <w:rPr>
                <w:rFonts w:ascii="Helvetica" w:hAnsi="Helvetica" w:cs="Helvetica"/>
                <w:iCs/>
                <w:szCs w:val="18"/>
              </w:rPr>
            </w:pPr>
            <w:smartTag w:uri="urn:schemas-microsoft-com:office:smarttags" w:element="country-region">
              <w:r>
                <w:rPr>
                  <w:rFonts w:ascii="Helvetica" w:hAnsi="Helvetica" w:cs="Helvetica"/>
                  <w:szCs w:val="18"/>
                </w:rPr>
                <w:t>Argentina</w:t>
              </w:r>
            </w:smartTag>
            <w:r>
              <w:rPr>
                <w:rFonts w:ascii="Helvetica" w:hAnsi="Helvetica" w:cs="Helvetica"/>
                <w:szCs w:val="18"/>
              </w:rPr>
              <w:t xml:space="preserve">, </w:t>
            </w:r>
            <w:smartTag w:uri="urn:schemas-microsoft-com:office:smarttags" w:element="country-region">
              <w:smartTag w:uri="urn:schemas-microsoft-com:office:smarttags" w:element="place">
                <w:r>
                  <w:rPr>
                    <w:rFonts w:ascii="Helvetica" w:hAnsi="Helvetica" w:cs="Helvetica"/>
                    <w:szCs w:val="18"/>
                  </w:rPr>
                  <w:t>Chile</w:t>
                </w:r>
              </w:smartTag>
            </w:smartTag>
            <w:r>
              <w:rPr>
                <w:rFonts w:ascii="Helvetica" w:hAnsi="Helvetica" w:cs="Helvetica"/>
                <w:iCs/>
                <w:szCs w:val="18"/>
              </w:rPr>
              <w:t xml:space="preserve"> </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lang w:val="de-DE"/>
              </w:rPr>
            </w:pPr>
            <w:r>
              <w:rPr>
                <w:rFonts w:ascii="Helvetica" w:hAnsi="Helvetica" w:cs="Helvetica"/>
                <w:i/>
                <w:iCs/>
                <w:szCs w:val="18"/>
                <w:lang w:val="de-DE"/>
              </w:rPr>
              <w:t xml:space="preserve">Colomerus vitis </w:t>
            </w:r>
            <w:r>
              <w:rPr>
                <w:rFonts w:ascii="Helvetica" w:hAnsi="Helvetica" w:cs="Helvetica"/>
                <w:iCs/>
                <w:szCs w:val="18"/>
                <w:lang w:val="de-DE"/>
              </w:rPr>
              <w:t>Pagenstecher</w:t>
            </w:r>
            <w:r>
              <w:rPr>
                <w:rFonts w:ascii="Helvetica" w:hAnsi="Helvetica" w:cs="Helvetica"/>
                <w:i/>
                <w:iCs/>
                <w:szCs w:val="18"/>
                <w:lang w:val="de-DE"/>
              </w:rPr>
              <w:t xml:space="preserve"> - </w:t>
            </w:r>
            <w:r>
              <w:rPr>
                <w:rFonts w:ascii="Helvetica" w:hAnsi="Helvetica" w:cs="Helvetica"/>
                <w:iCs/>
                <w:szCs w:val="18"/>
                <w:lang w:val="de-DE"/>
              </w:rPr>
              <w:t>strain c</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vAlign w:val="center"/>
          </w:tcPr>
          <w:p>
            <w:pPr>
              <w:pStyle w:val="TableText0"/>
              <w:spacing w:before="40" w:after="40" w:line="240" w:lineRule="atLeast"/>
              <w:jc w:val="left"/>
              <w:rPr>
                <w:rFonts w:ascii="Helvetica" w:hAnsi="Helvetica" w:cs="Helvetica"/>
                <w:i/>
                <w:szCs w:val="18"/>
                <w:lang w:val="de-DE"/>
              </w:rPr>
            </w:pPr>
            <w:r>
              <w:rPr>
                <w:rFonts w:ascii="Helvetica" w:hAnsi="Helvetica" w:cs="Helvetica"/>
                <w:i/>
                <w:szCs w:val="18"/>
                <w:lang w:val="de-DE"/>
              </w:rPr>
              <w:t>Phytoptus vitis</w:t>
            </w:r>
            <w:r>
              <w:rPr>
                <w:rFonts w:ascii="Helvetica" w:hAnsi="Helvetica" w:cs="Helvetica"/>
                <w:szCs w:val="18"/>
                <w:lang w:val="de-DE"/>
              </w:rPr>
              <w:t xml:space="preserve"> Pagenstecher, </w:t>
            </w:r>
            <w:r>
              <w:rPr>
                <w:rFonts w:ascii="Helvetica" w:hAnsi="Helvetica" w:cs="Helvetica"/>
                <w:i/>
                <w:szCs w:val="18"/>
                <w:lang w:val="de-DE"/>
              </w:rPr>
              <w:t>Eriophyes vitis</w:t>
            </w:r>
            <w:r>
              <w:rPr>
                <w:rFonts w:ascii="Helvetica" w:hAnsi="Helvetica" w:cs="Helvetica"/>
                <w:szCs w:val="18"/>
                <w:lang w:val="de-DE"/>
              </w:rPr>
              <w:t xml:space="preserve"> Pagenstecher</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vAlign w:val="center"/>
          </w:tcPr>
          <w:p>
            <w:pPr>
              <w:pStyle w:val="TableText0"/>
              <w:spacing w:before="40" w:after="40" w:line="240" w:lineRule="atLeast"/>
              <w:jc w:val="left"/>
              <w:rPr>
                <w:rFonts w:ascii="Helvetica" w:hAnsi="Helvetica" w:cs="Helvetica"/>
                <w:iCs/>
                <w:szCs w:val="18"/>
              </w:rPr>
            </w:pPr>
            <w:r>
              <w:rPr>
                <w:rFonts w:ascii="Helvetica" w:hAnsi="Helvetica" w:cs="Helvetica"/>
                <w:szCs w:val="18"/>
              </w:rPr>
              <w:t>Grapeleaf bud mite – leaf curl strain</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Diospyros </w:t>
            </w:r>
            <w:r>
              <w:rPr>
                <w:rFonts w:ascii="Helvetica" w:hAnsi="Helvetica" w:cs="Helvetica"/>
                <w:szCs w:val="18"/>
              </w:rPr>
              <w:t xml:space="preserve">spp.; </w:t>
            </w:r>
            <w:r>
              <w:rPr>
                <w:rFonts w:ascii="Helvetica" w:hAnsi="Helvetica" w:cs="Helvetica"/>
                <w:i/>
                <w:szCs w:val="18"/>
              </w:rPr>
              <w:t>Vitis s</w:t>
            </w:r>
            <w:r>
              <w:rPr>
                <w:rFonts w:ascii="Helvetica" w:hAnsi="Helvetica" w:cs="Helvetica"/>
                <w:szCs w:val="18"/>
              </w:rPr>
              <w:t>pp. (CABI 2012a)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State">
              <w:r>
                <w:rPr>
                  <w:rFonts w:ascii="Helvetica" w:hAnsi="Helvetica" w:cs="Helvetica"/>
                  <w:szCs w:val="18"/>
                </w:rPr>
                <w:t>California</w:t>
              </w:r>
            </w:smartTag>
            <w:r>
              <w:rPr>
                <w:rFonts w:ascii="Helvetica" w:hAnsi="Helvetica" w:cs="Helvetica"/>
                <w:szCs w:val="18"/>
              </w:rPr>
              <w:t xml:space="preserve">, </w:t>
            </w:r>
            <w:smartTag w:uri="urn:schemas-microsoft-com:office:smarttags" w:element="country-region">
              <w:r>
                <w:rPr>
                  <w:rFonts w:ascii="Helvetica" w:hAnsi="Helvetica" w:cs="Helvetica"/>
                  <w:szCs w:val="18"/>
                </w:rPr>
                <w:t>USA</w:t>
              </w:r>
            </w:smartTag>
            <w:r>
              <w:rPr>
                <w:rFonts w:ascii="Helvetica" w:hAnsi="Helvetica" w:cs="Helvetica"/>
                <w:szCs w:val="18"/>
              </w:rPr>
              <w:t xml:space="preserve"> (Smith and Stafford 1948), </w:t>
            </w:r>
            <w:smartTag w:uri="urn:schemas-microsoft-com:office:smarttags" w:element="country-region">
              <w:smartTag w:uri="urn:schemas-microsoft-com:office:smarttags" w:element="place">
                <w:r>
                  <w:rPr>
                    <w:rFonts w:ascii="Helvetica" w:hAnsi="Helvetica" w:cs="Helvetica"/>
                    <w:szCs w:val="18"/>
                  </w:rPr>
                  <w:t>South Africa</w:t>
                </w:r>
              </w:smartTag>
            </w:smartTag>
            <w:r>
              <w:rPr>
                <w:rFonts w:ascii="Helvetica" w:hAnsi="Helvetica" w:cs="Helvetica"/>
                <w:szCs w:val="18"/>
              </w:rPr>
              <w:t xml:space="preserve"> (Schwartz 1986)</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i/>
                <w:szCs w:val="18"/>
              </w:rPr>
            </w:pPr>
            <w:r>
              <w:rPr>
                <w:rFonts w:ascii="Helvetica" w:hAnsi="Helvetica" w:cs="Helvetica"/>
                <w:i/>
                <w:iCs/>
                <w:szCs w:val="18"/>
              </w:rPr>
              <w:t>Sinoxylon perforans</w:t>
            </w:r>
            <w:r>
              <w:rPr>
                <w:rFonts w:ascii="Helvetica" w:hAnsi="Helvetica" w:cs="Helvetica"/>
                <w:iCs/>
                <w:szCs w:val="18"/>
              </w:rPr>
              <w:t xml:space="preserve"> Schrank</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
                <w:iCs/>
                <w:szCs w:val="18"/>
              </w:rPr>
              <w:t xml:space="preserve">Bostrichus perforans </w:t>
            </w:r>
            <w:r>
              <w:rPr>
                <w:rFonts w:ascii="Helvetica" w:hAnsi="Helvetica" w:cs="Helvetica"/>
                <w:iCs/>
                <w:szCs w:val="18"/>
              </w:rPr>
              <w:t>Shrank,</w:t>
            </w:r>
            <w:r>
              <w:rPr>
                <w:rFonts w:ascii="Helvetica" w:hAnsi="Helvetica" w:cs="Helvetica"/>
                <w:i/>
                <w:iCs/>
                <w:szCs w:val="18"/>
              </w:rPr>
              <w:t xml:space="preserve"> Sinoxylon muricatum </w:t>
            </w:r>
            <w:r>
              <w:rPr>
                <w:rFonts w:ascii="Helvetica" w:hAnsi="Helvetica" w:cs="Helvetica"/>
                <w:iCs/>
                <w:szCs w:val="18"/>
              </w:rPr>
              <w:t>Duftschmid</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iCs/>
                <w:szCs w:val="18"/>
              </w:rPr>
              <w:t>Branch borer, Twig borer, Vine borer</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iCs/>
                <w:szCs w:val="18"/>
              </w:rPr>
              <w:t xml:space="preserve">Hosts include </w:t>
            </w:r>
            <w:r>
              <w:rPr>
                <w:rFonts w:ascii="Helvetica" w:hAnsi="Helvetica" w:cs="Helvetica"/>
                <w:i/>
                <w:iCs/>
                <w:szCs w:val="18"/>
              </w:rPr>
              <w:t xml:space="preserve">Quercus </w:t>
            </w:r>
            <w:r>
              <w:rPr>
                <w:rFonts w:ascii="Helvetica" w:hAnsi="Helvetica" w:cs="Helvetica"/>
                <w:iCs/>
                <w:szCs w:val="18"/>
              </w:rPr>
              <w:t xml:space="preserve">spp. and </w:t>
            </w:r>
            <w:r>
              <w:rPr>
                <w:rFonts w:ascii="Helvetica" w:hAnsi="Helvetica" w:cs="Helvetica"/>
                <w:i/>
                <w:iCs/>
                <w:szCs w:val="18"/>
              </w:rPr>
              <w:t xml:space="preserve">Vitis </w:t>
            </w:r>
            <w:r>
              <w:rPr>
                <w:rFonts w:ascii="Helvetica" w:hAnsi="Helvetica" w:cs="Helvetica"/>
                <w:iCs/>
                <w:szCs w:val="18"/>
              </w:rPr>
              <w:t>spp., (Filip 1986; Taralashvii 1989; Ragazzini 1996). Other deciduous trees and orchards crops are also likely to be attacked (Solomon 1995)</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iCs/>
                <w:szCs w:val="18"/>
              </w:rPr>
              <w:t xml:space="preserve">Central Asia, Europe including </w:t>
            </w:r>
            <w:smartTag w:uri="urn:schemas-microsoft-com:office:smarttags" w:element="country-region">
              <w:smartTag w:uri="urn:schemas-microsoft-com:office:smarttags" w:element="place">
                <w:r>
                  <w:rPr>
                    <w:rFonts w:ascii="Helvetica" w:hAnsi="Helvetica" w:cs="Helvetica"/>
                    <w:iCs/>
                    <w:szCs w:val="18"/>
                  </w:rPr>
                  <w:t>Russia</w:t>
                </w:r>
              </w:smartTag>
            </w:smartTag>
            <w:r>
              <w:rPr>
                <w:rFonts w:ascii="Helvetica" w:hAnsi="Helvetica" w:cs="Helvetica"/>
                <w:iCs/>
                <w:szCs w:val="18"/>
              </w:rPr>
              <w:t xml:space="preserve"> (Filip 1986; Ragazzini 1996; Taralashvii 1989)</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iCs/>
                <w:szCs w:val="18"/>
              </w:rPr>
              <w:t xml:space="preserve">Sinoxylon sexdentatum </w:t>
            </w:r>
            <w:r>
              <w:rPr>
                <w:rFonts w:ascii="Helvetica" w:hAnsi="Helvetica" w:cs="Helvetica"/>
                <w:iCs/>
                <w:szCs w:val="18"/>
              </w:rPr>
              <w:t>Olivier</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Vitis </w:t>
            </w:r>
            <w:r>
              <w:rPr>
                <w:rFonts w:ascii="Helvetica" w:hAnsi="Helvetica" w:cs="Helvetica"/>
                <w:szCs w:val="18"/>
              </w:rPr>
              <w:t>spp. (Moleas 1988)</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Apulia (</w:t>
            </w:r>
            <w:smartTag w:uri="urn:schemas-microsoft-com:office:smarttags" w:element="country-region">
              <w:smartTag w:uri="urn:schemas-microsoft-com:office:smarttags" w:element="place">
                <w:r>
                  <w:rPr>
                    <w:rFonts w:ascii="Helvetica" w:hAnsi="Helvetica" w:cs="Helvetica"/>
                    <w:szCs w:val="18"/>
                  </w:rPr>
                  <w:t>Italy</w:t>
                </w:r>
              </w:smartTag>
            </w:smartTag>
            <w:r>
              <w:rPr>
                <w:rFonts w:ascii="Helvetica" w:hAnsi="Helvetica" w:cs="Helvetica"/>
                <w:szCs w:val="18"/>
              </w:rPr>
              <w:t xml:space="preserve">) (Moleas 1988) </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i/>
                <w:szCs w:val="18"/>
              </w:rPr>
            </w:pPr>
            <w:r>
              <w:rPr>
                <w:rFonts w:ascii="Helvetica" w:hAnsi="Helvetica" w:cs="Helvetica"/>
                <w:i/>
                <w:szCs w:val="18"/>
              </w:rPr>
              <w:t>Planococcus ficus</w:t>
            </w:r>
            <w:r>
              <w:rPr>
                <w:rFonts w:ascii="Helvetica" w:hAnsi="Helvetica" w:cs="Helvetica"/>
                <w:szCs w:val="18"/>
              </w:rPr>
              <w:t xml:space="preserve"> Signoret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Dactylopius subterran</w:t>
            </w:r>
            <w:smartTag w:uri="urn:schemas-microsoft-com:office:smarttags" w:element="PersonName">
              <w:r>
                <w:rPr>
                  <w:rFonts w:ascii="Helvetica" w:hAnsi="Helvetica" w:cs="Helvetica"/>
                  <w:i/>
                  <w:szCs w:val="18"/>
                </w:rPr>
                <w:t>eu</w:t>
              </w:r>
            </w:smartTag>
            <w:r>
              <w:rPr>
                <w:rFonts w:ascii="Helvetica" w:hAnsi="Helvetica" w:cs="Helvetica"/>
                <w:i/>
                <w:szCs w:val="18"/>
              </w:rPr>
              <w:t>s, Ps</w:t>
            </w:r>
            <w:smartTag w:uri="urn:schemas-microsoft-com:office:smarttags" w:element="PersonName">
              <w:r>
                <w:rPr>
                  <w:rFonts w:ascii="Helvetica" w:hAnsi="Helvetica" w:cs="Helvetica"/>
                  <w:i/>
                  <w:szCs w:val="18"/>
                </w:rPr>
                <w:t>eu</w:t>
              </w:r>
            </w:smartTag>
            <w:r>
              <w:rPr>
                <w:rFonts w:ascii="Helvetica" w:hAnsi="Helvetica" w:cs="Helvetica"/>
                <w:i/>
                <w:szCs w:val="18"/>
              </w:rPr>
              <w:t>dococcus vitis, Ps</w:t>
            </w:r>
            <w:smartTag w:uri="urn:schemas-microsoft-com:office:smarttags" w:element="PersonName">
              <w:r>
                <w:rPr>
                  <w:rFonts w:ascii="Helvetica" w:hAnsi="Helvetica" w:cs="Helvetica"/>
                  <w:i/>
                  <w:szCs w:val="18"/>
                </w:rPr>
                <w:t>eu</w:t>
              </w:r>
            </w:smartTag>
            <w:r>
              <w:rPr>
                <w:rFonts w:ascii="Helvetica" w:hAnsi="Helvetica" w:cs="Helvetica"/>
                <w:i/>
                <w:szCs w:val="18"/>
              </w:rPr>
              <w:t>dococcus citriodes, Planococcus citriodes, Ps</w:t>
            </w:r>
            <w:smartTag w:uri="urn:schemas-microsoft-com:office:smarttags" w:element="PersonName">
              <w:r>
                <w:rPr>
                  <w:rFonts w:ascii="Helvetica" w:hAnsi="Helvetica" w:cs="Helvetica"/>
                  <w:i/>
                  <w:szCs w:val="18"/>
                </w:rPr>
                <w:t>eu</w:t>
              </w:r>
            </w:smartTag>
            <w:r>
              <w:rPr>
                <w:rFonts w:ascii="Helvetica" w:hAnsi="Helvetica" w:cs="Helvetica"/>
                <w:i/>
                <w:szCs w:val="18"/>
              </w:rPr>
              <w:t>dococcus praetermissus</w:t>
            </w:r>
            <w:r>
              <w:rPr>
                <w:rFonts w:ascii="Helvetica" w:hAnsi="Helvetica" w:cs="Helvetica"/>
                <w:szCs w:val="18"/>
              </w:rPr>
              <w:t xml:space="preserve"> (Walton and Pringle 2004)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Subterranean vine mealybug, Vine mealybug (Walton and Pringle 2004)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Bambusa spp.</w:t>
            </w:r>
            <w:r>
              <w:rPr>
                <w:rFonts w:ascii="Helvetica" w:hAnsi="Helvetica" w:cs="Helvetica"/>
                <w:szCs w:val="18"/>
              </w:rPr>
              <w:t xml:space="preserve">; </w:t>
            </w:r>
            <w:r>
              <w:rPr>
                <w:rFonts w:ascii="Helvetica" w:hAnsi="Helvetica" w:cs="Helvetica"/>
                <w:i/>
                <w:szCs w:val="18"/>
              </w:rPr>
              <w:t>Cydonia oblonga</w:t>
            </w:r>
            <w:r>
              <w:rPr>
                <w:rFonts w:ascii="Helvetica" w:hAnsi="Helvetica" w:cs="Helvetica"/>
                <w:szCs w:val="18"/>
              </w:rPr>
              <w:t xml:space="preserve">; </w:t>
            </w:r>
            <w:r>
              <w:rPr>
                <w:rFonts w:ascii="Helvetica" w:hAnsi="Helvetica" w:cs="Helvetica"/>
                <w:i/>
                <w:szCs w:val="18"/>
              </w:rPr>
              <w:t xml:space="preserve">Dahlia </w:t>
            </w:r>
            <w:r>
              <w:rPr>
                <w:rFonts w:ascii="Helvetica" w:hAnsi="Helvetica" w:cs="Helvetica"/>
                <w:szCs w:val="18"/>
              </w:rPr>
              <w:t>spp</w:t>
            </w:r>
            <w:r>
              <w:rPr>
                <w:rFonts w:ascii="Helvetica" w:hAnsi="Helvetica" w:cs="Helvetica"/>
                <w:i/>
                <w:szCs w:val="18"/>
              </w:rPr>
              <w:t>.</w:t>
            </w:r>
            <w:r>
              <w:rPr>
                <w:rFonts w:ascii="Helvetica" w:hAnsi="Helvetica" w:cs="Helvetica"/>
                <w:szCs w:val="18"/>
              </w:rPr>
              <w:t xml:space="preserve">; </w:t>
            </w:r>
            <w:r>
              <w:rPr>
                <w:rFonts w:ascii="Helvetica" w:hAnsi="Helvetica" w:cs="Helvetica"/>
                <w:i/>
                <w:szCs w:val="18"/>
              </w:rPr>
              <w:t>Dichrostachys glomerata</w:t>
            </w:r>
            <w:r>
              <w:rPr>
                <w:rFonts w:ascii="Helvetica" w:hAnsi="Helvetica" w:cs="Helvetica"/>
                <w:szCs w:val="18"/>
              </w:rPr>
              <w:t xml:space="preserve">; </w:t>
            </w:r>
            <w:r>
              <w:rPr>
                <w:rFonts w:ascii="Helvetica" w:hAnsi="Helvetica" w:cs="Helvetica"/>
                <w:i/>
                <w:szCs w:val="18"/>
              </w:rPr>
              <w:t>Ficus benjamina</w:t>
            </w:r>
            <w:r>
              <w:rPr>
                <w:rFonts w:ascii="Helvetica" w:hAnsi="Helvetica" w:cs="Helvetica"/>
                <w:szCs w:val="18"/>
              </w:rPr>
              <w:t xml:space="preserve">; </w:t>
            </w:r>
            <w:r>
              <w:rPr>
                <w:rFonts w:ascii="Helvetica" w:hAnsi="Helvetica" w:cs="Helvetica"/>
                <w:i/>
                <w:szCs w:val="18"/>
              </w:rPr>
              <w:t>Juglans spp.</w:t>
            </w:r>
            <w:r>
              <w:rPr>
                <w:rFonts w:ascii="Helvetica" w:hAnsi="Helvetica" w:cs="Helvetica"/>
                <w:szCs w:val="18"/>
              </w:rPr>
              <w:t xml:space="preserve">; </w:t>
            </w:r>
            <w:r>
              <w:rPr>
                <w:rFonts w:ascii="Helvetica" w:hAnsi="Helvetica" w:cs="Helvetica"/>
                <w:i/>
                <w:szCs w:val="18"/>
              </w:rPr>
              <w:t>Malus domestica</w:t>
            </w:r>
            <w:r>
              <w:rPr>
                <w:rFonts w:ascii="Helvetica" w:hAnsi="Helvetica" w:cs="Helvetica"/>
                <w:szCs w:val="18"/>
              </w:rPr>
              <w:t xml:space="preserve">; </w:t>
            </w:r>
            <w:r>
              <w:rPr>
                <w:rFonts w:ascii="Helvetica" w:hAnsi="Helvetica" w:cs="Helvetica"/>
                <w:i/>
                <w:szCs w:val="18"/>
              </w:rPr>
              <w:t>Malus pumila</w:t>
            </w:r>
            <w:r>
              <w:rPr>
                <w:rFonts w:ascii="Helvetica" w:hAnsi="Helvetica" w:cs="Helvetica"/>
                <w:szCs w:val="18"/>
              </w:rPr>
              <w:t xml:space="preserve">; </w:t>
            </w:r>
            <w:r>
              <w:rPr>
                <w:rFonts w:ascii="Helvetica" w:hAnsi="Helvetica" w:cs="Helvetica"/>
                <w:i/>
                <w:szCs w:val="18"/>
              </w:rPr>
              <w:t>Mangifera indica</w:t>
            </w:r>
            <w:r>
              <w:rPr>
                <w:rFonts w:ascii="Helvetica" w:hAnsi="Helvetica" w:cs="Helvetica"/>
                <w:szCs w:val="18"/>
              </w:rPr>
              <w:t xml:space="preserve">; </w:t>
            </w:r>
            <w:r>
              <w:rPr>
                <w:rFonts w:ascii="Helvetica" w:hAnsi="Helvetica" w:cs="Helvetica"/>
                <w:i/>
                <w:szCs w:val="18"/>
              </w:rPr>
              <w:t>Nerium oleander</w:t>
            </w:r>
            <w:r>
              <w:rPr>
                <w:rFonts w:ascii="Helvetica" w:hAnsi="Helvetica" w:cs="Helvetica"/>
                <w:szCs w:val="18"/>
              </w:rPr>
              <w:t xml:space="preserve">; </w:t>
            </w:r>
            <w:r>
              <w:rPr>
                <w:rFonts w:ascii="Helvetica" w:hAnsi="Helvetica" w:cs="Helvetica"/>
                <w:i/>
                <w:szCs w:val="18"/>
              </w:rPr>
              <w:t>Persea americana</w:t>
            </w:r>
            <w:r>
              <w:rPr>
                <w:rFonts w:ascii="Helvetica" w:hAnsi="Helvetica" w:cs="Helvetica"/>
                <w:szCs w:val="18"/>
              </w:rPr>
              <w:t xml:space="preserve">; </w:t>
            </w:r>
            <w:r>
              <w:rPr>
                <w:rFonts w:ascii="Helvetica" w:hAnsi="Helvetica" w:cs="Helvetica"/>
                <w:i/>
                <w:szCs w:val="18"/>
              </w:rPr>
              <w:t>Phoenix dactylifera</w:t>
            </w:r>
            <w:r>
              <w:rPr>
                <w:rFonts w:ascii="Helvetica" w:hAnsi="Helvetica" w:cs="Helvetica"/>
                <w:szCs w:val="18"/>
              </w:rPr>
              <w:t xml:space="preserve">; </w:t>
            </w:r>
            <w:r>
              <w:rPr>
                <w:rFonts w:ascii="Helvetica" w:hAnsi="Helvetica" w:cs="Helvetica"/>
                <w:i/>
                <w:szCs w:val="18"/>
              </w:rPr>
              <w:t>Platanus orientalis</w:t>
            </w:r>
            <w:r>
              <w:rPr>
                <w:rFonts w:ascii="Helvetica" w:hAnsi="Helvetica" w:cs="Helvetica"/>
                <w:szCs w:val="18"/>
              </w:rPr>
              <w:t xml:space="preserve">; </w:t>
            </w:r>
            <w:r>
              <w:rPr>
                <w:rFonts w:ascii="Helvetica" w:hAnsi="Helvetica" w:cs="Helvetica"/>
                <w:i/>
                <w:szCs w:val="18"/>
              </w:rPr>
              <w:t>Prosopsis farcata</w:t>
            </w:r>
            <w:r>
              <w:rPr>
                <w:rFonts w:ascii="Helvetica" w:hAnsi="Helvetica" w:cs="Helvetica"/>
                <w:szCs w:val="18"/>
              </w:rPr>
              <w:t xml:space="preserve">; </w:t>
            </w:r>
            <w:r>
              <w:rPr>
                <w:rFonts w:ascii="Helvetica" w:hAnsi="Helvetica" w:cs="Helvetica"/>
                <w:i/>
                <w:szCs w:val="18"/>
              </w:rPr>
              <w:t>Salix spp.</w:t>
            </w:r>
            <w:r>
              <w:rPr>
                <w:rFonts w:ascii="Helvetica" w:hAnsi="Helvetica" w:cs="Helvetica"/>
                <w:szCs w:val="18"/>
              </w:rPr>
              <w:t>;</w:t>
            </w:r>
            <w:r>
              <w:rPr>
                <w:rFonts w:ascii="Helvetica" w:hAnsi="Helvetica" w:cs="Helvetica"/>
                <w:i/>
                <w:szCs w:val="18"/>
              </w:rPr>
              <w:t xml:space="preserve"> Styrax officinalis</w:t>
            </w:r>
            <w:r>
              <w:rPr>
                <w:rFonts w:ascii="Helvetica" w:hAnsi="Helvetica" w:cs="Helvetica"/>
                <w:szCs w:val="18"/>
              </w:rPr>
              <w:t xml:space="preserve">; </w:t>
            </w:r>
            <w:r>
              <w:rPr>
                <w:rFonts w:ascii="Helvetica" w:hAnsi="Helvetica" w:cs="Helvetica"/>
                <w:i/>
                <w:szCs w:val="18"/>
              </w:rPr>
              <w:t>Theobroma cacao</w:t>
            </w:r>
            <w:r>
              <w:rPr>
                <w:rFonts w:ascii="Helvetica" w:hAnsi="Helvetica" w:cs="Helvetica"/>
                <w:szCs w:val="18"/>
              </w:rPr>
              <w:t xml:space="preserve">; </w:t>
            </w:r>
            <w:r>
              <w:rPr>
                <w:rFonts w:ascii="Helvetica" w:hAnsi="Helvetica" w:cs="Helvetica"/>
                <w:i/>
                <w:szCs w:val="18"/>
              </w:rPr>
              <w:t>Vitis vinifera</w:t>
            </w:r>
            <w:r>
              <w:rPr>
                <w:rFonts w:ascii="Helvetica" w:hAnsi="Helvetica" w:cs="Helvetica"/>
                <w:szCs w:val="18"/>
              </w:rPr>
              <w:t xml:space="preserve">; </w:t>
            </w:r>
            <w:r>
              <w:rPr>
                <w:rFonts w:ascii="Helvetica" w:hAnsi="Helvetica" w:cs="Helvetica"/>
                <w:i/>
                <w:szCs w:val="18"/>
              </w:rPr>
              <w:t xml:space="preserve">Zizyphus spina-christi </w:t>
            </w:r>
            <w:r>
              <w:rPr>
                <w:rFonts w:ascii="Helvetica" w:hAnsi="Helvetica" w:cs="Helvetica"/>
                <w:szCs w:val="18"/>
              </w:rPr>
              <w:t>(Ezzat and McConnel 1956; Cox 1989; Walton and Pringe 2004).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Found in most grape-production areas throughout the world with particular economic importance on grapevines in </w:t>
            </w:r>
            <w:smartTag w:uri="urn:schemas-microsoft-com:office:smarttags" w:element="country-region">
              <w:r>
                <w:rPr>
                  <w:rFonts w:ascii="Helvetica" w:hAnsi="Helvetica" w:cs="Helvetica"/>
                  <w:szCs w:val="18"/>
                </w:rPr>
                <w:t>Argentina</w:t>
              </w:r>
            </w:smartTag>
            <w:r>
              <w:rPr>
                <w:rFonts w:ascii="Helvetica" w:hAnsi="Helvetica" w:cs="Helvetica"/>
                <w:szCs w:val="18"/>
              </w:rPr>
              <w:t xml:space="preserve">, the Mediterranean region, </w:t>
            </w:r>
            <w:smartTag w:uri="urn:schemas-microsoft-com:office:smarttags" w:element="country-region">
              <w:r>
                <w:rPr>
                  <w:rFonts w:ascii="Helvetica" w:hAnsi="Helvetica" w:cs="Helvetica"/>
                  <w:szCs w:val="18"/>
                </w:rPr>
                <w:t>Pakistan</w:t>
              </w:r>
            </w:smartTag>
            <w:r>
              <w:rPr>
                <w:rFonts w:ascii="Helvetica" w:hAnsi="Helvetica" w:cs="Helvetica"/>
                <w:szCs w:val="18"/>
              </w:rPr>
              <w:t xml:space="preserve"> and </w:t>
            </w:r>
            <w:smartTag w:uri="urn:schemas-microsoft-com:office:smarttags" w:element="country-region">
              <w:smartTag w:uri="urn:schemas-microsoft-com:office:smarttags" w:element="place">
                <w:r>
                  <w:rPr>
                    <w:rFonts w:ascii="Helvetica" w:hAnsi="Helvetica" w:cs="Helvetica"/>
                    <w:szCs w:val="18"/>
                  </w:rPr>
                  <w:t>South Africa</w:t>
                </w:r>
              </w:smartTag>
            </w:smartTag>
            <w:r>
              <w:rPr>
                <w:rFonts w:ascii="Helvetica" w:hAnsi="Helvetica" w:cs="Helvetica"/>
                <w:szCs w:val="18"/>
              </w:rPr>
              <w:t xml:space="preserve"> (Ben-Dov 1994; Walton and Pringle 2004).</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i/>
                <w:szCs w:val="18"/>
              </w:rPr>
            </w:pPr>
            <w:r>
              <w:rPr>
                <w:rFonts w:ascii="Helvetica" w:hAnsi="Helvetica" w:cs="Helvetica"/>
                <w:i/>
                <w:szCs w:val="18"/>
              </w:rPr>
              <w:t xml:space="preserve">Planococcus lilacinus </w:t>
            </w:r>
            <w:r>
              <w:rPr>
                <w:rFonts w:ascii="Helvetica" w:hAnsi="Helvetica" w:cs="Helvetica"/>
                <w:szCs w:val="18"/>
              </w:rPr>
              <w:t>Cockerell</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Dactvlopius crotonis, Planococcus citri, P. crotonis, P. lilacinus, P. tavabanus, Ps</w:t>
            </w:r>
            <w:smartTag w:uri="urn:schemas-microsoft-com:office:smarttags" w:element="PersonName">
              <w:r>
                <w:rPr>
                  <w:rFonts w:ascii="Helvetica" w:hAnsi="Helvetica" w:cs="Helvetica"/>
                  <w:i/>
                  <w:szCs w:val="18"/>
                </w:rPr>
                <w:t>eu</w:t>
              </w:r>
            </w:smartTag>
            <w:r>
              <w:rPr>
                <w:rFonts w:ascii="Helvetica" w:hAnsi="Helvetica" w:cs="Helvetica"/>
                <w:i/>
                <w:szCs w:val="18"/>
              </w:rPr>
              <w:t>dococcus lilacinus, P. tavabanus, P. crotonis, P. deceptor, Tylococcus mauritiensis</w:t>
            </w:r>
            <w:r>
              <w:rPr>
                <w:rFonts w:ascii="Helvetica" w:hAnsi="Helvetica" w:cs="Helvetica"/>
                <w:szCs w:val="18"/>
              </w:rPr>
              <w:t xml:space="preserve"> (USDA 1995).</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szCs w:val="18"/>
              </w:rPr>
              <w:t>Coffee mealybug, Cocoa mealybug</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autoSpaceDE w:val="0"/>
              <w:autoSpaceDN w:val="0"/>
              <w:spacing w:before="40" w:after="40" w:line="240" w:lineRule="atLeast"/>
              <w:jc w:val="left"/>
              <w:rPr>
                <w:rFonts w:ascii="Helvetica" w:hAnsi="Helvetica" w:cs="Helvetica"/>
                <w:sz w:val="18"/>
                <w:szCs w:val="18"/>
              </w:rPr>
            </w:pPr>
            <w:r>
              <w:rPr>
                <w:rFonts w:ascii="Helvetica" w:hAnsi="Helvetica" w:cs="Helvetica"/>
                <w:i/>
                <w:sz w:val="18"/>
                <w:szCs w:val="18"/>
              </w:rPr>
              <w:t>P. lilacinus</w:t>
            </w:r>
            <w:r>
              <w:rPr>
                <w:rFonts w:ascii="Helvetica" w:hAnsi="Helvetica" w:cs="Helvetica"/>
                <w:sz w:val="18"/>
                <w:szCs w:val="18"/>
              </w:rPr>
              <w:t xml:space="preserve"> is extremely polyphagous, feeding on tropical and sub-tropical fruit and shade trees within 35 families (Williams 1982; Cox 1989; Ben-Dov 1994). Hosts include</w:t>
            </w:r>
            <w:r>
              <w:rPr>
                <w:rFonts w:ascii="Helvetica" w:hAnsi="Helvetica" w:cs="Helvetica"/>
                <w:i/>
                <w:sz w:val="18"/>
                <w:szCs w:val="18"/>
              </w:rPr>
              <w:t xml:space="preserve"> Adenophyllum </w:t>
            </w:r>
            <w:r>
              <w:rPr>
                <w:rFonts w:ascii="Helvetica" w:hAnsi="Helvetica" w:cs="Helvetica"/>
                <w:sz w:val="18"/>
                <w:szCs w:val="18"/>
              </w:rPr>
              <w:t xml:space="preserve">spp.; </w:t>
            </w:r>
            <w:r>
              <w:rPr>
                <w:rFonts w:ascii="Helvetica" w:hAnsi="Helvetica" w:cs="Helvetica"/>
                <w:i/>
                <w:sz w:val="18"/>
                <w:szCs w:val="18"/>
              </w:rPr>
              <w:t xml:space="preserve">Ailanthus </w:t>
            </w:r>
            <w:r>
              <w:rPr>
                <w:rFonts w:ascii="Helvetica" w:hAnsi="Helvetica" w:cs="Helvetica"/>
                <w:sz w:val="18"/>
                <w:szCs w:val="18"/>
              </w:rPr>
              <w:t xml:space="preserve">spp.; </w:t>
            </w:r>
            <w:r>
              <w:rPr>
                <w:rFonts w:ascii="Helvetica" w:hAnsi="Helvetica" w:cs="Helvetica"/>
                <w:i/>
                <w:sz w:val="18"/>
                <w:szCs w:val="18"/>
              </w:rPr>
              <w:t>Albizia lebbeck</w:t>
            </w:r>
            <w:r>
              <w:rPr>
                <w:rFonts w:ascii="Helvetica" w:hAnsi="Helvetica" w:cs="Helvetica"/>
                <w:sz w:val="18"/>
                <w:szCs w:val="18"/>
              </w:rPr>
              <w:t>;</w:t>
            </w:r>
            <w:r>
              <w:rPr>
                <w:rFonts w:ascii="Helvetica" w:hAnsi="Helvetica" w:cs="Helvetica"/>
                <w:i/>
                <w:sz w:val="18"/>
                <w:szCs w:val="18"/>
              </w:rPr>
              <w:t xml:space="preserve"> Alphitonia incana</w:t>
            </w:r>
            <w:r>
              <w:rPr>
                <w:rFonts w:ascii="Helvetica" w:hAnsi="Helvetica" w:cs="Helvetica"/>
                <w:sz w:val="18"/>
                <w:szCs w:val="18"/>
              </w:rPr>
              <w:t>;</w:t>
            </w:r>
            <w:r>
              <w:rPr>
                <w:rFonts w:ascii="Helvetica" w:hAnsi="Helvetica" w:cs="Helvetica"/>
                <w:i/>
                <w:sz w:val="18"/>
                <w:szCs w:val="18"/>
              </w:rPr>
              <w:t xml:space="preserve"> Annona </w:t>
            </w:r>
            <w:r>
              <w:rPr>
                <w:rFonts w:ascii="Helvetica" w:hAnsi="Helvetica" w:cs="Helvetica"/>
                <w:sz w:val="18"/>
                <w:szCs w:val="18"/>
              </w:rPr>
              <w:t>spp.;</w:t>
            </w:r>
            <w:r>
              <w:rPr>
                <w:rFonts w:ascii="Helvetica" w:hAnsi="Helvetica" w:cs="Helvetica"/>
                <w:i/>
                <w:sz w:val="18"/>
                <w:szCs w:val="18"/>
              </w:rPr>
              <w:t xml:space="preserve"> Apium qraveolens</w:t>
            </w:r>
            <w:r>
              <w:rPr>
                <w:rFonts w:ascii="Helvetica" w:hAnsi="Helvetica" w:cs="Helvetica"/>
                <w:sz w:val="18"/>
                <w:szCs w:val="18"/>
              </w:rPr>
              <w:t>;</w:t>
            </w:r>
            <w:r>
              <w:rPr>
                <w:rFonts w:ascii="Helvetica" w:hAnsi="Helvetica" w:cs="Helvetica"/>
                <w:i/>
                <w:sz w:val="18"/>
                <w:szCs w:val="18"/>
              </w:rPr>
              <w:t xml:space="preserve"> Arachis hypoqea</w:t>
            </w:r>
            <w:r>
              <w:rPr>
                <w:rFonts w:ascii="Helvetica" w:hAnsi="Helvetica" w:cs="Helvetica"/>
                <w:sz w:val="18"/>
                <w:szCs w:val="18"/>
              </w:rPr>
              <w:t>;</w:t>
            </w:r>
            <w:r>
              <w:rPr>
                <w:rFonts w:ascii="Helvetica" w:hAnsi="Helvetica" w:cs="Helvetica"/>
                <w:i/>
                <w:sz w:val="18"/>
                <w:szCs w:val="18"/>
              </w:rPr>
              <w:t xml:space="preserve"> Asteraceae</w:t>
            </w:r>
            <w:r>
              <w:rPr>
                <w:rFonts w:ascii="Helvetica" w:hAnsi="Helvetica" w:cs="Helvetica"/>
                <w:sz w:val="18"/>
                <w:szCs w:val="18"/>
              </w:rPr>
              <w:t>;</w:t>
            </w:r>
            <w:r>
              <w:rPr>
                <w:rFonts w:ascii="Helvetica" w:hAnsi="Helvetica" w:cs="Helvetica"/>
                <w:i/>
                <w:sz w:val="18"/>
                <w:szCs w:val="18"/>
              </w:rPr>
              <w:t xml:space="preserve"> Bauhinia monandra</w:t>
            </w:r>
            <w:r>
              <w:rPr>
                <w:rFonts w:ascii="Helvetica" w:hAnsi="Helvetica" w:cs="Helvetica"/>
                <w:sz w:val="18"/>
                <w:szCs w:val="18"/>
              </w:rPr>
              <w:t>;</w:t>
            </w:r>
            <w:r>
              <w:rPr>
                <w:rFonts w:ascii="Helvetica" w:hAnsi="Helvetica" w:cs="Helvetica"/>
                <w:i/>
                <w:sz w:val="18"/>
                <w:szCs w:val="18"/>
              </w:rPr>
              <w:t xml:space="preserve"> Caianus </w:t>
            </w:r>
            <w:r>
              <w:rPr>
                <w:rFonts w:ascii="Helvetica" w:hAnsi="Helvetica" w:cs="Helvetica"/>
                <w:sz w:val="18"/>
                <w:szCs w:val="18"/>
              </w:rPr>
              <w:t>spp.;</w:t>
            </w:r>
            <w:r>
              <w:rPr>
                <w:rFonts w:ascii="Helvetica" w:hAnsi="Helvetica" w:cs="Helvetica"/>
                <w:i/>
                <w:sz w:val="18"/>
                <w:szCs w:val="18"/>
              </w:rPr>
              <w:t xml:space="preserve"> Calophyllum inophyllum</w:t>
            </w:r>
            <w:r>
              <w:rPr>
                <w:rFonts w:ascii="Helvetica" w:hAnsi="Helvetica" w:cs="Helvetica"/>
                <w:sz w:val="18"/>
                <w:szCs w:val="18"/>
              </w:rPr>
              <w:t>;</w:t>
            </w:r>
            <w:r>
              <w:rPr>
                <w:rFonts w:ascii="Helvetica" w:hAnsi="Helvetica" w:cs="Helvetica"/>
                <w:i/>
                <w:sz w:val="18"/>
                <w:szCs w:val="18"/>
              </w:rPr>
              <w:t xml:space="preserve"> Cananaa oderata</w:t>
            </w:r>
            <w:r>
              <w:rPr>
                <w:rFonts w:ascii="Helvetica" w:hAnsi="Helvetica" w:cs="Helvetica"/>
                <w:sz w:val="18"/>
                <w:szCs w:val="18"/>
              </w:rPr>
              <w:t>;</w:t>
            </w:r>
            <w:r>
              <w:rPr>
                <w:rFonts w:ascii="Helvetica" w:hAnsi="Helvetica" w:cs="Helvetica"/>
                <w:i/>
                <w:sz w:val="18"/>
                <w:szCs w:val="18"/>
              </w:rPr>
              <w:t xml:space="preserve"> Castilloa elastic</w:t>
            </w:r>
            <w:r>
              <w:rPr>
                <w:rFonts w:ascii="Helvetica" w:hAnsi="Helvetica" w:cs="Helvetica"/>
                <w:sz w:val="18"/>
                <w:szCs w:val="18"/>
              </w:rPr>
              <w:t>;</w:t>
            </w:r>
            <w:r>
              <w:rPr>
                <w:rFonts w:ascii="Helvetica" w:hAnsi="Helvetica" w:cs="Helvetica"/>
                <w:i/>
                <w:sz w:val="18"/>
                <w:szCs w:val="18"/>
              </w:rPr>
              <w:t xml:space="preserve"> Citrus aurantium</w:t>
            </w:r>
            <w:r>
              <w:rPr>
                <w:rFonts w:ascii="Helvetica" w:hAnsi="Helvetica" w:cs="Helvetica"/>
                <w:sz w:val="18"/>
                <w:szCs w:val="18"/>
              </w:rPr>
              <w:t>;</w:t>
            </w:r>
            <w:r>
              <w:rPr>
                <w:rFonts w:ascii="Helvetica" w:hAnsi="Helvetica" w:cs="Helvetica"/>
                <w:i/>
                <w:sz w:val="18"/>
                <w:szCs w:val="18"/>
              </w:rPr>
              <w:t xml:space="preserve"> C. grandis</w:t>
            </w:r>
            <w:r>
              <w:rPr>
                <w:rFonts w:ascii="Helvetica" w:hAnsi="Helvetica" w:cs="Helvetica"/>
                <w:sz w:val="18"/>
                <w:szCs w:val="18"/>
              </w:rPr>
              <w:t xml:space="preserve">; </w:t>
            </w:r>
            <w:r>
              <w:rPr>
                <w:rFonts w:ascii="Helvetica" w:hAnsi="Helvetica" w:cs="Helvetica"/>
                <w:i/>
                <w:sz w:val="18"/>
                <w:szCs w:val="18"/>
              </w:rPr>
              <w:t>Cocos nucífera</w:t>
            </w:r>
            <w:r>
              <w:rPr>
                <w:rFonts w:ascii="Helvetica" w:hAnsi="Helvetica" w:cs="Helvetica"/>
                <w:sz w:val="18"/>
                <w:szCs w:val="18"/>
              </w:rPr>
              <w:t>;</w:t>
            </w:r>
            <w:r>
              <w:rPr>
                <w:rFonts w:ascii="Helvetica" w:hAnsi="Helvetica" w:cs="Helvetica"/>
                <w:i/>
                <w:sz w:val="18"/>
                <w:szCs w:val="18"/>
              </w:rPr>
              <w:t xml:space="preserve"> Codia</w:t>
            </w:r>
            <w:smartTag w:uri="urn:schemas-microsoft-com:office:smarttags" w:element="PersonName">
              <w:r>
                <w:rPr>
                  <w:rFonts w:ascii="Helvetica" w:hAnsi="Helvetica" w:cs="Helvetica"/>
                  <w:i/>
                  <w:sz w:val="18"/>
                  <w:szCs w:val="18"/>
                </w:rPr>
                <w:t>eu</w:t>
              </w:r>
            </w:smartTag>
            <w:r>
              <w:rPr>
                <w:rFonts w:ascii="Helvetica" w:hAnsi="Helvetica" w:cs="Helvetica"/>
                <w:i/>
                <w:sz w:val="18"/>
                <w:szCs w:val="18"/>
              </w:rPr>
              <w:t xml:space="preserve">m </w:t>
            </w:r>
            <w:r>
              <w:rPr>
                <w:rFonts w:ascii="Helvetica" w:hAnsi="Helvetica" w:cs="Helvetica"/>
                <w:sz w:val="18"/>
                <w:szCs w:val="18"/>
              </w:rPr>
              <w:t>spp</w:t>
            </w:r>
            <w:r>
              <w:rPr>
                <w:rFonts w:ascii="Helvetica" w:hAnsi="Helvetica" w:cs="Helvetica"/>
                <w:i/>
                <w:sz w:val="18"/>
                <w:szCs w:val="18"/>
              </w:rPr>
              <w:t>.</w:t>
            </w:r>
            <w:r>
              <w:rPr>
                <w:rFonts w:ascii="Helvetica" w:hAnsi="Helvetica" w:cs="Helvetica"/>
                <w:sz w:val="18"/>
                <w:szCs w:val="18"/>
              </w:rPr>
              <w:t>;</w:t>
            </w:r>
            <w:r>
              <w:rPr>
                <w:rFonts w:ascii="Helvetica" w:hAnsi="Helvetica" w:cs="Helvetica"/>
                <w:i/>
                <w:sz w:val="18"/>
                <w:szCs w:val="18"/>
              </w:rPr>
              <w:t xml:space="preserve"> Coffea canephora</w:t>
            </w:r>
            <w:r>
              <w:rPr>
                <w:rFonts w:ascii="Helvetica" w:hAnsi="Helvetica" w:cs="Helvetica"/>
                <w:sz w:val="18"/>
                <w:szCs w:val="18"/>
              </w:rPr>
              <w:t>;</w:t>
            </w:r>
            <w:r>
              <w:rPr>
                <w:rFonts w:ascii="Helvetica" w:hAnsi="Helvetica" w:cs="Helvetica"/>
                <w:i/>
                <w:sz w:val="18"/>
                <w:szCs w:val="18"/>
              </w:rPr>
              <w:t xml:space="preserve"> C. sepahiiala</w:t>
            </w:r>
            <w:r>
              <w:rPr>
                <w:rFonts w:ascii="Helvetica" w:hAnsi="Helvetica" w:cs="Helvetica"/>
                <w:sz w:val="18"/>
                <w:szCs w:val="18"/>
              </w:rPr>
              <w:t xml:space="preserve">; </w:t>
            </w:r>
            <w:r>
              <w:rPr>
                <w:rFonts w:ascii="Helvetica" w:hAnsi="Helvetica" w:cs="Helvetica"/>
                <w:i/>
                <w:sz w:val="18"/>
                <w:szCs w:val="18"/>
              </w:rPr>
              <w:t>Cordia myxa</w:t>
            </w:r>
            <w:r>
              <w:rPr>
                <w:rFonts w:ascii="Helvetica" w:hAnsi="Helvetica" w:cs="Helvetica"/>
                <w:sz w:val="18"/>
                <w:szCs w:val="18"/>
              </w:rPr>
              <w:t>;</w:t>
            </w:r>
            <w:r>
              <w:rPr>
                <w:rFonts w:ascii="Helvetica" w:hAnsi="Helvetica" w:cs="Helvetica"/>
                <w:i/>
                <w:sz w:val="18"/>
                <w:szCs w:val="18"/>
              </w:rPr>
              <w:t xml:space="preserve"> Couroupita quianensis</w:t>
            </w:r>
            <w:r>
              <w:rPr>
                <w:rFonts w:ascii="Helvetica" w:hAnsi="Helvetica" w:cs="Helvetica"/>
                <w:sz w:val="18"/>
                <w:szCs w:val="18"/>
              </w:rPr>
              <w:t xml:space="preserve">; </w:t>
            </w:r>
            <w:r>
              <w:rPr>
                <w:rFonts w:ascii="Helvetica" w:hAnsi="Helvetica" w:cs="Helvetica"/>
                <w:i/>
                <w:sz w:val="18"/>
                <w:szCs w:val="18"/>
              </w:rPr>
              <w:t xml:space="preserve">Dioscorea </w:t>
            </w:r>
            <w:r>
              <w:rPr>
                <w:rFonts w:ascii="Helvetica" w:hAnsi="Helvetica" w:cs="Helvetica"/>
                <w:sz w:val="18"/>
                <w:szCs w:val="18"/>
              </w:rPr>
              <w:t>spp.;</w:t>
            </w:r>
            <w:r>
              <w:rPr>
                <w:rFonts w:ascii="Helvetica" w:hAnsi="Helvetica" w:cs="Helvetica"/>
                <w:i/>
                <w:sz w:val="18"/>
                <w:szCs w:val="18"/>
              </w:rPr>
              <w:t xml:space="preserve"> Dipterocarpus </w:t>
            </w:r>
            <w:r>
              <w:rPr>
                <w:rFonts w:ascii="Helvetica" w:hAnsi="Helvetica" w:cs="Helvetica"/>
                <w:sz w:val="18"/>
                <w:szCs w:val="18"/>
              </w:rPr>
              <w:t>spp.;</w:t>
            </w:r>
            <w:r>
              <w:rPr>
                <w:rFonts w:ascii="Helvetica" w:hAnsi="Helvetica" w:cs="Helvetica"/>
                <w:i/>
                <w:sz w:val="18"/>
                <w:szCs w:val="18"/>
              </w:rPr>
              <w:t xml:space="preserve"> Ervthrin lithosperma</w:t>
            </w:r>
            <w:r>
              <w:rPr>
                <w:rFonts w:ascii="Helvetica" w:hAnsi="Helvetica" w:cs="Helvetica"/>
                <w:sz w:val="18"/>
                <w:szCs w:val="18"/>
              </w:rPr>
              <w:t>;</w:t>
            </w:r>
            <w:r>
              <w:rPr>
                <w:rFonts w:ascii="Helvetica" w:hAnsi="Helvetica" w:cs="Helvetica"/>
                <w:i/>
                <w:sz w:val="18"/>
                <w:szCs w:val="18"/>
              </w:rPr>
              <w:t xml:space="preserve"> E. indica, E. variegata, Euphorbia pyrifolia, Euqenia mespiloides, Ficus rubra, Gladiolus carmels</w:t>
            </w:r>
            <w:r>
              <w:rPr>
                <w:rFonts w:ascii="Helvetica" w:hAnsi="Helvetica" w:cs="Helvetica"/>
                <w:sz w:val="18"/>
                <w:szCs w:val="18"/>
              </w:rPr>
              <w:t>;</w:t>
            </w:r>
            <w:r>
              <w:rPr>
                <w:rFonts w:ascii="Helvetica" w:hAnsi="Helvetica" w:cs="Helvetica"/>
                <w:i/>
                <w:sz w:val="18"/>
                <w:szCs w:val="18"/>
              </w:rPr>
              <w:t xml:space="preserve"> Hibiscus rosa-sinensis</w:t>
            </w:r>
            <w:r>
              <w:rPr>
                <w:rFonts w:ascii="Helvetica" w:hAnsi="Helvetica" w:cs="Helvetica"/>
                <w:sz w:val="18"/>
                <w:szCs w:val="18"/>
              </w:rPr>
              <w:t>;</w:t>
            </w:r>
            <w:r>
              <w:rPr>
                <w:rFonts w:ascii="Helvetica" w:hAnsi="Helvetica" w:cs="Helvetica"/>
                <w:i/>
                <w:sz w:val="18"/>
                <w:szCs w:val="18"/>
              </w:rPr>
              <w:t xml:space="preserve"> Hvmenaea </w:t>
            </w:r>
            <w:r>
              <w:rPr>
                <w:rFonts w:ascii="Helvetica" w:hAnsi="Helvetica" w:cs="Helvetica"/>
                <w:sz w:val="18"/>
                <w:szCs w:val="18"/>
              </w:rPr>
              <w:t>spp.;</w:t>
            </w:r>
            <w:r>
              <w:rPr>
                <w:rFonts w:ascii="Helvetica" w:hAnsi="Helvetica" w:cs="Helvetica"/>
                <w:i/>
                <w:sz w:val="18"/>
                <w:szCs w:val="18"/>
              </w:rPr>
              <w:t xml:space="preserve"> Litchi </w:t>
            </w:r>
            <w:r>
              <w:rPr>
                <w:rFonts w:ascii="Helvetica" w:hAnsi="Helvetica" w:cs="Helvetica"/>
                <w:sz w:val="18"/>
                <w:szCs w:val="18"/>
              </w:rPr>
              <w:t>spp.;</w:t>
            </w:r>
            <w:r>
              <w:rPr>
                <w:rFonts w:ascii="Helvetica" w:hAnsi="Helvetica" w:cs="Helvetica"/>
                <w:i/>
                <w:sz w:val="18"/>
                <w:szCs w:val="18"/>
              </w:rPr>
              <w:t xml:space="preserve"> Mallotus iaponicus</w:t>
            </w:r>
            <w:r>
              <w:rPr>
                <w:rFonts w:ascii="Helvetica" w:hAnsi="Helvetica" w:cs="Helvetica"/>
                <w:sz w:val="18"/>
                <w:szCs w:val="18"/>
              </w:rPr>
              <w:t>;</w:t>
            </w:r>
            <w:r>
              <w:rPr>
                <w:rFonts w:ascii="Helvetica" w:hAnsi="Helvetica" w:cs="Helvetica"/>
                <w:i/>
                <w:sz w:val="18"/>
                <w:szCs w:val="18"/>
              </w:rPr>
              <w:t xml:space="preserve"> Mangifera indica</w:t>
            </w:r>
            <w:r>
              <w:rPr>
                <w:rFonts w:ascii="Helvetica" w:hAnsi="Helvetica" w:cs="Helvetica"/>
                <w:sz w:val="18"/>
                <w:szCs w:val="18"/>
              </w:rPr>
              <w:t>;</w:t>
            </w:r>
            <w:r>
              <w:rPr>
                <w:rFonts w:ascii="Helvetica" w:hAnsi="Helvetica" w:cs="Helvetica"/>
                <w:i/>
                <w:sz w:val="18"/>
                <w:szCs w:val="18"/>
              </w:rPr>
              <w:t xml:space="preserve"> Nicotiana tabacum</w:t>
            </w:r>
            <w:r>
              <w:rPr>
                <w:rFonts w:ascii="Helvetica" w:hAnsi="Helvetica" w:cs="Helvetica"/>
                <w:sz w:val="18"/>
                <w:szCs w:val="18"/>
              </w:rPr>
              <w:t>;</w:t>
            </w:r>
            <w:r>
              <w:rPr>
                <w:rFonts w:ascii="Helvetica" w:hAnsi="Helvetica" w:cs="Helvetica"/>
                <w:i/>
                <w:sz w:val="18"/>
                <w:szCs w:val="18"/>
              </w:rPr>
              <w:t xml:space="preserve"> Ochroma </w:t>
            </w:r>
            <w:r>
              <w:rPr>
                <w:rFonts w:ascii="Helvetica" w:hAnsi="Helvetica" w:cs="Helvetica"/>
                <w:sz w:val="18"/>
                <w:szCs w:val="18"/>
              </w:rPr>
              <w:t>sp;</w:t>
            </w:r>
            <w:r>
              <w:rPr>
                <w:rFonts w:ascii="Helvetica" w:hAnsi="Helvetica" w:cs="Helvetica"/>
                <w:i/>
                <w:sz w:val="18"/>
                <w:szCs w:val="18"/>
              </w:rPr>
              <w:t xml:space="preserve"> Pandanus </w:t>
            </w:r>
            <w:r>
              <w:rPr>
                <w:rFonts w:ascii="Helvetica" w:hAnsi="Helvetica" w:cs="Helvetica"/>
                <w:sz w:val="18"/>
                <w:szCs w:val="18"/>
              </w:rPr>
              <w:t>spp.;</w:t>
            </w:r>
            <w:r>
              <w:rPr>
                <w:rFonts w:ascii="Helvetica" w:hAnsi="Helvetica" w:cs="Helvetica"/>
                <w:i/>
                <w:sz w:val="18"/>
                <w:szCs w:val="18"/>
              </w:rPr>
              <w:t xml:space="preserve"> Phoenix dactylifera</w:t>
            </w:r>
            <w:r>
              <w:rPr>
                <w:rFonts w:ascii="Helvetica" w:hAnsi="Helvetica" w:cs="Helvetica"/>
                <w:sz w:val="18"/>
                <w:szCs w:val="18"/>
              </w:rPr>
              <w:t xml:space="preserve">; </w:t>
            </w:r>
            <w:r>
              <w:rPr>
                <w:rFonts w:ascii="Helvetica" w:hAnsi="Helvetica" w:cs="Helvetica"/>
                <w:i/>
                <w:sz w:val="18"/>
                <w:szCs w:val="18"/>
              </w:rPr>
              <w:t>Ponqamia pinnata</w:t>
            </w:r>
            <w:r>
              <w:rPr>
                <w:rFonts w:ascii="Helvetica" w:hAnsi="Helvetica" w:cs="Helvetica"/>
                <w:sz w:val="18"/>
                <w:szCs w:val="18"/>
              </w:rPr>
              <w:t>;</w:t>
            </w:r>
            <w:r>
              <w:rPr>
                <w:rFonts w:ascii="Helvetica" w:hAnsi="Helvetica" w:cs="Helvetica"/>
                <w:i/>
                <w:sz w:val="18"/>
                <w:szCs w:val="18"/>
              </w:rPr>
              <w:t xml:space="preserve"> Prosopis iuliflora</w:t>
            </w:r>
            <w:r>
              <w:rPr>
                <w:rFonts w:ascii="Helvetica" w:hAnsi="Helvetica" w:cs="Helvetica"/>
                <w:sz w:val="18"/>
                <w:szCs w:val="18"/>
              </w:rPr>
              <w:t xml:space="preserve">; </w:t>
            </w:r>
            <w:r>
              <w:rPr>
                <w:rFonts w:ascii="Helvetica" w:hAnsi="Helvetica" w:cs="Helvetica"/>
                <w:i/>
                <w:sz w:val="18"/>
                <w:szCs w:val="18"/>
              </w:rPr>
              <w:t>Psidium quaiava</w:t>
            </w:r>
            <w:r>
              <w:rPr>
                <w:rFonts w:ascii="Helvetica" w:hAnsi="Helvetica" w:cs="Helvetica"/>
                <w:sz w:val="18"/>
                <w:szCs w:val="18"/>
              </w:rPr>
              <w:t xml:space="preserve">; </w:t>
            </w:r>
            <w:r>
              <w:rPr>
                <w:rFonts w:ascii="Helvetica" w:hAnsi="Helvetica" w:cs="Helvetica"/>
                <w:i/>
                <w:sz w:val="18"/>
                <w:szCs w:val="18"/>
              </w:rPr>
              <w:t>Púnica qranatum</w:t>
            </w:r>
            <w:r>
              <w:rPr>
                <w:rFonts w:ascii="Helvetica" w:hAnsi="Helvetica" w:cs="Helvetica"/>
                <w:sz w:val="18"/>
                <w:szCs w:val="18"/>
              </w:rPr>
              <w:t>;</w:t>
            </w:r>
            <w:r>
              <w:rPr>
                <w:rFonts w:ascii="Helvetica" w:hAnsi="Helvetica" w:cs="Helvetica"/>
                <w:i/>
                <w:sz w:val="18"/>
                <w:szCs w:val="18"/>
              </w:rPr>
              <w:t>Tamarindus indica</w:t>
            </w:r>
            <w:r>
              <w:rPr>
                <w:rFonts w:ascii="Helvetica" w:hAnsi="Helvetica" w:cs="Helvetica"/>
                <w:sz w:val="18"/>
                <w:szCs w:val="18"/>
              </w:rPr>
              <w:t>;</w:t>
            </w:r>
            <w:r>
              <w:rPr>
                <w:rFonts w:ascii="Helvetica" w:hAnsi="Helvetica" w:cs="Helvetica"/>
                <w:i/>
                <w:sz w:val="18"/>
                <w:szCs w:val="18"/>
              </w:rPr>
              <w:t xml:space="preserve"> Tectona grandis</w:t>
            </w:r>
            <w:r>
              <w:rPr>
                <w:rFonts w:ascii="Helvetica" w:hAnsi="Helvetica" w:cs="Helvetica"/>
                <w:sz w:val="18"/>
                <w:szCs w:val="18"/>
              </w:rPr>
              <w:t xml:space="preserve">; </w:t>
            </w:r>
            <w:r>
              <w:rPr>
                <w:rFonts w:ascii="Helvetica" w:hAnsi="Helvetica" w:cs="Helvetica"/>
                <w:i/>
                <w:sz w:val="18"/>
                <w:szCs w:val="18"/>
              </w:rPr>
              <w:t>Theobroma cacao</w:t>
            </w:r>
            <w:r>
              <w:rPr>
                <w:rFonts w:ascii="Helvetica" w:hAnsi="Helvetica" w:cs="Helvetica"/>
                <w:sz w:val="18"/>
                <w:szCs w:val="18"/>
              </w:rPr>
              <w:t>;</w:t>
            </w:r>
            <w:r>
              <w:rPr>
                <w:rFonts w:ascii="Helvetica" w:hAnsi="Helvetica" w:cs="Helvetica"/>
                <w:i/>
                <w:sz w:val="18"/>
                <w:szCs w:val="18"/>
              </w:rPr>
              <w:t xml:space="preserve"> Vitis vinifera</w:t>
            </w:r>
            <w:r>
              <w:rPr>
                <w:rFonts w:ascii="Helvetica" w:hAnsi="Helvetica" w:cs="Helvetica"/>
                <w:sz w:val="18"/>
                <w:szCs w:val="18"/>
              </w:rPr>
              <w:t>;</w:t>
            </w:r>
            <w:r>
              <w:rPr>
                <w:rFonts w:ascii="Helvetica" w:hAnsi="Helvetica" w:cs="Helvetica"/>
                <w:i/>
                <w:sz w:val="18"/>
                <w:szCs w:val="18"/>
              </w:rPr>
              <w:t xml:space="preserve"> Zizvphus iuiuba </w:t>
            </w:r>
            <w:r>
              <w:rPr>
                <w:rFonts w:ascii="Helvetica" w:hAnsi="Helvetica" w:cs="Helvetica"/>
                <w:sz w:val="18"/>
                <w:szCs w:val="18"/>
              </w:rPr>
              <w:t>(Williams 1982; Cox 1989; Ben-Dov 1994; USDA 1995).</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autoSpaceDE w:val="0"/>
              <w:autoSpaceDN w:val="0"/>
              <w:spacing w:before="40" w:after="40" w:line="240" w:lineRule="atLeast"/>
              <w:jc w:val="left"/>
              <w:rPr>
                <w:rFonts w:ascii="Helvetica" w:hAnsi="Helvetica" w:cs="Helvetica"/>
                <w:sz w:val="18"/>
                <w:szCs w:val="18"/>
              </w:rPr>
            </w:pPr>
            <w:r>
              <w:rPr>
                <w:rFonts w:ascii="Helvetica" w:hAnsi="Helvetica" w:cs="Helvetica"/>
                <w:sz w:val="18"/>
                <w:szCs w:val="18"/>
              </w:rPr>
              <w:t>Aden, Bangladesh, Borneo, Burma, Cambodia, Cocos Keeling Island, China, Comoros, Dominican Republic, El Salvador, Guyana, Haiti, India, Indonesia, Japan, Java, Madagascar, Mauritius, Papua New Guinea, Philippines, Rodriguez Island, Seychelles, Sri Lanka, Taiwan, Thailand, Vietnam, West Malayasia (USDA 1995).</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Planococcus kraunhiae</w:t>
            </w:r>
            <w:r>
              <w:rPr>
                <w:rFonts w:ascii="Helvetica" w:hAnsi="Helvetica" w:cs="Helvetica"/>
                <w:szCs w:val="18"/>
              </w:rPr>
              <w:t xml:space="preserve"> (Kuwana, 1902)</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autoSpaceDE w:val="0"/>
              <w:autoSpaceDN w:val="0"/>
              <w:spacing w:before="40" w:after="40" w:line="240" w:lineRule="atLeast"/>
              <w:jc w:val="left"/>
              <w:rPr>
                <w:rFonts w:ascii="Arial" w:hAnsi="Arial" w:cs="Arial"/>
                <w:sz w:val="18"/>
                <w:szCs w:val="18"/>
              </w:rPr>
            </w:pPr>
            <w:r>
              <w:rPr>
                <w:rFonts w:ascii="Arial" w:hAnsi="Arial" w:cs="Arial"/>
                <w:i/>
                <w:color w:val="000000"/>
                <w:sz w:val="18"/>
                <w:szCs w:val="18"/>
              </w:rPr>
              <w:t xml:space="preserve">Dactylopius kraunhiae </w:t>
            </w:r>
            <w:r>
              <w:rPr>
                <w:rFonts w:ascii="Arial" w:hAnsi="Arial" w:cs="Arial"/>
                <w:color w:val="000000"/>
                <w:sz w:val="18"/>
                <w:szCs w:val="18"/>
              </w:rPr>
              <w:t xml:space="preserve">Kuwana 1902, </w:t>
            </w:r>
            <w:r>
              <w:rPr>
                <w:rFonts w:ascii="Arial" w:hAnsi="Arial" w:cs="Arial"/>
                <w:i/>
                <w:color w:val="000000"/>
                <w:sz w:val="18"/>
                <w:szCs w:val="18"/>
              </w:rPr>
              <w:t xml:space="preserve">Planococcus siakwanensis </w:t>
            </w:r>
            <w:r>
              <w:rPr>
                <w:rFonts w:ascii="Arial" w:hAnsi="Arial" w:cs="Arial"/>
                <w:color w:val="000000"/>
                <w:sz w:val="18"/>
                <w:szCs w:val="18"/>
              </w:rPr>
              <w:t>Borchsenius 1962</w:t>
            </w:r>
            <w:r>
              <w:rPr>
                <w:rFonts w:ascii="Arial" w:hAnsi="Arial" w:cs="Arial"/>
                <w:i/>
                <w:color w:val="000000"/>
                <w:sz w:val="18"/>
                <w:szCs w:val="18"/>
              </w:rPr>
              <w:t xml:space="preserve">, Dactylopius krounhiae </w:t>
            </w:r>
            <w:r>
              <w:rPr>
                <w:rFonts w:ascii="Arial" w:hAnsi="Arial" w:cs="Arial"/>
                <w:color w:val="000000"/>
                <w:sz w:val="18"/>
                <w:szCs w:val="18"/>
              </w:rPr>
              <w:t xml:space="preserve">Kuwana 1917, </w:t>
            </w:r>
            <w:r>
              <w:rPr>
                <w:rFonts w:ascii="Arial" w:hAnsi="Arial" w:cs="Arial"/>
                <w:i/>
                <w:color w:val="000000"/>
                <w:sz w:val="18"/>
                <w:szCs w:val="18"/>
              </w:rPr>
              <w:t xml:space="preserve">Planococcus kraunhiae </w:t>
            </w:r>
            <w:r>
              <w:rPr>
                <w:rFonts w:ascii="Arial" w:hAnsi="Arial" w:cs="Arial"/>
                <w:color w:val="000000"/>
                <w:sz w:val="18"/>
                <w:szCs w:val="18"/>
              </w:rPr>
              <w:t xml:space="preserve">Ferris 1950, </w:t>
            </w:r>
            <w:r>
              <w:rPr>
                <w:rFonts w:ascii="Arial" w:hAnsi="Arial" w:cs="Arial"/>
                <w:i/>
                <w:sz w:val="18"/>
                <w:szCs w:val="18"/>
              </w:rPr>
              <w:t xml:space="preserve">Pseudococcus kraunhiae </w:t>
            </w:r>
            <w:r>
              <w:rPr>
                <w:rFonts w:ascii="Arial" w:hAnsi="Arial" w:cs="Arial"/>
                <w:sz w:val="18"/>
                <w:szCs w:val="18"/>
              </w:rPr>
              <w:t>Fernald, 1903</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line="240" w:lineRule="atLeast"/>
              <w:jc w:val="left"/>
              <w:rPr>
                <w:rFonts w:ascii="Helvetica" w:hAnsi="Helvetica" w:cs="Helvetica"/>
                <w:szCs w:val="18"/>
              </w:rPr>
            </w:pPr>
            <w:r>
              <w:rPr>
                <w:rFonts w:ascii="Helvetica" w:hAnsi="Helvetica" w:cs="Helvetica"/>
                <w:szCs w:val="18"/>
              </w:rPr>
              <w:t>Japanese mealybug</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vAlign w:val="center"/>
          </w:tcPr>
          <w:p>
            <w:pPr>
              <w:autoSpaceDE w:val="0"/>
              <w:autoSpaceDN w:val="0"/>
              <w:spacing w:before="40" w:after="40" w:line="240" w:lineRule="atLeast"/>
              <w:jc w:val="left"/>
              <w:rPr>
                <w:rFonts w:ascii="Arial" w:hAnsi="Arial" w:cs="Arial"/>
                <w:sz w:val="18"/>
                <w:szCs w:val="18"/>
                <w:lang w:val="en-US"/>
              </w:rPr>
            </w:pPr>
            <w:r>
              <w:rPr>
                <w:rFonts w:ascii="Arial" w:hAnsi="Arial" w:cs="Arial"/>
                <w:i/>
                <w:sz w:val="18"/>
                <w:szCs w:val="18"/>
              </w:rPr>
              <w:t>Actinidia</w:t>
            </w:r>
            <w:r>
              <w:rPr>
                <w:rFonts w:ascii="Arial" w:hAnsi="Arial" w:cs="Arial"/>
                <w:sz w:val="18"/>
                <w:szCs w:val="18"/>
              </w:rPr>
              <w:t xml:space="preserve"> (kiwifruit), </w:t>
            </w:r>
            <w:r>
              <w:rPr>
                <w:rFonts w:ascii="Arial" w:hAnsi="Arial" w:cs="Arial"/>
                <w:i/>
                <w:sz w:val="18"/>
                <w:szCs w:val="18"/>
              </w:rPr>
              <w:t>Agave americana</w:t>
            </w:r>
            <w:r>
              <w:rPr>
                <w:rFonts w:ascii="Arial" w:hAnsi="Arial" w:cs="Arial"/>
                <w:sz w:val="18"/>
                <w:szCs w:val="18"/>
              </w:rPr>
              <w:t xml:space="preserve"> (Century plant), </w:t>
            </w:r>
            <w:r>
              <w:rPr>
                <w:rFonts w:ascii="Arial" w:hAnsi="Arial" w:cs="Arial"/>
                <w:i/>
                <w:sz w:val="18"/>
                <w:szCs w:val="18"/>
              </w:rPr>
              <w:t>Artocarpus lanceolata</w:t>
            </w:r>
            <w:r>
              <w:rPr>
                <w:rFonts w:ascii="Arial" w:hAnsi="Arial" w:cs="Arial"/>
                <w:sz w:val="18"/>
                <w:szCs w:val="18"/>
              </w:rPr>
              <w:t xml:space="preserve">, </w:t>
            </w:r>
            <w:r>
              <w:rPr>
                <w:rFonts w:ascii="Arial" w:hAnsi="Arial" w:cs="Arial"/>
                <w:i/>
                <w:sz w:val="18"/>
                <w:szCs w:val="18"/>
              </w:rPr>
              <w:t>Broussonetia kazinoki</w:t>
            </w:r>
            <w:r>
              <w:rPr>
                <w:rFonts w:ascii="Arial" w:hAnsi="Arial" w:cs="Arial"/>
                <w:sz w:val="18"/>
                <w:szCs w:val="18"/>
              </w:rPr>
              <w:t xml:space="preserve"> (Japanese paper mulberry), </w:t>
            </w:r>
            <w:r>
              <w:rPr>
                <w:rFonts w:ascii="Arial" w:hAnsi="Arial" w:cs="Arial"/>
                <w:i/>
                <w:sz w:val="18"/>
                <w:szCs w:val="18"/>
              </w:rPr>
              <w:t>Casuarina stricta</w:t>
            </w:r>
            <w:r>
              <w:rPr>
                <w:rFonts w:ascii="Arial" w:hAnsi="Arial" w:cs="Arial"/>
                <w:sz w:val="18"/>
                <w:szCs w:val="18"/>
              </w:rPr>
              <w:t xml:space="preserve"> (she oak</w:t>
            </w:r>
            <w:r>
              <w:rPr>
                <w:rFonts w:ascii="Arial" w:eastAsia="MS Mincho" w:hAnsi="Arial" w:cs="Arial"/>
                <w:sz w:val="18"/>
                <w:szCs w:val="18"/>
              </w:rPr>
              <w:t>)</w:t>
            </w:r>
            <w:r>
              <w:rPr>
                <w:rFonts w:ascii="Arial" w:hAnsi="Arial" w:cs="Arial"/>
                <w:sz w:val="18"/>
                <w:szCs w:val="18"/>
              </w:rPr>
              <w:t xml:space="preserve">, </w:t>
            </w:r>
            <w:r>
              <w:rPr>
                <w:rFonts w:ascii="Arial" w:hAnsi="Arial" w:cs="Arial"/>
                <w:i/>
                <w:sz w:val="18"/>
                <w:szCs w:val="18"/>
              </w:rPr>
              <w:t>Citrus junos</w:t>
            </w:r>
            <w:r>
              <w:rPr>
                <w:rFonts w:ascii="Arial" w:hAnsi="Arial" w:cs="Arial"/>
                <w:sz w:val="18"/>
                <w:szCs w:val="18"/>
              </w:rPr>
              <w:t xml:space="preserve"> (yuzu</w:t>
            </w:r>
            <w:r>
              <w:rPr>
                <w:rFonts w:ascii="Arial" w:eastAsia="MS Mincho" w:hAnsi="Arial" w:cs="Arial"/>
                <w:sz w:val="18"/>
                <w:szCs w:val="18"/>
              </w:rPr>
              <w:t>)</w:t>
            </w:r>
            <w:r>
              <w:rPr>
                <w:rFonts w:ascii="Arial" w:hAnsi="Arial" w:cs="Arial"/>
                <w:sz w:val="18"/>
                <w:szCs w:val="18"/>
              </w:rPr>
              <w:t xml:space="preserve">, </w:t>
            </w:r>
            <w:r>
              <w:rPr>
                <w:rFonts w:ascii="Arial" w:hAnsi="Arial" w:cs="Arial"/>
                <w:i/>
                <w:sz w:val="18"/>
                <w:szCs w:val="18"/>
              </w:rPr>
              <w:t>Citrus nobilis</w:t>
            </w:r>
            <w:r>
              <w:rPr>
                <w:rFonts w:ascii="Arial" w:hAnsi="Arial" w:cs="Arial"/>
                <w:sz w:val="18"/>
                <w:szCs w:val="18"/>
              </w:rPr>
              <w:t xml:space="preserve"> (tangor</w:t>
            </w:r>
            <w:r>
              <w:rPr>
                <w:rFonts w:ascii="Arial" w:eastAsia="MS Mincho" w:hAnsi="Arial" w:cs="Arial"/>
                <w:sz w:val="18"/>
                <w:szCs w:val="18"/>
              </w:rPr>
              <w:t>)</w:t>
            </w:r>
            <w:r>
              <w:rPr>
                <w:rFonts w:ascii="Arial" w:hAnsi="Arial" w:cs="Arial"/>
                <w:sz w:val="18"/>
                <w:szCs w:val="18"/>
              </w:rPr>
              <w:t xml:space="preserve">, </w:t>
            </w:r>
            <w:r>
              <w:rPr>
                <w:rFonts w:ascii="Arial" w:hAnsi="Arial" w:cs="Arial"/>
                <w:i/>
                <w:sz w:val="18"/>
                <w:szCs w:val="18"/>
              </w:rPr>
              <w:t>Citrus paradisi</w:t>
            </w:r>
            <w:r>
              <w:rPr>
                <w:rFonts w:ascii="Arial" w:hAnsi="Arial" w:cs="Arial"/>
                <w:sz w:val="18"/>
                <w:szCs w:val="18"/>
              </w:rPr>
              <w:t xml:space="preserve"> (grapefruit</w:t>
            </w:r>
            <w:r>
              <w:rPr>
                <w:rFonts w:ascii="Arial" w:eastAsia="MS Mincho" w:hAnsi="Arial" w:cs="Arial"/>
                <w:sz w:val="18"/>
                <w:szCs w:val="18"/>
              </w:rPr>
              <w:t>)</w:t>
            </w:r>
            <w:r>
              <w:rPr>
                <w:rFonts w:ascii="Arial" w:hAnsi="Arial" w:cs="Arial"/>
                <w:sz w:val="18"/>
                <w:szCs w:val="18"/>
              </w:rPr>
              <w:t xml:space="preserve">, </w:t>
            </w:r>
            <w:r>
              <w:rPr>
                <w:rFonts w:ascii="Arial" w:hAnsi="Arial" w:cs="Arial"/>
                <w:i/>
                <w:sz w:val="18"/>
                <w:szCs w:val="18"/>
              </w:rPr>
              <w:t>Codiaeum variegatum pictum</w:t>
            </w:r>
            <w:r>
              <w:rPr>
                <w:rFonts w:ascii="Arial" w:hAnsi="Arial" w:cs="Arial"/>
                <w:sz w:val="18"/>
                <w:szCs w:val="18"/>
              </w:rPr>
              <w:t xml:space="preserve"> (variegated laurel</w:t>
            </w:r>
            <w:r>
              <w:rPr>
                <w:rFonts w:ascii="Arial" w:eastAsia="MS Mincho" w:hAnsi="Arial" w:cs="Arial"/>
                <w:sz w:val="18"/>
                <w:szCs w:val="18"/>
              </w:rPr>
              <w:t>)</w:t>
            </w:r>
            <w:r>
              <w:rPr>
                <w:rFonts w:ascii="Arial" w:hAnsi="Arial" w:cs="Arial"/>
                <w:sz w:val="18"/>
                <w:szCs w:val="18"/>
              </w:rPr>
              <w:t xml:space="preserve">, </w:t>
            </w:r>
            <w:r>
              <w:rPr>
                <w:rFonts w:ascii="Arial" w:hAnsi="Arial" w:cs="Arial"/>
                <w:i/>
                <w:sz w:val="18"/>
                <w:szCs w:val="18"/>
              </w:rPr>
              <w:t>Coffea arabica</w:t>
            </w:r>
            <w:r>
              <w:rPr>
                <w:rFonts w:ascii="Arial" w:hAnsi="Arial" w:cs="Arial"/>
                <w:sz w:val="18"/>
                <w:szCs w:val="18"/>
              </w:rPr>
              <w:t xml:space="preserve"> (coffee), </w:t>
            </w:r>
            <w:r>
              <w:rPr>
                <w:rFonts w:ascii="Arial" w:hAnsi="Arial" w:cs="Arial"/>
                <w:i/>
                <w:sz w:val="18"/>
                <w:szCs w:val="18"/>
              </w:rPr>
              <w:t>Crinum asiaticum</w:t>
            </w:r>
            <w:r>
              <w:rPr>
                <w:rFonts w:ascii="Arial" w:hAnsi="Arial" w:cs="Arial"/>
                <w:sz w:val="18"/>
                <w:szCs w:val="18"/>
              </w:rPr>
              <w:t xml:space="preserve"> (poison bulb</w:t>
            </w:r>
            <w:r>
              <w:rPr>
                <w:rFonts w:ascii="Arial" w:eastAsia="MS Mincho" w:hAnsi="Arial" w:cs="Arial"/>
                <w:sz w:val="18"/>
                <w:szCs w:val="18"/>
              </w:rPr>
              <w:t>)</w:t>
            </w:r>
            <w:r>
              <w:rPr>
                <w:rFonts w:ascii="Arial" w:hAnsi="Arial" w:cs="Arial"/>
                <w:sz w:val="18"/>
                <w:szCs w:val="18"/>
              </w:rPr>
              <w:t xml:space="preserve">, </w:t>
            </w:r>
            <w:r>
              <w:rPr>
                <w:rFonts w:ascii="Arial" w:hAnsi="Arial" w:cs="Arial"/>
                <w:i/>
                <w:sz w:val="18"/>
                <w:szCs w:val="18"/>
              </w:rPr>
              <w:t>Cucurbita moschata</w:t>
            </w:r>
            <w:r>
              <w:rPr>
                <w:rFonts w:ascii="Arial" w:hAnsi="Arial" w:cs="Arial"/>
                <w:sz w:val="18"/>
                <w:szCs w:val="18"/>
              </w:rPr>
              <w:t xml:space="preserve"> (pumpkin)</w:t>
            </w:r>
            <w:r>
              <w:rPr>
                <w:rFonts w:ascii="Arial" w:hAnsi="Arial" w:cs="Arial"/>
                <w:i/>
                <w:sz w:val="18"/>
                <w:szCs w:val="18"/>
              </w:rPr>
              <w:t xml:space="preserve">, Cydonia sinensis </w:t>
            </w:r>
            <w:r>
              <w:rPr>
                <w:rFonts w:ascii="Arial" w:eastAsia="MS Mincho" w:hAnsi="Arial" w:cs="Arial"/>
                <w:sz w:val="18"/>
                <w:szCs w:val="18"/>
              </w:rPr>
              <w:t>(</w:t>
            </w:r>
            <w:r>
              <w:rPr>
                <w:rFonts w:ascii="Arial" w:hAnsi="Arial" w:cs="Arial"/>
                <w:sz w:val="18"/>
                <w:szCs w:val="18"/>
              </w:rPr>
              <w:t>quince</w:t>
            </w:r>
            <w:r>
              <w:rPr>
                <w:rFonts w:ascii="Arial" w:eastAsia="MS Mincho" w:hAnsi="Arial" w:cs="Arial"/>
                <w:sz w:val="18"/>
                <w:szCs w:val="18"/>
              </w:rPr>
              <w:t>)</w:t>
            </w:r>
            <w:r>
              <w:rPr>
                <w:rFonts w:ascii="Arial" w:hAnsi="Arial" w:cs="Arial"/>
                <w:sz w:val="18"/>
                <w:szCs w:val="18"/>
              </w:rPr>
              <w:t xml:space="preserve">, </w:t>
            </w:r>
            <w:r>
              <w:rPr>
                <w:rFonts w:ascii="Arial" w:hAnsi="Arial" w:cs="Arial"/>
                <w:i/>
                <w:sz w:val="18"/>
                <w:szCs w:val="18"/>
              </w:rPr>
              <w:t>Digitaria sanguinalis</w:t>
            </w:r>
            <w:r>
              <w:rPr>
                <w:rFonts w:ascii="Arial" w:hAnsi="Arial" w:cs="Arial"/>
                <w:sz w:val="18"/>
                <w:szCs w:val="18"/>
              </w:rPr>
              <w:t xml:space="preserve"> (crab-grass), </w:t>
            </w:r>
            <w:r>
              <w:rPr>
                <w:rFonts w:ascii="Arial" w:hAnsi="Arial" w:cs="Arial"/>
                <w:i/>
                <w:sz w:val="18"/>
                <w:szCs w:val="18"/>
              </w:rPr>
              <w:t xml:space="preserve">Diospyros </w:t>
            </w:r>
            <w:r>
              <w:rPr>
                <w:rFonts w:ascii="Arial" w:hAnsi="Arial" w:cs="Arial"/>
                <w:sz w:val="18"/>
                <w:szCs w:val="18"/>
              </w:rPr>
              <w:t xml:space="preserve">kaki (Japanese kaki), </w:t>
            </w:r>
            <w:r>
              <w:rPr>
                <w:rFonts w:ascii="Arial" w:hAnsi="Arial" w:cs="Arial"/>
                <w:i/>
                <w:sz w:val="18"/>
                <w:szCs w:val="18"/>
              </w:rPr>
              <w:t>Ficus carica</w:t>
            </w:r>
            <w:r>
              <w:rPr>
                <w:rFonts w:ascii="Arial" w:hAnsi="Arial" w:cs="Arial"/>
                <w:sz w:val="18"/>
                <w:szCs w:val="18"/>
              </w:rPr>
              <w:t xml:space="preserve"> (fig), </w:t>
            </w:r>
            <w:r>
              <w:rPr>
                <w:rFonts w:ascii="Arial" w:hAnsi="Arial" w:cs="Arial"/>
                <w:i/>
                <w:sz w:val="18"/>
                <w:szCs w:val="18"/>
              </w:rPr>
              <w:t>Gardenia jasminoides</w:t>
            </w:r>
            <w:r>
              <w:rPr>
                <w:rFonts w:ascii="Arial" w:hAnsi="Arial" w:cs="Arial"/>
                <w:sz w:val="18"/>
                <w:szCs w:val="18"/>
              </w:rPr>
              <w:t xml:space="preserve"> (common gardenia), </w:t>
            </w:r>
            <w:r>
              <w:rPr>
                <w:rFonts w:ascii="Arial" w:hAnsi="Arial" w:cs="Arial"/>
                <w:i/>
                <w:sz w:val="18"/>
                <w:szCs w:val="18"/>
              </w:rPr>
              <w:t>Ilex</w:t>
            </w:r>
            <w:r>
              <w:rPr>
                <w:rFonts w:ascii="Arial" w:hAnsi="Arial" w:cs="Arial"/>
                <w:sz w:val="18"/>
                <w:szCs w:val="18"/>
              </w:rPr>
              <w:t xml:space="preserve"> (holly)</w:t>
            </w:r>
            <w:r>
              <w:rPr>
                <w:rFonts w:ascii="Arial" w:hAnsi="Arial" w:cs="Arial"/>
                <w:i/>
                <w:sz w:val="18"/>
                <w:szCs w:val="18"/>
              </w:rPr>
              <w:t xml:space="preserve">, Magnolia grandiflora </w:t>
            </w:r>
            <w:r>
              <w:rPr>
                <w:rFonts w:ascii="Arial" w:hAnsi="Arial" w:cs="Arial"/>
                <w:sz w:val="18"/>
                <w:szCs w:val="18"/>
              </w:rPr>
              <w:t xml:space="preserve">(magnolia), </w:t>
            </w:r>
            <w:r>
              <w:rPr>
                <w:rFonts w:ascii="Arial" w:hAnsi="Arial" w:cs="Arial"/>
                <w:i/>
                <w:sz w:val="18"/>
                <w:szCs w:val="18"/>
              </w:rPr>
              <w:t>Mallotus japonicus</w:t>
            </w:r>
            <w:r>
              <w:rPr>
                <w:rFonts w:ascii="Arial" w:hAnsi="Arial" w:cs="Arial"/>
                <w:sz w:val="18"/>
                <w:szCs w:val="18"/>
              </w:rPr>
              <w:t xml:space="preserve"> (green tiger lotus), </w:t>
            </w:r>
            <w:r>
              <w:rPr>
                <w:rFonts w:ascii="Arial" w:hAnsi="Arial" w:cs="Arial"/>
                <w:i/>
                <w:sz w:val="18"/>
                <w:szCs w:val="18"/>
              </w:rPr>
              <w:t>Morus alba</w:t>
            </w:r>
            <w:r>
              <w:rPr>
                <w:rFonts w:ascii="Arial" w:hAnsi="Arial" w:cs="Arial"/>
                <w:sz w:val="18"/>
                <w:szCs w:val="18"/>
              </w:rPr>
              <w:t xml:space="preserve"> (white mulberry), </w:t>
            </w:r>
            <w:r>
              <w:rPr>
                <w:rFonts w:ascii="Arial" w:hAnsi="Arial" w:cs="Arial"/>
                <w:i/>
                <w:sz w:val="18"/>
                <w:szCs w:val="18"/>
              </w:rPr>
              <w:t>Musa basjoo</w:t>
            </w:r>
            <w:r>
              <w:rPr>
                <w:rFonts w:ascii="Arial" w:hAnsi="Arial" w:cs="Arial"/>
                <w:sz w:val="18"/>
                <w:szCs w:val="18"/>
              </w:rPr>
              <w:t xml:space="preserve"> (Japanese banana), </w:t>
            </w:r>
            <w:r>
              <w:rPr>
                <w:rFonts w:ascii="Arial" w:hAnsi="Arial" w:cs="Arial"/>
                <w:i/>
                <w:sz w:val="18"/>
                <w:szCs w:val="18"/>
              </w:rPr>
              <w:t>Nandina domestica</w:t>
            </w:r>
            <w:r>
              <w:rPr>
                <w:rFonts w:ascii="Arial" w:hAnsi="Arial" w:cs="Arial"/>
                <w:sz w:val="18"/>
                <w:szCs w:val="18"/>
              </w:rPr>
              <w:t xml:space="preserve"> (heavenly bamboo), </w:t>
            </w:r>
            <w:r>
              <w:rPr>
                <w:rFonts w:ascii="Arial" w:hAnsi="Arial" w:cs="Arial"/>
                <w:i/>
                <w:sz w:val="18"/>
                <w:szCs w:val="18"/>
              </w:rPr>
              <w:t>Nerium indicum</w:t>
            </w:r>
            <w:r>
              <w:rPr>
                <w:rFonts w:ascii="Arial" w:hAnsi="Arial" w:cs="Arial"/>
                <w:sz w:val="18"/>
                <w:szCs w:val="18"/>
              </w:rPr>
              <w:t xml:space="preserve"> (Indian oleander), </w:t>
            </w:r>
            <w:r>
              <w:rPr>
                <w:rFonts w:ascii="Arial" w:hAnsi="Arial" w:cs="Arial"/>
                <w:i/>
                <w:sz w:val="18"/>
                <w:szCs w:val="18"/>
              </w:rPr>
              <w:t>Olea chrysophylla</w:t>
            </w:r>
            <w:r>
              <w:rPr>
                <w:rFonts w:ascii="Arial" w:hAnsi="Arial" w:cs="Arial"/>
                <w:sz w:val="18"/>
                <w:szCs w:val="18"/>
              </w:rPr>
              <w:t xml:space="preserve"> (African olive), </w:t>
            </w:r>
            <w:r>
              <w:rPr>
                <w:rFonts w:ascii="Arial" w:hAnsi="Arial" w:cs="Arial"/>
                <w:i/>
                <w:sz w:val="18"/>
                <w:szCs w:val="18"/>
              </w:rPr>
              <w:t>Platanus orientalis</w:t>
            </w:r>
            <w:r>
              <w:rPr>
                <w:rFonts w:ascii="Arial" w:hAnsi="Arial" w:cs="Arial"/>
                <w:sz w:val="18"/>
                <w:szCs w:val="18"/>
              </w:rPr>
              <w:t xml:space="preserve"> (oriental planetree), </w:t>
            </w:r>
            <w:r>
              <w:rPr>
                <w:rFonts w:ascii="Arial" w:hAnsi="Arial" w:cs="Arial"/>
                <w:i/>
                <w:sz w:val="18"/>
                <w:szCs w:val="18"/>
              </w:rPr>
              <w:t>Portulaca oleracea</w:t>
            </w:r>
            <w:r>
              <w:rPr>
                <w:rFonts w:ascii="Arial" w:hAnsi="Arial" w:cs="Arial"/>
                <w:sz w:val="18"/>
                <w:szCs w:val="18"/>
              </w:rPr>
              <w:t xml:space="preserve"> (pigweeds), </w:t>
            </w:r>
            <w:r>
              <w:rPr>
                <w:rFonts w:ascii="Arial" w:hAnsi="Arial" w:cs="Arial"/>
                <w:i/>
                <w:sz w:val="18"/>
                <w:szCs w:val="18"/>
              </w:rPr>
              <w:t>Pyrus ussuriensis</w:t>
            </w:r>
            <w:r>
              <w:rPr>
                <w:rFonts w:ascii="Arial" w:hAnsi="Arial" w:cs="Arial"/>
                <w:sz w:val="18"/>
                <w:szCs w:val="18"/>
              </w:rPr>
              <w:t xml:space="preserve"> (ornamental pear), </w:t>
            </w:r>
            <w:r>
              <w:rPr>
                <w:rFonts w:ascii="Arial" w:hAnsi="Arial" w:cs="Arial"/>
                <w:i/>
                <w:sz w:val="18"/>
                <w:szCs w:val="18"/>
              </w:rPr>
              <w:t>Rhododendron indicum</w:t>
            </w:r>
            <w:r>
              <w:rPr>
                <w:rFonts w:ascii="Arial" w:hAnsi="Arial" w:cs="Arial"/>
                <w:sz w:val="18"/>
                <w:szCs w:val="18"/>
              </w:rPr>
              <w:t xml:space="preserve"> (azalea), </w:t>
            </w:r>
            <w:r>
              <w:rPr>
                <w:rFonts w:ascii="Arial" w:hAnsi="Arial" w:cs="Arial"/>
                <w:i/>
                <w:sz w:val="18"/>
                <w:szCs w:val="18"/>
              </w:rPr>
              <w:t>Trachycarpus exelsus fortunei</w:t>
            </w:r>
            <w:r>
              <w:rPr>
                <w:rFonts w:ascii="Arial" w:hAnsi="Arial" w:cs="Arial"/>
                <w:sz w:val="18"/>
                <w:szCs w:val="18"/>
              </w:rPr>
              <w:t xml:space="preserve"> ( wind-mill palm), </w:t>
            </w:r>
            <w:r>
              <w:rPr>
                <w:rFonts w:ascii="Arial" w:hAnsi="Arial" w:cs="Arial"/>
                <w:i/>
                <w:sz w:val="18"/>
                <w:szCs w:val="18"/>
              </w:rPr>
              <w:t>Wisteria floribunda</w:t>
            </w:r>
            <w:r>
              <w:rPr>
                <w:rFonts w:ascii="Arial" w:hAnsi="Arial" w:cs="Arial"/>
                <w:sz w:val="18"/>
                <w:szCs w:val="18"/>
              </w:rPr>
              <w:t xml:space="preserve"> (Japanese wisteria) (Ben-Dov 1994).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vAlign w:val="center"/>
          </w:tcPr>
          <w:p>
            <w:pPr>
              <w:pStyle w:val="TableText0"/>
              <w:spacing w:line="240" w:lineRule="atLeast"/>
              <w:jc w:val="left"/>
              <w:rPr>
                <w:rFonts w:cs="Arial"/>
              </w:rPr>
            </w:pPr>
            <w:r>
              <w:rPr>
                <w:rFonts w:cs="Arial"/>
              </w:rPr>
              <w:t xml:space="preserve">China, Japan, Philippines, South Korea, USA (Ben-Dov </w:t>
            </w:r>
            <w:r>
              <w:rPr>
                <w:rFonts w:cs="Arial"/>
                <w:i/>
              </w:rPr>
              <w:t xml:space="preserve">et </w:t>
            </w:r>
            <w:r>
              <w:rPr>
                <w:rFonts w:cs="Arial"/>
              </w:rPr>
              <w:t>al. 1994).</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iCs/>
                <w:szCs w:val="18"/>
              </w:rPr>
              <w:t>Targionia vitis</w:t>
            </w:r>
            <w:r>
              <w:rPr>
                <w:rFonts w:ascii="Helvetica" w:hAnsi="Helvetica" w:cs="Helvetica"/>
                <w:iCs/>
                <w:szCs w:val="18"/>
              </w:rPr>
              <w:t xml:space="preserve"> Signoret 1876</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Aspidiotus vitis; Diaspis blanckenhorni; Diaspis blankenhornii; Targionia arbutus; Targionia suberi; Targionia vitis; Targionia vitis arbutus; Targionia vitis suberi, Targionia arbutus, Targionia </w:t>
            </w:r>
            <w:r>
              <w:rPr>
                <w:rFonts w:ascii="Helvetica" w:hAnsi="Helvetica" w:cs="Helvetica"/>
                <w:szCs w:val="18"/>
              </w:rPr>
              <w:t xml:space="preserve">suberi (Ben-Dov </w:t>
            </w:r>
            <w:r>
              <w:rPr>
                <w:rFonts w:ascii="Helvetica" w:hAnsi="Helvetica" w:cs="Helvetica"/>
                <w:i/>
                <w:szCs w:val="18"/>
              </w:rPr>
              <w:t>et al</w:t>
            </w:r>
            <w:r>
              <w:rPr>
                <w:rFonts w:ascii="Helvetica" w:hAnsi="Helvetica" w:cs="Helvetica"/>
                <w:szCs w:val="18"/>
              </w:rPr>
              <w:t>. 2012).</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Cs/>
                <w:szCs w:val="18"/>
              </w:rPr>
              <w:t>Grapevine black scale</w:t>
            </w:r>
          </w:p>
        </w:tc>
      </w:tr>
      <w:tr>
        <w:trPr>
          <w:trHeight w:val="239"/>
        </w:trP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i/>
                <w:iCs/>
                <w:szCs w:val="18"/>
              </w:rPr>
              <w:t>Arbutus unedo</w:t>
            </w:r>
            <w:r>
              <w:rPr>
                <w:rFonts w:ascii="Helvetica" w:hAnsi="Helvetica" w:cs="Helvetica"/>
                <w:iCs/>
                <w:szCs w:val="18"/>
              </w:rPr>
              <w:t xml:space="preserve">; </w:t>
            </w:r>
            <w:r>
              <w:rPr>
                <w:rFonts w:ascii="Helvetica" w:hAnsi="Helvetica" w:cs="Helvetica"/>
                <w:i/>
                <w:iCs/>
                <w:szCs w:val="18"/>
              </w:rPr>
              <w:t>Castanea crenata</w:t>
            </w:r>
            <w:r>
              <w:rPr>
                <w:rFonts w:ascii="Helvetica" w:hAnsi="Helvetica" w:cs="Helvetica"/>
                <w:iCs/>
                <w:szCs w:val="18"/>
              </w:rPr>
              <w:t xml:space="preserve">; </w:t>
            </w:r>
            <w:r>
              <w:rPr>
                <w:rFonts w:ascii="Helvetica" w:hAnsi="Helvetica" w:cs="Helvetica"/>
                <w:i/>
                <w:iCs/>
                <w:szCs w:val="18"/>
              </w:rPr>
              <w:t>Castanea sativa</w:t>
            </w:r>
            <w:r>
              <w:rPr>
                <w:rFonts w:ascii="Helvetica" w:hAnsi="Helvetica" w:cs="Helvetica"/>
                <w:iCs/>
                <w:szCs w:val="18"/>
              </w:rPr>
              <w:t xml:space="preserve">; </w:t>
            </w:r>
            <w:r>
              <w:rPr>
                <w:rFonts w:ascii="Helvetica" w:hAnsi="Helvetica" w:cs="Helvetica"/>
                <w:i/>
                <w:iCs/>
                <w:szCs w:val="18"/>
              </w:rPr>
              <w:t>Fagus sylvatica</w:t>
            </w:r>
            <w:r>
              <w:rPr>
                <w:rFonts w:ascii="Helvetica" w:hAnsi="Helvetica" w:cs="Helvetica"/>
                <w:iCs/>
                <w:szCs w:val="18"/>
              </w:rPr>
              <w:t xml:space="preserve">; </w:t>
            </w:r>
            <w:r>
              <w:rPr>
                <w:rFonts w:ascii="Helvetica" w:hAnsi="Helvetica" w:cs="Helvetica"/>
                <w:i/>
                <w:iCs/>
                <w:szCs w:val="18"/>
              </w:rPr>
              <w:t>Platanus orientalis</w:t>
            </w:r>
            <w:r>
              <w:rPr>
                <w:rFonts w:ascii="Helvetica" w:hAnsi="Helvetica" w:cs="Helvetica"/>
                <w:iCs/>
                <w:szCs w:val="18"/>
              </w:rPr>
              <w:t xml:space="preserve">; </w:t>
            </w:r>
            <w:r>
              <w:rPr>
                <w:rFonts w:ascii="Helvetica" w:hAnsi="Helvetica" w:cs="Helvetica"/>
                <w:i/>
                <w:iCs/>
                <w:szCs w:val="18"/>
              </w:rPr>
              <w:t>Quercus cerris</w:t>
            </w:r>
            <w:r>
              <w:rPr>
                <w:rFonts w:ascii="Helvetica" w:hAnsi="Helvetica" w:cs="Helvetica"/>
                <w:iCs/>
                <w:szCs w:val="18"/>
              </w:rPr>
              <w:t xml:space="preserve">; </w:t>
            </w:r>
            <w:r>
              <w:rPr>
                <w:rFonts w:ascii="Helvetica" w:hAnsi="Helvetica" w:cs="Helvetica"/>
                <w:i/>
                <w:iCs/>
                <w:szCs w:val="18"/>
              </w:rPr>
              <w:t>Q. coccifera</w:t>
            </w:r>
            <w:r>
              <w:rPr>
                <w:rFonts w:ascii="Helvetica" w:hAnsi="Helvetica" w:cs="Helvetica"/>
                <w:iCs/>
                <w:szCs w:val="18"/>
              </w:rPr>
              <w:t xml:space="preserve">; </w:t>
            </w:r>
            <w:r>
              <w:rPr>
                <w:rFonts w:ascii="Helvetica" w:hAnsi="Helvetica" w:cs="Helvetica"/>
                <w:i/>
                <w:iCs/>
                <w:szCs w:val="18"/>
              </w:rPr>
              <w:t>Q. dentate</w:t>
            </w:r>
            <w:r>
              <w:rPr>
                <w:rFonts w:ascii="Helvetica" w:hAnsi="Helvetica" w:cs="Helvetica"/>
                <w:iCs/>
                <w:szCs w:val="18"/>
              </w:rPr>
              <w:t xml:space="preserve">; </w:t>
            </w:r>
            <w:r>
              <w:rPr>
                <w:rFonts w:ascii="Helvetica" w:hAnsi="Helvetica" w:cs="Helvetica"/>
                <w:i/>
                <w:iCs/>
                <w:szCs w:val="18"/>
              </w:rPr>
              <w:t>Q. ilex</w:t>
            </w:r>
            <w:r>
              <w:rPr>
                <w:rFonts w:ascii="Helvetica" w:hAnsi="Helvetica" w:cs="Helvetica"/>
                <w:iCs/>
                <w:szCs w:val="18"/>
              </w:rPr>
              <w:t>;</w:t>
            </w:r>
            <w:r>
              <w:rPr>
                <w:rFonts w:ascii="Helvetica" w:hAnsi="Helvetica" w:cs="Helvetica"/>
                <w:i/>
                <w:iCs/>
                <w:szCs w:val="18"/>
              </w:rPr>
              <w:t xml:space="preserve"> Q.</w:t>
            </w:r>
            <w:r>
              <w:rPr>
                <w:rFonts w:ascii="Helvetica" w:hAnsi="Helvetica" w:cs="Helvetica"/>
                <w:iCs/>
                <w:szCs w:val="18"/>
              </w:rPr>
              <w:t xml:space="preserve"> </w:t>
            </w:r>
            <w:r>
              <w:rPr>
                <w:rFonts w:ascii="Helvetica" w:hAnsi="Helvetica" w:cs="Helvetica"/>
                <w:i/>
                <w:iCs/>
                <w:szCs w:val="18"/>
              </w:rPr>
              <w:t>lanuginose</w:t>
            </w:r>
            <w:r>
              <w:rPr>
                <w:rFonts w:ascii="Helvetica" w:hAnsi="Helvetica" w:cs="Helvetica"/>
                <w:iCs/>
                <w:szCs w:val="18"/>
              </w:rPr>
              <w:t>;</w:t>
            </w:r>
            <w:r>
              <w:rPr>
                <w:rFonts w:ascii="Helvetica" w:hAnsi="Helvetica" w:cs="Helvetica"/>
                <w:i/>
                <w:iCs/>
                <w:szCs w:val="18"/>
              </w:rPr>
              <w:t xml:space="preserve"> Q. pubescens</w:t>
            </w:r>
            <w:r>
              <w:rPr>
                <w:rFonts w:ascii="Helvetica" w:hAnsi="Helvetica" w:cs="Helvetica"/>
                <w:iCs/>
                <w:szCs w:val="18"/>
              </w:rPr>
              <w:t>;</w:t>
            </w:r>
            <w:r>
              <w:rPr>
                <w:rFonts w:ascii="Helvetica" w:hAnsi="Helvetica" w:cs="Helvetica"/>
                <w:i/>
                <w:iCs/>
                <w:szCs w:val="18"/>
              </w:rPr>
              <w:t xml:space="preserve"> Q. sessiliflora</w:t>
            </w:r>
            <w:r>
              <w:rPr>
                <w:rFonts w:ascii="Helvetica" w:hAnsi="Helvetica" w:cs="Helvetica"/>
                <w:iCs/>
                <w:szCs w:val="18"/>
              </w:rPr>
              <w:t>;</w:t>
            </w:r>
            <w:r>
              <w:rPr>
                <w:rFonts w:ascii="Helvetica" w:hAnsi="Helvetica" w:cs="Helvetica"/>
                <w:i/>
                <w:iCs/>
                <w:szCs w:val="18"/>
              </w:rPr>
              <w:t>Q. suber Salix spp</w:t>
            </w:r>
            <w:r>
              <w:rPr>
                <w:rFonts w:ascii="Helvetica" w:hAnsi="Helvetica" w:cs="Helvetica"/>
                <w:iCs/>
                <w:szCs w:val="18"/>
              </w:rPr>
              <w:t>.;</w:t>
            </w:r>
            <w:r>
              <w:rPr>
                <w:rFonts w:ascii="Helvetica" w:hAnsi="Helvetica" w:cs="Helvetica"/>
                <w:i/>
                <w:iCs/>
                <w:szCs w:val="18"/>
              </w:rPr>
              <w:t>Vitis vinifera</w:t>
            </w:r>
            <w:r>
              <w:rPr>
                <w:rFonts w:ascii="Helvetica" w:hAnsi="Helvetica" w:cs="Helvetica"/>
                <w:iCs/>
                <w:szCs w:val="18"/>
              </w:rPr>
              <w:t xml:space="preserve"> (CABI 2012a; </w:t>
            </w:r>
            <w:r>
              <w:rPr>
                <w:rFonts w:ascii="Helvetica" w:hAnsi="Helvetica" w:cs="Helvetica"/>
                <w:szCs w:val="18"/>
              </w:rPr>
              <w:t xml:space="preserve">Ben-Dov </w:t>
            </w:r>
            <w:r>
              <w:rPr>
                <w:rFonts w:ascii="Helvetica" w:hAnsi="Helvetica" w:cs="Helvetica"/>
                <w:i/>
                <w:szCs w:val="18"/>
              </w:rPr>
              <w:t>et al</w:t>
            </w:r>
            <w:r>
              <w:rPr>
                <w:rFonts w:ascii="Helvetica" w:hAnsi="Helvetica" w:cs="Helvetica"/>
                <w:szCs w:val="18"/>
              </w:rPr>
              <w:t>. 2012</w:t>
            </w:r>
            <w:r>
              <w:rPr>
                <w:rFonts w:ascii="Helvetica" w:hAnsi="Helvetica" w:cs="Helvetica"/>
                <w:iCs/>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Cs/>
                <w:szCs w:val="18"/>
              </w:rPr>
              <w:t>Algeria, Armenia, Azerbaijan, Czech Republic, Corsica, Georgia, Greece, Hungary, Iran, Iraq, Israel, Italy, France, Malta, Morocco, Portugal, Romania, Russia, Sardinia, Spain, Turkey, Ukraine, Yugoslavia (</w:t>
            </w:r>
            <w:r>
              <w:rPr>
                <w:rFonts w:ascii="Helvetica" w:hAnsi="Helvetica" w:cs="Helvetica"/>
                <w:szCs w:val="18"/>
              </w:rPr>
              <w:t xml:space="preserve">Ben-Dov </w:t>
            </w:r>
            <w:r>
              <w:rPr>
                <w:rFonts w:ascii="Helvetica" w:hAnsi="Helvetica" w:cs="Helvetica"/>
                <w:i/>
                <w:szCs w:val="18"/>
              </w:rPr>
              <w:t>et al</w:t>
            </w:r>
            <w:r>
              <w:rPr>
                <w:rFonts w:ascii="Helvetica" w:hAnsi="Helvetica" w:cs="Helvetica"/>
                <w:szCs w:val="18"/>
              </w:rPr>
              <w:t>. 2012</w:t>
            </w:r>
            <w:r>
              <w:rPr>
                <w:rFonts w:ascii="Helvetica" w:hAnsi="Helvetica" w:cs="Helvetica"/>
                <w:iCs/>
                <w:szCs w:val="18"/>
              </w:rPr>
              <w:t>).</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i/>
                <w:szCs w:val="18"/>
              </w:rPr>
            </w:pPr>
            <w:r>
              <w:rPr>
                <w:rFonts w:ascii="Helvetica" w:hAnsi="Helvetica" w:cs="Helvetica"/>
                <w:i/>
                <w:szCs w:val="18"/>
              </w:rPr>
              <w:t xml:space="preserve">Paranthrene regalis </w:t>
            </w:r>
            <w:smartTag w:uri="urn:schemas-microsoft-com:office:smarttags" w:element="City">
              <w:smartTag w:uri="urn:schemas-microsoft-com:office:smarttags" w:element="place">
                <w:r>
                  <w:rPr>
                    <w:rFonts w:ascii="Helvetica" w:hAnsi="Helvetica" w:cs="Helvetica"/>
                    <w:szCs w:val="18"/>
                  </w:rPr>
                  <w:t>Butler</w:t>
                </w:r>
              </w:smartTag>
            </w:smartTag>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
                <w:iCs/>
                <w:szCs w:val="18"/>
              </w:rPr>
              <w:t>Paranthrene regale, Sciapteron regalis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spacing w:before="40" w:after="40" w:line="240" w:lineRule="atLeast"/>
              <w:jc w:val="left"/>
              <w:rPr>
                <w:rFonts w:ascii="Helvetica" w:hAnsi="Helvetica" w:cs="Helvetica"/>
                <w:sz w:val="18"/>
                <w:szCs w:val="18"/>
                <w:lang w:eastAsia="en-AU"/>
              </w:rPr>
            </w:pPr>
            <w:r>
              <w:rPr>
                <w:rFonts w:ascii="Helvetica" w:hAnsi="Helvetica" w:cs="Helvetica"/>
                <w:iCs/>
                <w:sz w:val="18"/>
                <w:szCs w:val="18"/>
              </w:rPr>
              <w:t>grape clearwing moth</w:t>
            </w:r>
          </w:p>
        </w:tc>
      </w:tr>
      <w:tr>
        <w:trPr>
          <w:trHeight w:val="333"/>
        </w:trP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hyperlink r:id="rId123" w:history="1">
              <w:r>
                <w:rPr>
                  <w:rFonts w:ascii="Helvetica" w:hAnsi="Helvetica" w:cs="Helvetica"/>
                  <w:i/>
                  <w:szCs w:val="18"/>
                </w:rPr>
                <w:t xml:space="preserve">Vitis vinifera </w:t>
              </w:r>
              <w:r>
                <w:rPr>
                  <w:rFonts w:ascii="Helvetica" w:hAnsi="Helvetica" w:cs="Helvetica"/>
                  <w:szCs w:val="18"/>
                </w:rPr>
                <w:t>(grapevine)</w:t>
              </w:r>
            </w:hyperlink>
            <w:r>
              <w:rPr>
                <w:rFonts w:ascii="Helvetica" w:hAnsi="Helvetica" w:cs="Helvetica"/>
                <w:i/>
                <w:szCs w:val="18"/>
              </w:rPr>
              <w:t xml:space="preserve"> </w:t>
            </w:r>
            <w:r>
              <w:rPr>
                <w:rFonts w:ascii="Helvetica" w:hAnsi="Helvetica" w:cs="Helvetica"/>
                <w:szCs w:val="18"/>
              </w:rPr>
              <w:t xml:space="preserve">(CABI 2012a; </w:t>
            </w:r>
            <w:r>
              <w:rPr>
                <w:rFonts w:ascii="Helvetica" w:hAnsi="Helvetica" w:cs="Helvetica"/>
                <w:iCs/>
                <w:szCs w:val="18"/>
              </w:rPr>
              <w:t>Shao-Hua 2012</w:t>
            </w: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spacing w:before="40" w:after="40" w:line="240" w:lineRule="atLeast"/>
              <w:jc w:val="left"/>
              <w:rPr>
                <w:rFonts w:ascii="Helvetica" w:hAnsi="Helvetica" w:cs="Helvetica"/>
                <w:sz w:val="18"/>
                <w:szCs w:val="18"/>
              </w:rPr>
            </w:pPr>
            <w:smartTag w:uri="urn:schemas-microsoft-com:office:smarttags" w:element="country-region">
              <w:smartTag w:uri="urn:schemas-microsoft-com:office:smarttags" w:element="place">
                <w:r>
                  <w:rPr>
                    <w:rFonts w:ascii="Helvetica" w:hAnsi="Helvetica" w:cs="Helvetica"/>
                    <w:iCs/>
                    <w:sz w:val="18"/>
                    <w:szCs w:val="18"/>
                  </w:rPr>
                  <w:t>China</w:t>
                </w:r>
              </w:smartTag>
            </w:smartTag>
            <w:r>
              <w:rPr>
                <w:rFonts w:ascii="Helvetica" w:hAnsi="Helvetica" w:cs="Helvetica"/>
                <w:iCs/>
                <w:sz w:val="18"/>
                <w:szCs w:val="18"/>
              </w:rPr>
              <w:t xml:space="preserve"> (CABI 2012a; Shao-Hua 2012)</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iCs/>
                <w:szCs w:val="18"/>
              </w:rPr>
              <w:t>Z</w:t>
            </w:r>
            <w:smartTag w:uri="urn:schemas-microsoft-com:office:smarttags" w:element="PersonName">
              <w:r>
                <w:rPr>
                  <w:rFonts w:ascii="Helvetica" w:hAnsi="Helvetica" w:cs="Helvetica"/>
                  <w:i/>
                  <w:iCs/>
                  <w:szCs w:val="18"/>
                </w:rPr>
                <w:t>eu</w:t>
              </w:r>
            </w:smartTag>
            <w:r>
              <w:rPr>
                <w:rFonts w:ascii="Helvetica" w:hAnsi="Helvetica" w:cs="Helvetica"/>
                <w:i/>
                <w:iCs/>
                <w:szCs w:val="18"/>
              </w:rPr>
              <w:t>zera coffeae</w:t>
            </w:r>
            <w:r>
              <w:rPr>
                <w:rFonts w:ascii="Helvetica" w:hAnsi="Helvetica" w:cs="Helvetica"/>
                <w:iCs/>
                <w:szCs w:val="18"/>
              </w:rPr>
              <w:t xml:space="preserve"> Nietner</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
                <w:iCs/>
                <w:szCs w:val="18"/>
              </w:rPr>
              <w:t>Z</w:t>
            </w:r>
            <w:smartTag w:uri="urn:schemas-microsoft-com:office:smarttags" w:element="PersonName">
              <w:r>
                <w:rPr>
                  <w:rFonts w:ascii="Helvetica" w:hAnsi="Helvetica" w:cs="Helvetica"/>
                  <w:i/>
                  <w:iCs/>
                  <w:szCs w:val="18"/>
                </w:rPr>
                <w:t>eu</w:t>
              </w:r>
            </w:smartTag>
            <w:r>
              <w:rPr>
                <w:rFonts w:ascii="Helvetica" w:hAnsi="Helvetica" w:cs="Helvetica"/>
                <w:i/>
                <w:iCs/>
                <w:szCs w:val="18"/>
              </w:rPr>
              <w:t>zera roricyanea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Cs/>
                <w:szCs w:val="18"/>
              </w:rPr>
              <w:t>Carpenter worm, cocoa pod and stem borer, coffee leopard moth, red branch borer, red coffee borer, red twig borer, tea stem borer</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lang w:eastAsia="en-AU"/>
              </w:rPr>
            </w:pPr>
            <w:r>
              <w:rPr>
                <w:rFonts w:ascii="Helvetica" w:hAnsi="Helvetica" w:cs="Helvetica"/>
                <w:i/>
                <w:iCs/>
                <w:szCs w:val="18"/>
              </w:rPr>
              <w:t xml:space="preserve">Z. coffeae </w:t>
            </w:r>
            <w:r>
              <w:rPr>
                <w:rFonts w:ascii="Helvetica" w:hAnsi="Helvetica" w:cs="Helvetica"/>
                <w:iCs/>
                <w:szCs w:val="18"/>
              </w:rPr>
              <w:t>is highly polyphagous and has been recorded on over 40 hosts including:</w:t>
            </w:r>
            <w:r>
              <w:rPr>
                <w:rFonts w:ascii="Helvetica" w:hAnsi="Helvetica" w:cs="Helvetica"/>
                <w:i/>
                <w:iCs/>
                <w:szCs w:val="18"/>
              </w:rPr>
              <w:t xml:space="preserve"> Abelmoschus esculentus, Acacia auriculiformis, Acacia mangium, Artocarpus , Camellia sinensis, Carya , Castanea, Ceiba pentandra, Cinnamomum verum , Citrus, Clausena lansium, Coffea, Eucalyptus spp., Gossypium, Juglans regia, L</w:t>
            </w:r>
            <w:smartTag w:uri="urn:schemas-microsoft-com:office:smarttags" w:element="PersonName">
              <w:r>
                <w:rPr>
                  <w:rFonts w:ascii="Helvetica" w:hAnsi="Helvetica" w:cs="Helvetica"/>
                  <w:i/>
                  <w:iCs/>
                  <w:szCs w:val="18"/>
                </w:rPr>
                <w:t>eu</w:t>
              </w:r>
            </w:smartTag>
            <w:r>
              <w:rPr>
                <w:rFonts w:ascii="Helvetica" w:hAnsi="Helvetica" w:cs="Helvetica"/>
                <w:i/>
                <w:iCs/>
                <w:szCs w:val="18"/>
              </w:rPr>
              <w:t>caena l</w:t>
            </w:r>
            <w:smartTag w:uri="urn:schemas-microsoft-com:office:smarttags" w:element="PersonName">
              <w:r>
                <w:rPr>
                  <w:rFonts w:ascii="Helvetica" w:hAnsi="Helvetica" w:cs="Helvetica"/>
                  <w:i/>
                  <w:iCs/>
                  <w:szCs w:val="18"/>
                </w:rPr>
                <w:t>eu</w:t>
              </w:r>
            </w:smartTag>
            <w:r>
              <w:rPr>
                <w:rFonts w:ascii="Helvetica" w:hAnsi="Helvetica" w:cs="Helvetica"/>
                <w:i/>
                <w:iCs/>
                <w:szCs w:val="18"/>
              </w:rPr>
              <w:t>cocephala, Malus domestica, Manihot esculenta, Persea americana, Populus, Robinia ps</w:t>
            </w:r>
            <w:smartTag w:uri="urn:schemas-microsoft-com:office:smarttags" w:element="PersonName">
              <w:r>
                <w:rPr>
                  <w:rFonts w:ascii="Helvetica" w:hAnsi="Helvetica" w:cs="Helvetica"/>
                  <w:i/>
                  <w:iCs/>
                  <w:szCs w:val="18"/>
                </w:rPr>
                <w:t>eu</w:t>
              </w:r>
            </w:smartTag>
            <w:r>
              <w:rPr>
                <w:rFonts w:ascii="Helvetica" w:hAnsi="Helvetica" w:cs="Helvetica"/>
                <w:i/>
                <w:iCs/>
                <w:szCs w:val="18"/>
              </w:rPr>
              <w:t xml:space="preserve">doacacia, Swietenia, Tectona grandis, Theobroma cacao </w:t>
            </w:r>
            <w:r>
              <w:rPr>
                <w:rFonts w:ascii="Helvetica" w:hAnsi="Helvetica" w:cs="Helvetica"/>
                <w:iCs/>
                <w:szCs w:val="18"/>
              </w:rPr>
              <w:t>and</w:t>
            </w:r>
            <w:r>
              <w:rPr>
                <w:rFonts w:ascii="Helvetica" w:hAnsi="Helvetica" w:cs="Helvetica"/>
                <w:i/>
                <w:iCs/>
                <w:szCs w:val="18"/>
              </w:rPr>
              <w:t xml:space="preserve"> Vitis vinifera  </w:t>
            </w:r>
            <w:r>
              <w:rPr>
                <w:rFonts w:ascii="Helvetica" w:hAnsi="Helvetica" w:cs="Helvetica"/>
                <w:iCs/>
                <w:szCs w:val="18"/>
              </w:rPr>
              <w:t xml:space="preserve">(Mathew 1987; Chang 1988; Schoorl 1990; Griffiths </w:t>
            </w:r>
            <w:r>
              <w:rPr>
                <w:rFonts w:ascii="Helvetica" w:hAnsi="Helvetica" w:cs="Helvetica"/>
                <w:i/>
                <w:iCs/>
                <w:szCs w:val="18"/>
              </w:rPr>
              <w:t>et al.</w:t>
            </w:r>
            <w:r>
              <w:rPr>
                <w:rFonts w:ascii="Helvetica" w:hAnsi="Helvetica" w:cs="Helvetica"/>
                <w:iCs/>
                <w:szCs w:val="18"/>
              </w:rPr>
              <w:t xml:space="preserve"> 2004).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Bangladesh, China, Cambodia, India, Malaysia, Sri Lanka, Taiwan, Thailand, Vietnam, Papua New Guinea (Chang 1988; Waterhouse 1993; Griffiths </w:t>
            </w:r>
            <w:r>
              <w:rPr>
                <w:rFonts w:ascii="Helvetica" w:hAnsi="Helvetica" w:cs="Helvetica"/>
                <w:i/>
                <w:szCs w:val="18"/>
              </w:rPr>
              <w:t>et al</w:t>
            </w:r>
            <w:r>
              <w:rPr>
                <w:rFonts w:ascii="Helvetica" w:hAnsi="Helvetica" w:cs="Helvetica"/>
                <w:szCs w:val="18"/>
              </w:rPr>
              <w:t>. 2004; EPPO 2009)</w:t>
            </w:r>
          </w:p>
        </w:tc>
      </w:tr>
      <w:tr>
        <w:trPr>
          <w:gridAfter w:val="1"/>
          <w:wAfter w:w="7461" w:type="dxa"/>
        </w:trPr>
        <w:tc>
          <w:tcPr>
            <w:tcW w:w="1851" w:type="dxa"/>
            <w:tcBorders>
              <w:top w:val="single" w:sz="12" w:space="0" w:color="008000"/>
              <w:left w:val="single" w:sz="12" w:space="0" w:color="008000"/>
              <w:bottom w:val="single" w:sz="4" w:space="0" w:color="008000"/>
              <w:right w:val="single" w:sz="12"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 xml:space="preserve">BACTERIA </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iCs/>
                <w:szCs w:val="18"/>
              </w:rPr>
              <w:t>Xanthomonas campestris</w:t>
            </w:r>
            <w:r>
              <w:rPr>
                <w:rFonts w:ascii="Helvetica" w:hAnsi="Helvetica" w:cs="Helvetica"/>
                <w:szCs w:val="18"/>
              </w:rPr>
              <w:t xml:space="preserve"> pv. </w:t>
            </w:r>
            <w:r>
              <w:rPr>
                <w:rFonts w:ascii="Helvetica" w:hAnsi="Helvetica" w:cs="Helvetica"/>
                <w:i/>
                <w:iCs/>
                <w:szCs w:val="18"/>
              </w:rPr>
              <w:t>viticola</w:t>
            </w:r>
            <w:r>
              <w:rPr>
                <w:rFonts w:ascii="Helvetica" w:hAnsi="Helvetica" w:cs="Helvetica"/>
                <w:szCs w:val="18"/>
              </w:rPr>
              <w:t xml:space="preserve"> (Nayudu) Dye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Pseudomonas viticola</w:t>
            </w:r>
            <w:r>
              <w:rPr>
                <w:rFonts w:ascii="Helvetica" w:hAnsi="Helvetica" w:cs="Helvetica"/>
                <w:szCs w:val="18"/>
              </w:rPr>
              <w:t xml:space="preserve"> Nayudu sp. nov.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Bacterial canker of grapevine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shd w:val="clear" w:color="auto" w:fill="auto"/>
          </w:tcPr>
          <w:p>
            <w:pPr>
              <w:pStyle w:val="TableText0"/>
              <w:spacing w:before="40" w:after="40" w:line="240" w:lineRule="atLeast"/>
              <w:jc w:val="left"/>
              <w:rPr>
                <w:rFonts w:ascii="Helvetica" w:hAnsi="Helvetica" w:cs="Helvetica"/>
                <w:iCs/>
                <w:szCs w:val="18"/>
              </w:rPr>
            </w:pPr>
            <w:r>
              <w:rPr>
                <w:rFonts w:ascii="Helvetica" w:hAnsi="Helvetica" w:cs="Helvetica"/>
                <w:i/>
                <w:iCs/>
                <w:szCs w:val="18"/>
              </w:rPr>
              <w:t xml:space="preserve">Alternanthera tenella, Amaranthus </w:t>
            </w:r>
            <w:r>
              <w:rPr>
                <w:rFonts w:ascii="Helvetica" w:hAnsi="Helvetica" w:cs="Helvetica"/>
                <w:iCs/>
                <w:szCs w:val="18"/>
              </w:rPr>
              <w:t>spp.</w:t>
            </w:r>
            <w:r>
              <w:rPr>
                <w:rFonts w:ascii="Helvetica" w:hAnsi="Helvetica" w:cs="Helvetica"/>
                <w:i/>
                <w:iCs/>
                <w:szCs w:val="18"/>
              </w:rPr>
              <w:t xml:space="preserve">, Glycine </w:t>
            </w:r>
            <w:r>
              <w:rPr>
                <w:rFonts w:ascii="Helvetica" w:hAnsi="Helvetica" w:cs="Helvetica"/>
                <w:iCs/>
                <w:szCs w:val="18"/>
              </w:rPr>
              <w:t>spp.</w:t>
            </w:r>
            <w:r>
              <w:rPr>
                <w:rFonts w:ascii="Helvetica" w:hAnsi="Helvetica" w:cs="Helvetica"/>
                <w:i/>
                <w:iCs/>
                <w:szCs w:val="18"/>
              </w:rPr>
              <w:t xml:space="preserve"> Senna obtusifolia </w:t>
            </w:r>
            <w:r>
              <w:rPr>
                <w:rFonts w:ascii="Helvetica" w:hAnsi="Helvetica" w:cs="Helvetica"/>
                <w:iCs/>
                <w:szCs w:val="18"/>
              </w:rPr>
              <w:t xml:space="preserve">and </w:t>
            </w:r>
            <w:r>
              <w:rPr>
                <w:rFonts w:ascii="Helvetica" w:hAnsi="Helvetica" w:cs="Helvetica"/>
                <w:i/>
                <w:iCs/>
                <w:szCs w:val="18"/>
              </w:rPr>
              <w:t xml:space="preserve">Vitis vinifera </w:t>
            </w:r>
            <w:r>
              <w:rPr>
                <w:rFonts w:ascii="Helvetica" w:hAnsi="Helvetica" w:cs="Helvetica"/>
                <w:iCs/>
                <w:szCs w:val="18"/>
              </w:rPr>
              <w:t xml:space="preserve">(Peixoto </w:t>
            </w:r>
            <w:r>
              <w:rPr>
                <w:rFonts w:ascii="Helvetica" w:hAnsi="Helvetica" w:cs="Helvetica"/>
                <w:i/>
                <w:iCs/>
                <w:szCs w:val="18"/>
              </w:rPr>
              <w:t>et al</w:t>
            </w:r>
            <w:r>
              <w:rPr>
                <w:rFonts w:ascii="Helvetica" w:hAnsi="Helvetica" w:cs="Helvetica"/>
                <w:iCs/>
                <w:szCs w:val="18"/>
              </w:rPr>
              <w:t>. 2007)</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r>
                <w:rPr>
                  <w:rFonts w:ascii="Helvetica" w:hAnsi="Helvetica" w:cs="Helvetica"/>
                  <w:szCs w:val="18"/>
                </w:rPr>
                <w:t>Brazil</w:t>
              </w:r>
            </w:smartTag>
            <w:r>
              <w:rPr>
                <w:rFonts w:ascii="Helvetica" w:hAnsi="Helvetica" w:cs="Helvetica"/>
                <w:szCs w:val="18"/>
              </w:rPr>
              <w:t xml:space="preserve"> and </w:t>
            </w:r>
            <w:smartTag w:uri="urn:schemas-microsoft-com:office:smarttags" w:element="place">
              <w:smartTag w:uri="urn:schemas-microsoft-com:office:smarttags" w:element="country-region">
                <w:r>
                  <w:rPr>
                    <w:rFonts w:ascii="Helvetica" w:hAnsi="Helvetica" w:cs="Helvetica"/>
                    <w:szCs w:val="18"/>
                  </w:rPr>
                  <w:t>India</w:t>
                </w:r>
              </w:smartTag>
            </w:smartTag>
            <w:r>
              <w:rPr>
                <w:rFonts w:ascii="Helvetica" w:hAnsi="Helvetica" w:cs="Helvetica"/>
                <w:szCs w:val="18"/>
              </w:rPr>
              <w:t xml:space="preserve"> </w:t>
            </w:r>
            <w:r>
              <w:rPr>
                <w:rFonts w:ascii="Helvetica" w:hAnsi="Helvetica" w:cs="Helvetica"/>
                <w:iCs/>
                <w:szCs w:val="18"/>
              </w:rPr>
              <w:t xml:space="preserve">(Trindade </w:t>
            </w:r>
            <w:r>
              <w:rPr>
                <w:rFonts w:ascii="Helvetica" w:hAnsi="Helvetica" w:cs="Helvetica"/>
                <w:i/>
                <w:iCs/>
                <w:szCs w:val="18"/>
              </w:rPr>
              <w:t>et al</w:t>
            </w:r>
            <w:r>
              <w:rPr>
                <w:rFonts w:ascii="Helvetica" w:hAnsi="Helvetica" w:cs="Helvetica"/>
                <w:iCs/>
                <w:szCs w:val="18"/>
              </w:rPr>
              <w:t>. 2005).</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szCs w:val="18"/>
              </w:rPr>
              <w:t>Xylella fastidiosa</w:t>
            </w:r>
            <w:r>
              <w:rPr>
                <w:rFonts w:ascii="Helvetica" w:hAnsi="Helvetica" w:cs="Helvetica"/>
                <w:szCs w:val="18"/>
              </w:rPr>
              <w:t xml:space="preserve"> (Wells </w:t>
            </w:r>
            <w:r>
              <w:rPr>
                <w:rFonts w:ascii="Helvetica" w:hAnsi="Helvetica" w:cs="Helvetica"/>
                <w:i/>
                <w:iCs/>
                <w:szCs w:val="18"/>
              </w:rPr>
              <w:t>et al</w:t>
            </w:r>
            <w:r>
              <w:rPr>
                <w:rFonts w:ascii="Helvetica" w:hAnsi="Helvetica" w:cs="Helvetica"/>
                <w:szCs w:val="18"/>
              </w:rPr>
              <w:t>.) – grapevine strain</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Pierce's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iCs/>
                <w:szCs w:val="18"/>
              </w:rPr>
              <w:t>Wide host range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Central America, North America, </w:t>
            </w:r>
            <w:smartTag w:uri="urn:schemas-microsoft-com:office:smarttags" w:element="country-region">
              <w:smartTag w:uri="urn:schemas-microsoft-com:office:smarttags" w:element="place">
                <w:r>
                  <w:rPr>
                    <w:rFonts w:ascii="Helvetica" w:hAnsi="Helvetica" w:cs="Helvetica"/>
                    <w:szCs w:val="18"/>
                  </w:rPr>
                  <w:t>Peru</w:t>
                </w:r>
              </w:smartTag>
            </w:smartTag>
            <w:r>
              <w:rPr>
                <w:rFonts w:ascii="Helvetica" w:hAnsi="Helvetica" w:cs="Helvetica"/>
                <w:szCs w:val="18"/>
              </w:rPr>
              <w:t xml:space="preserve"> (Janse and Obradovic 2010). Unconfirmed report in Kosovo (Janse and Obradovic 2010).</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szCs w:val="18"/>
              </w:rPr>
              <w:t>Xylophilus ampelinus</w:t>
            </w:r>
            <w:r>
              <w:rPr>
                <w:rFonts w:ascii="Helvetica" w:hAnsi="Helvetica" w:cs="Helvetica"/>
                <w:szCs w:val="18"/>
              </w:rPr>
              <w:t xml:space="preserve"> (Panagopoulos 1969) Willems </w:t>
            </w:r>
            <w:r>
              <w:rPr>
                <w:rFonts w:ascii="Helvetica" w:hAnsi="Helvetica" w:cs="Helvetica"/>
                <w:i/>
                <w:szCs w:val="18"/>
              </w:rPr>
              <w:t>et al</w:t>
            </w:r>
            <w:r>
              <w:rPr>
                <w:rFonts w:ascii="Helvetica" w:hAnsi="Helvetica" w:cs="Helvetica"/>
                <w:szCs w:val="18"/>
              </w:rPr>
              <w:t>. 1987</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
                <w:szCs w:val="18"/>
              </w:rPr>
              <w:t>Xanthomonas ampelina</w:t>
            </w:r>
            <w:r>
              <w:rPr>
                <w:rFonts w:ascii="Helvetica" w:hAnsi="Helvetica" w:cs="Helvetica"/>
                <w:szCs w:val="18"/>
              </w:rPr>
              <w:t xml:space="preserve"> Panagopoulos 1969</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Canker of grapevine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iCs/>
                <w:szCs w:val="18"/>
              </w:rPr>
              <w:t>Vitis vinifera</w:t>
            </w:r>
            <w:r>
              <w:rPr>
                <w:rFonts w:ascii="Helvetica" w:hAnsi="Helvetica" w:cs="Helvetica"/>
                <w:szCs w:val="18"/>
              </w:rPr>
              <w:t xml:space="preserve"> (Panagopoulos 1988).</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France (Manceau </w:t>
            </w:r>
            <w:r>
              <w:rPr>
                <w:rFonts w:ascii="Helvetica" w:hAnsi="Helvetica" w:cs="Helvetica"/>
                <w:i/>
                <w:szCs w:val="18"/>
              </w:rPr>
              <w:t>et al</w:t>
            </w:r>
            <w:r>
              <w:rPr>
                <w:rFonts w:ascii="Helvetica" w:hAnsi="Helvetica" w:cs="Helvetica"/>
                <w:szCs w:val="18"/>
              </w:rPr>
              <w:t xml:space="preserve">. 2005); </w:t>
            </w:r>
            <w:smartTag w:uri="urn:schemas-microsoft-com:office:smarttags" w:element="country-region">
              <w:r>
                <w:rPr>
                  <w:rFonts w:ascii="Helvetica" w:hAnsi="Helvetica" w:cs="Helvetica"/>
                  <w:szCs w:val="18"/>
                </w:rPr>
                <w:t>Greece</w:t>
              </w:r>
            </w:smartTag>
            <w:r>
              <w:rPr>
                <w:rFonts w:ascii="Helvetica" w:hAnsi="Helvetica" w:cs="Helvetica"/>
                <w:szCs w:val="18"/>
              </w:rPr>
              <w:t xml:space="preserve">,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(CABI/EPPO 1999); </w:t>
            </w:r>
            <w:smartTag w:uri="urn:schemas-microsoft-com:office:smarttags" w:element="country-region">
              <w:r>
                <w:rPr>
                  <w:rFonts w:ascii="Helvetica" w:hAnsi="Helvetica" w:cs="Helvetica"/>
                  <w:szCs w:val="18"/>
                </w:rPr>
                <w:t>Slovenia</w:t>
              </w:r>
            </w:smartTag>
            <w:r>
              <w:rPr>
                <w:rFonts w:ascii="Helvetica" w:hAnsi="Helvetica" w:cs="Helvetica"/>
                <w:szCs w:val="18"/>
              </w:rPr>
              <w:t xml:space="preserve"> (Dreo </w:t>
            </w:r>
            <w:r>
              <w:rPr>
                <w:rFonts w:ascii="Helvetica" w:hAnsi="Helvetica" w:cs="Helvetica"/>
                <w:i/>
                <w:szCs w:val="18"/>
              </w:rPr>
              <w:t>et al</w:t>
            </w:r>
            <w:r>
              <w:rPr>
                <w:rFonts w:ascii="Helvetica" w:hAnsi="Helvetica" w:cs="Helvetica"/>
                <w:szCs w:val="18"/>
              </w:rPr>
              <w:t xml:space="preserve">. 2005); </w:t>
            </w:r>
            <w:smartTag w:uri="urn:schemas-microsoft-com:office:smarttags" w:element="country-region">
              <w:smartTag w:uri="urn:schemas-microsoft-com:office:smarttags" w:element="place">
                <w:r>
                  <w:rPr>
                    <w:rFonts w:ascii="Helvetica" w:hAnsi="Helvetica" w:cs="Helvetica"/>
                    <w:szCs w:val="18"/>
                  </w:rPr>
                  <w:t>South Africa</w:t>
                </w:r>
              </w:smartTag>
            </w:smartTag>
            <w:r>
              <w:rPr>
                <w:rFonts w:ascii="Helvetica" w:hAnsi="Helvetica" w:cs="Helvetica"/>
                <w:szCs w:val="18"/>
              </w:rPr>
              <w:t xml:space="preserve"> (Botha </w:t>
            </w:r>
            <w:r>
              <w:rPr>
                <w:rFonts w:ascii="Helvetica" w:hAnsi="Helvetica" w:cs="Helvetica"/>
                <w:i/>
                <w:szCs w:val="18"/>
              </w:rPr>
              <w:t>et al</w:t>
            </w:r>
            <w:r>
              <w:rPr>
                <w:rFonts w:ascii="Helvetica" w:hAnsi="Helvetica" w:cs="Helvetica"/>
                <w:szCs w:val="18"/>
              </w:rPr>
              <w:t xml:space="preserve">. 2001) </w:t>
            </w:r>
          </w:p>
        </w:tc>
      </w:tr>
      <w:tr>
        <w:trPr>
          <w:gridAfter w:val="1"/>
          <w:wAfter w:w="7461" w:type="dxa"/>
        </w:trPr>
        <w:tc>
          <w:tcPr>
            <w:tcW w:w="1851" w:type="dxa"/>
            <w:tcBorders>
              <w:top w:val="single" w:sz="12" w:space="0" w:color="008000"/>
              <w:left w:val="single" w:sz="12" w:space="0" w:color="008000"/>
              <w:bottom w:val="single" w:sz="4" w:space="0" w:color="008000"/>
              <w:right w:val="single" w:sz="12"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 xml:space="preserve">FUNGI </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i/>
                <w:szCs w:val="18"/>
              </w:rPr>
            </w:pPr>
            <w:r>
              <w:rPr>
                <w:rFonts w:ascii="Helvetica" w:hAnsi="Helvetica" w:cs="Helvetica"/>
                <w:i/>
                <w:szCs w:val="18"/>
              </w:rPr>
              <w:t>Alternaria viticola</w:t>
            </w:r>
            <w:r>
              <w:rPr>
                <w:rFonts w:ascii="Helvetica" w:hAnsi="Helvetica" w:cs="Helvetica"/>
                <w:szCs w:val="18"/>
              </w:rPr>
              <w:t xml:space="preserve"> Brunaud</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iCs/>
                <w:szCs w:val="18"/>
              </w:rPr>
            </w:pPr>
            <w:r>
              <w:rPr>
                <w:rFonts w:ascii="Helvetica" w:hAnsi="Helvetica" w:cs="Helvetica"/>
                <w:i/>
                <w:iCs/>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lang w:eastAsia="en-AU"/>
              </w:rPr>
              <w:t>Spike-stalk brown spot of grape, brown blotch, grape rachis blotch</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iCs/>
                <w:szCs w:val="18"/>
                <w:lang w:eastAsia="en-AU"/>
              </w:rPr>
              <w:t xml:space="preserve">Vitis </w:t>
            </w:r>
            <w:r>
              <w:rPr>
                <w:rFonts w:ascii="Helvetica" w:hAnsi="Helvetica" w:cs="Helvetica"/>
                <w:iCs/>
                <w:szCs w:val="18"/>
                <w:lang w:eastAsia="en-AU"/>
              </w:rPr>
              <w:t xml:space="preserve">species including some hybrid grapes </w:t>
            </w:r>
            <w:r>
              <w:rPr>
                <w:rFonts w:ascii="Helvetica" w:hAnsi="Helvetica" w:cs="Helvetica"/>
                <w:szCs w:val="18"/>
                <w:lang w:eastAsia="en-AU"/>
              </w:rPr>
              <w:t xml:space="preserve">(Liu </w:t>
            </w:r>
            <w:r>
              <w:rPr>
                <w:rFonts w:ascii="Helvetica" w:hAnsi="Helvetica" w:cs="Helvetica"/>
                <w:i/>
                <w:szCs w:val="18"/>
                <w:lang w:eastAsia="en-AU"/>
              </w:rPr>
              <w:t>et al.</w:t>
            </w:r>
            <w:r>
              <w:rPr>
                <w:rFonts w:ascii="Helvetica" w:hAnsi="Helvetica" w:cs="Helvetica"/>
                <w:szCs w:val="18"/>
                <w:lang w:eastAsia="en-AU"/>
              </w:rPr>
              <w:t xml:space="preserve"> 1996; Ma </w:t>
            </w:r>
            <w:r>
              <w:rPr>
                <w:rFonts w:ascii="Helvetica" w:hAnsi="Helvetica" w:cs="Helvetica"/>
                <w:i/>
                <w:iCs/>
                <w:szCs w:val="18"/>
                <w:lang w:eastAsia="en-AU"/>
              </w:rPr>
              <w:t>et al</w:t>
            </w:r>
            <w:r>
              <w:rPr>
                <w:rFonts w:ascii="Helvetica" w:hAnsi="Helvetica" w:cs="Helvetica"/>
                <w:iCs/>
                <w:szCs w:val="18"/>
                <w:lang w:eastAsia="en-AU"/>
              </w:rPr>
              <w:t>.</w:t>
            </w:r>
            <w:r>
              <w:rPr>
                <w:rFonts w:ascii="Helvetica" w:hAnsi="Helvetica" w:cs="Helvetica"/>
                <w:szCs w:val="18"/>
                <w:lang w:eastAsia="en-AU"/>
              </w:rPr>
              <w:t xml:space="preserve"> 2004).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lang w:val="de-DE" w:eastAsia="en-AU"/>
              </w:rPr>
            </w:pPr>
            <w:r>
              <w:rPr>
                <w:rFonts w:ascii="Helvetica" w:hAnsi="Helvetica" w:cs="Helvetica"/>
                <w:szCs w:val="18"/>
                <w:lang w:val="de-DE" w:eastAsia="en-AU"/>
              </w:rPr>
              <w:t xml:space="preserve">China (Liu </w:t>
            </w:r>
            <w:r>
              <w:rPr>
                <w:rFonts w:ascii="Helvetica" w:hAnsi="Helvetica" w:cs="Helvetica"/>
                <w:i/>
                <w:szCs w:val="18"/>
                <w:lang w:val="de-DE" w:eastAsia="en-AU"/>
              </w:rPr>
              <w:t>et al</w:t>
            </w:r>
            <w:r>
              <w:rPr>
                <w:rFonts w:ascii="Helvetica" w:hAnsi="Helvetica" w:cs="Helvetica"/>
                <w:szCs w:val="18"/>
                <w:lang w:val="de-DE" w:eastAsia="en-AU"/>
              </w:rPr>
              <w:t xml:space="preserve">. 1996; Ma </w:t>
            </w:r>
            <w:r>
              <w:rPr>
                <w:rFonts w:ascii="Helvetica" w:hAnsi="Helvetica" w:cs="Helvetica"/>
                <w:i/>
                <w:szCs w:val="18"/>
                <w:lang w:val="de-DE" w:eastAsia="en-AU"/>
              </w:rPr>
              <w:t>et al</w:t>
            </w:r>
            <w:r>
              <w:rPr>
                <w:rFonts w:ascii="Helvetica" w:hAnsi="Helvetica" w:cs="Helvetica"/>
                <w:szCs w:val="18"/>
                <w:lang w:val="de-DE" w:eastAsia="en-AU"/>
              </w:rPr>
              <w:t>. 2004)</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i/>
                <w:szCs w:val="18"/>
              </w:rPr>
            </w:pPr>
            <w:r>
              <w:rPr>
                <w:rFonts w:ascii="Helvetica" w:hAnsi="Helvetica" w:cs="Helvetica"/>
                <w:i/>
                <w:szCs w:val="18"/>
              </w:rPr>
              <w:t xml:space="preserve">Cadophora luteo-olivacea </w:t>
            </w:r>
            <w:r>
              <w:rPr>
                <w:rFonts w:ascii="Helvetica" w:hAnsi="Helvetica" w:cs="Helvetica"/>
                <w:szCs w:val="18"/>
              </w:rPr>
              <w:t xml:space="preserve">(J.F.H Beyma) T.C. Harr. &amp; McNew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iCs/>
                <w:szCs w:val="18"/>
              </w:rPr>
            </w:pPr>
            <w:r>
              <w:rPr>
                <w:rFonts w:ascii="Helvetica" w:hAnsi="Helvetica" w:cs="Helvetica"/>
                <w:i/>
                <w:szCs w:val="18"/>
              </w:rPr>
              <w:t xml:space="preserve">Phialophora luteo-olivacea </w:t>
            </w:r>
            <w:r>
              <w:rPr>
                <w:rFonts w:ascii="Helvetica" w:hAnsi="Helvetica" w:cs="Helvetica"/>
                <w:szCs w:val="18"/>
              </w:rPr>
              <w:t>J.F.H. Beyma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Grapevines (Gramaje </w:t>
            </w:r>
            <w:r>
              <w:rPr>
                <w:rFonts w:ascii="Helvetica" w:hAnsi="Helvetica" w:cs="Helvetica"/>
                <w:i/>
                <w:szCs w:val="18"/>
              </w:rPr>
              <w:t>et al</w:t>
            </w:r>
            <w:r>
              <w:rPr>
                <w:rFonts w:ascii="Helvetica" w:hAnsi="Helvetica" w:cs="Helvetica"/>
                <w:szCs w:val="18"/>
              </w:rPr>
              <w:t xml:space="preserve">. 2011), kiwifruit (Prodi </w:t>
            </w:r>
            <w:r>
              <w:rPr>
                <w:rFonts w:ascii="Helvetica" w:hAnsi="Helvetica" w:cs="Helvetica"/>
                <w:i/>
                <w:szCs w:val="18"/>
              </w:rPr>
              <w:t>et al</w:t>
            </w:r>
            <w:r>
              <w:rPr>
                <w:rFonts w:ascii="Helvetica" w:hAnsi="Helvetica" w:cs="Helvetica"/>
                <w:szCs w:val="18"/>
              </w:rPr>
              <w:t>. 2008)</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State">
              <w:r>
                <w:rPr>
                  <w:rFonts w:ascii="Helvetica" w:hAnsi="Helvetica" w:cs="Helvetica"/>
                  <w:szCs w:val="18"/>
                </w:rPr>
                <w:t>California</w:t>
              </w:r>
            </w:smartTag>
            <w:r>
              <w:rPr>
                <w:rFonts w:ascii="Helvetica" w:hAnsi="Helvetica" w:cs="Helvetica"/>
                <w:szCs w:val="18"/>
              </w:rPr>
              <w:t xml:space="preserve">,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w:t>
            </w:r>
            <w:smartTag w:uri="urn:schemas-microsoft-com:office:smarttags" w:element="country-region">
              <w:r>
                <w:rPr>
                  <w:rFonts w:ascii="Helvetica" w:hAnsi="Helvetica" w:cs="Helvetica"/>
                  <w:szCs w:val="18"/>
                </w:rPr>
                <w:t>New Zealand</w:t>
              </w:r>
            </w:smartTag>
            <w:r>
              <w:rPr>
                <w:rFonts w:ascii="Helvetica" w:hAnsi="Helvetica" w:cs="Helvetica"/>
                <w:szCs w:val="18"/>
              </w:rPr>
              <w:t xml:space="preserve">, Northeastern America, </w:t>
            </w:r>
            <w:smartTag w:uri="urn:schemas-microsoft-com:office:smarttags" w:element="country-region">
              <w:r>
                <w:rPr>
                  <w:rFonts w:ascii="Helvetica" w:hAnsi="Helvetica" w:cs="Helvetica"/>
                  <w:szCs w:val="18"/>
                </w:rPr>
                <w:t>South Africa</w:t>
              </w:r>
            </w:smartTag>
            <w:r>
              <w:rPr>
                <w:rFonts w:ascii="Helvetica" w:hAnsi="Helvetica" w:cs="Helvetica"/>
                <w:szCs w:val="18"/>
              </w:rPr>
              <w:t xml:space="preserve">, </w:t>
            </w:r>
            <w:smartTag w:uri="urn:schemas-microsoft-com:office:smarttags" w:element="country-region">
              <w:r>
                <w:rPr>
                  <w:rFonts w:ascii="Helvetica" w:hAnsi="Helvetica" w:cs="Helvetica"/>
                  <w:szCs w:val="18"/>
                </w:rPr>
                <w:t>Spain</w:t>
              </w:r>
            </w:smartTag>
            <w:r>
              <w:rPr>
                <w:rFonts w:ascii="Helvetica" w:hAnsi="Helvetica" w:cs="Helvetica"/>
                <w:szCs w:val="18"/>
              </w:rPr>
              <w:t xml:space="preserve"> and </w:t>
            </w:r>
            <w:smartTag w:uri="urn:schemas-microsoft-com:office:smarttags" w:element="country-region">
              <w:smartTag w:uri="urn:schemas-microsoft-com:office:smarttags" w:element="place">
                <w:r>
                  <w:rPr>
                    <w:rFonts w:ascii="Helvetica" w:hAnsi="Helvetica" w:cs="Helvetica"/>
                    <w:szCs w:val="18"/>
                  </w:rPr>
                  <w:t>Uruguay</w:t>
                </w:r>
              </w:smartTag>
            </w:smartTag>
            <w:r>
              <w:rPr>
                <w:rFonts w:ascii="Helvetica" w:hAnsi="Helvetica" w:cs="Helvetica"/>
                <w:szCs w:val="18"/>
              </w:rPr>
              <w:t xml:space="preserve"> (Prodi </w:t>
            </w:r>
            <w:r>
              <w:rPr>
                <w:rFonts w:ascii="Helvetica" w:hAnsi="Helvetica" w:cs="Helvetica"/>
                <w:i/>
                <w:szCs w:val="18"/>
              </w:rPr>
              <w:t>et al</w:t>
            </w:r>
            <w:r>
              <w:rPr>
                <w:rFonts w:ascii="Helvetica" w:hAnsi="Helvetica" w:cs="Helvetica"/>
                <w:szCs w:val="18"/>
              </w:rPr>
              <w:t>. 2008;</w:t>
            </w:r>
            <w:r>
              <w:rPr>
                <w:rFonts w:ascii="Helvetica" w:hAnsi="Helvetica" w:cs="Helvetica"/>
                <w:i/>
                <w:szCs w:val="18"/>
              </w:rPr>
              <w:t xml:space="preserve"> </w:t>
            </w:r>
            <w:r>
              <w:rPr>
                <w:rFonts w:ascii="Helvetica" w:hAnsi="Helvetica" w:cs="Helvetica"/>
                <w:szCs w:val="18"/>
              </w:rPr>
              <w:t>Gramaje and Armengol 2011).</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i/>
                <w:szCs w:val="18"/>
              </w:rPr>
            </w:pPr>
            <w:r>
              <w:rPr>
                <w:rFonts w:ascii="Helvetica" w:hAnsi="Helvetica" w:cs="Helvetica"/>
                <w:i/>
                <w:szCs w:val="18"/>
              </w:rPr>
              <w:t>Cadophora melinii</w:t>
            </w:r>
            <w:r>
              <w:rPr>
                <w:rFonts w:ascii="Helvetica" w:hAnsi="Helvetica" w:cs="Helvetica"/>
                <w:szCs w:val="18"/>
              </w:rPr>
              <w:t xml:space="preserve"> Nannf.</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iCs/>
                <w:szCs w:val="18"/>
              </w:rPr>
            </w:pPr>
            <w:r>
              <w:rPr>
                <w:rFonts w:ascii="Helvetica" w:hAnsi="Helvetica" w:cs="Helvetica"/>
                <w:i/>
                <w:szCs w:val="18"/>
              </w:rPr>
              <w:t xml:space="preserve">Phialophora melinii </w:t>
            </w:r>
            <w:r>
              <w:rPr>
                <w:rFonts w:ascii="Helvetica" w:hAnsi="Helvetica" w:cs="Helvetica"/>
                <w:szCs w:val="18"/>
              </w:rPr>
              <w:t>(Nannf.) Conant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Grapevines (Gramaje </w:t>
            </w:r>
            <w:r>
              <w:rPr>
                <w:rFonts w:ascii="Helvetica" w:hAnsi="Helvetica" w:cs="Helvetica"/>
                <w:i/>
                <w:szCs w:val="18"/>
              </w:rPr>
              <w:t>et al</w:t>
            </w:r>
            <w:r>
              <w:rPr>
                <w:rFonts w:ascii="Helvetica" w:hAnsi="Helvetica" w:cs="Helvetica"/>
                <w:szCs w:val="18"/>
              </w:rPr>
              <w:t xml:space="preserve">. 2011), kiwifruit (Prodi </w:t>
            </w:r>
            <w:r>
              <w:rPr>
                <w:rFonts w:ascii="Helvetica" w:hAnsi="Helvetica" w:cs="Helvetica"/>
                <w:i/>
                <w:szCs w:val="18"/>
              </w:rPr>
              <w:t>et al</w:t>
            </w:r>
            <w:r>
              <w:rPr>
                <w:rFonts w:ascii="Helvetica" w:hAnsi="Helvetica" w:cs="Helvetica"/>
                <w:szCs w:val="18"/>
              </w:rPr>
              <w:t>. 2008)</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r>
                <w:rPr>
                  <w:rFonts w:ascii="Helvetica" w:hAnsi="Helvetica" w:cs="Helvetica"/>
                  <w:szCs w:val="18"/>
                </w:rPr>
                <w:t>Italy</w:t>
              </w:r>
            </w:smartTag>
            <w:r>
              <w:rPr>
                <w:rFonts w:ascii="Helvetica" w:hAnsi="Helvetica" w:cs="Helvetica"/>
                <w:szCs w:val="18"/>
              </w:rPr>
              <w:t xml:space="preserve"> (Prodi </w:t>
            </w:r>
            <w:r>
              <w:rPr>
                <w:rFonts w:ascii="Helvetica" w:hAnsi="Helvetica" w:cs="Helvetica"/>
                <w:i/>
                <w:szCs w:val="18"/>
              </w:rPr>
              <w:t>et al</w:t>
            </w:r>
            <w:r>
              <w:rPr>
                <w:rFonts w:ascii="Helvetica" w:hAnsi="Helvetica" w:cs="Helvetica"/>
                <w:szCs w:val="18"/>
              </w:rPr>
              <w:t xml:space="preserve">. 2008), </w:t>
            </w:r>
            <w:smartTag w:uri="urn:schemas-microsoft-com:office:smarttags" w:element="country-region">
              <w:r>
                <w:rPr>
                  <w:rFonts w:ascii="Helvetica" w:hAnsi="Helvetica" w:cs="Helvetica"/>
                  <w:szCs w:val="18"/>
                </w:rPr>
                <w:t>Spain</w:t>
              </w:r>
            </w:smartTag>
            <w:r>
              <w:rPr>
                <w:rFonts w:ascii="Helvetica" w:hAnsi="Helvetica" w:cs="Helvetica"/>
                <w:szCs w:val="18"/>
              </w:rPr>
              <w:t xml:space="preserve"> (Gramaje </w:t>
            </w:r>
            <w:r>
              <w:rPr>
                <w:rFonts w:ascii="Helvetica" w:hAnsi="Helvetica" w:cs="Helvetica"/>
                <w:i/>
                <w:szCs w:val="18"/>
              </w:rPr>
              <w:t>et al</w:t>
            </w:r>
            <w:r>
              <w:rPr>
                <w:rFonts w:ascii="Helvetica" w:hAnsi="Helvetica" w:cs="Helvetica"/>
                <w:szCs w:val="18"/>
              </w:rPr>
              <w:t xml:space="preserve">. 2011), </w:t>
            </w:r>
            <w:smartTag w:uri="urn:schemas-microsoft-com:office:smarttags" w:element="country-region">
              <w:smartTag w:uri="urn:schemas-microsoft-com:office:smarttags" w:element="place">
                <w:r>
                  <w:rPr>
                    <w:rFonts w:ascii="Helvetica" w:hAnsi="Helvetica" w:cs="Helvetica"/>
                    <w:szCs w:val="18"/>
                  </w:rPr>
                  <w:t>Uruguay</w:t>
                </w:r>
              </w:smartTag>
            </w:smartTag>
            <w:r>
              <w:rPr>
                <w:rFonts w:ascii="Helvetica" w:hAnsi="Helvetica" w:cs="Helvetica"/>
                <w:szCs w:val="18"/>
              </w:rPr>
              <w:t xml:space="preserve"> (Navarrete </w:t>
            </w:r>
            <w:r>
              <w:rPr>
                <w:rFonts w:ascii="Helvetica" w:hAnsi="Helvetica" w:cs="Helvetica"/>
                <w:i/>
                <w:szCs w:val="18"/>
              </w:rPr>
              <w:t>et al</w:t>
            </w:r>
            <w:r>
              <w:rPr>
                <w:rFonts w:ascii="Helvetica" w:hAnsi="Helvetica" w:cs="Helvetica"/>
                <w:szCs w:val="18"/>
              </w:rPr>
              <w:t>. 2010)</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i/>
                <w:szCs w:val="18"/>
              </w:rPr>
            </w:pPr>
            <w:r>
              <w:rPr>
                <w:rFonts w:ascii="Helvetica" w:hAnsi="Helvetica" w:cs="Helvetica"/>
                <w:i/>
                <w:szCs w:val="18"/>
              </w:rPr>
              <w:t xml:space="preserve">Eutypella leprosa </w:t>
            </w:r>
            <w:r>
              <w:rPr>
                <w:rFonts w:ascii="Helvetica" w:hAnsi="Helvetica" w:cs="Helvetica"/>
                <w:szCs w:val="18"/>
              </w:rPr>
              <w:t>(Pers.) Berl.</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iCs/>
                <w:szCs w:val="18"/>
              </w:rPr>
            </w:pPr>
            <w:hyperlink r:id="rId124" w:history="1">
              <w:r>
                <w:rPr>
                  <w:rFonts w:ascii="Helvetica" w:hAnsi="Helvetica" w:cs="Helvetica"/>
                  <w:i/>
                  <w:szCs w:val="18"/>
                </w:rPr>
                <w:t>Sphaeria</w:t>
              </w:r>
            </w:hyperlink>
            <w:r>
              <w:rPr>
                <w:rFonts w:ascii="Helvetica" w:hAnsi="Helvetica" w:cs="Helvetica"/>
                <w:i/>
                <w:szCs w:val="18"/>
              </w:rPr>
              <w:t xml:space="preserve"> leprosa </w:t>
            </w:r>
            <w:r>
              <w:rPr>
                <w:rFonts w:ascii="Helvetica" w:hAnsi="Helvetica" w:cs="Helvetica"/>
                <w:szCs w:val="18"/>
              </w:rPr>
              <w:t>Pers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Aesculus spp., Corylus spp. Fraxinus spp., Tilia spp., Vitis vinifera L.  </w:t>
            </w:r>
            <w:r>
              <w:rPr>
                <w:rFonts w:ascii="Helvetica" w:hAnsi="Helvetica" w:cs="Helvetica"/>
                <w:szCs w:val="18"/>
              </w:rPr>
              <w:t xml:space="preserve">(Vasilyeva and Stephenson 2006; Diaz </w:t>
            </w:r>
            <w:r>
              <w:rPr>
                <w:rFonts w:ascii="Helvetica" w:hAnsi="Helvetica" w:cs="Helvetica"/>
                <w:i/>
                <w:szCs w:val="18"/>
              </w:rPr>
              <w:t>et al.</w:t>
            </w:r>
            <w:r>
              <w:rPr>
                <w:rFonts w:ascii="Helvetica" w:hAnsi="Helvetica" w:cs="Helvetica"/>
                <w:szCs w:val="18"/>
              </w:rPr>
              <w:t xml:space="preserve"> 2011; Farr and Rossman 2011).</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lang w:val="de-DE"/>
              </w:rPr>
              <w:t xml:space="preserve">Chile (Diaz </w:t>
            </w:r>
            <w:r>
              <w:rPr>
                <w:rFonts w:ascii="Helvetica" w:hAnsi="Helvetica" w:cs="Helvetica"/>
                <w:i/>
                <w:szCs w:val="18"/>
                <w:lang w:val="de-DE"/>
              </w:rPr>
              <w:t>et al.</w:t>
            </w:r>
            <w:r>
              <w:rPr>
                <w:rFonts w:ascii="Helvetica" w:hAnsi="Helvetica" w:cs="Helvetica"/>
                <w:szCs w:val="18"/>
                <w:lang w:val="de-DE"/>
              </w:rPr>
              <w:t xml:space="preserve"> 2011), USA (</w:t>
            </w:r>
            <w:r>
              <w:rPr>
                <w:rFonts w:ascii="Helvetica" w:hAnsi="Helvetica" w:cs="Helvetica"/>
                <w:szCs w:val="18"/>
              </w:rPr>
              <w:t>Vasilyeva</w:t>
            </w:r>
            <w:r>
              <w:rPr>
                <w:rFonts w:ascii="Helvetica" w:hAnsi="Helvetica" w:cs="Helvetica"/>
                <w:szCs w:val="18"/>
                <w:lang w:val="de-DE"/>
              </w:rPr>
              <w:t xml:space="preserve"> and </w:t>
            </w:r>
            <w:r>
              <w:rPr>
                <w:rFonts w:ascii="Helvetica" w:hAnsi="Helvetica" w:cs="Helvetica"/>
                <w:i/>
                <w:szCs w:val="18"/>
              </w:rPr>
              <w:t>S</w:t>
            </w:r>
            <w:r>
              <w:rPr>
                <w:rFonts w:ascii="Helvetica" w:hAnsi="Helvetica" w:cs="Helvetica"/>
                <w:szCs w:val="18"/>
                <w:lang w:val="de-DE"/>
              </w:rPr>
              <w:t>tephenson 2006).</w:t>
            </w:r>
          </w:p>
        </w:tc>
      </w:tr>
      <w:tr>
        <w:tc>
          <w:tcPr>
            <w:tcW w:w="1851" w:type="dxa"/>
            <w:shd w:val="clear" w:color="auto" w:fill="E0E0E0"/>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lang w:val="de-DE"/>
              </w:rPr>
            </w:pPr>
            <w:r>
              <w:rPr>
                <w:rFonts w:ascii="Helvetica" w:hAnsi="Helvetica" w:cs="Helvetica"/>
                <w:i/>
                <w:szCs w:val="18"/>
                <w:lang w:val="de-DE"/>
              </w:rPr>
              <w:t xml:space="preserve">Eutypella vitis </w:t>
            </w:r>
            <w:r>
              <w:rPr>
                <w:rFonts w:ascii="Helvetica" w:hAnsi="Helvetica" w:cs="Helvetica"/>
                <w:szCs w:val="18"/>
                <w:lang w:val="de-DE"/>
              </w:rPr>
              <w:t>(Schwein.:Fr.) Ellis &amp; Fischer</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i/>
                <w:szCs w:val="18"/>
              </w:rPr>
              <w:t xml:space="preserve">Diatrype vitis </w:t>
            </w:r>
            <w:r>
              <w:rPr>
                <w:rFonts w:ascii="Helvetica" w:hAnsi="Helvetica" w:cs="Helvetica"/>
                <w:szCs w:val="18"/>
              </w:rPr>
              <w:t>(Schwein.: Fr.) Berk</w:t>
            </w:r>
            <w:r>
              <w:rPr>
                <w:rFonts w:ascii="Helvetica" w:hAnsi="Helvetica" w:cs="Helvetica"/>
                <w:i/>
                <w:szCs w:val="18"/>
              </w:rPr>
              <w:t xml:space="preserve">, Engizostoma vitis </w:t>
            </w:r>
            <w:r>
              <w:rPr>
                <w:rFonts w:ascii="Helvetica" w:hAnsi="Helvetica" w:cs="Helvetica"/>
                <w:szCs w:val="18"/>
              </w:rPr>
              <w:t xml:space="preserve">(Schwein.: Fr.) Kuntze, </w:t>
            </w:r>
            <w:r>
              <w:rPr>
                <w:rFonts w:ascii="Helvetica" w:hAnsi="Helvetica" w:cs="Helvetica"/>
                <w:i/>
                <w:szCs w:val="18"/>
              </w:rPr>
              <w:t>Eutypella aequilinearis</w:t>
            </w:r>
            <w:r>
              <w:rPr>
                <w:rFonts w:ascii="Helvetica" w:hAnsi="Helvetica" w:cs="Helvetica"/>
                <w:szCs w:val="18"/>
              </w:rPr>
              <w:t>,</w:t>
            </w:r>
            <w:r>
              <w:rPr>
                <w:rFonts w:ascii="Helvetica" w:hAnsi="Helvetica" w:cs="Helvetica"/>
                <w:i/>
                <w:szCs w:val="18"/>
              </w:rPr>
              <w:t xml:space="preserve"> Sphaeria vitis </w:t>
            </w:r>
            <w:r>
              <w:rPr>
                <w:rFonts w:ascii="Helvetica" w:hAnsi="Helvetica" w:cs="Helvetica"/>
                <w:szCs w:val="18"/>
              </w:rPr>
              <w:t>Schwein., Schrift</w:t>
            </w:r>
            <w:r>
              <w:rPr>
                <w:rFonts w:ascii="Helvetica" w:hAnsi="Helvetica" w:cs="Helvetica"/>
                <w:i/>
                <w:szCs w:val="18"/>
              </w:rPr>
              <w:t xml:space="preserve">, Valsa vitis </w:t>
            </w:r>
            <w:r>
              <w:rPr>
                <w:rFonts w:ascii="Helvetica" w:hAnsi="Helvetica" w:cs="Helvetica"/>
                <w:szCs w:val="18"/>
              </w:rPr>
              <w:t>(Schwein.: Fr.) M.A. Curtis</w:t>
            </w:r>
            <w:r>
              <w:rPr>
                <w:rFonts w:ascii="Helvetica" w:hAnsi="Helvetica" w:cs="Helvetica"/>
                <w:i/>
                <w:szCs w:val="18"/>
              </w:rPr>
              <w:t xml:space="preserve">, </w:t>
            </w:r>
            <w:r>
              <w:rPr>
                <w:rFonts w:ascii="Helvetica" w:hAnsi="Helvetica" w:cs="Helvetica"/>
                <w:szCs w:val="18"/>
              </w:rPr>
              <w:t xml:space="preserve"> (Vasilyeva and Stephenson 2006; Catal </w:t>
            </w:r>
            <w:r>
              <w:rPr>
                <w:rFonts w:ascii="Helvetica" w:hAnsi="Helvetica" w:cs="Helvetica"/>
                <w:i/>
                <w:szCs w:val="18"/>
              </w:rPr>
              <w:t xml:space="preserve">et al. </w:t>
            </w:r>
            <w:r>
              <w:rPr>
                <w:rFonts w:ascii="Helvetica" w:hAnsi="Helvetica" w:cs="Helvetica"/>
                <w:szCs w:val="18"/>
              </w:rPr>
              <w:t>2007)</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w:t>
            </w:r>
            <w:r>
              <w:rPr>
                <w:rFonts w:ascii="Helvetica" w:hAnsi="Helvetica" w:cs="Helvetica"/>
                <w:szCs w:val="18"/>
              </w:rPr>
              <w:t xml:space="preserve"> spp. (Catal </w:t>
            </w:r>
            <w:r>
              <w:rPr>
                <w:rFonts w:ascii="Helvetica" w:hAnsi="Helvetica" w:cs="Helvetica"/>
                <w:i/>
                <w:szCs w:val="18"/>
              </w:rPr>
              <w:t>et al.</w:t>
            </w:r>
            <w:r>
              <w:rPr>
                <w:rFonts w:ascii="Helvetica" w:hAnsi="Helvetica" w:cs="Helvetica"/>
                <w:szCs w:val="18"/>
              </w:rPr>
              <w:t xml:space="preserve"> 2007; Vasilyeva and Stephenson 2006)</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Eastern United States in </w:t>
            </w:r>
            <w:smartTag w:uri="urn:schemas-microsoft-com:office:smarttags" w:element="place">
              <w:r>
                <w:rPr>
                  <w:rFonts w:ascii="Helvetica" w:hAnsi="Helvetica" w:cs="Helvetica"/>
                  <w:szCs w:val="18"/>
                </w:rPr>
                <w:t>North America</w:t>
              </w:r>
            </w:smartTag>
            <w:r>
              <w:rPr>
                <w:rFonts w:ascii="Helvetica" w:hAnsi="Helvetica" w:cs="Helvetica"/>
                <w:szCs w:val="18"/>
              </w:rPr>
              <w:t xml:space="preserve"> (Farr </w:t>
            </w:r>
            <w:r>
              <w:rPr>
                <w:rFonts w:ascii="Helvetica" w:hAnsi="Helvetica" w:cs="Helvetica"/>
                <w:i/>
                <w:szCs w:val="18"/>
              </w:rPr>
              <w:t>et al</w:t>
            </w:r>
            <w:r>
              <w:rPr>
                <w:rFonts w:ascii="Helvetica" w:hAnsi="Helvetica" w:cs="Helvetica"/>
                <w:szCs w:val="18"/>
              </w:rPr>
              <w:t>. 1989; Vasilyeva and Stephenson 2006)</w:t>
            </w:r>
          </w:p>
        </w:tc>
      </w:tr>
      <w:tr>
        <w:tc>
          <w:tcPr>
            <w:tcW w:w="1851" w:type="dxa"/>
            <w:shd w:val="clear" w:color="auto" w:fill="E0E0E0"/>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i/>
                <w:szCs w:val="18"/>
              </w:rPr>
            </w:pPr>
            <w:r>
              <w:rPr>
                <w:rFonts w:ascii="Helvetica" w:hAnsi="Helvetica" w:cs="Helvetica"/>
                <w:i/>
                <w:szCs w:val="18"/>
              </w:rPr>
              <w:t xml:space="preserve">Fomitiporia mediterranea </w:t>
            </w:r>
            <w:r>
              <w:rPr>
                <w:rFonts w:ascii="Helvetica" w:hAnsi="Helvetica" w:cs="Helvetica"/>
                <w:szCs w:val="18"/>
              </w:rPr>
              <w:t>M. Fisher</w:t>
            </w:r>
            <w:r>
              <w:rPr>
                <w:rFonts w:ascii="Helvetica" w:hAnsi="Helvetica" w:cs="Helvetica"/>
                <w:i/>
                <w:szCs w:val="18"/>
              </w:rPr>
              <w:t xml:space="preserve">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iCs/>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Cs/>
                <w:szCs w:val="18"/>
              </w:rPr>
              <w:t>Esca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lang w:eastAsia="en-AU"/>
              </w:rPr>
            </w:pPr>
            <w:r>
              <w:rPr>
                <w:rFonts w:ascii="Helvetica" w:hAnsi="Helvetica" w:cs="Helvetica"/>
                <w:i/>
                <w:szCs w:val="18"/>
              </w:rPr>
              <w:t>Acer negundo, Actinidia chinensis, Cornus mas, Corylus avellana, Lagerstroemia indica</w:t>
            </w:r>
            <w:r>
              <w:rPr>
                <w:rFonts w:ascii="Helvetica" w:hAnsi="Helvetica" w:cs="Helvetica"/>
                <w:szCs w:val="18"/>
                <w:lang w:eastAsia="en-AU"/>
              </w:rPr>
              <w:t xml:space="preserve">, </w:t>
            </w:r>
            <w:r>
              <w:rPr>
                <w:rFonts w:ascii="Helvetica" w:hAnsi="Helvetica" w:cs="Helvetica"/>
                <w:i/>
                <w:szCs w:val="18"/>
              </w:rPr>
              <w:t>Laurus nobilis</w:t>
            </w:r>
            <w:r>
              <w:rPr>
                <w:rFonts w:ascii="Helvetica" w:hAnsi="Helvetica" w:cs="Helvetica"/>
                <w:szCs w:val="18"/>
              </w:rPr>
              <w:t xml:space="preserve">, </w:t>
            </w:r>
            <w:r>
              <w:rPr>
                <w:rFonts w:ascii="Helvetica" w:hAnsi="Helvetica" w:cs="Helvetica"/>
                <w:i/>
                <w:szCs w:val="18"/>
              </w:rPr>
              <w:t>Ligustrum vulgare</w:t>
            </w:r>
            <w:r>
              <w:rPr>
                <w:rFonts w:ascii="Helvetica" w:hAnsi="Helvetica" w:cs="Helvetica"/>
                <w:i/>
                <w:iCs/>
                <w:szCs w:val="18"/>
                <w:lang w:eastAsia="en-AU"/>
              </w:rPr>
              <w:t xml:space="preserve">, </w:t>
            </w:r>
            <w:r>
              <w:rPr>
                <w:rFonts w:ascii="Helvetica" w:hAnsi="Helvetica" w:cs="Helvetica"/>
                <w:i/>
                <w:szCs w:val="18"/>
              </w:rPr>
              <w:t>Olea europaea,</w:t>
            </w:r>
            <w:r>
              <w:rPr>
                <w:rFonts w:ascii="Helvetica" w:hAnsi="Helvetica" w:cs="Helvetica"/>
                <w:i/>
                <w:iCs/>
                <w:szCs w:val="18"/>
                <w:lang w:eastAsia="en-AU"/>
              </w:rPr>
              <w:t xml:space="preserve"> </w:t>
            </w:r>
            <w:r>
              <w:rPr>
                <w:rFonts w:ascii="Helvetica" w:hAnsi="Helvetica" w:cs="Helvetica"/>
                <w:i/>
                <w:szCs w:val="18"/>
              </w:rPr>
              <w:t xml:space="preserve">Quercus </w:t>
            </w:r>
            <w:r>
              <w:rPr>
                <w:rFonts w:ascii="Helvetica" w:hAnsi="Helvetica" w:cs="Helvetica"/>
                <w:szCs w:val="18"/>
              </w:rPr>
              <w:t>spp.</w:t>
            </w:r>
            <w:r>
              <w:rPr>
                <w:rFonts w:ascii="Helvetica" w:hAnsi="Helvetica" w:cs="Helvetica"/>
                <w:i/>
                <w:iCs/>
                <w:szCs w:val="18"/>
                <w:lang w:eastAsia="en-AU"/>
              </w:rPr>
              <w:t xml:space="preserve">, </w:t>
            </w:r>
            <w:r>
              <w:rPr>
                <w:rFonts w:ascii="Helvetica" w:hAnsi="Helvetica" w:cs="Helvetica"/>
                <w:i/>
                <w:szCs w:val="18"/>
              </w:rPr>
              <w:t>Quercus ilex, Robinia pa</w:t>
            </w:r>
            <w:smartTag w:uri="urn:schemas-microsoft-com:office:smarttags" w:element="PersonName">
              <w:r>
                <w:rPr>
                  <w:rFonts w:ascii="Helvetica" w:hAnsi="Helvetica" w:cs="Helvetica"/>
                  <w:i/>
                  <w:szCs w:val="18"/>
                </w:rPr>
                <w:t>eu</w:t>
              </w:r>
            </w:smartTag>
            <w:r>
              <w:rPr>
                <w:rFonts w:ascii="Helvetica" w:hAnsi="Helvetica" w:cs="Helvetica"/>
                <w:i/>
                <w:szCs w:val="18"/>
              </w:rPr>
              <w:t xml:space="preserve">doacacia, Vitis vinifera </w:t>
            </w:r>
            <w:r>
              <w:rPr>
                <w:rFonts w:ascii="Helvetica" w:hAnsi="Helvetica" w:cs="Helvetica"/>
                <w:szCs w:val="18"/>
              </w:rPr>
              <w:t xml:space="preserve">(Fischer 2002; Fisher and Binder 2004; Fischer 2006; Amalfi </w:t>
            </w:r>
            <w:r>
              <w:rPr>
                <w:rFonts w:ascii="Helvetica" w:hAnsi="Helvetica" w:cs="Helvetica"/>
                <w:i/>
                <w:szCs w:val="18"/>
              </w:rPr>
              <w:t>et al.</w:t>
            </w:r>
            <w:r>
              <w:rPr>
                <w:rFonts w:ascii="Helvetica" w:hAnsi="Helvetica" w:cs="Helvetica"/>
                <w:szCs w:val="18"/>
              </w:rPr>
              <w:t xml:space="preserve"> 2010; Pilotti </w:t>
            </w:r>
            <w:r>
              <w:rPr>
                <w:rFonts w:ascii="Helvetica" w:hAnsi="Helvetica" w:cs="Helvetica"/>
                <w:i/>
                <w:szCs w:val="18"/>
              </w:rPr>
              <w:t>et al</w:t>
            </w:r>
            <w:r>
              <w:rPr>
                <w:rFonts w:ascii="Helvetica" w:hAnsi="Helvetica" w:cs="Helvetica"/>
                <w:szCs w:val="18"/>
              </w:rPr>
              <w:t>. 2010)</w:t>
            </w:r>
            <w:r>
              <w:rPr>
                <w:rFonts w:ascii="Helvetica" w:hAnsi="Helvetica" w:cs="Helvetica"/>
                <w:szCs w:val="18"/>
                <w:lang w:eastAsia="en-AU"/>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Algeria, Austria, France, Germany, Greece, Iran, Italy, Portugal, Slowenia, Spain, Switzerland (Karimi </w:t>
            </w:r>
            <w:r>
              <w:rPr>
                <w:rFonts w:ascii="Helvetica" w:hAnsi="Helvetica" w:cs="Helvetica"/>
                <w:i/>
                <w:szCs w:val="18"/>
              </w:rPr>
              <w:t xml:space="preserve">et al. </w:t>
            </w:r>
            <w:r>
              <w:rPr>
                <w:rFonts w:ascii="Helvetica" w:hAnsi="Helvetica" w:cs="Helvetica"/>
                <w:szCs w:val="18"/>
              </w:rPr>
              <w:t xml:space="preserve">2001; Fischer 2002; Fischer 2006; Péros </w:t>
            </w:r>
            <w:r>
              <w:rPr>
                <w:rFonts w:ascii="Helvetica" w:hAnsi="Helvetica" w:cs="Helvetica"/>
                <w:i/>
                <w:szCs w:val="18"/>
              </w:rPr>
              <w:t xml:space="preserve">et al. </w:t>
            </w:r>
            <w:r>
              <w:rPr>
                <w:rFonts w:ascii="Helvetica" w:hAnsi="Helvetica" w:cs="Helvetica"/>
                <w:szCs w:val="18"/>
              </w:rPr>
              <w:t xml:space="preserve">2008; Pilotti </w:t>
            </w:r>
            <w:r>
              <w:rPr>
                <w:rFonts w:ascii="Helvetica" w:hAnsi="Helvetica" w:cs="Helvetica"/>
                <w:i/>
                <w:szCs w:val="18"/>
              </w:rPr>
              <w:t>et al</w:t>
            </w:r>
            <w:r>
              <w:rPr>
                <w:rFonts w:ascii="Helvetica" w:hAnsi="Helvetica" w:cs="Helvetica"/>
                <w:szCs w:val="18"/>
              </w:rPr>
              <w:t>. 2010)</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szCs w:val="18"/>
              </w:rPr>
              <w:t xml:space="preserve">Fomitiporia polymorpha M. </w:t>
            </w:r>
            <w:r>
              <w:rPr>
                <w:rFonts w:ascii="Helvetica" w:hAnsi="Helvetica" w:cs="Helvetica"/>
                <w:szCs w:val="18"/>
              </w:rPr>
              <w:t>Fisher</w:t>
            </w:r>
            <w:r>
              <w:rPr>
                <w:rFonts w:ascii="Helvetica" w:hAnsi="Helvetica" w:cs="Helvetica"/>
                <w:i/>
                <w:szCs w:val="18"/>
              </w:rPr>
              <w:t xml:space="preserve"> </w:t>
            </w:r>
            <w:r>
              <w:rPr>
                <w:rFonts w:ascii="Helvetica" w:hAnsi="Helvetica" w:cs="Helvetica"/>
                <w:szCs w:val="18"/>
              </w:rPr>
              <w:t xml:space="preserve"> (recently described species, limited information)</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iCs/>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Hardwoods (Fisher and Binder 2004)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North America, </w:t>
            </w:r>
            <w:smartTag w:uri="urn:schemas-microsoft-com:office:smarttags" w:element="country-region">
              <w:smartTag w:uri="urn:schemas-microsoft-com:office:smarttags" w:element="place">
                <w:r>
                  <w:rPr>
                    <w:rFonts w:ascii="Helvetica" w:hAnsi="Helvetica" w:cs="Helvetica"/>
                    <w:szCs w:val="18"/>
                  </w:rPr>
                  <w:t>USA</w:t>
                </w:r>
              </w:smartTag>
            </w:smartTag>
            <w:r>
              <w:rPr>
                <w:rFonts w:ascii="Helvetica" w:hAnsi="Helvetica" w:cs="Helvetica"/>
                <w:szCs w:val="18"/>
              </w:rPr>
              <w:t xml:space="preserve"> (Fisher and Binder 2004; Fischer 2006; Pilotti </w:t>
            </w:r>
            <w:r>
              <w:rPr>
                <w:rFonts w:ascii="Helvetica" w:hAnsi="Helvetica" w:cs="Helvetica"/>
                <w:i/>
                <w:szCs w:val="18"/>
              </w:rPr>
              <w:t>et al</w:t>
            </w:r>
            <w:r>
              <w:rPr>
                <w:rFonts w:ascii="Helvetica" w:hAnsi="Helvetica" w:cs="Helvetica"/>
                <w:szCs w:val="18"/>
              </w:rPr>
              <w:t>. 2010)</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Guignardia</w:t>
            </w:r>
            <w:r>
              <w:rPr>
                <w:rFonts w:ascii="Helvetica" w:hAnsi="Helvetica" w:cs="Helvetica"/>
                <w:szCs w:val="18"/>
              </w:rPr>
              <w:t xml:space="preserve"> spp. (</w:t>
            </w:r>
            <w:r>
              <w:rPr>
                <w:rFonts w:ascii="Helvetica" w:hAnsi="Helvetica" w:cs="Helvetica"/>
                <w:i/>
                <w:szCs w:val="18"/>
              </w:rPr>
              <w:t xml:space="preserve">G. bidwellii, G. bidwellii f. </w:t>
            </w:r>
            <w:smartTag w:uri="urn:schemas-microsoft-com:office:smarttags" w:element="PersonName">
              <w:r>
                <w:rPr>
                  <w:rFonts w:ascii="Helvetica" w:hAnsi="Helvetica" w:cs="Helvetica"/>
                  <w:i/>
                  <w:szCs w:val="18"/>
                </w:rPr>
                <w:t>eu</w:t>
              </w:r>
            </w:smartTag>
            <w:r>
              <w:rPr>
                <w:rFonts w:ascii="Helvetica" w:hAnsi="Helvetica" w:cs="Helvetica"/>
                <w:i/>
                <w:szCs w:val="18"/>
              </w:rPr>
              <w:t>vitis, G. bidwellii f. muscadini</w:t>
            </w: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iCs/>
                <w:color w:val="010101"/>
                <w:szCs w:val="18"/>
                <w:lang w:eastAsia="en-AU"/>
              </w:rPr>
            </w:pPr>
            <w:r>
              <w:rPr>
                <w:rFonts w:ascii="Helvetica" w:hAnsi="Helvetica" w:cs="Helvetica"/>
                <w:i/>
                <w:iCs/>
                <w:color w:val="010101"/>
                <w:szCs w:val="18"/>
                <w:lang w:eastAsia="en-AU"/>
              </w:rPr>
              <w:t>Botryosphaeria bidwellii, Carlia bidwellii,</w:t>
            </w:r>
            <w:r>
              <w:rPr>
                <w:rFonts w:ascii="Helvetica" w:hAnsi="Helvetica" w:cs="Helvetica"/>
                <w:color w:val="010101"/>
                <w:szCs w:val="18"/>
                <w:lang w:eastAsia="en-AU"/>
              </w:rPr>
              <w:t xml:space="preserve"> </w:t>
            </w:r>
            <w:r>
              <w:rPr>
                <w:rFonts w:ascii="Helvetica" w:hAnsi="Helvetica" w:cs="Helvetica"/>
                <w:i/>
                <w:iCs/>
                <w:color w:val="010101"/>
                <w:szCs w:val="18"/>
                <w:lang w:eastAsia="en-AU"/>
              </w:rPr>
              <w:t>Depazea labruscae</w:t>
            </w:r>
            <w:r>
              <w:rPr>
                <w:rFonts w:ascii="Helvetica" w:hAnsi="Helvetica" w:cs="Helvetica"/>
                <w:color w:val="010101"/>
                <w:szCs w:val="18"/>
                <w:lang w:eastAsia="en-AU"/>
              </w:rPr>
              <w:t xml:space="preserve">, </w:t>
            </w:r>
            <w:r>
              <w:rPr>
                <w:rFonts w:ascii="Helvetica" w:hAnsi="Helvetica" w:cs="Helvetica"/>
                <w:i/>
                <w:color w:val="010101"/>
                <w:szCs w:val="18"/>
                <w:lang w:eastAsia="en-AU"/>
              </w:rPr>
              <w:t>Greenaria uvicola</w:t>
            </w:r>
            <w:r>
              <w:rPr>
                <w:rFonts w:ascii="Helvetica" w:hAnsi="Helvetica" w:cs="Helvetica"/>
                <w:color w:val="010101"/>
                <w:szCs w:val="18"/>
                <w:lang w:eastAsia="en-AU"/>
              </w:rPr>
              <w:t xml:space="preserve">, </w:t>
            </w:r>
            <w:r>
              <w:rPr>
                <w:rFonts w:ascii="Helvetica" w:hAnsi="Helvetica" w:cs="Helvetica"/>
                <w:i/>
                <w:iCs/>
                <w:color w:val="010101"/>
                <w:szCs w:val="18"/>
                <w:lang w:eastAsia="en-AU"/>
              </w:rPr>
              <w:t>Laestadia bidwellii</w:t>
            </w:r>
            <w:r>
              <w:rPr>
                <w:rFonts w:ascii="Helvetica" w:hAnsi="Helvetica" w:cs="Helvetica"/>
                <w:color w:val="010101"/>
                <w:szCs w:val="18"/>
                <w:lang w:eastAsia="en-AU"/>
              </w:rPr>
              <w:t xml:space="preserve">, </w:t>
            </w:r>
            <w:r>
              <w:rPr>
                <w:rFonts w:ascii="Helvetica" w:hAnsi="Helvetica" w:cs="Helvetica"/>
                <w:i/>
                <w:iCs/>
                <w:color w:val="010101"/>
                <w:szCs w:val="18"/>
                <w:lang w:eastAsia="en-AU"/>
              </w:rPr>
              <w:t>Naemospora ampelicida</w:t>
            </w:r>
            <w:r>
              <w:rPr>
                <w:rFonts w:ascii="Helvetica" w:hAnsi="Helvetica" w:cs="Helvetica"/>
                <w:color w:val="010101"/>
                <w:szCs w:val="18"/>
                <w:lang w:eastAsia="en-AU"/>
              </w:rPr>
              <w:t xml:space="preserve">, </w:t>
            </w:r>
            <w:r>
              <w:rPr>
                <w:rFonts w:ascii="Helvetica" w:hAnsi="Helvetica" w:cs="Helvetica"/>
                <w:i/>
                <w:iCs/>
                <w:color w:val="010101"/>
                <w:szCs w:val="18"/>
                <w:lang w:eastAsia="en-AU"/>
              </w:rPr>
              <w:t>Phoma ustulata</w:t>
            </w:r>
            <w:r>
              <w:rPr>
                <w:rFonts w:ascii="Helvetica" w:hAnsi="Helvetica" w:cs="Helvetica"/>
                <w:color w:val="010101"/>
                <w:szCs w:val="18"/>
                <w:lang w:eastAsia="en-AU"/>
              </w:rPr>
              <w:t xml:space="preserve">, </w:t>
            </w:r>
            <w:r>
              <w:rPr>
                <w:rFonts w:ascii="Helvetica" w:hAnsi="Helvetica" w:cs="Helvetica"/>
                <w:i/>
                <w:iCs/>
                <w:color w:val="010101"/>
                <w:szCs w:val="18"/>
                <w:lang w:eastAsia="en-AU"/>
              </w:rPr>
              <w:t xml:space="preserve">Phoma uvicola </w:t>
            </w:r>
            <w:r>
              <w:rPr>
                <w:rFonts w:ascii="Helvetica" w:hAnsi="Helvetica" w:cs="Helvetica"/>
                <w:color w:val="010101"/>
                <w:szCs w:val="18"/>
                <w:lang w:eastAsia="en-AU"/>
              </w:rPr>
              <w:t xml:space="preserve">var. </w:t>
            </w:r>
            <w:r>
              <w:rPr>
                <w:rFonts w:ascii="Helvetica" w:hAnsi="Helvetica" w:cs="Helvetica"/>
                <w:i/>
                <w:color w:val="010101"/>
                <w:szCs w:val="18"/>
                <w:lang w:eastAsia="en-AU"/>
              </w:rPr>
              <w:t>labruscae</w:t>
            </w:r>
            <w:r>
              <w:rPr>
                <w:rFonts w:ascii="Helvetica" w:hAnsi="Helvetica" w:cs="Helvetica"/>
                <w:color w:val="010101"/>
                <w:szCs w:val="18"/>
                <w:lang w:eastAsia="en-AU"/>
              </w:rPr>
              <w:t xml:space="preserve">, </w:t>
            </w:r>
            <w:r>
              <w:rPr>
                <w:rFonts w:ascii="Helvetica" w:hAnsi="Helvetica" w:cs="Helvetica"/>
                <w:i/>
                <w:iCs/>
                <w:color w:val="010101"/>
                <w:szCs w:val="18"/>
                <w:lang w:eastAsia="en-AU"/>
              </w:rPr>
              <w:t>Phoma uvicola</w:t>
            </w:r>
            <w:r>
              <w:rPr>
                <w:rFonts w:ascii="Helvetica" w:hAnsi="Helvetica" w:cs="Helvetica"/>
                <w:color w:val="010101"/>
                <w:szCs w:val="18"/>
                <w:lang w:eastAsia="en-AU"/>
              </w:rPr>
              <w:t>,</w:t>
            </w:r>
            <w:r>
              <w:rPr>
                <w:rFonts w:ascii="Helvetica" w:hAnsi="Helvetica" w:cs="Helvetica"/>
                <w:szCs w:val="18"/>
              </w:rPr>
              <w:t xml:space="preserve"> </w:t>
            </w:r>
            <w:r>
              <w:rPr>
                <w:rFonts w:ascii="Helvetica" w:hAnsi="Helvetica" w:cs="Helvetica"/>
                <w:i/>
                <w:iCs/>
                <w:color w:val="010101"/>
                <w:szCs w:val="18"/>
                <w:lang w:eastAsia="en-AU"/>
              </w:rPr>
              <w:t>Phyllosticta ampelicida</w:t>
            </w:r>
            <w:r>
              <w:rPr>
                <w:rFonts w:ascii="Helvetica" w:hAnsi="Helvetica" w:cs="Helvetica"/>
                <w:color w:val="010101"/>
                <w:szCs w:val="18"/>
                <w:lang w:eastAsia="en-AU"/>
              </w:rPr>
              <w:t xml:space="preserve">, </w:t>
            </w:r>
            <w:r>
              <w:rPr>
                <w:rFonts w:ascii="Helvetica" w:hAnsi="Helvetica" w:cs="Helvetica"/>
                <w:i/>
                <w:iCs/>
                <w:color w:val="010101"/>
                <w:szCs w:val="18"/>
                <w:lang w:eastAsia="en-AU"/>
              </w:rPr>
              <w:t>Phyllosticta ampelopsidis</w:t>
            </w:r>
            <w:r>
              <w:rPr>
                <w:rFonts w:ascii="Helvetica" w:hAnsi="Helvetica" w:cs="Helvetica"/>
                <w:color w:val="010101"/>
                <w:szCs w:val="18"/>
                <w:lang w:eastAsia="en-AU"/>
              </w:rPr>
              <w:t xml:space="preserve">, </w:t>
            </w:r>
            <w:r>
              <w:rPr>
                <w:rFonts w:ascii="Helvetica" w:hAnsi="Helvetica" w:cs="Helvetica"/>
                <w:i/>
                <w:iCs/>
                <w:color w:val="010101"/>
                <w:szCs w:val="18"/>
                <w:lang w:eastAsia="en-AU"/>
              </w:rPr>
              <w:t>Phyllosticta viticola</w:t>
            </w:r>
            <w:r>
              <w:rPr>
                <w:rFonts w:ascii="Helvetica" w:hAnsi="Helvetica" w:cs="Helvetica"/>
                <w:color w:val="010101"/>
                <w:szCs w:val="18"/>
                <w:lang w:eastAsia="en-AU"/>
              </w:rPr>
              <w:t xml:space="preserve">, </w:t>
            </w:r>
            <w:r>
              <w:rPr>
                <w:rFonts w:ascii="Helvetica" w:hAnsi="Helvetica" w:cs="Helvetica"/>
                <w:i/>
                <w:iCs/>
                <w:color w:val="010101"/>
                <w:szCs w:val="18"/>
                <w:lang w:eastAsia="en-AU"/>
              </w:rPr>
              <w:t>Phyllosticta vulpinae</w:t>
            </w:r>
            <w:r>
              <w:rPr>
                <w:rFonts w:ascii="Helvetica" w:hAnsi="Helvetica" w:cs="Helvetica"/>
                <w:color w:val="010101"/>
                <w:szCs w:val="18"/>
                <w:lang w:eastAsia="en-AU"/>
              </w:rPr>
              <w:t xml:space="preserve">, </w:t>
            </w:r>
            <w:r>
              <w:rPr>
                <w:rFonts w:ascii="Helvetica" w:hAnsi="Helvetica" w:cs="Helvetica"/>
                <w:i/>
                <w:iCs/>
                <w:color w:val="010101"/>
                <w:szCs w:val="18"/>
                <w:lang w:eastAsia="en-AU"/>
              </w:rPr>
              <w:t>Phyllostictina clemensae</w:t>
            </w:r>
            <w:r>
              <w:rPr>
                <w:rFonts w:ascii="Helvetica" w:hAnsi="Helvetica" w:cs="Helvetica"/>
                <w:color w:val="010101"/>
                <w:szCs w:val="18"/>
                <w:lang w:eastAsia="en-AU"/>
              </w:rPr>
              <w:t xml:space="preserve">, </w:t>
            </w:r>
            <w:r>
              <w:rPr>
                <w:rFonts w:ascii="Helvetica" w:hAnsi="Helvetica" w:cs="Helvetica"/>
                <w:i/>
                <w:iCs/>
                <w:color w:val="010101"/>
                <w:szCs w:val="18"/>
                <w:lang w:eastAsia="en-AU"/>
              </w:rPr>
              <w:t>Phyllostictina uvicola</w:t>
            </w:r>
            <w:r>
              <w:rPr>
                <w:rFonts w:ascii="Helvetica" w:hAnsi="Helvetica" w:cs="Helvetica"/>
                <w:color w:val="010101"/>
                <w:szCs w:val="18"/>
                <w:lang w:eastAsia="en-AU"/>
              </w:rPr>
              <w:t xml:space="preserve">, </w:t>
            </w:r>
            <w:r>
              <w:rPr>
                <w:rFonts w:ascii="Helvetica" w:hAnsi="Helvetica" w:cs="Helvetica"/>
                <w:i/>
                <w:iCs/>
                <w:color w:val="010101"/>
                <w:szCs w:val="18"/>
                <w:lang w:eastAsia="en-AU"/>
              </w:rPr>
              <w:t>Phyllostictina viticola</w:t>
            </w:r>
            <w:r>
              <w:rPr>
                <w:rFonts w:ascii="Helvetica" w:hAnsi="Helvetica" w:cs="Helvetica"/>
                <w:color w:val="010101"/>
                <w:szCs w:val="18"/>
                <w:lang w:eastAsia="en-AU"/>
              </w:rPr>
              <w:t xml:space="preserve">, </w:t>
            </w:r>
            <w:r>
              <w:rPr>
                <w:rFonts w:ascii="Helvetica" w:hAnsi="Helvetica" w:cs="Helvetica"/>
                <w:i/>
                <w:iCs/>
                <w:color w:val="010101"/>
                <w:szCs w:val="18"/>
                <w:lang w:eastAsia="en-AU"/>
              </w:rPr>
              <w:t>Physalospora bidwellii</w:t>
            </w:r>
            <w:r>
              <w:rPr>
                <w:rFonts w:ascii="Helvetica" w:hAnsi="Helvetica" w:cs="Helvetica"/>
                <w:color w:val="010101"/>
                <w:szCs w:val="18"/>
                <w:lang w:eastAsia="en-AU"/>
              </w:rPr>
              <w:t xml:space="preserve">, </w:t>
            </w:r>
            <w:r>
              <w:rPr>
                <w:rFonts w:ascii="Helvetica" w:hAnsi="Helvetica" w:cs="Helvetica"/>
                <w:i/>
                <w:iCs/>
                <w:color w:val="010101"/>
                <w:szCs w:val="18"/>
                <w:lang w:eastAsia="en-AU"/>
              </w:rPr>
              <w:t>Sacidium viticolum</w:t>
            </w:r>
            <w:r>
              <w:rPr>
                <w:rFonts w:ascii="Helvetica" w:hAnsi="Helvetica" w:cs="Helvetica"/>
                <w:color w:val="010101"/>
                <w:szCs w:val="18"/>
                <w:lang w:eastAsia="en-AU"/>
              </w:rPr>
              <w:t xml:space="preserve">, </w:t>
            </w:r>
            <w:r>
              <w:rPr>
                <w:rFonts w:ascii="Helvetica" w:hAnsi="Helvetica" w:cs="Helvetica"/>
                <w:i/>
                <w:iCs/>
                <w:color w:val="010101"/>
                <w:szCs w:val="18"/>
                <w:lang w:eastAsia="en-AU"/>
              </w:rPr>
              <w:t>Septoria viticola</w:t>
            </w:r>
            <w:r>
              <w:rPr>
                <w:rFonts w:ascii="Helvetica" w:hAnsi="Helvetica" w:cs="Helvetica"/>
                <w:color w:val="010101"/>
                <w:szCs w:val="18"/>
                <w:lang w:eastAsia="en-AU"/>
              </w:rPr>
              <w:t xml:space="preserve">, </w:t>
            </w:r>
            <w:r>
              <w:rPr>
                <w:rFonts w:ascii="Helvetica" w:hAnsi="Helvetica" w:cs="Helvetica"/>
                <w:i/>
                <w:iCs/>
                <w:color w:val="010101"/>
                <w:szCs w:val="18"/>
                <w:lang w:eastAsia="en-AU"/>
              </w:rPr>
              <w:t xml:space="preserve">Sphaeria bidwellii </w:t>
            </w:r>
            <w:r>
              <w:rPr>
                <w:rFonts w:ascii="Helvetica" w:hAnsi="Helvetica" w:cs="Helvetica"/>
                <w:color w:val="010101"/>
                <w:szCs w:val="18"/>
                <w:lang w:eastAsia="en-AU"/>
              </w:rPr>
              <w:t>(</w:t>
            </w:r>
            <w:r>
              <w:rPr>
                <w:rFonts w:ascii="Helvetica" w:hAnsi="Helvetica" w:cs="Helvetica"/>
                <w:iCs/>
                <w:color w:val="010101"/>
                <w:szCs w:val="18"/>
                <w:lang w:eastAsia="en-AU"/>
              </w:rPr>
              <w:t xml:space="preserve">Ullrich </w:t>
            </w:r>
            <w:r>
              <w:rPr>
                <w:rFonts w:ascii="Helvetica" w:hAnsi="Helvetica" w:cs="Helvetica"/>
                <w:i/>
                <w:iCs/>
                <w:color w:val="010101"/>
                <w:szCs w:val="18"/>
                <w:lang w:eastAsia="en-AU"/>
              </w:rPr>
              <w:t>et al</w:t>
            </w:r>
            <w:r>
              <w:rPr>
                <w:rFonts w:ascii="Helvetica" w:hAnsi="Helvetica" w:cs="Helvetica"/>
                <w:iCs/>
                <w:color w:val="010101"/>
                <w:szCs w:val="18"/>
                <w:lang w:eastAsia="en-AU"/>
              </w:rPr>
              <w:t>. 2009;</w:t>
            </w:r>
            <w:r>
              <w:rPr>
                <w:rFonts w:ascii="Helvetica" w:hAnsi="Helvetica" w:cs="Helvetica"/>
                <w:i/>
                <w:iCs/>
                <w:color w:val="010101"/>
                <w:szCs w:val="18"/>
                <w:lang w:eastAsia="en-AU"/>
              </w:rPr>
              <w:t xml:space="preserve"> </w:t>
            </w:r>
            <w:r>
              <w:rPr>
                <w:rFonts w:ascii="Helvetica" w:hAnsi="Helvetica" w:cs="Helvetica"/>
                <w:color w:val="010101"/>
                <w:szCs w:val="18"/>
                <w:lang w:eastAsia="en-AU"/>
              </w:rPr>
              <w:t>CABI 2012a).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color w:val="010101"/>
                <w:szCs w:val="18"/>
                <w:lang w:eastAsia="en-AU"/>
              </w:rPr>
              <w:t>Black rot</w:t>
            </w:r>
          </w:p>
        </w:tc>
      </w:tr>
      <w:tr>
        <w:trPr>
          <w:trHeight w:val="417"/>
        </w:trP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lang w:eastAsia="en-AU"/>
              </w:rPr>
            </w:pPr>
            <w:r>
              <w:rPr>
                <w:rFonts w:ascii="Helvetica" w:hAnsi="Helvetica" w:cs="Helvetica"/>
                <w:i/>
                <w:iCs/>
                <w:color w:val="010101"/>
                <w:szCs w:val="18"/>
                <w:lang w:eastAsia="en-AU"/>
              </w:rPr>
              <w:t xml:space="preserve">Ampelopsis, Asplenium nidus, Cissus , Citrus, Parthenocissus quinquefolia , P. tricuspidata, V. amurensis,Vitis arizonica , Vitis labrusca , Vitis rotundifolia, Vitis vinifera </w:t>
            </w:r>
            <w:r>
              <w:rPr>
                <w:rFonts w:ascii="Helvetica" w:hAnsi="Helvetica" w:cs="Helvetica"/>
                <w:iCs/>
                <w:color w:val="010101"/>
                <w:szCs w:val="18"/>
                <w:lang w:eastAsia="en-AU"/>
              </w:rPr>
              <w:t>(University of Illinois 2001;</w:t>
            </w:r>
            <w:r>
              <w:rPr>
                <w:rFonts w:ascii="Helvetica" w:hAnsi="Helvetica" w:cs="Helvetica"/>
                <w:i/>
                <w:iCs/>
                <w:color w:val="010101"/>
                <w:szCs w:val="18"/>
                <w:lang w:eastAsia="en-AU"/>
              </w:rPr>
              <w:t xml:space="preserve"> </w:t>
            </w:r>
            <w:r>
              <w:rPr>
                <w:rFonts w:ascii="Helvetica" w:hAnsi="Helvetica" w:cs="Helvetica"/>
                <w:iCs/>
                <w:color w:val="010101"/>
                <w:szCs w:val="18"/>
                <w:lang w:eastAsia="en-AU"/>
              </w:rPr>
              <w:t xml:space="preserve">Eyres </w:t>
            </w:r>
            <w:r>
              <w:rPr>
                <w:rFonts w:ascii="Helvetica" w:hAnsi="Helvetica" w:cs="Helvetica"/>
                <w:i/>
                <w:iCs/>
                <w:color w:val="010101"/>
                <w:szCs w:val="18"/>
                <w:lang w:eastAsia="en-AU"/>
              </w:rPr>
              <w:t xml:space="preserve">et al. </w:t>
            </w:r>
            <w:r>
              <w:rPr>
                <w:rFonts w:ascii="Helvetica" w:hAnsi="Helvetica" w:cs="Helvetica"/>
                <w:iCs/>
                <w:color w:val="010101"/>
                <w:szCs w:val="18"/>
                <w:lang w:eastAsia="en-AU"/>
              </w:rPr>
              <w:t xml:space="preserve">2006; Ullrich </w:t>
            </w:r>
            <w:r>
              <w:rPr>
                <w:rFonts w:ascii="Helvetica" w:hAnsi="Helvetica" w:cs="Helvetica"/>
                <w:i/>
                <w:iCs/>
                <w:color w:val="010101"/>
                <w:szCs w:val="18"/>
                <w:lang w:eastAsia="en-AU"/>
              </w:rPr>
              <w:t xml:space="preserve">et al. </w:t>
            </w:r>
            <w:r>
              <w:rPr>
                <w:rFonts w:ascii="Helvetica" w:hAnsi="Helvetica" w:cs="Helvetica"/>
                <w:iCs/>
                <w:color w:val="010101"/>
                <w:szCs w:val="18"/>
                <w:lang w:eastAsia="en-AU"/>
              </w:rPr>
              <w:t>2009;</w:t>
            </w:r>
            <w:r>
              <w:rPr>
                <w:rFonts w:ascii="Helvetica" w:hAnsi="Helvetica" w:cs="Helvetica"/>
                <w:i/>
                <w:iCs/>
                <w:color w:val="010101"/>
                <w:szCs w:val="18"/>
                <w:lang w:eastAsia="en-AU"/>
              </w:rPr>
              <w:t xml:space="preserve"> </w:t>
            </w:r>
            <w:r>
              <w:rPr>
                <w:rFonts w:ascii="Helvetica" w:hAnsi="Helvetica" w:cs="Helvetica"/>
                <w:iCs/>
                <w:color w:val="010101"/>
                <w:szCs w:val="18"/>
                <w:lang w:eastAsia="en-AU"/>
              </w:rPr>
              <w:t>CABI 2012a).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color w:val="010101"/>
                <w:szCs w:val="18"/>
                <w:lang w:eastAsia="en-AU"/>
              </w:rPr>
            </w:pPr>
            <w:r>
              <w:rPr>
                <w:rFonts w:ascii="Helvetica" w:hAnsi="Helvetica" w:cs="Helvetica"/>
                <w:color w:val="010101"/>
                <w:szCs w:val="18"/>
                <w:lang w:eastAsia="en-AU"/>
              </w:rPr>
              <w:t xml:space="preserve">Argentina, Austria, Barbados, Brazil, Bulgaria, Canada, Chile, China, Cuba, Cyprus, El Salvador, Former Yugoslavia, France, Germany, Guyana, Haiti, India, Iran, Italy, Jamaica, Japan, Korea, Martinique, Mexico, Morocco, Mozambique, Pakistan, Panama, Philippines, Romania, Russian Federation, Slovakia, Sudan, Switzerland, Turkey, Ukraine, Virgin Islands, Uruguay, USA and Venezuela (AQSIQ 2006; </w:t>
            </w:r>
            <w:r>
              <w:rPr>
                <w:rFonts w:ascii="Helvetica" w:hAnsi="Helvetica" w:cs="Helvetica"/>
                <w:iCs/>
                <w:color w:val="010101"/>
                <w:szCs w:val="18"/>
                <w:lang w:eastAsia="en-AU"/>
              </w:rPr>
              <w:t xml:space="preserve">Eyres </w:t>
            </w:r>
            <w:r>
              <w:rPr>
                <w:rFonts w:ascii="Helvetica" w:hAnsi="Helvetica" w:cs="Helvetica"/>
                <w:i/>
                <w:iCs/>
                <w:color w:val="010101"/>
                <w:szCs w:val="18"/>
                <w:lang w:eastAsia="en-AU"/>
              </w:rPr>
              <w:t xml:space="preserve">et al. </w:t>
            </w:r>
            <w:r>
              <w:rPr>
                <w:rFonts w:ascii="Helvetica" w:hAnsi="Helvetica" w:cs="Helvetica"/>
                <w:iCs/>
                <w:color w:val="010101"/>
                <w:szCs w:val="18"/>
                <w:lang w:eastAsia="en-AU"/>
              </w:rPr>
              <w:t>2006;</w:t>
            </w:r>
            <w:r>
              <w:rPr>
                <w:rFonts w:ascii="Helvetica" w:hAnsi="Helvetica" w:cs="Helvetica"/>
                <w:i/>
                <w:iCs/>
                <w:color w:val="010101"/>
                <w:szCs w:val="18"/>
                <w:lang w:eastAsia="en-AU"/>
              </w:rPr>
              <w:t xml:space="preserve"> </w:t>
            </w:r>
            <w:r>
              <w:rPr>
                <w:rFonts w:ascii="Helvetica" w:hAnsi="Helvetica" w:cs="Helvetica"/>
                <w:color w:val="010101"/>
                <w:szCs w:val="18"/>
                <w:lang w:eastAsia="en-AU"/>
              </w:rPr>
              <w:t xml:space="preserve">AQSIQ 2007; </w:t>
            </w:r>
            <w:r>
              <w:rPr>
                <w:rFonts w:ascii="Helvetica" w:hAnsi="Helvetica" w:cs="Helvetica"/>
                <w:iCs/>
                <w:color w:val="010101"/>
                <w:szCs w:val="18"/>
                <w:lang w:eastAsia="en-AU"/>
              </w:rPr>
              <w:t xml:space="preserve">Ullrich </w:t>
            </w:r>
            <w:r>
              <w:rPr>
                <w:rFonts w:ascii="Helvetica" w:hAnsi="Helvetica" w:cs="Helvetica"/>
                <w:i/>
                <w:iCs/>
                <w:color w:val="010101"/>
                <w:szCs w:val="18"/>
                <w:lang w:eastAsia="en-AU"/>
              </w:rPr>
              <w:t>et al</w:t>
            </w:r>
            <w:r>
              <w:rPr>
                <w:rFonts w:ascii="Helvetica" w:hAnsi="Helvetica" w:cs="Helvetica"/>
                <w:iCs/>
                <w:color w:val="010101"/>
                <w:szCs w:val="18"/>
                <w:lang w:eastAsia="en-AU"/>
              </w:rPr>
              <w:t>. 2009;</w:t>
            </w:r>
            <w:r>
              <w:rPr>
                <w:rFonts w:ascii="Helvetica" w:hAnsi="Helvetica" w:cs="Helvetica"/>
                <w:i/>
                <w:iCs/>
                <w:color w:val="010101"/>
                <w:szCs w:val="18"/>
                <w:lang w:eastAsia="en-AU"/>
              </w:rPr>
              <w:t xml:space="preserve"> </w:t>
            </w:r>
            <w:r>
              <w:rPr>
                <w:rFonts w:ascii="Helvetica" w:hAnsi="Helvetica" w:cs="Helvetica"/>
                <w:color w:val="010101"/>
                <w:szCs w:val="18"/>
                <w:lang w:eastAsia="en-AU"/>
              </w:rPr>
              <w:t>CABI 2012a).</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Inocutis jamaicensis</w:t>
            </w:r>
            <w:r>
              <w:rPr>
                <w:rFonts w:ascii="Helvetica" w:hAnsi="Helvetica" w:cs="Helvetica"/>
                <w:szCs w:val="18"/>
              </w:rPr>
              <w:t xml:space="preserve"> (Murrill) J.E. Wright &amp; Moncalvo</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Grapevine trunk disease – ‘Hoja de malvon’</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Vitis vinifera, Eucalyptus globulus, Diostea </w:t>
            </w:r>
            <w:r>
              <w:rPr>
                <w:rFonts w:ascii="Helvetica" w:hAnsi="Helvetica" w:cs="Helvetica"/>
                <w:szCs w:val="18"/>
              </w:rPr>
              <w:t>spp</w:t>
            </w:r>
            <w:r>
              <w:rPr>
                <w:rFonts w:ascii="Helvetica" w:hAnsi="Helvetica" w:cs="Helvetica"/>
                <w:i/>
                <w:szCs w:val="18"/>
              </w:rPr>
              <w:t xml:space="preserve">., Prunus </w:t>
            </w:r>
            <w:r>
              <w:rPr>
                <w:rFonts w:ascii="Helvetica" w:hAnsi="Helvetica" w:cs="Helvetica"/>
                <w:szCs w:val="18"/>
              </w:rPr>
              <w:t>spp</w:t>
            </w:r>
            <w:r>
              <w:rPr>
                <w:rFonts w:ascii="Helvetica" w:hAnsi="Helvetica" w:cs="Helvetica"/>
                <w:i/>
                <w:szCs w:val="18"/>
              </w:rPr>
              <w:t xml:space="preserve">, Quercus spp. Taxodium </w:t>
            </w:r>
            <w:r>
              <w:rPr>
                <w:rFonts w:ascii="Helvetica" w:hAnsi="Helvetica" w:cs="Helvetica"/>
                <w:szCs w:val="18"/>
              </w:rPr>
              <w:t>spp</w:t>
            </w:r>
            <w:r>
              <w:rPr>
                <w:rFonts w:ascii="Helvetica" w:hAnsi="Helvetica" w:cs="Helvetica"/>
                <w:i/>
                <w:szCs w:val="18"/>
              </w:rPr>
              <w:t>.</w:t>
            </w:r>
            <w:r>
              <w:rPr>
                <w:rFonts w:ascii="Helvetica" w:hAnsi="Helvetica" w:cs="Helvetica"/>
                <w:szCs w:val="18"/>
              </w:rPr>
              <w:t xml:space="preserve"> (Lupo </w:t>
            </w:r>
            <w:r>
              <w:rPr>
                <w:rFonts w:ascii="Helvetica" w:hAnsi="Helvetica" w:cs="Helvetica"/>
                <w:i/>
                <w:szCs w:val="18"/>
              </w:rPr>
              <w:t>et al</w:t>
            </w:r>
            <w:r>
              <w:rPr>
                <w:rFonts w:ascii="Helvetica" w:hAnsi="Helvetica" w:cs="Helvetica"/>
                <w:szCs w:val="18"/>
              </w:rPr>
              <w:t xml:space="preserve">. 2006; Fischer 2006; Perez </w:t>
            </w:r>
            <w:r>
              <w:rPr>
                <w:rFonts w:ascii="Helvetica" w:hAnsi="Helvetica" w:cs="Helvetica"/>
                <w:i/>
                <w:szCs w:val="18"/>
              </w:rPr>
              <w:t>et al</w:t>
            </w:r>
            <w:r>
              <w:rPr>
                <w:rFonts w:ascii="Helvetica" w:hAnsi="Helvetica" w:cs="Helvetica"/>
                <w:szCs w:val="18"/>
              </w:rPr>
              <w:t>. 2008)</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North America, </w:t>
            </w:r>
            <w:smartTag w:uri="urn:schemas-microsoft-com:office:smarttags" w:element="place">
              <w:r>
                <w:rPr>
                  <w:rFonts w:ascii="Helvetica" w:hAnsi="Helvetica" w:cs="Helvetica"/>
                  <w:szCs w:val="18"/>
                </w:rPr>
                <w:t>South America</w:t>
              </w:r>
            </w:smartTag>
            <w:r>
              <w:rPr>
                <w:rFonts w:ascii="Helvetica" w:hAnsi="Helvetica" w:cs="Helvetica"/>
                <w:szCs w:val="18"/>
              </w:rPr>
              <w:t xml:space="preserve"> (Fischer 2006; Lupo </w:t>
            </w:r>
            <w:r>
              <w:rPr>
                <w:rFonts w:ascii="Helvetica" w:hAnsi="Helvetica" w:cs="Helvetica"/>
                <w:i/>
                <w:szCs w:val="18"/>
              </w:rPr>
              <w:t>et al</w:t>
            </w:r>
            <w:r>
              <w:rPr>
                <w:rFonts w:ascii="Helvetica" w:hAnsi="Helvetica" w:cs="Helvetica"/>
                <w:szCs w:val="18"/>
              </w:rPr>
              <w:t xml:space="preserve">. 2006; Perez </w:t>
            </w:r>
            <w:r>
              <w:rPr>
                <w:rFonts w:ascii="Helvetica" w:hAnsi="Helvetica" w:cs="Helvetica"/>
                <w:i/>
                <w:szCs w:val="18"/>
              </w:rPr>
              <w:t>et al</w:t>
            </w:r>
            <w:r>
              <w:rPr>
                <w:rFonts w:ascii="Helvetica" w:hAnsi="Helvetica" w:cs="Helvetica"/>
                <w:szCs w:val="18"/>
              </w:rPr>
              <w:t>. 2008)</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 xml:space="preserve">Monilinia fructigena </w:t>
            </w:r>
            <w:r>
              <w:rPr>
                <w:rFonts w:ascii="Helvetica" w:hAnsi="Helvetica" w:cs="Helvetica"/>
                <w:szCs w:val="18"/>
              </w:rPr>
              <w:t>(Aderh. &amp; Ruhland) Honey</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autoSpaceDE w:val="0"/>
              <w:autoSpaceDN w:val="0"/>
              <w:spacing w:before="40" w:after="40" w:line="240" w:lineRule="atLeast"/>
              <w:jc w:val="left"/>
              <w:rPr>
                <w:rFonts w:ascii="Helvetica" w:hAnsi="Helvetica" w:cs="Helvetica"/>
                <w:color w:val="010101"/>
                <w:sz w:val="18"/>
                <w:szCs w:val="18"/>
                <w:lang w:eastAsia="en-AU"/>
              </w:rPr>
            </w:pPr>
            <w:r>
              <w:rPr>
                <w:rFonts w:ascii="Helvetica" w:hAnsi="Helvetica" w:cs="Helvetica"/>
                <w:i/>
                <w:iCs/>
                <w:color w:val="010101"/>
                <w:sz w:val="18"/>
                <w:szCs w:val="18"/>
                <w:lang w:eastAsia="en-AU"/>
              </w:rPr>
              <w:t xml:space="preserve">Monilia fructigena </w:t>
            </w:r>
            <w:r>
              <w:rPr>
                <w:rFonts w:ascii="Helvetica" w:hAnsi="Helvetica" w:cs="Helvetica"/>
                <w:color w:val="010101"/>
                <w:sz w:val="18"/>
                <w:szCs w:val="18"/>
                <w:lang w:eastAsia="en-AU"/>
              </w:rPr>
              <w:t xml:space="preserve">Schumach, </w:t>
            </w:r>
            <w:r>
              <w:rPr>
                <w:rFonts w:ascii="Helvetica" w:hAnsi="Helvetica" w:cs="Helvetica"/>
                <w:i/>
                <w:iCs/>
                <w:color w:val="010101"/>
                <w:sz w:val="18"/>
                <w:szCs w:val="18"/>
                <w:lang w:eastAsia="en-AU"/>
              </w:rPr>
              <w:t xml:space="preserve">Sclerotinia fructigena </w:t>
            </w:r>
            <w:r>
              <w:rPr>
                <w:rFonts w:ascii="Helvetica" w:hAnsi="Helvetica" w:cs="Helvetica"/>
                <w:color w:val="010101"/>
                <w:sz w:val="18"/>
                <w:szCs w:val="18"/>
                <w:lang w:eastAsia="en-AU"/>
              </w:rPr>
              <w:t xml:space="preserve">(J. Schröt.) Norton, </w:t>
            </w:r>
            <w:r>
              <w:rPr>
                <w:rFonts w:ascii="Helvetica" w:hAnsi="Helvetica" w:cs="Helvetica"/>
                <w:i/>
                <w:iCs/>
                <w:color w:val="010101"/>
                <w:sz w:val="18"/>
                <w:szCs w:val="18"/>
                <w:lang w:eastAsia="en-AU"/>
              </w:rPr>
              <w:t xml:space="preserve">Sclerotinia fructigena </w:t>
            </w:r>
            <w:r>
              <w:rPr>
                <w:rFonts w:ascii="Helvetica" w:hAnsi="Helvetica" w:cs="Helvetica"/>
                <w:color w:val="010101"/>
                <w:sz w:val="18"/>
                <w:szCs w:val="18"/>
                <w:lang w:eastAsia="en-AU"/>
              </w:rPr>
              <w:t xml:space="preserve">Aderh, </w:t>
            </w:r>
            <w:r>
              <w:rPr>
                <w:rFonts w:ascii="Helvetica" w:hAnsi="Helvetica" w:cs="Helvetica"/>
                <w:i/>
                <w:iCs/>
                <w:color w:val="010101"/>
                <w:sz w:val="18"/>
                <w:szCs w:val="18"/>
                <w:lang w:eastAsia="en-AU"/>
              </w:rPr>
              <w:t xml:space="preserve">Stromatinia fructigena </w:t>
            </w:r>
            <w:r>
              <w:rPr>
                <w:rFonts w:ascii="Helvetica" w:hAnsi="Helvetica" w:cs="Helvetica"/>
                <w:color w:val="010101"/>
                <w:sz w:val="18"/>
                <w:szCs w:val="18"/>
                <w:lang w:eastAsia="en-AU"/>
              </w:rPr>
              <w:t>(J. Schröt.) Boud (Ma 2006; CABI 2012a).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Brown rot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autoSpaceDE w:val="0"/>
              <w:autoSpaceDN w:val="0"/>
              <w:spacing w:before="40" w:after="40" w:line="240" w:lineRule="atLeast"/>
              <w:jc w:val="left"/>
              <w:rPr>
                <w:rFonts w:ascii="Helvetica" w:hAnsi="Helvetica" w:cs="Helvetica"/>
                <w:i/>
                <w:iCs/>
                <w:color w:val="010101"/>
                <w:sz w:val="18"/>
                <w:szCs w:val="18"/>
                <w:lang w:eastAsia="en-AU"/>
              </w:rPr>
            </w:pPr>
            <w:r>
              <w:rPr>
                <w:rFonts w:ascii="Helvetica" w:hAnsi="Helvetica" w:cs="Helvetica"/>
                <w:i/>
                <w:iCs/>
                <w:color w:val="010101"/>
                <w:sz w:val="18"/>
                <w:szCs w:val="18"/>
                <w:lang w:eastAsia="en-AU"/>
              </w:rPr>
              <w:t>Amelanchier canadensis</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Berberis</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Capsicum</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Cornus mas</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Corylus avellana</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Cotoneaster</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Crataegus laevigata</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Cydonia oblonga</w:t>
            </w:r>
            <w:r>
              <w:rPr>
                <w:rFonts w:ascii="Helvetica" w:hAnsi="Helvetica" w:cs="Helvetica"/>
                <w:color w:val="010101"/>
                <w:sz w:val="18"/>
                <w:szCs w:val="18"/>
                <w:lang w:eastAsia="en-AU"/>
              </w:rPr>
              <w:t>,</w:t>
            </w:r>
            <w:r>
              <w:rPr>
                <w:rFonts w:ascii="Helvetica" w:hAnsi="Helvetica" w:cs="Helvetica"/>
                <w:i/>
                <w:iCs/>
                <w:color w:val="010101"/>
                <w:sz w:val="18"/>
                <w:szCs w:val="18"/>
                <w:lang w:eastAsia="en-AU"/>
              </w:rPr>
              <w:t xml:space="preserve"> Diospyros kaki</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Eriobotrya japonica</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Ficus carica</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 xml:space="preserve">Fragaria </w:t>
            </w:r>
            <w:r>
              <w:rPr>
                <w:rFonts w:ascii="Helvetica" w:hAnsi="Helvetica" w:cs="Helvetica"/>
                <w:color w:val="010101"/>
                <w:sz w:val="18"/>
                <w:szCs w:val="18"/>
                <w:lang w:eastAsia="en-AU"/>
              </w:rPr>
              <w:t xml:space="preserve">spp., </w:t>
            </w:r>
            <w:r>
              <w:rPr>
                <w:rFonts w:ascii="Helvetica" w:hAnsi="Helvetica" w:cs="Helvetica"/>
                <w:i/>
                <w:iCs/>
                <w:color w:val="010101"/>
                <w:sz w:val="18"/>
                <w:szCs w:val="18"/>
                <w:lang w:eastAsia="en-AU"/>
              </w:rPr>
              <w:t xml:space="preserve">Solanum lycopersicum </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Malus domestica</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Mespilus germanica</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 xml:space="preserve">Prunus </w:t>
            </w:r>
            <w:r>
              <w:rPr>
                <w:rFonts w:ascii="Helvetica" w:hAnsi="Helvetica" w:cs="Helvetica"/>
                <w:color w:val="010101"/>
                <w:sz w:val="18"/>
                <w:szCs w:val="18"/>
                <w:lang w:eastAsia="en-AU"/>
              </w:rPr>
              <w:t>spp. ,</w:t>
            </w:r>
            <w:r>
              <w:rPr>
                <w:rFonts w:ascii="Helvetica" w:hAnsi="Helvetica" w:cs="Helvetica"/>
                <w:i/>
                <w:iCs/>
                <w:color w:val="010101"/>
                <w:sz w:val="18"/>
                <w:szCs w:val="18"/>
                <w:lang w:eastAsia="en-AU"/>
              </w:rPr>
              <w:t xml:space="preserve"> Psidium guajava </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 xml:space="preserve">Pyrus </w:t>
            </w:r>
            <w:r>
              <w:rPr>
                <w:rFonts w:ascii="Helvetica" w:hAnsi="Helvetica" w:cs="Helvetica"/>
                <w:color w:val="010101"/>
                <w:sz w:val="18"/>
                <w:szCs w:val="18"/>
                <w:lang w:eastAsia="en-AU"/>
              </w:rPr>
              <w:t xml:space="preserve">spp., </w:t>
            </w:r>
            <w:r>
              <w:rPr>
                <w:rFonts w:ascii="Helvetica" w:hAnsi="Helvetica" w:cs="Helvetica"/>
                <w:i/>
                <w:iCs/>
                <w:color w:val="010101"/>
                <w:sz w:val="18"/>
                <w:szCs w:val="18"/>
                <w:lang w:eastAsia="en-AU"/>
              </w:rPr>
              <w:t xml:space="preserve">Rhododendron </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Rosa</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 xml:space="preserve">Rubus </w:t>
            </w:r>
            <w:r>
              <w:rPr>
                <w:rFonts w:ascii="Helvetica" w:hAnsi="Helvetica" w:cs="Helvetica"/>
                <w:color w:val="010101"/>
                <w:sz w:val="18"/>
                <w:szCs w:val="18"/>
                <w:lang w:eastAsia="en-AU"/>
              </w:rPr>
              <w:t xml:space="preserve">spp., </w:t>
            </w:r>
            <w:r>
              <w:rPr>
                <w:rFonts w:ascii="Helvetica" w:hAnsi="Helvetica" w:cs="Helvetica"/>
                <w:i/>
                <w:iCs/>
                <w:color w:val="010101"/>
                <w:sz w:val="18"/>
                <w:szCs w:val="18"/>
                <w:lang w:eastAsia="en-AU"/>
              </w:rPr>
              <w:t>Sorbus</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Vaccinium</w:t>
            </w:r>
            <w:r>
              <w:rPr>
                <w:rFonts w:ascii="Helvetica" w:hAnsi="Helvetica" w:cs="Helvetica"/>
                <w:color w:val="010101"/>
                <w:sz w:val="18"/>
                <w:szCs w:val="18"/>
                <w:lang w:eastAsia="en-AU"/>
              </w:rPr>
              <w:t xml:space="preserve">, </w:t>
            </w:r>
            <w:r>
              <w:rPr>
                <w:rFonts w:ascii="Helvetica" w:hAnsi="Helvetica" w:cs="Helvetica"/>
                <w:i/>
                <w:iCs/>
                <w:color w:val="010101"/>
                <w:sz w:val="18"/>
                <w:szCs w:val="18"/>
                <w:lang w:eastAsia="en-AU"/>
              </w:rPr>
              <w:t>Vitis vinifera</w:t>
            </w:r>
            <w:r>
              <w:rPr>
                <w:rFonts w:ascii="Helvetica" w:hAnsi="Helvetica" w:cs="Helvetica"/>
                <w:color w:val="010101"/>
                <w:sz w:val="18"/>
                <w:szCs w:val="18"/>
                <w:lang w:eastAsia="en-AU"/>
              </w:rPr>
              <w:t xml:space="preserve"> (Sharma and  Kaul 1989; Mackie 2005; Ma 2006; CABI 2012a).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autoSpaceDE w:val="0"/>
              <w:autoSpaceDN w:val="0"/>
              <w:spacing w:before="40" w:after="40" w:line="240" w:lineRule="atLeast"/>
              <w:jc w:val="left"/>
              <w:rPr>
                <w:rFonts w:ascii="Helvetica" w:hAnsi="Helvetica" w:cs="Helvetica"/>
                <w:color w:val="010101"/>
                <w:sz w:val="18"/>
                <w:szCs w:val="18"/>
                <w:lang w:eastAsia="en-AU"/>
              </w:rPr>
            </w:pPr>
            <w:r>
              <w:rPr>
                <w:rFonts w:ascii="Helvetica" w:hAnsi="Helvetica" w:cs="Helvetica"/>
                <w:color w:val="010101"/>
                <w:sz w:val="18"/>
                <w:szCs w:val="18"/>
                <w:lang w:eastAsia="en-AU"/>
              </w:rPr>
              <w:t>China, Taiwan, Afghanistan, Armenia, Austria, Azerbaijan, Belarus, Belgium, Brazil, Bulgaria, Chile, Croatia, Cyprus, Czech Republic, Denmark, Egypt, Finland, France, Georgia, Germany, Greece, Hungary, India, Iran, Ireland, Israel, Italy, Japan, Latvia, Lebanon, Lithuania, Luxembourg, Moldova, Montenegro, Morocco, Nepal, North Korea, Norway, Netherlands, Poland, Portugal, Romania, Russia, Serbia, Slovakia, Slovenia, South Korea, Spain, Sweden, Switzerland, Turkey, Ukraine, United Kingdom, Uruguay, Uzbekistan, Yugoslavia (Mackie 2005; Ma 2006; AQSIQ 2007; CABI 2012a).</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Phaeoacremonium</w:t>
            </w:r>
            <w:r>
              <w:rPr>
                <w:rFonts w:ascii="Helvetica" w:hAnsi="Helvetica" w:cs="Helvetica"/>
                <w:szCs w:val="18"/>
              </w:rPr>
              <w:t xml:space="preserve"> spp. (</w:t>
            </w:r>
            <w:r>
              <w:rPr>
                <w:rFonts w:ascii="Helvetica" w:hAnsi="Helvetica" w:cs="Helvetica"/>
                <w:i/>
                <w:szCs w:val="18"/>
              </w:rPr>
              <w:t>P. alvesii</w:t>
            </w:r>
            <w:r>
              <w:rPr>
                <w:rFonts w:ascii="Helvetica" w:hAnsi="Helvetica" w:cs="Helvetica"/>
                <w:szCs w:val="18"/>
              </w:rPr>
              <w:t xml:space="preserve">, </w:t>
            </w:r>
            <w:r>
              <w:rPr>
                <w:rFonts w:ascii="Helvetica" w:hAnsi="Helvetica" w:cs="Helvetica"/>
                <w:i/>
                <w:szCs w:val="18"/>
              </w:rPr>
              <w:t>P. angustus</w:t>
            </w:r>
            <w:r>
              <w:rPr>
                <w:rFonts w:ascii="Helvetica" w:hAnsi="Helvetica" w:cs="Helvetica"/>
                <w:szCs w:val="18"/>
              </w:rPr>
              <w:t xml:space="preserve">, </w:t>
            </w:r>
            <w:r>
              <w:rPr>
                <w:rFonts w:ascii="Helvetica" w:hAnsi="Helvetica" w:cs="Helvetica"/>
                <w:i/>
                <w:szCs w:val="18"/>
              </w:rPr>
              <w:t>P. argentinense, P. armeniacum</w:t>
            </w:r>
            <w:r>
              <w:rPr>
                <w:rFonts w:ascii="Helvetica" w:hAnsi="Helvetica" w:cs="Helvetica"/>
                <w:szCs w:val="18"/>
              </w:rPr>
              <w:t xml:space="preserve">, </w:t>
            </w:r>
            <w:r>
              <w:rPr>
                <w:rFonts w:ascii="Helvetica" w:hAnsi="Helvetica" w:cs="Helvetica"/>
                <w:i/>
                <w:szCs w:val="18"/>
              </w:rPr>
              <w:t>P. austroafricanum</w:t>
            </w:r>
            <w:r>
              <w:rPr>
                <w:rFonts w:ascii="Helvetica" w:hAnsi="Helvetica" w:cs="Helvetica"/>
                <w:szCs w:val="18"/>
              </w:rPr>
              <w:t xml:space="preserve">, </w:t>
            </w:r>
            <w:r>
              <w:rPr>
                <w:rFonts w:ascii="Helvetica" w:hAnsi="Helvetica" w:cs="Helvetica"/>
                <w:i/>
                <w:szCs w:val="18"/>
              </w:rPr>
              <w:t>P. ciner</w:t>
            </w:r>
            <w:smartTag w:uri="urn:schemas-microsoft-com:office:smarttags" w:element="PersonName">
              <w:r>
                <w:rPr>
                  <w:rFonts w:ascii="Helvetica" w:hAnsi="Helvetica" w:cs="Helvetica"/>
                  <w:i/>
                  <w:szCs w:val="18"/>
                </w:rPr>
                <w:t>eu</w:t>
              </w:r>
            </w:smartTag>
            <w:r>
              <w:rPr>
                <w:rFonts w:ascii="Helvetica" w:hAnsi="Helvetica" w:cs="Helvetica"/>
                <w:i/>
                <w:szCs w:val="18"/>
              </w:rPr>
              <w:t>m</w:t>
            </w:r>
            <w:r>
              <w:rPr>
                <w:rFonts w:ascii="Helvetica" w:hAnsi="Helvetica" w:cs="Helvetica"/>
                <w:szCs w:val="18"/>
              </w:rPr>
              <w:t xml:space="preserve">, </w:t>
            </w:r>
            <w:r>
              <w:rPr>
                <w:rFonts w:ascii="Helvetica" w:hAnsi="Helvetica" w:cs="Helvetica"/>
                <w:i/>
                <w:szCs w:val="18"/>
              </w:rPr>
              <w:t>P. croatiense</w:t>
            </w:r>
            <w:r>
              <w:rPr>
                <w:rFonts w:ascii="Helvetica" w:hAnsi="Helvetica" w:cs="Helvetica"/>
                <w:szCs w:val="18"/>
              </w:rPr>
              <w:t xml:space="preserve">, </w:t>
            </w:r>
            <w:r>
              <w:rPr>
                <w:rFonts w:ascii="Helvetica" w:hAnsi="Helvetica" w:cs="Helvetica"/>
                <w:i/>
                <w:szCs w:val="18"/>
              </w:rPr>
              <w:t>P. globosum</w:t>
            </w:r>
            <w:r>
              <w:rPr>
                <w:rFonts w:ascii="Helvetica" w:hAnsi="Helvetica" w:cs="Helvetica"/>
                <w:szCs w:val="18"/>
              </w:rPr>
              <w:t xml:space="preserve">, </w:t>
            </w:r>
            <w:r>
              <w:rPr>
                <w:rFonts w:ascii="Helvetica" w:hAnsi="Helvetica" w:cs="Helvetica"/>
                <w:i/>
                <w:szCs w:val="18"/>
              </w:rPr>
              <w:t>P. griseorubrum</w:t>
            </w:r>
            <w:r>
              <w:rPr>
                <w:rFonts w:ascii="Helvetica" w:hAnsi="Helvetica" w:cs="Helvetica"/>
                <w:szCs w:val="18"/>
              </w:rPr>
              <w:t xml:space="preserve">, </w:t>
            </w:r>
            <w:r>
              <w:rPr>
                <w:rFonts w:ascii="Helvetica" w:hAnsi="Helvetica" w:cs="Helvetica"/>
                <w:i/>
                <w:szCs w:val="18"/>
              </w:rPr>
              <w:t>P. hispanicum, P. hungaricum</w:t>
            </w:r>
            <w:r>
              <w:rPr>
                <w:rFonts w:ascii="Helvetica" w:hAnsi="Helvetica" w:cs="Helvetica"/>
                <w:szCs w:val="18"/>
              </w:rPr>
              <w:t xml:space="preserve">, </w:t>
            </w:r>
            <w:r>
              <w:rPr>
                <w:rFonts w:ascii="Helvetica" w:hAnsi="Helvetica" w:cs="Helvetica"/>
                <w:i/>
                <w:szCs w:val="18"/>
              </w:rPr>
              <w:t>P. inflatipes</w:t>
            </w:r>
            <w:r>
              <w:rPr>
                <w:rFonts w:ascii="Helvetica" w:hAnsi="Helvetica" w:cs="Helvetica"/>
                <w:szCs w:val="18"/>
              </w:rPr>
              <w:t xml:space="preserve">, </w:t>
            </w:r>
            <w:r>
              <w:rPr>
                <w:rFonts w:ascii="Helvetica" w:hAnsi="Helvetica" w:cs="Helvetica"/>
                <w:i/>
                <w:szCs w:val="18"/>
              </w:rPr>
              <w:t>P. iranianum</w:t>
            </w:r>
            <w:r>
              <w:rPr>
                <w:rFonts w:ascii="Helvetica" w:hAnsi="Helvetica" w:cs="Helvetica"/>
                <w:szCs w:val="18"/>
              </w:rPr>
              <w:t xml:space="preserve">, </w:t>
            </w:r>
            <w:r>
              <w:rPr>
                <w:rFonts w:ascii="Helvetica" w:hAnsi="Helvetica" w:cs="Helvetica"/>
                <w:i/>
                <w:szCs w:val="18"/>
              </w:rPr>
              <w:t>P. krajdenii</w:t>
            </w:r>
            <w:r>
              <w:rPr>
                <w:rFonts w:ascii="Helvetica" w:hAnsi="Helvetica" w:cs="Helvetica"/>
                <w:szCs w:val="18"/>
              </w:rPr>
              <w:t xml:space="preserve">, </w:t>
            </w:r>
            <w:r>
              <w:rPr>
                <w:rFonts w:ascii="Helvetica" w:hAnsi="Helvetica" w:cs="Helvetica"/>
                <w:i/>
                <w:szCs w:val="18"/>
              </w:rPr>
              <w:t>P. mortoniae</w:t>
            </w:r>
            <w:r>
              <w:rPr>
                <w:rFonts w:ascii="Helvetica" w:hAnsi="Helvetica" w:cs="Helvetica"/>
                <w:szCs w:val="18"/>
              </w:rPr>
              <w:t xml:space="preserve">, </w:t>
            </w:r>
            <w:r>
              <w:rPr>
                <w:rFonts w:ascii="Helvetica" w:hAnsi="Helvetica" w:cs="Helvetica"/>
                <w:i/>
                <w:szCs w:val="18"/>
              </w:rPr>
              <w:t>P. occidentale</w:t>
            </w:r>
            <w:r>
              <w:rPr>
                <w:rFonts w:ascii="Helvetica" w:hAnsi="Helvetica" w:cs="Helvetica"/>
                <w:szCs w:val="18"/>
              </w:rPr>
              <w:t xml:space="preserve">, </w:t>
            </w:r>
            <w:r>
              <w:rPr>
                <w:rFonts w:ascii="Helvetica" w:hAnsi="Helvetica" w:cs="Helvetica"/>
                <w:i/>
                <w:szCs w:val="18"/>
              </w:rPr>
              <w:t>P. rubrigenum</w:t>
            </w:r>
            <w:r>
              <w:rPr>
                <w:rFonts w:ascii="Helvetica" w:hAnsi="Helvetica" w:cs="Helvetica"/>
                <w:szCs w:val="18"/>
              </w:rPr>
              <w:t xml:space="preserve">, </w:t>
            </w:r>
            <w:r>
              <w:rPr>
                <w:rFonts w:ascii="Helvetica" w:hAnsi="Helvetica" w:cs="Helvetica"/>
                <w:i/>
                <w:szCs w:val="18"/>
              </w:rPr>
              <w:t>P. scolyti</w:t>
            </w:r>
            <w:r>
              <w:rPr>
                <w:rFonts w:ascii="Helvetica" w:hAnsi="Helvetica" w:cs="Helvetica"/>
                <w:szCs w:val="18"/>
              </w:rPr>
              <w:t xml:space="preserve">, </w:t>
            </w:r>
            <w:r>
              <w:rPr>
                <w:rFonts w:ascii="Helvetica" w:hAnsi="Helvetica" w:cs="Helvetica"/>
                <w:i/>
                <w:szCs w:val="18"/>
              </w:rPr>
              <w:t>P. sicilianum</w:t>
            </w:r>
            <w:r>
              <w:rPr>
                <w:rFonts w:ascii="Helvetica" w:hAnsi="Helvetica" w:cs="Helvetica"/>
                <w:szCs w:val="18"/>
              </w:rPr>
              <w:t xml:space="preserve">, </w:t>
            </w:r>
            <w:r>
              <w:rPr>
                <w:rFonts w:ascii="Helvetica" w:hAnsi="Helvetica" w:cs="Helvetica"/>
                <w:i/>
                <w:szCs w:val="18"/>
              </w:rPr>
              <w:t>P. subulatum</w:t>
            </w:r>
            <w:r>
              <w:rPr>
                <w:rFonts w:ascii="Helvetica" w:hAnsi="Helvetica" w:cs="Helvetica"/>
                <w:szCs w:val="18"/>
              </w:rPr>
              <w:t xml:space="preserve">, </w:t>
            </w:r>
            <w:r>
              <w:rPr>
                <w:rFonts w:ascii="Helvetica" w:hAnsi="Helvetica" w:cs="Helvetica"/>
                <w:i/>
                <w:szCs w:val="18"/>
              </w:rPr>
              <w:t>P. tuscanum</w:t>
            </w:r>
            <w:r>
              <w:rPr>
                <w:rFonts w:ascii="Helvetica" w:hAnsi="Helvetica" w:cs="Helvetica"/>
                <w:szCs w:val="18"/>
              </w:rPr>
              <w:t xml:space="preserve">, </w:t>
            </w:r>
            <w:r>
              <w:rPr>
                <w:rFonts w:ascii="Helvetica" w:hAnsi="Helvetica" w:cs="Helvetica"/>
                <w:i/>
                <w:szCs w:val="18"/>
              </w:rPr>
              <w:t>P. venezuelense</w:t>
            </w:r>
            <w:r>
              <w:rPr>
                <w:rFonts w:ascii="Helvetica" w:hAnsi="Helvetica" w:cs="Helvetica"/>
                <w:szCs w:val="18"/>
              </w:rPr>
              <w:t xml:space="preserve">, </w:t>
            </w:r>
            <w:r>
              <w:rPr>
                <w:rFonts w:ascii="Helvetica" w:hAnsi="Helvetica" w:cs="Helvetica"/>
                <w:i/>
                <w:szCs w:val="18"/>
              </w:rPr>
              <w:t>P. viticola</w:t>
            </w: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Petri and esca diseases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Dodoneae viscose, Fraxinus excelsior</w:t>
            </w:r>
            <w:r>
              <w:rPr>
                <w:rFonts w:ascii="Helvetica" w:hAnsi="Helvetica" w:cs="Helvetica"/>
                <w:szCs w:val="18"/>
              </w:rPr>
              <w:t xml:space="preserve">, </w:t>
            </w:r>
            <w:r>
              <w:rPr>
                <w:rFonts w:ascii="Helvetica" w:hAnsi="Helvetica" w:cs="Helvetica"/>
                <w:i/>
                <w:szCs w:val="18"/>
              </w:rPr>
              <w:t>Fraxinus latifolia, Fraxinus pennsylvania</w:t>
            </w:r>
            <w:r>
              <w:rPr>
                <w:rFonts w:ascii="Helvetica" w:hAnsi="Helvetica" w:cs="Helvetica"/>
                <w:szCs w:val="18"/>
              </w:rPr>
              <w:t xml:space="preserve">, </w:t>
            </w:r>
            <w:r>
              <w:rPr>
                <w:rFonts w:ascii="Helvetica" w:hAnsi="Helvetica" w:cs="Helvetica"/>
                <w:i/>
                <w:szCs w:val="18"/>
              </w:rPr>
              <w:t xml:space="preserve">Nectandra </w:t>
            </w:r>
            <w:r>
              <w:rPr>
                <w:rFonts w:ascii="Helvetica" w:hAnsi="Helvetica" w:cs="Helvetica"/>
                <w:szCs w:val="18"/>
              </w:rPr>
              <w:t xml:space="preserve">spp., </w:t>
            </w:r>
            <w:r>
              <w:rPr>
                <w:rFonts w:ascii="Helvetica" w:hAnsi="Helvetica" w:cs="Helvetica"/>
                <w:i/>
                <w:szCs w:val="18"/>
              </w:rPr>
              <w:t>Quercus virginiana</w:t>
            </w:r>
            <w:r>
              <w:rPr>
                <w:rFonts w:ascii="Helvetica" w:hAnsi="Helvetica" w:cs="Helvetica"/>
                <w:szCs w:val="18"/>
              </w:rPr>
              <w:t xml:space="preserve">, </w:t>
            </w:r>
            <w:r>
              <w:rPr>
                <w:rFonts w:ascii="Helvetica" w:hAnsi="Helvetica" w:cs="Helvetica"/>
                <w:i/>
                <w:szCs w:val="18"/>
              </w:rPr>
              <w:t>Sorbus intermedia</w:t>
            </w:r>
            <w:r>
              <w:rPr>
                <w:rFonts w:ascii="Helvetica" w:hAnsi="Helvetica" w:cs="Helvetica"/>
                <w:szCs w:val="18"/>
              </w:rPr>
              <w:t xml:space="preserve">, </w:t>
            </w:r>
            <w:r>
              <w:rPr>
                <w:rFonts w:ascii="Helvetica" w:hAnsi="Helvetica" w:cs="Helvetica"/>
                <w:i/>
                <w:szCs w:val="18"/>
              </w:rPr>
              <w:t xml:space="preserve">Vitis vinifera </w:t>
            </w:r>
            <w:r>
              <w:rPr>
                <w:rFonts w:ascii="Helvetica" w:hAnsi="Helvetica" w:cs="Helvetica"/>
                <w:szCs w:val="18"/>
              </w:rPr>
              <w:t xml:space="preserve">(Mostert </w:t>
            </w:r>
            <w:r>
              <w:rPr>
                <w:rFonts w:ascii="Helvetica" w:hAnsi="Helvetica" w:cs="Helvetica"/>
                <w:i/>
                <w:szCs w:val="18"/>
              </w:rPr>
              <w:t>et al.</w:t>
            </w:r>
            <w:r>
              <w:rPr>
                <w:rFonts w:ascii="Helvetica" w:hAnsi="Helvetica" w:cs="Helvetica"/>
                <w:szCs w:val="18"/>
              </w:rPr>
              <w:t xml:space="preserve"> 2005; Mostert </w:t>
            </w:r>
            <w:r>
              <w:rPr>
                <w:rFonts w:ascii="Helvetica" w:hAnsi="Helvetica" w:cs="Helvetica"/>
                <w:i/>
                <w:szCs w:val="18"/>
              </w:rPr>
              <w:t>et al</w:t>
            </w:r>
            <w:r>
              <w:rPr>
                <w:rFonts w:ascii="Helvetica" w:hAnsi="Helvetica" w:cs="Helvetica"/>
                <w:szCs w:val="18"/>
              </w:rPr>
              <w:t xml:space="preserve">. 2006a ; Essakhi </w:t>
            </w:r>
            <w:r>
              <w:rPr>
                <w:rFonts w:ascii="Helvetica" w:hAnsi="Helvetica" w:cs="Helvetica"/>
                <w:i/>
                <w:szCs w:val="18"/>
              </w:rPr>
              <w:t>et al</w:t>
            </w:r>
            <w:r>
              <w:rPr>
                <w:rFonts w:ascii="Helvetica" w:hAnsi="Helvetica" w:cs="Helvetica"/>
                <w:szCs w:val="18"/>
              </w:rPr>
              <w:t>. 2008).</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Canada, Czech Republic, Chile, Costa Rica, Croatia, Democratic Republic of Congo, France, Germany, India, Iran, Italy, Japan, Norway, Portugal, South Africa, Spain, Sweden, Turkey, USA, Venezuela, Zaire (Mostert </w:t>
            </w:r>
            <w:r>
              <w:rPr>
                <w:rFonts w:ascii="Helvetica" w:hAnsi="Helvetica" w:cs="Helvetica"/>
                <w:i/>
                <w:szCs w:val="18"/>
              </w:rPr>
              <w:t>et al.</w:t>
            </w:r>
            <w:r>
              <w:rPr>
                <w:rFonts w:ascii="Helvetica" w:hAnsi="Helvetica" w:cs="Helvetica"/>
                <w:szCs w:val="18"/>
              </w:rPr>
              <w:t xml:space="preserve"> 2005; Mostert </w:t>
            </w:r>
            <w:r>
              <w:rPr>
                <w:rFonts w:ascii="Helvetica" w:hAnsi="Helvetica" w:cs="Helvetica"/>
                <w:i/>
                <w:szCs w:val="18"/>
              </w:rPr>
              <w:t>et al</w:t>
            </w:r>
            <w:r>
              <w:rPr>
                <w:rFonts w:ascii="Helvetica" w:hAnsi="Helvetica" w:cs="Helvetica"/>
                <w:szCs w:val="18"/>
              </w:rPr>
              <w:t xml:space="preserve">. 2006a; Essakhi </w:t>
            </w:r>
            <w:r>
              <w:rPr>
                <w:rFonts w:ascii="Helvetica" w:hAnsi="Helvetica" w:cs="Helvetica"/>
                <w:i/>
                <w:szCs w:val="18"/>
              </w:rPr>
              <w:t>et al</w:t>
            </w:r>
            <w:r>
              <w:rPr>
                <w:rFonts w:ascii="Helvetica" w:hAnsi="Helvetica" w:cs="Helvetica"/>
                <w:szCs w:val="18"/>
              </w:rPr>
              <w:t xml:space="preserve">. 2008; Gramaje </w:t>
            </w:r>
            <w:r>
              <w:rPr>
                <w:rFonts w:ascii="Helvetica" w:hAnsi="Helvetica" w:cs="Helvetica"/>
                <w:i/>
                <w:szCs w:val="18"/>
              </w:rPr>
              <w:t>et al</w:t>
            </w:r>
            <w:r>
              <w:rPr>
                <w:rFonts w:ascii="Helvetica" w:hAnsi="Helvetica" w:cs="Helvetica"/>
                <w:szCs w:val="18"/>
              </w:rPr>
              <w:t>. 2009a)</w:t>
            </w:r>
          </w:p>
        </w:tc>
      </w:tr>
      <w:tr>
        <w:tc>
          <w:tcPr>
            <w:tcW w:w="1851" w:type="dxa"/>
            <w:shd w:val="clear" w:color="auto" w:fill="D9D9D9"/>
            <w:vAlign w:val="center"/>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 xml:space="preserve">Phakopsora </w:t>
            </w:r>
            <w:r>
              <w:rPr>
                <w:rFonts w:ascii="Helvetica" w:hAnsi="Helvetica" w:cs="Helvetica"/>
                <w:szCs w:val="18"/>
              </w:rPr>
              <w:t>spp.</w:t>
            </w:r>
            <w:r>
              <w:rPr>
                <w:rFonts w:ascii="Helvetica" w:hAnsi="Helvetica" w:cs="Helvetica"/>
                <w:i/>
                <w:szCs w:val="18"/>
              </w:rPr>
              <w:t xml:space="preserve"> </w:t>
            </w:r>
            <w:r>
              <w:rPr>
                <w:rFonts w:ascii="Helvetica" w:hAnsi="Helvetica" w:cs="Helvetica"/>
                <w:szCs w:val="18"/>
              </w:rPr>
              <w:t>(</w:t>
            </w:r>
            <w:r>
              <w:rPr>
                <w:rFonts w:ascii="Helvetica" w:hAnsi="Helvetica" w:cs="Helvetica"/>
                <w:i/>
                <w:szCs w:val="18"/>
              </w:rPr>
              <w:t xml:space="preserve">Phakopsora </w:t>
            </w:r>
            <w:smartTag w:uri="urn:schemas-microsoft-com:office:smarttags" w:element="PersonName">
              <w:r>
                <w:rPr>
                  <w:rFonts w:ascii="Helvetica" w:hAnsi="Helvetica" w:cs="Helvetica"/>
                  <w:i/>
                  <w:szCs w:val="18"/>
                </w:rPr>
                <w:t>eu</w:t>
              </w:r>
            </w:smartTag>
            <w:r>
              <w:rPr>
                <w:rFonts w:ascii="Helvetica" w:hAnsi="Helvetica" w:cs="Helvetica"/>
                <w:i/>
                <w:szCs w:val="18"/>
              </w:rPr>
              <w:t>vitis</w:t>
            </w:r>
            <w:r>
              <w:rPr>
                <w:rFonts w:ascii="Helvetica" w:hAnsi="Helvetica" w:cs="Helvetica"/>
                <w:szCs w:val="18"/>
              </w:rPr>
              <w:t xml:space="preserve">, </w:t>
            </w:r>
            <w:r>
              <w:rPr>
                <w:rFonts w:ascii="Helvetica" w:hAnsi="Helvetica" w:cs="Helvetica"/>
                <w:i/>
                <w:szCs w:val="18"/>
              </w:rPr>
              <w:t>Phakopsora muscadinae, Phakopsora uva</w:t>
            </w:r>
            <w:r>
              <w:rPr>
                <w:rFonts w:ascii="Helvetica" w:hAnsi="Helvetica" w:cs="Helvetica"/>
                <w:b/>
                <w:i/>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Cs/>
                <w:szCs w:val="18"/>
              </w:rPr>
            </w:pPr>
            <w:r>
              <w:rPr>
                <w:rFonts w:ascii="Helvetica" w:hAnsi="Helvetica" w:cs="Helvetica"/>
                <w:szCs w:val="18"/>
              </w:rPr>
              <w:t>Synonyms of</w:t>
            </w:r>
            <w:r>
              <w:rPr>
                <w:rFonts w:ascii="Helvetica" w:hAnsi="Helvetica" w:cs="Helvetica"/>
                <w:i/>
                <w:szCs w:val="18"/>
              </w:rPr>
              <w:t xml:space="preserve"> P. </w:t>
            </w:r>
            <w:smartTag w:uri="urn:schemas-microsoft-com:office:smarttags" w:element="PersonName">
              <w:r>
                <w:rPr>
                  <w:rFonts w:ascii="Helvetica" w:hAnsi="Helvetica" w:cs="Helvetica"/>
                  <w:i/>
                  <w:szCs w:val="18"/>
                </w:rPr>
                <w:t>eu</w:t>
              </w:r>
            </w:smartTag>
            <w:r>
              <w:rPr>
                <w:rFonts w:ascii="Helvetica" w:hAnsi="Helvetica" w:cs="Helvetica"/>
                <w:i/>
                <w:szCs w:val="18"/>
              </w:rPr>
              <w:t xml:space="preserve">vitis: </w:t>
            </w:r>
            <w:r>
              <w:rPr>
                <w:rFonts w:ascii="Helvetica" w:hAnsi="Helvetica" w:cs="Helvetica"/>
                <w:i/>
                <w:iCs/>
                <w:szCs w:val="18"/>
              </w:rPr>
              <w:t>Aecidium meliosmae-myrianthae</w:t>
            </w:r>
            <w:r>
              <w:rPr>
                <w:rFonts w:ascii="Helvetica" w:hAnsi="Helvetica" w:cs="Helvetica"/>
                <w:iCs/>
                <w:szCs w:val="18"/>
              </w:rPr>
              <w:t xml:space="preserve">, </w:t>
            </w:r>
            <w:r>
              <w:rPr>
                <w:rFonts w:ascii="Helvetica" w:hAnsi="Helvetica" w:cs="Helvetica"/>
                <w:i/>
                <w:iCs/>
                <w:szCs w:val="18"/>
              </w:rPr>
              <w:t>Phakopsora ampelopsidis</w:t>
            </w:r>
            <w:r>
              <w:rPr>
                <w:rFonts w:ascii="Helvetica" w:hAnsi="Helvetica" w:cs="Helvetica"/>
                <w:iCs/>
                <w:szCs w:val="18"/>
              </w:rPr>
              <w:t>,</w:t>
            </w:r>
            <w:r>
              <w:rPr>
                <w:rFonts w:ascii="Helvetica" w:hAnsi="Helvetica" w:cs="Helvetica"/>
                <w:i/>
                <w:iCs/>
                <w:szCs w:val="18"/>
              </w:rPr>
              <w:t xml:space="preserve"> Physopella ampelopsidis</w:t>
            </w:r>
            <w:r>
              <w:rPr>
                <w:rFonts w:ascii="Helvetica" w:hAnsi="Helvetica" w:cs="Helvetica"/>
                <w:iCs/>
                <w:szCs w:val="18"/>
              </w:rPr>
              <w:t>,</w:t>
            </w:r>
            <w:r>
              <w:rPr>
                <w:rFonts w:ascii="Helvetica" w:hAnsi="Helvetica" w:cs="Helvetica"/>
                <w:i/>
                <w:iCs/>
                <w:szCs w:val="18"/>
              </w:rPr>
              <w:t xml:space="preserve"> Physopella vialae</w:t>
            </w:r>
            <w:r>
              <w:rPr>
                <w:rFonts w:ascii="Helvetica" w:hAnsi="Helvetica" w:cs="Helvetica"/>
                <w:iCs/>
                <w:szCs w:val="18"/>
              </w:rPr>
              <w:t xml:space="preserve">, </w:t>
            </w:r>
            <w:r>
              <w:rPr>
                <w:rFonts w:ascii="Helvetica" w:hAnsi="Helvetica" w:cs="Helvetica"/>
                <w:i/>
                <w:iCs/>
                <w:szCs w:val="18"/>
              </w:rPr>
              <w:t>Physopella vitis</w:t>
            </w:r>
            <w:r>
              <w:rPr>
                <w:rFonts w:ascii="Helvetica" w:hAnsi="Helvetica" w:cs="Helvetica"/>
                <w:iCs/>
                <w:szCs w:val="18"/>
              </w:rPr>
              <w:t xml:space="preserve">, </w:t>
            </w:r>
            <w:r>
              <w:rPr>
                <w:rFonts w:ascii="Helvetica" w:hAnsi="Helvetica" w:cs="Helvetica"/>
                <w:i/>
                <w:iCs/>
                <w:szCs w:val="18"/>
              </w:rPr>
              <w:t>Uredo vialae</w:t>
            </w:r>
            <w:r>
              <w:rPr>
                <w:rFonts w:ascii="Helvetica" w:hAnsi="Helvetica" w:cs="Helvetica"/>
                <w:iCs/>
                <w:szCs w:val="18"/>
              </w:rPr>
              <w:t>,</w:t>
            </w:r>
            <w:r>
              <w:rPr>
                <w:rFonts w:ascii="Helvetica" w:hAnsi="Helvetica" w:cs="Helvetica"/>
                <w:i/>
                <w:iCs/>
                <w:szCs w:val="18"/>
              </w:rPr>
              <w:t xml:space="preserve"> Uredo vitis</w:t>
            </w:r>
            <w:r>
              <w:rPr>
                <w:rFonts w:ascii="Helvetica" w:hAnsi="Helvetica" w:cs="Helvetica"/>
                <w:iCs/>
                <w:szCs w:val="18"/>
              </w:rPr>
              <w:t xml:space="preserve"> (Hennen </w:t>
            </w:r>
            <w:r>
              <w:rPr>
                <w:rFonts w:ascii="Helvetica" w:hAnsi="Helvetica" w:cs="Helvetica"/>
                <w:i/>
                <w:iCs/>
                <w:szCs w:val="18"/>
              </w:rPr>
              <w:t>et al</w:t>
            </w:r>
            <w:r>
              <w:rPr>
                <w:rFonts w:ascii="Helvetica" w:hAnsi="Helvetica" w:cs="Helvetica"/>
                <w:iCs/>
                <w:szCs w:val="18"/>
              </w:rPr>
              <w:t xml:space="preserve">. 2005; </w:t>
            </w:r>
            <w:r>
              <w:rPr>
                <w:rFonts w:ascii="Helvetica" w:hAnsi="Helvetica" w:cs="Helvetica"/>
                <w:szCs w:val="18"/>
              </w:rPr>
              <w:t>CABI 2012a). Note</w:t>
            </w:r>
            <w:r>
              <w:rPr>
                <w:rFonts w:ascii="Helvetica" w:hAnsi="Helvetica" w:cs="Helvetica"/>
                <w:iCs/>
                <w:szCs w:val="18"/>
              </w:rPr>
              <w:t xml:space="preserve">: </w:t>
            </w:r>
            <w:r>
              <w:rPr>
                <w:rFonts w:ascii="Helvetica" w:hAnsi="Helvetica" w:cs="Helvetica"/>
                <w:i/>
                <w:iCs/>
                <w:szCs w:val="18"/>
              </w:rPr>
              <w:t>P. miuscadinae</w:t>
            </w:r>
            <w:r>
              <w:rPr>
                <w:rFonts w:ascii="Helvetica" w:hAnsi="Helvetica" w:cs="Helvetica"/>
                <w:iCs/>
                <w:szCs w:val="18"/>
              </w:rPr>
              <w:t xml:space="preserve"> has been determined to be conspecific with </w:t>
            </w:r>
            <w:r>
              <w:rPr>
                <w:rFonts w:ascii="Helvetica" w:hAnsi="Helvetica" w:cs="Helvetica"/>
                <w:i/>
                <w:iCs/>
                <w:szCs w:val="18"/>
              </w:rPr>
              <w:t>P. uva</w:t>
            </w:r>
            <w:r>
              <w:rPr>
                <w:rFonts w:ascii="Helvetica" w:hAnsi="Helvetica" w:cs="Helvetica"/>
                <w:iCs/>
                <w:szCs w:val="18"/>
              </w:rPr>
              <w:t xml:space="preserve"> reported from </w:t>
            </w:r>
            <w:smartTag w:uri="urn:schemas-microsoft-com:office:smarttags" w:element="country-region">
              <w:smartTag w:uri="urn:schemas-microsoft-com:office:smarttags" w:element="place">
                <w:r>
                  <w:rPr>
                    <w:rFonts w:ascii="Helvetica" w:hAnsi="Helvetica" w:cs="Helvetica"/>
                    <w:iCs/>
                    <w:szCs w:val="18"/>
                  </w:rPr>
                  <w:t>Mexico</w:t>
                </w:r>
              </w:smartTag>
            </w:smartTag>
            <w:r>
              <w:rPr>
                <w:rFonts w:ascii="Helvetica" w:hAnsi="Helvetica" w:cs="Helvetica"/>
                <w:iCs/>
                <w:szCs w:val="18"/>
              </w:rPr>
              <w:t xml:space="preserve"> (Hennessy </w:t>
            </w:r>
            <w:r>
              <w:rPr>
                <w:rFonts w:ascii="Helvetica" w:hAnsi="Helvetica" w:cs="Helvetica"/>
                <w:i/>
                <w:iCs/>
                <w:szCs w:val="18"/>
              </w:rPr>
              <w:t>et al.</w:t>
            </w:r>
            <w:r>
              <w:rPr>
                <w:rFonts w:ascii="Helvetica" w:hAnsi="Helvetica" w:cs="Helvetica"/>
                <w:iCs/>
                <w:szCs w:val="18"/>
              </w:rPr>
              <w:t xml:space="preserve"> 2007).  </w:t>
            </w:r>
            <w:r>
              <w:rPr>
                <w:rFonts w:ascii="Helvetica" w:hAnsi="Helvetica" w:cs="Helvetica"/>
                <w:i/>
                <w:iCs/>
                <w:szCs w:val="18"/>
              </w:rPr>
              <w:t>P. uva</w:t>
            </w:r>
            <w:r>
              <w:rPr>
                <w:rFonts w:ascii="Helvetica" w:hAnsi="Helvetica" w:cs="Helvetica"/>
                <w:iCs/>
                <w:szCs w:val="18"/>
              </w:rPr>
              <w:t xml:space="preserve"> was reported to occur on unidentified species of </w:t>
            </w:r>
            <w:r>
              <w:rPr>
                <w:rFonts w:ascii="Helvetica" w:hAnsi="Helvetica" w:cs="Helvetica"/>
                <w:i/>
                <w:iCs/>
                <w:szCs w:val="18"/>
              </w:rPr>
              <w:t xml:space="preserve">Vitis </w:t>
            </w:r>
            <w:r>
              <w:rPr>
                <w:rFonts w:ascii="Helvetica" w:hAnsi="Helvetica" w:cs="Helvetica"/>
                <w:iCs/>
                <w:szCs w:val="18"/>
              </w:rPr>
              <w:t xml:space="preserve">in </w:t>
            </w:r>
            <w:smartTag w:uri="urn:schemas-microsoft-com:office:smarttags" w:element="country-region">
              <w:r>
                <w:rPr>
                  <w:rFonts w:ascii="Helvetica" w:hAnsi="Helvetica" w:cs="Helvetica"/>
                  <w:iCs/>
                  <w:szCs w:val="18"/>
                </w:rPr>
                <w:t>Colombia</w:t>
              </w:r>
            </w:smartTag>
            <w:r>
              <w:rPr>
                <w:rFonts w:ascii="Helvetica" w:hAnsi="Helvetica" w:cs="Helvetica"/>
                <w:iCs/>
                <w:szCs w:val="18"/>
              </w:rPr>
              <w:t xml:space="preserve"> and in </w:t>
            </w:r>
            <w:smartTag w:uri="urn:schemas-microsoft-com:office:smarttags" w:element="country-region">
              <w:smartTag w:uri="urn:schemas-microsoft-com:office:smarttags" w:element="place">
                <w:r>
                  <w:rPr>
                    <w:rFonts w:ascii="Helvetica" w:hAnsi="Helvetica" w:cs="Helvetica"/>
                    <w:iCs/>
                    <w:szCs w:val="18"/>
                  </w:rPr>
                  <w:t>Mexico</w:t>
                </w:r>
              </w:smartTag>
            </w:smartTag>
            <w:r>
              <w:rPr>
                <w:rFonts w:ascii="Helvetica" w:hAnsi="Helvetica" w:cs="Helvetica"/>
                <w:iCs/>
                <w:szCs w:val="18"/>
              </w:rPr>
              <w:t xml:space="preserve"> (Chalkley 2011).</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Grapevine rust, grapevine leaf rust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spacing w:before="40" w:after="40" w:line="240" w:lineRule="atLeast"/>
              <w:jc w:val="left"/>
              <w:rPr>
                <w:rFonts w:ascii="Helvetica" w:hAnsi="Helvetica" w:cs="Helvetica"/>
                <w:sz w:val="18"/>
                <w:szCs w:val="18"/>
                <w:lang w:eastAsia="en-AU"/>
              </w:rPr>
            </w:pPr>
            <w:r>
              <w:rPr>
                <w:rFonts w:ascii="Helvetica" w:hAnsi="Helvetica" w:cs="Helvetica"/>
                <w:i/>
                <w:sz w:val="18"/>
                <w:szCs w:val="18"/>
              </w:rPr>
              <w:t xml:space="preserve">Vitis </w:t>
            </w:r>
            <w:r>
              <w:rPr>
                <w:rFonts w:ascii="Helvetica" w:hAnsi="Helvetica" w:cs="Helvetica"/>
                <w:sz w:val="18"/>
                <w:szCs w:val="18"/>
              </w:rPr>
              <w:t>spp. (</w:t>
            </w:r>
            <w:r>
              <w:rPr>
                <w:rFonts w:ascii="Helvetica" w:hAnsi="Helvetica" w:cs="Helvetica"/>
                <w:i/>
                <w:sz w:val="18"/>
                <w:szCs w:val="18"/>
              </w:rPr>
              <w:t>V. amurensis</w:t>
            </w:r>
            <w:r>
              <w:rPr>
                <w:rFonts w:ascii="Helvetica" w:hAnsi="Helvetica" w:cs="Helvetica"/>
                <w:sz w:val="18"/>
                <w:szCs w:val="18"/>
              </w:rPr>
              <w:t xml:space="preserve">, </w:t>
            </w:r>
            <w:r>
              <w:rPr>
                <w:rFonts w:ascii="Helvetica" w:hAnsi="Helvetica" w:cs="Helvetica"/>
                <w:i/>
                <w:sz w:val="18"/>
                <w:szCs w:val="18"/>
              </w:rPr>
              <w:t>V. coignetiae</w:t>
            </w:r>
            <w:r>
              <w:rPr>
                <w:rFonts w:ascii="Helvetica" w:hAnsi="Helvetica" w:cs="Helvetica"/>
                <w:sz w:val="18"/>
                <w:szCs w:val="18"/>
              </w:rPr>
              <w:t xml:space="preserve">, </w:t>
            </w:r>
            <w:r>
              <w:rPr>
                <w:rFonts w:ascii="Helvetica" w:hAnsi="Helvetica" w:cs="Helvetica"/>
                <w:i/>
                <w:sz w:val="18"/>
                <w:szCs w:val="18"/>
              </w:rPr>
              <w:t>V. ficifolia</w:t>
            </w:r>
            <w:r>
              <w:rPr>
                <w:rFonts w:ascii="Helvetica" w:hAnsi="Helvetica" w:cs="Helvetica"/>
                <w:sz w:val="18"/>
                <w:szCs w:val="18"/>
              </w:rPr>
              <w:t xml:space="preserve">, </w:t>
            </w:r>
            <w:r>
              <w:rPr>
                <w:rFonts w:ascii="Helvetica" w:hAnsi="Helvetica" w:cs="Helvetica"/>
                <w:i/>
                <w:sz w:val="18"/>
                <w:szCs w:val="18"/>
              </w:rPr>
              <w:t>V. flexuosa., V. labrusca</w:t>
            </w:r>
            <w:r>
              <w:rPr>
                <w:rFonts w:ascii="Helvetica" w:hAnsi="Helvetica" w:cs="Helvetica"/>
                <w:sz w:val="18"/>
                <w:szCs w:val="18"/>
              </w:rPr>
              <w:t xml:space="preserve">, </w:t>
            </w:r>
            <w:r>
              <w:rPr>
                <w:rFonts w:ascii="Helvetica" w:hAnsi="Helvetica" w:cs="Helvetica"/>
                <w:i/>
                <w:sz w:val="18"/>
                <w:szCs w:val="18"/>
              </w:rPr>
              <w:t>V. vinifera</w:t>
            </w:r>
            <w:r>
              <w:rPr>
                <w:rFonts w:ascii="Helvetica" w:hAnsi="Helvetica" w:cs="Helvetica"/>
                <w:sz w:val="18"/>
                <w:szCs w:val="18"/>
              </w:rPr>
              <w:t xml:space="preserve">), </w:t>
            </w:r>
            <w:r>
              <w:rPr>
                <w:rFonts w:ascii="Helvetica" w:hAnsi="Helvetica" w:cs="Helvetica"/>
                <w:i/>
                <w:sz w:val="18"/>
                <w:szCs w:val="18"/>
              </w:rPr>
              <w:t xml:space="preserve">Meliosma </w:t>
            </w:r>
            <w:r>
              <w:rPr>
                <w:rFonts w:ascii="Helvetica" w:hAnsi="Helvetica" w:cs="Helvetica"/>
                <w:sz w:val="18"/>
                <w:szCs w:val="18"/>
              </w:rPr>
              <w:t xml:space="preserve">spp., </w:t>
            </w:r>
            <w:r>
              <w:rPr>
                <w:rFonts w:ascii="Helvetica" w:hAnsi="Helvetica" w:cs="Helvetica"/>
                <w:i/>
                <w:sz w:val="18"/>
                <w:szCs w:val="18"/>
                <w:lang w:eastAsia="en-AU"/>
              </w:rPr>
              <w:t>Meliosma dilleniifolia</w:t>
            </w:r>
            <w:r>
              <w:rPr>
                <w:rFonts w:ascii="Helvetica" w:hAnsi="Helvetica" w:cs="Helvetica"/>
                <w:sz w:val="18"/>
                <w:szCs w:val="18"/>
                <w:lang w:eastAsia="en-AU"/>
              </w:rPr>
              <w:t xml:space="preserve"> subsp. </w:t>
            </w:r>
            <w:r>
              <w:rPr>
                <w:rFonts w:ascii="Helvetica" w:hAnsi="Helvetica" w:cs="Helvetica"/>
                <w:i/>
                <w:sz w:val="18"/>
                <w:szCs w:val="18"/>
                <w:lang w:eastAsia="en-AU"/>
              </w:rPr>
              <w:t xml:space="preserve">cuneifolia, </w:t>
            </w:r>
            <w:r>
              <w:rPr>
                <w:rFonts w:ascii="Helvetica" w:hAnsi="Helvetica" w:cs="Helvetica"/>
                <w:i/>
                <w:sz w:val="18"/>
                <w:szCs w:val="18"/>
              </w:rPr>
              <w:t>Meliosma myriantha</w:t>
            </w:r>
            <w:r>
              <w:rPr>
                <w:rFonts w:ascii="Helvetica" w:hAnsi="Helvetica" w:cs="Helvetica"/>
                <w:sz w:val="18"/>
                <w:szCs w:val="18"/>
                <w:lang w:eastAsia="en-AU"/>
              </w:rPr>
              <w:t xml:space="preserve"> </w:t>
            </w:r>
            <w:r>
              <w:rPr>
                <w:rFonts w:ascii="Helvetica" w:hAnsi="Helvetica" w:cs="Helvetica"/>
                <w:sz w:val="18"/>
                <w:szCs w:val="18"/>
              </w:rPr>
              <w:fldChar w:fldCharType="begin"/>
            </w:r>
            <w:r>
              <w:rPr>
                <w:rFonts w:ascii="Helvetica" w:hAnsi="Helvetica" w:cs="Helvetica"/>
                <w:sz w:val="18"/>
                <w:szCs w:val="18"/>
              </w:rPr>
              <w:instrText xml:space="preserve"> ADDIN REFMGR.CITE &lt;Refman&gt;&lt;Cite&gt;&lt;Author&gt;CABI&lt;/Author&gt;&lt;Year&gt;2009&lt;/Year&gt;&lt;RecNum&gt;70555&lt;/RecNum&gt;&lt;IDText&gt;Crop protection compendium&lt;/IDText&gt;&lt;MDL Ref_Type="Electronic Citation"&gt;&lt;Ref_Type&gt;Electronic Citation&lt;/Ref_Type&gt;&lt;Ref_ID&gt;70555&lt;/Ref_ID&gt;&lt;Title_Primary&gt;Crop protection compendium&lt;/Title_Primary&gt;&lt;Authors_Primary&gt;CABI&lt;/Authors_Primary&gt;&lt;Date_Primary&gt;2009&lt;/Date_Primary&gt;&lt;Keywords&gt;Protection&lt;/Keywords&gt;&lt;Periodical&gt;CABI Compendium&lt;/Periodical&gt;&lt;User_Def_1&gt;China table grapes sp&lt;/User_Def_1&gt;&lt;Date_Secondary&gt;2009&lt;/Date_Secondary&gt;&lt;Web_URL&gt;&lt;u&gt;http://www.cabi.org.compendia&lt;/u&gt;&lt;/Web_URL&gt;&lt;ZZ_JournalFull&gt;&lt;f name="System"&gt;CABI Compendium&lt;/f&gt;&lt;/ZZ_JournalFull&gt;&lt;ZZ_WorkformID&gt;34&lt;/ZZ_WorkformID&gt;&lt;/MDL&gt;&lt;/Cite&gt;&lt;/Refman&gt;</w:instrText>
            </w:r>
            <w:r>
              <w:rPr>
                <w:rFonts w:ascii="Helvetica" w:hAnsi="Helvetica" w:cs="Helvetica"/>
                <w:sz w:val="18"/>
                <w:szCs w:val="18"/>
              </w:rPr>
              <w:fldChar w:fldCharType="separate"/>
            </w:r>
            <w:r>
              <w:rPr>
                <w:rFonts w:ascii="Helvetica" w:hAnsi="Helvetica" w:cs="Helvetica"/>
                <w:sz w:val="18"/>
                <w:szCs w:val="18"/>
              </w:rPr>
              <w:t xml:space="preserve">(Ono 2000; Weinert </w:t>
            </w:r>
            <w:r>
              <w:rPr>
                <w:rFonts w:ascii="Helvetica" w:hAnsi="Helvetica" w:cs="Helvetica"/>
                <w:i/>
                <w:sz w:val="18"/>
                <w:szCs w:val="18"/>
              </w:rPr>
              <w:t>et al</w:t>
            </w:r>
            <w:r>
              <w:rPr>
                <w:rFonts w:ascii="Helvetica" w:hAnsi="Helvetica" w:cs="Helvetica"/>
                <w:sz w:val="18"/>
                <w:szCs w:val="18"/>
              </w:rPr>
              <w:t>. 2003; Chalkley 2011; CABI 2012a)</w:t>
            </w:r>
            <w:r>
              <w:rPr>
                <w:rFonts w:ascii="Helvetica" w:hAnsi="Helvetica" w:cs="Helvetica"/>
                <w:sz w:val="18"/>
                <w:szCs w:val="18"/>
              </w:rPr>
              <w:fldChar w:fldCharType="end"/>
            </w:r>
            <w:r>
              <w:rPr>
                <w:rFonts w:ascii="Helvetica" w:hAnsi="Helvetica" w:cs="Helvetica"/>
                <w:sz w:val="18"/>
                <w:szCs w:val="18"/>
                <w:lang w:eastAsia="en-AU"/>
              </w:rPr>
              <w:t xml:space="preserve">.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Bangladesh, Barbados, Brazil, China, Colombia, Costa Rica, Cuba, Democratic People’s Republic of Korea, Guatemala, Hondursas, India, Indonesia, Jamaica, Japan, Korea, Malaysia, Mexico, Myanmar, Nepal, Philippines, Puerto Rico, Russian Far East, Sri Lanka, Thailand, Trinidad and Tobago, USA, Venezuela, Vietnam, Virgin Islands </w:t>
            </w:r>
            <w:r>
              <w:rPr>
                <w:rFonts w:ascii="Helvetica" w:hAnsi="Helvetica" w:cs="Helvetica"/>
                <w:szCs w:val="18"/>
              </w:rPr>
              <w:fldChar w:fldCharType="begin"/>
            </w:r>
            <w:r>
              <w:rPr>
                <w:rFonts w:ascii="Helvetica" w:hAnsi="Helvetica" w:cs="Helvetica"/>
                <w:szCs w:val="18"/>
              </w:rPr>
              <w:instrText xml:space="preserve"> ADDIN REFMGR.CITE &lt;Refman&gt;&lt;Cite&gt;&lt;Author&gt;CABI&lt;/Author&gt;&lt;Year&gt;2009&lt;/Year&gt;&lt;RecNum&gt;70555&lt;/RecNum&gt;&lt;IDText&gt;Crop protection compendium&lt;/IDText&gt;&lt;MDL Ref_Type="Electronic Citation"&gt;&lt;Ref_Type&gt;Electronic Citation&lt;/Ref_Type&gt;&lt;Ref_ID&gt;70555&lt;/Ref_ID&gt;&lt;Title_Primary&gt;Crop protection compendium&lt;/Title_Primary&gt;&lt;Authors_Primary&gt;CABI&lt;/Authors_Primary&gt;&lt;Date_Primary&gt;2009&lt;/Date_Primary&gt;&lt;Keywords&gt;Protection&lt;/Keywords&gt;&lt;Periodical&gt;CABI Compendium&lt;/Periodical&gt;&lt;User_Def_1&gt;China table grapes sp&lt;/User_Def_1&gt;&lt;Date_Secondary&gt;2009&lt;/Date_Secondary&gt;&lt;Web_URL&gt;&lt;u&gt;http://www.cabi.org.compendia&lt;/u&gt;&lt;/Web_URL&gt;&lt;ZZ_JournalFull&gt;&lt;f name="System"&gt;CABI Compendium&lt;/f&gt;&lt;/ZZ_JournalFull&gt;&lt;ZZ_WorkformID&gt;34&lt;/ZZ_WorkformID&gt;&lt;/MDL&gt;&lt;/Cite&gt;&lt;/Refman&gt;</w:instrText>
            </w:r>
            <w:r>
              <w:rPr>
                <w:rFonts w:ascii="Helvetica" w:hAnsi="Helvetica" w:cs="Helvetica"/>
                <w:szCs w:val="18"/>
              </w:rPr>
              <w:fldChar w:fldCharType="separate"/>
            </w:r>
            <w:r>
              <w:rPr>
                <w:rFonts w:ascii="Helvetica" w:hAnsi="Helvetica" w:cs="Helvetica"/>
                <w:szCs w:val="18"/>
              </w:rPr>
              <w:t xml:space="preserve">(Ono 2000; Tessman </w:t>
            </w:r>
            <w:r>
              <w:rPr>
                <w:rFonts w:ascii="Helvetica" w:hAnsi="Helvetica" w:cs="Helvetica"/>
                <w:i/>
                <w:szCs w:val="18"/>
              </w:rPr>
              <w:t>et al</w:t>
            </w:r>
            <w:r>
              <w:rPr>
                <w:rFonts w:ascii="Helvetica" w:hAnsi="Helvetica" w:cs="Helvetica"/>
                <w:szCs w:val="18"/>
              </w:rPr>
              <w:t>. 2004; Chalkley 2011; CABI 2012a)</w:t>
            </w:r>
            <w:r>
              <w:rPr>
                <w:rFonts w:ascii="Helvetica" w:hAnsi="Helvetica" w:cs="Helvetica"/>
                <w:szCs w:val="18"/>
              </w:rPr>
              <w:fldChar w:fldCharType="end"/>
            </w:r>
            <w:r>
              <w:rPr>
                <w:rFonts w:ascii="Helvetica" w:hAnsi="Helvetica" w:cs="Helvetica"/>
                <w:szCs w:val="18"/>
              </w:rPr>
              <w:t>.</w:t>
            </w:r>
          </w:p>
        </w:tc>
      </w:tr>
      <w:tr>
        <w:trPr>
          <w:gridAfter w:val="1"/>
          <w:wAfter w:w="7461" w:type="dxa"/>
        </w:trPr>
        <w:tc>
          <w:tcPr>
            <w:tcW w:w="1851" w:type="dxa"/>
            <w:tcBorders>
              <w:top w:val="single" w:sz="4" w:space="0" w:color="008000"/>
              <w:left w:val="single" w:sz="12" w:space="0" w:color="008000"/>
              <w:bottom w:val="single" w:sz="4" w:space="0" w:color="008000"/>
              <w:right w:val="single" w:sz="12" w:space="0" w:color="008000"/>
            </w:tcBorders>
            <w:shd w:val="clear" w:color="auto" w:fill="F3F3F3"/>
          </w:tcPr>
          <w:p>
            <w:pPr>
              <w:keepNext/>
              <w:spacing w:before="60" w:after="60" w:line="240" w:lineRule="atLeast"/>
              <w:jc w:val="left"/>
              <w:rPr>
                <w:rFonts w:ascii="Helvetica" w:hAnsi="Helvetica" w:cs="Helvetica"/>
                <w:b/>
                <w:sz w:val="18"/>
                <w:szCs w:val="18"/>
              </w:rPr>
            </w:pPr>
            <w:r>
              <w:rPr>
                <w:rFonts w:ascii="Helvetica" w:hAnsi="Helvetica" w:cs="Helvetica"/>
                <w:b/>
                <w:sz w:val="18"/>
                <w:szCs w:val="18"/>
              </w:rPr>
              <w:t>PHYTOPLASMAS</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spacing w:before="20" w:after="20" w:line="240" w:lineRule="atLeast"/>
              <w:jc w:val="left"/>
              <w:rPr>
                <w:rFonts w:ascii="Helvetica" w:hAnsi="Helvetica" w:cs="Helvetica"/>
                <w:sz w:val="18"/>
                <w:szCs w:val="18"/>
              </w:rPr>
            </w:pPr>
            <w:r>
              <w:rPr>
                <w:rFonts w:ascii="Helvetica" w:hAnsi="Helvetica" w:cs="Helvetica"/>
                <w:i/>
                <w:sz w:val="18"/>
                <w:szCs w:val="18"/>
              </w:rPr>
              <w:t xml:space="preserve">Candidatus </w:t>
            </w:r>
            <w:r>
              <w:rPr>
                <w:rFonts w:ascii="Helvetica" w:hAnsi="Helvetica" w:cs="Helvetica"/>
                <w:sz w:val="18"/>
                <w:szCs w:val="18"/>
              </w:rPr>
              <w:t>Phytoplasma asteris</w:t>
            </w:r>
            <w:r>
              <w:rPr>
                <w:rFonts w:ascii="Helvetica" w:hAnsi="Helvetica" w:cs="Helvetica"/>
                <w:i/>
                <w:sz w:val="18"/>
                <w:szCs w:val="18"/>
              </w:rPr>
              <w:t xml:space="preserve"> </w:t>
            </w:r>
            <w:r>
              <w:rPr>
                <w:rFonts w:ascii="Helvetica" w:hAnsi="Helvetica" w:cs="Helvetica"/>
                <w:bCs/>
                <w:sz w:val="18"/>
                <w:szCs w:val="18"/>
              </w:rPr>
              <w:t>[</w:t>
            </w:r>
            <w:r>
              <w:rPr>
                <w:rFonts w:ascii="Helvetica" w:hAnsi="Helvetica" w:cs="Helvetica"/>
                <w:b/>
                <w:bCs/>
                <w:sz w:val="18"/>
                <w:szCs w:val="18"/>
              </w:rPr>
              <w:t>16SrI</w:t>
            </w:r>
            <w:r>
              <w:rPr>
                <w:rFonts w:ascii="Helvetica" w:hAnsi="Helvetica" w:cs="Helvetica"/>
                <w:bCs/>
                <w:sz w:val="18"/>
                <w:szCs w:val="18"/>
              </w:rPr>
              <w:t xml:space="preserve"> </w:t>
            </w:r>
            <w:r>
              <w:rPr>
                <w:rFonts w:ascii="Helvetica" w:hAnsi="Helvetica" w:cs="Helvetica"/>
                <w:b/>
                <w:bCs/>
                <w:sz w:val="18"/>
                <w:szCs w:val="18"/>
              </w:rPr>
              <w:t>–Aster yellows group]</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i/>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Strains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bCs/>
                <w:szCs w:val="18"/>
                <w:lang w:val="de-DE"/>
              </w:rPr>
            </w:pPr>
            <w:r>
              <w:rPr>
                <w:rFonts w:ascii="Helvetica" w:hAnsi="Helvetica" w:cs="Helvetica"/>
                <w:szCs w:val="18"/>
                <w:lang w:val="de-DE"/>
              </w:rPr>
              <w:t>16SrI-A; 16SrI-B, 16SrI-C</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grapevine yellows, North American grapevine yellows, </w:t>
            </w:r>
            <w:smartTag w:uri="urn:schemas-microsoft-com:office:smarttags" w:element="State">
              <w:smartTag w:uri="urn:schemas-microsoft-com:office:smarttags" w:element="place">
                <w:r>
                  <w:rPr>
                    <w:rFonts w:ascii="Helvetica" w:hAnsi="Helvetica" w:cs="Helvetica"/>
                    <w:bCs/>
                    <w:szCs w:val="18"/>
                  </w:rPr>
                  <w:t>Virginia</w:t>
                </w:r>
              </w:smartTag>
            </w:smartTag>
            <w:r>
              <w:rPr>
                <w:rFonts w:ascii="Helvetica" w:hAnsi="Helvetica" w:cs="Helvetica"/>
                <w:bCs/>
                <w:szCs w:val="18"/>
              </w:rPr>
              <w:t xml:space="preserve"> grapevine yellows I</w:t>
            </w:r>
            <w:r>
              <w:rPr>
                <w:rStyle w:val="Strong"/>
                <w:rFonts w:ascii="Helvetica" w:hAnsi="Helvetica" w:cs="Helvetica"/>
                <w:szCs w:val="18"/>
              </w:rPr>
              <w:t xml:space="preserve"> </w:t>
            </w:r>
            <w:r>
              <w:rPr>
                <w:rFonts w:ascii="Helvetica" w:hAnsi="Helvetica" w:cs="Helvetica"/>
                <w:szCs w:val="18"/>
              </w:rPr>
              <w:t xml:space="preserve"> </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Wide host including Grapevines (Firrao </w:t>
            </w:r>
            <w:r>
              <w:rPr>
                <w:rFonts w:ascii="Helvetica" w:hAnsi="Helvetica" w:cs="Helvetica"/>
                <w:i/>
                <w:szCs w:val="18"/>
              </w:rPr>
              <w:t>et al</w:t>
            </w:r>
            <w:r>
              <w:rPr>
                <w:rFonts w:ascii="Helvetica" w:hAnsi="Helvetica" w:cs="Helvetica"/>
                <w:szCs w:val="18"/>
              </w:rPr>
              <w:t>.</w:t>
            </w:r>
            <w:r>
              <w:rPr>
                <w:rFonts w:ascii="Helvetica" w:hAnsi="Helvetica" w:cs="Helvetica"/>
                <w:i/>
                <w:szCs w:val="18"/>
              </w:rPr>
              <w:t xml:space="preserve"> </w:t>
            </w:r>
            <w:r>
              <w:rPr>
                <w:rFonts w:ascii="Helvetica" w:hAnsi="Helvetica" w:cs="Helvetica"/>
                <w:szCs w:val="18"/>
              </w:rPr>
              <w:t>2005)</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On grapevines reported from Canada (Olivier </w:t>
            </w:r>
            <w:r>
              <w:rPr>
                <w:rFonts w:ascii="Helvetica" w:hAnsi="Helvetica" w:cs="Helvetica"/>
                <w:i/>
                <w:szCs w:val="18"/>
              </w:rPr>
              <w:t>et al</w:t>
            </w:r>
            <w:r>
              <w:rPr>
                <w:rFonts w:ascii="Helvetica" w:hAnsi="Helvetica" w:cs="Helvetica"/>
                <w:szCs w:val="18"/>
              </w:rPr>
              <w:t xml:space="preserve">. 2009b), Chile (Gajardo </w:t>
            </w:r>
            <w:r>
              <w:rPr>
                <w:rFonts w:ascii="Helvetica" w:hAnsi="Helvetica" w:cs="Helvetica"/>
                <w:i/>
                <w:szCs w:val="18"/>
              </w:rPr>
              <w:t>et al</w:t>
            </w:r>
            <w:r>
              <w:rPr>
                <w:rFonts w:ascii="Helvetica" w:hAnsi="Helvetica" w:cs="Helvetica"/>
                <w:szCs w:val="18"/>
              </w:rPr>
              <w:t xml:space="preserve">. 2009), Germany (Prince </w:t>
            </w:r>
            <w:r>
              <w:rPr>
                <w:rFonts w:ascii="Helvetica" w:hAnsi="Helvetica" w:cs="Helvetica"/>
                <w:i/>
                <w:szCs w:val="18"/>
              </w:rPr>
              <w:t>et al.</w:t>
            </w:r>
            <w:r>
              <w:rPr>
                <w:rFonts w:ascii="Helvetica" w:hAnsi="Helvetica" w:cs="Helvetica"/>
                <w:szCs w:val="18"/>
              </w:rPr>
              <w:t xml:space="preserve"> 1993), Israel (Tanne and Orenstein 1997), Italy (Alma </w:t>
            </w:r>
            <w:r>
              <w:rPr>
                <w:rFonts w:ascii="Helvetica" w:hAnsi="Helvetica" w:cs="Helvetica"/>
                <w:i/>
                <w:szCs w:val="18"/>
              </w:rPr>
              <w:t>et al</w:t>
            </w:r>
            <w:r>
              <w:rPr>
                <w:rFonts w:ascii="Helvetica" w:hAnsi="Helvetica" w:cs="Helvetica"/>
                <w:szCs w:val="18"/>
              </w:rPr>
              <w:t xml:space="preserve">. 1996), South Africa (Engelbrecht </w:t>
            </w:r>
            <w:r>
              <w:rPr>
                <w:rFonts w:ascii="Helvetica" w:hAnsi="Helvetica" w:cs="Helvetica"/>
                <w:i/>
                <w:szCs w:val="18"/>
              </w:rPr>
              <w:t>et al.</w:t>
            </w:r>
            <w:r>
              <w:rPr>
                <w:rFonts w:ascii="Helvetica" w:hAnsi="Helvetica" w:cs="Helvetica"/>
                <w:szCs w:val="18"/>
              </w:rPr>
              <w:t xml:space="preserve"> 2010), Tunisia (Mhirsi </w:t>
            </w:r>
            <w:r>
              <w:rPr>
                <w:rFonts w:ascii="Helvetica" w:hAnsi="Helvetica" w:cs="Helvetica"/>
                <w:i/>
                <w:szCs w:val="18"/>
              </w:rPr>
              <w:t>et al</w:t>
            </w:r>
            <w:r>
              <w:rPr>
                <w:rFonts w:ascii="Helvetica" w:hAnsi="Helvetica" w:cs="Helvetica"/>
                <w:szCs w:val="18"/>
              </w:rPr>
              <w:t xml:space="preserve">. 2004), USA (Davis </w:t>
            </w:r>
            <w:r>
              <w:rPr>
                <w:rFonts w:ascii="Helvetica" w:hAnsi="Helvetica" w:cs="Helvetica"/>
                <w:i/>
                <w:szCs w:val="18"/>
              </w:rPr>
              <w:t>et al</w:t>
            </w:r>
            <w:r>
              <w:rPr>
                <w:rFonts w:ascii="Helvetica" w:hAnsi="Helvetica" w:cs="Helvetica"/>
                <w:szCs w:val="18"/>
              </w:rPr>
              <w:t xml:space="preserve">. 1998) and Turkey (Canik </w:t>
            </w:r>
            <w:r>
              <w:rPr>
                <w:rFonts w:ascii="Helvetica" w:hAnsi="Helvetica" w:cs="Helvetica"/>
                <w:i/>
                <w:szCs w:val="18"/>
              </w:rPr>
              <w:t>et al</w:t>
            </w:r>
            <w:r>
              <w:rPr>
                <w:rFonts w:ascii="Helvetica" w:hAnsi="Helvetica" w:cs="Helvetica"/>
                <w:szCs w:val="18"/>
              </w:rPr>
              <w:t>. 2011).</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pStyle w:val="TableText0"/>
              <w:spacing w:line="240" w:lineRule="atLeast"/>
              <w:jc w:val="left"/>
              <w:rPr>
                <w:rFonts w:ascii="Helvetica" w:hAnsi="Helvetica" w:cs="Helvetica"/>
                <w:i/>
                <w:szCs w:val="18"/>
              </w:rPr>
            </w:pPr>
            <w:r>
              <w:rPr>
                <w:rFonts w:ascii="Helvetica" w:hAnsi="Helvetica" w:cs="Helvetica"/>
                <w:i/>
                <w:szCs w:val="18"/>
              </w:rPr>
              <w:t>Candidatus</w:t>
            </w:r>
            <w:r>
              <w:rPr>
                <w:rFonts w:ascii="Helvetica" w:hAnsi="Helvetica" w:cs="Helvetica"/>
                <w:szCs w:val="18"/>
              </w:rPr>
              <w:t xml:space="preserve"> Phytoplasma fraxini [</w:t>
            </w:r>
            <w:r>
              <w:rPr>
                <w:rFonts w:ascii="Helvetica" w:hAnsi="Helvetica" w:cs="Helvetica"/>
                <w:b/>
                <w:szCs w:val="18"/>
              </w:rPr>
              <w:t>16SrVII]</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i/>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Strains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smartTag w:uri="urn:schemas-microsoft-com:office:smarttags" w:element="country-region">
              <w:smartTag w:uri="urn:schemas-microsoft-com:office:smarttags" w:element="place">
                <w:r>
                  <w:rPr>
                    <w:rFonts w:ascii="Helvetica" w:hAnsi="Helvetica" w:cs="Helvetica"/>
                    <w:szCs w:val="18"/>
                  </w:rPr>
                  <w:t>Chile</w:t>
                </w:r>
              </w:smartTag>
            </w:smartTag>
            <w:r>
              <w:rPr>
                <w:rFonts w:ascii="Helvetica" w:hAnsi="Helvetica" w:cs="Helvetica"/>
                <w:szCs w:val="18"/>
              </w:rPr>
              <w:t xml:space="preserve"> grapevine yellows</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i/>
                <w:szCs w:val="18"/>
              </w:rPr>
              <w:t>Fraxinus</w:t>
            </w:r>
            <w:r>
              <w:rPr>
                <w:rFonts w:ascii="Helvetica" w:hAnsi="Helvetica" w:cs="Helvetica"/>
                <w:szCs w:val="18"/>
              </w:rPr>
              <w:t xml:space="preserve"> spp. and grapevines (Gajardo </w:t>
            </w:r>
            <w:r>
              <w:rPr>
                <w:rFonts w:ascii="Helvetica" w:hAnsi="Helvetica" w:cs="Helvetica"/>
                <w:i/>
                <w:szCs w:val="18"/>
              </w:rPr>
              <w:t>et al</w:t>
            </w:r>
            <w:r>
              <w:rPr>
                <w:rFonts w:ascii="Helvetica" w:hAnsi="Helvetica" w:cs="Helvetica"/>
                <w:szCs w:val="18"/>
              </w:rPr>
              <w:t>. 2009)</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In grapes reported from </w:t>
            </w:r>
            <w:smartTag w:uri="urn:schemas-microsoft-com:office:smarttags" w:element="country-region">
              <w:smartTag w:uri="urn:schemas-microsoft-com:office:smarttags" w:element="place">
                <w:r>
                  <w:rPr>
                    <w:rFonts w:ascii="Helvetica" w:hAnsi="Helvetica" w:cs="Helvetica"/>
                    <w:szCs w:val="18"/>
                  </w:rPr>
                  <w:t>Chile</w:t>
                </w:r>
              </w:smartTag>
            </w:smartTag>
            <w:r>
              <w:rPr>
                <w:rFonts w:ascii="Helvetica" w:hAnsi="Helvetica" w:cs="Helvetica"/>
                <w:szCs w:val="18"/>
              </w:rPr>
              <w:t xml:space="preserve"> (Gajardo </w:t>
            </w:r>
            <w:r>
              <w:rPr>
                <w:rFonts w:ascii="Helvetica" w:hAnsi="Helvetica" w:cs="Helvetica"/>
                <w:i/>
                <w:szCs w:val="18"/>
              </w:rPr>
              <w:t>et al</w:t>
            </w:r>
            <w:r>
              <w:rPr>
                <w:rFonts w:ascii="Helvetica" w:hAnsi="Helvetica" w:cs="Helvetica"/>
                <w:szCs w:val="18"/>
              </w:rPr>
              <w:t>. 2009)</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pStyle w:val="TableText0"/>
              <w:spacing w:line="240" w:lineRule="atLeast"/>
              <w:jc w:val="left"/>
              <w:rPr>
                <w:rFonts w:ascii="Helvetica" w:hAnsi="Helvetica" w:cs="Helvetica"/>
                <w:i/>
                <w:szCs w:val="18"/>
              </w:rPr>
            </w:pPr>
            <w:r>
              <w:rPr>
                <w:rStyle w:val="Emphasis"/>
                <w:rFonts w:ascii="Helvetica" w:hAnsi="Helvetica" w:cs="Helvetica"/>
                <w:szCs w:val="18"/>
              </w:rPr>
              <w:t>Candidatus</w:t>
            </w:r>
            <w:r>
              <w:rPr>
                <w:rFonts w:ascii="Helvetica" w:hAnsi="Helvetica" w:cs="Helvetica"/>
                <w:szCs w:val="18"/>
              </w:rPr>
              <w:t xml:space="preserve"> Phytoplasma pruni </w:t>
            </w:r>
            <w:r>
              <w:rPr>
                <w:rFonts w:ascii="Helvetica" w:hAnsi="Helvetica" w:cs="Helvetica"/>
                <w:b/>
                <w:szCs w:val="18"/>
              </w:rPr>
              <w:t xml:space="preserve">[16SrIII </w:t>
            </w:r>
            <w:r>
              <w:rPr>
                <w:rFonts w:ascii="Helvetica" w:hAnsi="Helvetica" w:cs="Helvetica"/>
                <w:szCs w:val="18"/>
              </w:rPr>
              <w:t>– peach X-disease phytoplasmas group]</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Western x </w:t>
            </w:r>
            <w:smartTag w:uri="urn:schemas-microsoft-com:office:smarttags" w:element="State">
              <w:smartTag w:uri="urn:schemas-microsoft-com:office:smarttags" w:element="place">
                <w:r>
                  <w:rPr>
                    <w:rFonts w:ascii="Helvetica" w:hAnsi="Helvetica" w:cs="Helvetica"/>
                    <w:szCs w:val="18"/>
                  </w:rPr>
                  <w:t>Virginia</w:t>
                </w:r>
              </w:smartTag>
            </w:smartTag>
            <w:r>
              <w:rPr>
                <w:rFonts w:ascii="Helvetica" w:hAnsi="Helvetica" w:cs="Helvetica"/>
                <w:szCs w:val="18"/>
              </w:rPr>
              <w:t xml:space="preserve"> grapevine yellows III</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Strains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lang w:val="de-DE"/>
              </w:rPr>
            </w:pPr>
            <w:r>
              <w:rPr>
                <w:rFonts w:ascii="Helvetica" w:hAnsi="Helvetica" w:cs="Helvetica"/>
                <w:szCs w:val="18"/>
                <w:lang w:val="de-DE"/>
              </w:rPr>
              <w:t>Grapevine yellows x disease</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Delphinium </w:t>
            </w:r>
            <w:r>
              <w:rPr>
                <w:rFonts w:ascii="Helvetica" w:hAnsi="Helvetica" w:cs="Helvetica"/>
                <w:szCs w:val="18"/>
              </w:rPr>
              <w:t xml:space="preserve">spp. (Harju </w:t>
            </w:r>
            <w:r>
              <w:rPr>
                <w:rFonts w:ascii="Helvetica" w:hAnsi="Helvetica" w:cs="Helvetica"/>
                <w:i/>
                <w:szCs w:val="18"/>
              </w:rPr>
              <w:t>et al</w:t>
            </w:r>
            <w:r>
              <w:rPr>
                <w:rFonts w:ascii="Helvetica" w:hAnsi="Helvetica" w:cs="Helvetica"/>
                <w:szCs w:val="18"/>
              </w:rPr>
              <w:t xml:space="preserve">. 2008), grapevine (Davis and Dally 2001), </w:t>
            </w:r>
            <w:r>
              <w:rPr>
                <w:rFonts w:ascii="Helvetica" w:hAnsi="Helvetica" w:cs="Helvetica"/>
                <w:i/>
                <w:szCs w:val="18"/>
              </w:rPr>
              <w:t xml:space="preserve">Prunus </w:t>
            </w:r>
            <w:r>
              <w:rPr>
                <w:rFonts w:ascii="Helvetica" w:hAnsi="Helvetica" w:cs="Helvetica"/>
                <w:szCs w:val="18"/>
              </w:rPr>
              <w:t xml:space="preserve">spp. (Zhao </w:t>
            </w:r>
            <w:r>
              <w:rPr>
                <w:rFonts w:ascii="Helvetica" w:hAnsi="Helvetica" w:cs="Helvetica"/>
                <w:i/>
                <w:szCs w:val="18"/>
              </w:rPr>
              <w:t>et al</w:t>
            </w:r>
            <w:r>
              <w:rPr>
                <w:rFonts w:ascii="Helvetica" w:hAnsi="Helvetica" w:cs="Helvetica"/>
                <w:szCs w:val="18"/>
              </w:rPr>
              <w:t>. 2009).</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In grapevine reported from </w:t>
            </w:r>
            <w:smartTag w:uri="urn:schemas-microsoft-com:office:smarttags" w:element="country-region">
              <w:r>
                <w:rPr>
                  <w:rFonts w:ascii="Helvetica" w:hAnsi="Helvetica" w:cs="Helvetica"/>
                  <w:szCs w:val="18"/>
                </w:rPr>
                <w:t>Israel</w:t>
              </w:r>
            </w:smartTag>
            <w:r>
              <w:rPr>
                <w:rFonts w:ascii="Helvetica" w:hAnsi="Helvetica" w:cs="Helvetica"/>
                <w:szCs w:val="18"/>
              </w:rPr>
              <w:t xml:space="preserve"> (Tanne and Orenstein 1997),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(Bianco </w:t>
            </w:r>
            <w:r>
              <w:rPr>
                <w:rFonts w:ascii="Helvetica" w:hAnsi="Helvetica" w:cs="Helvetica"/>
                <w:i/>
                <w:szCs w:val="18"/>
              </w:rPr>
              <w:t>et al</w:t>
            </w:r>
            <w:r>
              <w:rPr>
                <w:rFonts w:ascii="Helvetica" w:hAnsi="Helvetica" w:cs="Helvetica"/>
                <w:szCs w:val="18"/>
              </w:rPr>
              <w:t xml:space="preserve">. 1996) and the </w:t>
            </w:r>
            <w:smartTag w:uri="urn:schemas-microsoft-com:office:smarttags" w:element="country-region">
              <w:smartTag w:uri="urn:schemas-microsoft-com:office:smarttags" w:element="place">
                <w:r>
                  <w:rPr>
                    <w:rFonts w:ascii="Helvetica" w:hAnsi="Helvetica" w:cs="Helvetica"/>
                    <w:szCs w:val="18"/>
                  </w:rPr>
                  <w:t>USA</w:t>
                </w:r>
              </w:smartTag>
            </w:smartTag>
            <w:r>
              <w:rPr>
                <w:rFonts w:ascii="Helvetica" w:hAnsi="Helvetica" w:cs="Helvetica"/>
                <w:szCs w:val="18"/>
              </w:rPr>
              <w:t xml:space="preserve"> (Davis and Dally 2001) </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pStyle w:val="TableText0"/>
              <w:spacing w:line="240" w:lineRule="atLeast"/>
              <w:jc w:val="left"/>
              <w:rPr>
                <w:rFonts w:ascii="Helvetica" w:hAnsi="Helvetica" w:cs="Helvetica"/>
                <w:i/>
                <w:szCs w:val="18"/>
              </w:rPr>
            </w:pPr>
            <w:r>
              <w:rPr>
                <w:rFonts w:ascii="Helvetica" w:hAnsi="Helvetica" w:cs="Helvetica"/>
                <w:i/>
                <w:szCs w:val="18"/>
              </w:rPr>
              <w:t>Candidatus</w:t>
            </w:r>
            <w:r>
              <w:rPr>
                <w:rFonts w:ascii="Helvetica" w:hAnsi="Helvetica" w:cs="Helvetica"/>
                <w:szCs w:val="18"/>
              </w:rPr>
              <w:t xml:space="preserve"> Phytoplasma solani </w:t>
            </w:r>
            <w:r>
              <w:rPr>
                <w:rFonts w:ascii="Helvetica" w:hAnsi="Helvetica" w:cs="Helvetica"/>
                <w:b/>
                <w:szCs w:val="18"/>
              </w:rPr>
              <w:t>[16SrXII–A Stolburg group]</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i/>
                <w:szCs w:val="18"/>
              </w:rPr>
            </w:pPr>
            <w:r>
              <w:rPr>
                <w:rFonts w:ascii="Helvetica" w:hAnsi="Helvetica" w:cs="Helvetica"/>
                <w:szCs w:val="18"/>
                <w:lang w:val="de-DE"/>
              </w:rPr>
              <w:t>Bois noir Phytoplasma</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Strains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STOL Type I; STOL Type II; STOL Type III (Langer and Maxiner 2004). </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lang w:val="de-DE"/>
              </w:rPr>
            </w:pPr>
            <w:r>
              <w:rPr>
                <w:rFonts w:ascii="Helvetica" w:hAnsi="Helvetica" w:cs="Helvetica"/>
                <w:szCs w:val="18"/>
                <w:lang w:val="de-DE"/>
              </w:rPr>
              <w:t>Bois noir, Legno nero, Vergilbungskrankheit, Schwartzholzkrankheit</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Calystegia sepium </w:t>
            </w:r>
            <w:r>
              <w:rPr>
                <w:rFonts w:ascii="Helvetica" w:hAnsi="Helvetica" w:cs="Helvetica"/>
                <w:szCs w:val="18"/>
              </w:rPr>
              <w:t xml:space="preserve">(Mori </w:t>
            </w:r>
            <w:r>
              <w:rPr>
                <w:rFonts w:ascii="Helvetica" w:hAnsi="Helvetica" w:cs="Helvetica"/>
                <w:i/>
                <w:szCs w:val="18"/>
              </w:rPr>
              <w:t>et al</w:t>
            </w:r>
            <w:r>
              <w:rPr>
                <w:rFonts w:ascii="Helvetica" w:hAnsi="Helvetica" w:cs="Helvetica"/>
                <w:szCs w:val="18"/>
              </w:rPr>
              <w:t>. 2007);</w:t>
            </w:r>
            <w:r>
              <w:rPr>
                <w:rFonts w:ascii="Helvetica" w:hAnsi="Helvetica" w:cs="Helvetica"/>
                <w:i/>
                <w:szCs w:val="18"/>
              </w:rPr>
              <w:t xml:space="preserve"> Vitis </w:t>
            </w:r>
            <w:r>
              <w:rPr>
                <w:rFonts w:ascii="Helvetica" w:hAnsi="Helvetica" w:cs="Helvetica"/>
                <w:szCs w:val="18"/>
              </w:rPr>
              <w:t>species</w:t>
            </w:r>
            <w:r>
              <w:rPr>
                <w:rFonts w:ascii="Helvetica" w:hAnsi="Helvetica" w:cs="Helvetica"/>
                <w:i/>
                <w:szCs w:val="18"/>
              </w:rPr>
              <w:t>, Convolvulus arvensis</w:t>
            </w:r>
            <w:r>
              <w:rPr>
                <w:rFonts w:ascii="Helvetica" w:hAnsi="Helvetica" w:cs="Helvetica"/>
                <w:szCs w:val="18"/>
              </w:rPr>
              <w:t xml:space="preserve">, </w:t>
            </w:r>
            <w:r>
              <w:rPr>
                <w:rFonts w:ascii="Helvetica" w:hAnsi="Helvetica" w:cs="Helvetica"/>
                <w:i/>
                <w:szCs w:val="18"/>
              </w:rPr>
              <w:t>Urtica dioica</w:t>
            </w:r>
            <w:r>
              <w:rPr>
                <w:rFonts w:ascii="Helvetica" w:hAnsi="Helvetica" w:cs="Helvetica"/>
                <w:szCs w:val="18"/>
              </w:rPr>
              <w:t xml:space="preserve">, </w:t>
            </w:r>
            <w:r>
              <w:rPr>
                <w:rFonts w:ascii="Helvetica" w:hAnsi="Helvetica" w:cs="Helvetica"/>
                <w:i/>
                <w:szCs w:val="18"/>
              </w:rPr>
              <w:t>Ranunculus</w:t>
            </w:r>
            <w:r>
              <w:rPr>
                <w:rFonts w:ascii="Helvetica" w:hAnsi="Helvetica" w:cs="Helvetica"/>
                <w:szCs w:val="18"/>
              </w:rPr>
              <w:t xml:space="preserve"> spp.</w:t>
            </w:r>
            <w:r>
              <w:rPr>
                <w:rFonts w:ascii="Helvetica" w:hAnsi="Helvetica" w:cs="Helvetica"/>
                <w:i/>
                <w:szCs w:val="18"/>
              </w:rPr>
              <w:t xml:space="preserve">, Solanum </w:t>
            </w:r>
            <w:r>
              <w:rPr>
                <w:rFonts w:ascii="Helvetica" w:hAnsi="Helvetica" w:cs="Helvetica"/>
                <w:szCs w:val="18"/>
              </w:rPr>
              <w:t xml:space="preserve">spp., </w:t>
            </w:r>
            <w:r>
              <w:rPr>
                <w:rFonts w:ascii="Helvetica" w:hAnsi="Helvetica" w:cs="Helvetica"/>
                <w:i/>
                <w:szCs w:val="18"/>
              </w:rPr>
              <w:t>Lavandula</w:t>
            </w:r>
            <w:r>
              <w:rPr>
                <w:rFonts w:ascii="Helvetica" w:hAnsi="Helvetica" w:cs="Helvetica"/>
                <w:szCs w:val="18"/>
              </w:rPr>
              <w:t xml:space="preserve"> spp. (Constable 2010). Type 1: </w:t>
            </w:r>
            <w:r>
              <w:rPr>
                <w:rFonts w:ascii="Helvetica" w:hAnsi="Helvetica" w:cs="Helvetica"/>
                <w:i/>
                <w:szCs w:val="18"/>
              </w:rPr>
              <w:t xml:space="preserve">Urtica dioica; </w:t>
            </w:r>
            <w:r>
              <w:rPr>
                <w:rFonts w:ascii="Helvetica" w:hAnsi="Helvetica" w:cs="Helvetica"/>
                <w:szCs w:val="18"/>
              </w:rPr>
              <w:t xml:space="preserve">Type II: </w:t>
            </w:r>
            <w:r>
              <w:rPr>
                <w:rFonts w:ascii="Helvetica" w:hAnsi="Helvetica" w:cs="Helvetica"/>
                <w:i/>
                <w:szCs w:val="18"/>
              </w:rPr>
              <w:t xml:space="preserve">Calystegia sepium, Convolvulus arvensis; </w:t>
            </w:r>
            <w:r>
              <w:rPr>
                <w:rFonts w:ascii="Helvetica" w:hAnsi="Helvetica" w:cs="Helvetica"/>
                <w:szCs w:val="18"/>
              </w:rPr>
              <w:t xml:space="preserve">Type III: </w:t>
            </w:r>
            <w:r>
              <w:rPr>
                <w:rFonts w:ascii="Helvetica" w:hAnsi="Helvetica" w:cs="Helvetica"/>
                <w:i/>
                <w:szCs w:val="18"/>
              </w:rPr>
              <w:t xml:space="preserve">Calystegia sepium </w:t>
            </w:r>
            <w:r>
              <w:rPr>
                <w:rFonts w:ascii="Helvetica" w:hAnsi="Helvetica" w:cs="Helvetica"/>
                <w:szCs w:val="18"/>
              </w:rPr>
              <w:t xml:space="preserve">(Mori </w:t>
            </w:r>
            <w:r>
              <w:rPr>
                <w:rFonts w:ascii="Helvetica" w:hAnsi="Helvetica" w:cs="Helvetica"/>
                <w:i/>
                <w:szCs w:val="18"/>
              </w:rPr>
              <w:t>et al</w:t>
            </w:r>
            <w:r>
              <w:rPr>
                <w:rFonts w:ascii="Helvetica" w:hAnsi="Helvetica" w:cs="Helvetica"/>
                <w:szCs w:val="18"/>
              </w:rPr>
              <w:t>. 2007).</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Bois noir Phytoplasma is widespread and occurs from </w:t>
            </w:r>
            <w:smartTag w:uri="urn:schemas-microsoft-com:office:smarttags" w:element="country-region">
              <w:r>
                <w:rPr>
                  <w:rFonts w:ascii="Helvetica" w:hAnsi="Helvetica" w:cs="Helvetica"/>
                  <w:szCs w:val="18"/>
                </w:rPr>
                <w:t>Spain</w:t>
              </w:r>
            </w:smartTag>
            <w:r>
              <w:rPr>
                <w:rFonts w:ascii="Helvetica" w:hAnsi="Helvetica" w:cs="Helvetica"/>
                <w:szCs w:val="18"/>
              </w:rPr>
              <w:t xml:space="preserve"> to </w:t>
            </w:r>
            <w:smartTag w:uri="urn:schemas-microsoft-com:office:smarttags" w:element="country-region">
              <w:r>
                <w:rPr>
                  <w:rFonts w:ascii="Helvetica" w:hAnsi="Helvetica" w:cs="Helvetica"/>
                  <w:szCs w:val="18"/>
                </w:rPr>
                <w:t>Ukraine</w:t>
              </w:r>
            </w:smartTag>
            <w:r>
              <w:rPr>
                <w:rFonts w:ascii="Helvetica" w:hAnsi="Helvetica" w:cs="Helvetica"/>
                <w:szCs w:val="18"/>
              </w:rPr>
              <w:t xml:space="preserve"> and from </w:t>
            </w:r>
            <w:smartTag w:uri="urn:schemas-microsoft-com:office:smarttags" w:element="country-region">
              <w:r>
                <w:rPr>
                  <w:rFonts w:ascii="Helvetica" w:hAnsi="Helvetica" w:cs="Helvetica"/>
                  <w:szCs w:val="18"/>
                </w:rPr>
                <w:t>Germany</w:t>
              </w:r>
            </w:smartTag>
            <w:r>
              <w:rPr>
                <w:rFonts w:ascii="Helvetica" w:hAnsi="Helvetica" w:cs="Helvetica"/>
                <w:szCs w:val="18"/>
              </w:rPr>
              <w:t xml:space="preserve"> and Northern France to </w:t>
            </w:r>
            <w:smartTag w:uri="urn:schemas-microsoft-com:office:smarttags" w:element="country-region">
              <w:r>
                <w:rPr>
                  <w:rFonts w:ascii="Helvetica" w:hAnsi="Helvetica" w:cs="Helvetica"/>
                  <w:szCs w:val="18"/>
                </w:rPr>
                <w:t>Lebanon</w:t>
              </w:r>
            </w:smartTag>
            <w:r>
              <w:rPr>
                <w:rFonts w:ascii="Helvetica" w:hAnsi="Helvetica" w:cs="Helvetica"/>
                <w:szCs w:val="18"/>
              </w:rPr>
              <w:t xml:space="preserve"> and </w:t>
            </w:r>
            <w:smartTag w:uri="urn:schemas-microsoft-com:office:smarttags" w:element="country-region">
              <w:smartTag w:uri="urn:schemas-microsoft-com:office:smarttags" w:element="place">
                <w:r>
                  <w:rPr>
                    <w:rFonts w:ascii="Helvetica" w:hAnsi="Helvetica" w:cs="Helvetica"/>
                    <w:szCs w:val="18"/>
                  </w:rPr>
                  <w:t>Israel</w:t>
                </w:r>
              </w:smartTag>
            </w:smartTag>
            <w:r>
              <w:rPr>
                <w:rFonts w:ascii="Helvetica" w:hAnsi="Helvetica" w:cs="Helvetica"/>
                <w:szCs w:val="18"/>
              </w:rPr>
              <w:t xml:space="preserve"> (Maixner 2011). It has also been reported from </w:t>
            </w:r>
            <w:smartTag w:uri="urn:schemas-microsoft-com:office:smarttags" w:element="country-region">
              <w:r>
                <w:rPr>
                  <w:rFonts w:ascii="Helvetica" w:hAnsi="Helvetica" w:cs="Helvetica"/>
                  <w:szCs w:val="18"/>
                </w:rPr>
                <w:t>Canada</w:t>
              </w:r>
            </w:smartTag>
            <w:r>
              <w:rPr>
                <w:rFonts w:ascii="Helvetica" w:hAnsi="Helvetica" w:cs="Helvetica"/>
                <w:szCs w:val="18"/>
              </w:rPr>
              <w:t xml:space="preserve"> (Rott </w:t>
            </w:r>
            <w:r>
              <w:rPr>
                <w:rFonts w:ascii="Helvetica" w:hAnsi="Helvetica" w:cs="Helvetica"/>
                <w:i/>
                <w:szCs w:val="18"/>
              </w:rPr>
              <w:t>et al</w:t>
            </w:r>
            <w:r>
              <w:rPr>
                <w:rFonts w:ascii="Helvetica" w:hAnsi="Helvetica" w:cs="Helvetica"/>
                <w:szCs w:val="18"/>
              </w:rPr>
              <w:t xml:space="preserve">. 2007), </w:t>
            </w:r>
            <w:smartTag w:uri="urn:schemas-microsoft-com:office:smarttags" w:element="country-region">
              <w:r>
                <w:rPr>
                  <w:rFonts w:ascii="Helvetica" w:hAnsi="Helvetica" w:cs="Helvetica"/>
                  <w:szCs w:val="18"/>
                </w:rPr>
                <w:t>Syria</w:t>
              </w:r>
            </w:smartTag>
            <w:r>
              <w:rPr>
                <w:rFonts w:ascii="Helvetica" w:hAnsi="Helvetica" w:cs="Helvetica"/>
                <w:szCs w:val="18"/>
              </w:rPr>
              <w:t xml:space="preserve"> (Contaldo </w:t>
            </w:r>
            <w:r>
              <w:rPr>
                <w:rFonts w:ascii="Helvetica" w:hAnsi="Helvetica" w:cs="Helvetica"/>
                <w:i/>
                <w:szCs w:val="18"/>
              </w:rPr>
              <w:t>et al.</w:t>
            </w:r>
            <w:r>
              <w:rPr>
                <w:rFonts w:ascii="Helvetica" w:hAnsi="Helvetica" w:cs="Helvetica"/>
                <w:szCs w:val="18"/>
              </w:rPr>
              <w:t xml:space="preserve"> 2011), </w:t>
            </w:r>
            <w:smartTag w:uri="urn:schemas-microsoft-com:office:smarttags" w:element="country-region">
              <w:r>
                <w:rPr>
                  <w:rFonts w:ascii="Helvetica" w:hAnsi="Helvetica" w:cs="Helvetica"/>
                  <w:szCs w:val="18"/>
                </w:rPr>
                <w:t>Turkey</w:t>
              </w:r>
            </w:smartTag>
            <w:r>
              <w:rPr>
                <w:rFonts w:ascii="Helvetica" w:hAnsi="Helvetica" w:cs="Helvetica"/>
                <w:szCs w:val="18"/>
              </w:rPr>
              <w:t xml:space="preserve"> (Canik </w:t>
            </w:r>
            <w:r>
              <w:rPr>
                <w:rFonts w:ascii="Helvetica" w:hAnsi="Helvetica" w:cs="Helvetica"/>
                <w:i/>
                <w:szCs w:val="18"/>
              </w:rPr>
              <w:t>et al</w:t>
            </w:r>
            <w:r>
              <w:rPr>
                <w:rFonts w:ascii="Helvetica" w:hAnsi="Helvetica" w:cs="Helvetica"/>
                <w:szCs w:val="18"/>
              </w:rPr>
              <w:t xml:space="preserve">. 2011) and the </w:t>
            </w:r>
            <w:smartTag w:uri="urn:schemas-microsoft-com:office:smarttags" w:element="country-region">
              <w:smartTag w:uri="urn:schemas-microsoft-com:office:smarttags" w:element="place">
                <w:r>
                  <w:rPr>
                    <w:rFonts w:ascii="Helvetica" w:hAnsi="Helvetica" w:cs="Helvetica"/>
                    <w:szCs w:val="18"/>
                  </w:rPr>
                  <w:t>USA</w:t>
                </w:r>
              </w:smartTag>
            </w:smartTag>
            <w:r>
              <w:rPr>
                <w:rFonts w:ascii="Helvetica" w:hAnsi="Helvetica" w:cs="Helvetica"/>
                <w:szCs w:val="18"/>
              </w:rPr>
              <w:t xml:space="preserve"> (Davis </w:t>
            </w:r>
            <w:r>
              <w:rPr>
                <w:rFonts w:ascii="Helvetica" w:hAnsi="Helvetica" w:cs="Helvetica"/>
                <w:i/>
                <w:szCs w:val="18"/>
              </w:rPr>
              <w:t>et al</w:t>
            </w:r>
            <w:r>
              <w:rPr>
                <w:rFonts w:ascii="Helvetica" w:hAnsi="Helvetica" w:cs="Helvetica"/>
                <w:szCs w:val="18"/>
              </w:rPr>
              <w:t xml:space="preserve">. 1998). Additionally Stolbur group-related grapevine phytoplasmas have been also recently been reported from </w:t>
            </w:r>
            <w:smartTag w:uri="urn:schemas-microsoft-com:office:smarttags" w:element="country-region">
              <w:r>
                <w:rPr>
                  <w:rFonts w:ascii="Helvetica" w:hAnsi="Helvetica" w:cs="Helvetica"/>
                  <w:szCs w:val="18"/>
                </w:rPr>
                <w:t>Iran</w:t>
              </w:r>
            </w:smartTag>
            <w:r>
              <w:rPr>
                <w:rFonts w:ascii="Helvetica" w:hAnsi="Helvetica" w:cs="Helvetica"/>
                <w:szCs w:val="18"/>
              </w:rPr>
              <w:t xml:space="preserve"> (Karimi </w:t>
            </w:r>
            <w:r>
              <w:rPr>
                <w:rFonts w:ascii="Helvetica" w:hAnsi="Helvetica" w:cs="Helvetica"/>
                <w:i/>
                <w:szCs w:val="18"/>
              </w:rPr>
              <w:t>et al</w:t>
            </w:r>
            <w:r>
              <w:rPr>
                <w:rFonts w:ascii="Helvetica" w:hAnsi="Helvetica" w:cs="Helvetica"/>
                <w:szCs w:val="18"/>
              </w:rPr>
              <w:t xml:space="preserve">. 2009), </w:t>
            </w:r>
            <w:smartTag w:uri="urn:schemas-microsoft-com:office:smarttags" w:element="country-region">
              <w:r>
                <w:rPr>
                  <w:rFonts w:ascii="Helvetica" w:hAnsi="Helvetica" w:cs="Helvetica"/>
                  <w:szCs w:val="18"/>
                </w:rPr>
                <w:t>Chile</w:t>
              </w:r>
            </w:smartTag>
            <w:r>
              <w:rPr>
                <w:rFonts w:ascii="Helvetica" w:hAnsi="Helvetica" w:cs="Helvetica"/>
                <w:szCs w:val="18"/>
              </w:rPr>
              <w:t xml:space="preserve"> (Gajardo </w:t>
            </w:r>
            <w:r>
              <w:rPr>
                <w:rFonts w:ascii="Helvetica" w:hAnsi="Helvetica" w:cs="Helvetica"/>
                <w:i/>
                <w:szCs w:val="18"/>
              </w:rPr>
              <w:t>et al</w:t>
            </w:r>
            <w:r>
              <w:rPr>
                <w:rFonts w:ascii="Helvetica" w:hAnsi="Helvetica" w:cs="Helvetica"/>
                <w:szCs w:val="18"/>
              </w:rPr>
              <w:t xml:space="preserve">. 2009) and </w:t>
            </w:r>
            <w:smartTag w:uri="urn:schemas-microsoft-com:office:smarttags" w:element="country-region">
              <w:smartTag w:uri="urn:schemas-microsoft-com:office:smarttags" w:element="place">
                <w:r>
                  <w:rPr>
                    <w:rFonts w:ascii="Helvetica" w:hAnsi="Helvetica" w:cs="Helvetica"/>
                    <w:szCs w:val="18"/>
                  </w:rPr>
                  <w:t>China</w:t>
                </w:r>
              </w:smartTag>
            </w:smartTag>
            <w:r>
              <w:rPr>
                <w:rFonts w:ascii="Helvetica" w:hAnsi="Helvetica" w:cs="Helvetica"/>
                <w:szCs w:val="18"/>
              </w:rPr>
              <w:t xml:space="preserve"> (Duduk </w:t>
            </w:r>
            <w:r>
              <w:rPr>
                <w:rFonts w:ascii="Helvetica" w:hAnsi="Helvetica" w:cs="Helvetica"/>
                <w:i/>
                <w:szCs w:val="18"/>
              </w:rPr>
              <w:t>et al</w:t>
            </w:r>
            <w:r>
              <w:rPr>
                <w:rFonts w:ascii="Helvetica" w:hAnsi="Helvetica" w:cs="Helvetica"/>
                <w:szCs w:val="18"/>
              </w:rPr>
              <w:t>. 2010).</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pStyle w:val="TableText0"/>
              <w:spacing w:line="240" w:lineRule="atLeast"/>
              <w:jc w:val="left"/>
              <w:rPr>
                <w:rFonts w:ascii="Helvetica" w:hAnsi="Helvetica" w:cs="Helvetica"/>
                <w:i/>
                <w:szCs w:val="18"/>
              </w:rPr>
            </w:pPr>
            <w:r>
              <w:rPr>
                <w:rStyle w:val="Emphasis"/>
                <w:rFonts w:ascii="Helvetica" w:hAnsi="Helvetica" w:cs="Helvetica"/>
                <w:szCs w:val="18"/>
              </w:rPr>
              <w:t>Candidatus</w:t>
            </w:r>
            <w:r>
              <w:rPr>
                <w:rFonts w:ascii="Helvetica" w:hAnsi="Helvetica" w:cs="Helvetica"/>
                <w:szCs w:val="18"/>
              </w:rPr>
              <w:t xml:space="preserve"> Phytoplasma ulmi </w:t>
            </w:r>
            <w:r>
              <w:rPr>
                <w:rFonts w:ascii="Helvetica" w:hAnsi="Helvetica" w:cs="Helvetica"/>
                <w:b/>
                <w:szCs w:val="18"/>
              </w:rPr>
              <w:t>[16SrV–A Elm yellows phytoplasma group</w:t>
            </w:r>
            <w:r>
              <w:rPr>
                <w:rFonts w:ascii="Helvetica" w:hAnsi="Helvetica" w:cs="Helvetica"/>
                <w:szCs w:val="18"/>
              </w:rPr>
              <w:t>]</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Strains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lang w:val="de-DE"/>
              </w:rPr>
            </w:pPr>
            <w:r>
              <w:rPr>
                <w:rFonts w:ascii="Helvetica" w:hAnsi="Helvetica" w:cs="Helvetica"/>
                <w:szCs w:val="18"/>
                <w:lang w:val="de-DE"/>
              </w:rPr>
              <w:t>Grapevine yellows disease</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Wide host range including grapes</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In grapevine reported from </w:t>
            </w:r>
            <w:smartTag w:uri="urn:schemas-microsoft-com:office:smarttags" w:element="country-region">
              <w:smartTag w:uri="urn:schemas-microsoft-com:office:smarttags" w:element="place">
                <w:r>
                  <w:rPr>
                    <w:rFonts w:ascii="Helvetica" w:hAnsi="Helvetica" w:cs="Helvetica"/>
                    <w:szCs w:val="18"/>
                  </w:rPr>
                  <w:t>Italy</w:t>
                </w:r>
              </w:smartTag>
            </w:smartTag>
            <w:r>
              <w:rPr>
                <w:rFonts w:ascii="Helvetica" w:hAnsi="Helvetica" w:cs="Helvetica"/>
                <w:szCs w:val="18"/>
              </w:rPr>
              <w:t xml:space="preserve"> (Botti and Bertaccini 2007) </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pStyle w:val="TableText0"/>
              <w:spacing w:line="240" w:lineRule="atLeast"/>
              <w:jc w:val="left"/>
              <w:rPr>
                <w:rFonts w:ascii="Helvetica" w:hAnsi="Helvetica" w:cs="Helvetica"/>
                <w:i/>
                <w:szCs w:val="18"/>
              </w:rPr>
            </w:pPr>
            <w:r>
              <w:rPr>
                <w:rFonts w:ascii="Helvetica" w:hAnsi="Helvetica" w:cs="Helvetica"/>
                <w:i/>
                <w:szCs w:val="18"/>
              </w:rPr>
              <w:t>Candidatus</w:t>
            </w:r>
            <w:r>
              <w:rPr>
                <w:rFonts w:ascii="Helvetica" w:hAnsi="Helvetica" w:cs="Helvetica"/>
                <w:szCs w:val="18"/>
              </w:rPr>
              <w:t xml:space="preserve"> Phytoplasma vitis [</w:t>
            </w:r>
            <w:r>
              <w:rPr>
                <w:rFonts w:ascii="Helvetica" w:hAnsi="Helvetica" w:cs="Helvetica"/>
                <w:b/>
                <w:szCs w:val="18"/>
              </w:rPr>
              <w:t>16SrV–Elm yellows phytoplasma group]</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i/>
                <w:szCs w:val="18"/>
              </w:rPr>
            </w:pPr>
            <w:r>
              <w:rPr>
                <w:rFonts w:ascii="Helvetica" w:hAnsi="Helvetica" w:cs="Helvetica"/>
                <w:szCs w:val="18"/>
              </w:rPr>
              <w:t>Grapevine Flavescence dorée Phytoplasma</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Strains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FD-I, FD-II, FD-III, Phytoplasma strains FD-associated belong to ribosomal subgroups 16SrV-C, 16SrV-D. </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Flavescence dorée</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(grapes), but </w:t>
            </w:r>
            <w:r>
              <w:rPr>
                <w:rFonts w:ascii="Helvetica" w:hAnsi="Helvetica" w:cs="Helvetica"/>
                <w:i/>
                <w:szCs w:val="18"/>
              </w:rPr>
              <w:t>V. riparia</w:t>
            </w:r>
            <w:r>
              <w:rPr>
                <w:rFonts w:ascii="Helvetica" w:hAnsi="Helvetica" w:cs="Helvetica"/>
                <w:szCs w:val="18"/>
              </w:rPr>
              <w:t xml:space="preserve"> can also be infected naturally (Maixner and Pearson 1992).</w:t>
            </w:r>
            <w:r>
              <w:rPr>
                <w:rFonts w:ascii="Helvetica" w:hAnsi="Helvetica" w:cs="Helvetica"/>
                <w:szCs w:val="18"/>
                <w:lang w:eastAsia="en-AU"/>
              </w:rPr>
              <w:t xml:space="preserve"> </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Crotia (Filippin </w:t>
            </w:r>
            <w:r>
              <w:rPr>
                <w:rFonts w:ascii="Helvetica" w:hAnsi="Helvetica" w:cs="Helvetica"/>
                <w:i/>
                <w:szCs w:val="18"/>
              </w:rPr>
              <w:t>et al</w:t>
            </w:r>
            <w:r>
              <w:rPr>
                <w:rFonts w:ascii="Helvetica" w:hAnsi="Helvetica" w:cs="Helvetica"/>
                <w:szCs w:val="18"/>
              </w:rPr>
              <w:t>. 2009), France (</w:t>
            </w:r>
            <w:r>
              <w:rPr>
                <w:rFonts w:ascii="Helvetica" w:hAnsi="Helvetica" w:cs="Helvetica"/>
                <w:szCs w:val="18"/>
                <w:lang w:eastAsia="en-AU"/>
              </w:rPr>
              <w:t>Steffek</w:t>
            </w:r>
            <w:r>
              <w:rPr>
                <w:rFonts w:ascii="Helvetica" w:hAnsi="Helvetica" w:cs="Helvetica"/>
                <w:szCs w:val="18"/>
              </w:rPr>
              <w:t xml:space="preserve"> </w:t>
            </w:r>
            <w:r>
              <w:rPr>
                <w:rFonts w:ascii="Helvetica" w:hAnsi="Helvetica" w:cs="Helvetica"/>
                <w:i/>
                <w:szCs w:val="18"/>
              </w:rPr>
              <w:t>et al</w:t>
            </w:r>
            <w:r>
              <w:rPr>
                <w:rFonts w:ascii="Helvetica" w:hAnsi="Helvetica" w:cs="Helvetica"/>
                <w:szCs w:val="18"/>
              </w:rPr>
              <w:t xml:space="preserve">. 2006), Germany (Johannesen </w:t>
            </w:r>
            <w:r>
              <w:rPr>
                <w:rFonts w:ascii="Helvetica" w:hAnsi="Helvetica" w:cs="Helvetica"/>
                <w:i/>
                <w:szCs w:val="18"/>
              </w:rPr>
              <w:t>et al</w:t>
            </w:r>
            <w:r>
              <w:rPr>
                <w:rFonts w:ascii="Helvetica" w:hAnsi="Helvetica" w:cs="Helvetica"/>
                <w:szCs w:val="18"/>
              </w:rPr>
              <w:t xml:space="preserve">. 2008), Italy (Barba </w:t>
            </w:r>
            <w:r>
              <w:rPr>
                <w:rFonts w:ascii="Helvetica" w:hAnsi="Helvetica" w:cs="Helvetica"/>
                <w:i/>
                <w:szCs w:val="18"/>
              </w:rPr>
              <w:t>et al</w:t>
            </w:r>
            <w:r>
              <w:rPr>
                <w:rFonts w:ascii="Helvetica" w:hAnsi="Helvetica" w:cs="Helvetica"/>
                <w:szCs w:val="18"/>
              </w:rPr>
              <w:t xml:space="preserve">. 2006), Macedonia (Filippin </w:t>
            </w:r>
            <w:r>
              <w:rPr>
                <w:rFonts w:ascii="Helvetica" w:hAnsi="Helvetica" w:cs="Helvetica"/>
                <w:i/>
                <w:szCs w:val="18"/>
              </w:rPr>
              <w:t>et al</w:t>
            </w:r>
            <w:r>
              <w:rPr>
                <w:rFonts w:ascii="Helvetica" w:hAnsi="Helvetica" w:cs="Helvetica"/>
                <w:szCs w:val="18"/>
              </w:rPr>
              <w:t xml:space="preserve">. 2009), Portugal (DeSousa </w:t>
            </w:r>
            <w:r>
              <w:rPr>
                <w:rFonts w:ascii="Helvetica" w:hAnsi="Helvetica" w:cs="Helvetica"/>
                <w:i/>
                <w:szCs w:val="18"/>
              </w:rPr>
              <w:t>et al</w:t>
            </w:r>
            <w:r>
              <w:rPr>
                <w:rFonts w:ascii="Helvetica" w:hAnsi="Helvetica" w:cs="Helvetica"/>
                <w:szCs w:val="18"/>
              </w:rPr>
              <w:t xml:space="preserve">. 2003), Serbia (Duduk </w:t>
            </w:r>
            <w:r>
              <w:rPr>
                <w:rFonts w:ascii="Helvetica" w:hAnsi="Helvetica" w:cs="Helvetica"/>
                <w:i/>
                <w:szCs w:val="18"/>
              </w:rPr>
              <w:t>et al</w:t>
            </w:r>
            <w:r>
              <w:rPr>
                <w:rFonts w:ascii="Helvetica" w:hAnsi="Helvetica" w:cs="Helvetica"/>
                <w:szCs w:val="18"/>
              </w:rPr>
              <w:t xml:space="preserve">. 2003), Slovenia (Filippin </w:t>
            </w:r>
            <w:r>
              <w:rPr>
                <w:rFonts w:ascii="Helvetica" w:hAnsi="Helvetica" w:cs="Helvetica"/>
                <w:i/>
                <w:szCs w:val="18"/>
              </w:rPr>
              <w:t>et al</w:t>
            </w:r>
            <w:r>
              <w:rPr>
                <w:rFonts w:ascii="Helvetica" w:hAnsi="Helvetica" w:cs="Helvetica"/>
                <w:szCs w:val="18"/>
              </w:rPr>
              <w:t xml:space="preserve">. 2009), Spain (Batlle </w:t>
            </w:r>
            <w:r>
              <w:rPr>
                <w:rFonts w:ascii="Helvetica" w:hAnsi="Helvetica" w:cs="Helvetica"/>
                <w:i/>
                <w:szCs w:val="18"/>
              </w:rPr>
              <w:t>et al</w:t>
            </w:r>
            <w:r>
              <w:rPr>
                <w:rFonts w:ascii="Helvetica" w:hAnsi="Helvetica" w:cs="Helvetica"/>
                <w:szCs w:val="18"/>
              </w:rPr>
              <w:t>. 2000), Switzerland (</w:t>
            </w:r>
            <w:r>
              <w:rPr>
                <w:rFonts w:ascii="Helvetica" w:hAnsi="Helvetica" w:cs="Helvetica"/>
                <w:szCs w:val="18"/>
                <w:lang w:eastAsia="en-AU"/>
              </w:rPr>
              <w:t>Steffek</w:t>
            </w:r>
            <w:r>
              <w:rPr>
                <w:rFonts w:ascii="Helvetica" w:hAnsi="Helvetica" w:cs="Helvetica"/>
                <w:szCs w:val="18"/>
              </w:rPr>
              <w:t xml:space="preserve"> </w:t>
            </w:r>
            <w:r>
              <w:rPr>
                <w:rFonts w:ascii="Helvetica" w:hAnsi="Helvetica" w:cs="Helvetica"/>
                <w:i/>
                <w:szCs w:val="18"/>
              </w:rPr>
              <w:t>et al</w:t>
            </w:r>
            <w:r>
              <w:rPr>
                <w:rFonts w:ascii="Helvetica" w:hAnsi="Helvetica" w:cs="Helvetica"/>
                <w:szCs w:val="18"/>
              </w:rPr>
              <w:t xml:space="preserve">. 2006). </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pStyle w:val="TableText0"/>
              <w:spacing w:line="240" w:lineRule="atLeast"/>
              <w:jc w:val="left"/>
              <w:rPr>
                <w:rFonts w:ascii="Helvetica" w:hAnsi="Helvetica" w:cs="Helvetica"/>
                <w:i/>
                <w:szCs w:val="18"/>
              </w:rPr>
            </w:pPr>
            <w:r>
              <w:rPr>
                <w:rFonts w:ascii="Helvetica" w:hAnsi="Helvetica" w:cs="Helvetica"/>
                <w:szCs w:val="18"/>
              </w:rPr>
              <w:t>European  stone fruit yellows Phytoplasma [</w:t>
            </w:r>
            <w:r>
              <w:rPr>
                <w:rFonts w:ascii="Helvetica" w:hAnsi="Helvetica" w:cs="Helvetica"/>
                <w:b/>
                <w:szCs w:val="18"/>
              </w:rPr>
              <w:t>16SrX –B Apple proliferation group]</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i/>
                <w:szCs w:val="18"/>
              </w:rPr>
            </w:pPr>
            <w:r>
              <w:rPr>
                <w:rFonts w:ascii="Helvetica" w:hAnsi="Helvetica" w:cs="Helvetica"/>
                <w:szCs w:val="18"/>
              </w:rPr>
              <w:t>Grapevine yellows</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Strains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Grapevine yellows</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(grapes)</w:t>
            </w:r>
            <w:r>
              <w:rPr>
                <w:rFonts w:ascii="Helvetica" w:hAnsi="Helvetica" w:cs="Helvetica"/>
                <w:szCs w:val="18"/>
                <w:lang w:eastAsia="en-AU"/>
              </w:rPr>
              <w:t xml:space="preserve"> </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In grape vine reported from </w:t>
            </w:r>
            <w:smartTag w:uri="urn:schemas-microsoft-com:office:smarttags" w:element="country-region">
              <w:r>
                <w:rPr>
                  <w:rFonts w:ascii="Helvetica" w:hAnsi="Helvetica" w:cs="Helvetica"/>
                  <w:szCs w:val="18"/>
                </w:rPr>
                <w:t>Hungary</w:t>
              </w:r>
            </w:smartTag>
            <w:r>
              <w:rPr>
                <w:rFonts w:ascii="Helvetica" w:hAnsi="Helvetica" w:cs="Helvetica"/>
                <w:szCs w:val="18"/>
              </w:rPr>
              <w:t xml:space="preserve"> (Varga </w:t>
            </w:r>
            <w:r>
              <w:rPr>
                <w:rFonts w:ascii="Helvetica" w:hAnsi="Helvetica" w:cs="Helvetica"/>
                <w:i/>
                <w:szCs w:val="18"/>
              </w:rPr>
              <w:t>et al</w:t>
            </w:r>
            <w:r>
              <w:rPr>
                <w:rFonts w:ascii="Helvetica" w:hAnsi="Helvetica" w:cs="Helvetica"/>
                <w:szCs w:val="18"/>
              </w:rPr>
              <w:t xml:space="preserve">. 2000) and </w:t>
            </w:r>
            <w:smartTag w:uri="urn:schemas-microsoft-com:office:smarttags" w:element="country-region">
              <w:smartTag w:uri="urn:schemas-microsoft-com:office:smarttags" w:element="place">
                <w:r>
                  <w:rPr>
                    <w:rFonts w:ascii="Helvetica" w:hAnsi="Helvetica" w:cs="Helvetica"/>
                    <w:szCs w:val="18"/>
                  </w:rPr>
                  <w:t>Serbia</w:t>
                </w:r>
              </w:smartTag>
            </w:smartTag>
            <w:r>
              <w:rPr>
                <w:rFonts w:ascii="Helvetica" w:hAnsi="Helvetica" w:cs="Helvetica"/>
                <w:szCs w:val="18"/>
              </w:rPr>
              <w:t xml:space="preserve"> (Duduk </w:t>
            </w:r>
            <w:r>
              <w:rPr>
                <w:rFonts w:ascii="Helvetica" w:hAnsi="Helvetica" w:cs="Helvetica"/>
                <w:i/>
                <w:szCs w:val="18"/>
              </w:rPr>
              <w:t>et al</w:t>
            </w:r>
            <w:r>
              <w:rPr>
                <w:rFonts w:ascii="Helvetica" w:hAnsi="Helvetica" w:cs="Helvetica"/>
                <w:szCs w:val="18"/>
              </w:rPr>
              <w:t>. 2003).</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pStyle w:val="TableText0"/>
              <w:spacing w:line="240" w:lineRule="atLeast"/>
              <w:jc w:val="left"/>
              <w:rPr>
                <w:rFonts w:ascii="Helvetica" w:hAnsi="Helvetica" w:cs="Helvetica"/>
                <w:i/>
                <w:szCs w:val="18"/>
              </w:rPr>
            </w:pPr>
            <w:r>
              <w:rPr>
                <w:rFonts w:ascii="Helvetica" w:hAnsi="Helvetica" w:cs="Helvetica"/>
                <w:szCs w:val="18"/>
              </w:rPr>
              <w:t>Phytoplasma 16SrIX</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i/>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Strains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Grapevine yellows</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(grapes)</w:t>
            </w:r>
            <w:r>
              <w:rPr>
                <w:rFonts w:ascii="Helvetica" w:hAnsi="Helvetica" w:cs="Helvetica"/>
                <w:szCs w:val="18"/>
                <w:lang w:eastAsia="en-AU"/>
              </w:rPr>
              <w:t xml:space="preserve"> </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smartTag w:uri="urn:schemas-microsoft-com:office:smarttags" w:element="country-region">
              <w:smartTag w:uri="urn:schemas-microsoft-com:office:smarttags" w:element="place">
                <w:r>
                  <w:rPr>
                    <w:rFonts w:ascii="Helvetica" w:hAnsi="Helvetica" w:cs="Helvetica"/>
                    <w:szCs w:val="18"/>
                  </w:rPr>
                  <w:t>Turkey</w:t>
                </w:r>
              </w:smartTag>
            </w:smartTag>
            <w:r>
              <w:rPr>
                <w:rFonts w:ascii="Helvetica" w:hAnsi="Helvetica" w:cs="Helvetica"/>
                <w:szCs w:val="18"/>
              </w:rPr>
              <w:t xml:space="preserve"> (Canik </w:t>
            </w:r>
            <w:r>
              <w:rPr>
                <w:rFonts w:ascii="Helvetica" w:hAnsi="Helvetica" w:cs="Helvetica"/>
                <w:i/>
                <w:szCs w:val="18"/>
              </w:rPr>
              <w:t>et al</w:t>
            </w:r>
            <w:r>
              <w:rPr>
                <w:rFonts w:ascii="Helvetica" w:hAnsi="Helvetica" w:cs="Helvetica"/>
                <w:szCs w:val="18"/>
              </w:rPr>
              <w:t>. 2011)</w:t>
            </w:r>
          </w:p>
        </w:tc>
      </w:tr>
      <w:tr>
        <w:tc>
          <w:tcPr>
            <w:tcW w:w="9312" w:type="dxa"/>
            <w:gridSpan w:val="2"/>
            <w:tcBorders>
              <w:top w:val="single" w:sz="4" w:space="0" w:color="008000"/>
              <w:left w:val="single" w:sz="12" w:space="0" w:color="008000"/>
              <w:bottom w:val="single" w:sz="4" w:space="0" w:color="008000"/>
              <w:right w:val="single" w:sz="12" w:space="0" w:color="008000"/>
            </w:tcBorders>
            <w:shd w:val="clear" w:color="auto" w:fill="E0E0E0"/>
          </w:tcPr>
          <w:p>
            <w:pPr>
              <w:pStyle w:val="TableText0"/>
              <w:spacing w:line="240" w:lineRule="atLeast"/>
              <w:jc w:val="left"/>
              <w:rPr>
                <w:rFonts w:ascii="Helvetica" w:hAnsi="Helvetica" w:cs="Helvetica"/>
                <w:b/>
                <w:bCs/>
                <w:szCs w:val="18"/>
              </w:rPr>
            </w:pPr>
            <w:r>
              <w:rPr>
                <w:rFonts w:ascii="Helvetica" w:hAnsi="Helvetica" w:cs="Helvetica"/>
                <w:b/>
                <w:bCs/>
                <w:szCs w:val="18"/>
              </w:rPr>
              <w:t>VIRUSES</w:t>
            </w:r>
          </w:p>
        </w:tc>
      </w:tr>
      <w:tr>
        <w:tc>
          <w:tcPr>
            <w:tcW w:w="1851" w:type="dxa"/>
            <w:tcBorders>
              <w:top w:val="single" w:sz="4" w:space="0" w:color="008000"/>
              <w:left w:val="single" w:sz="12" w:space="0" w:color="008000"/>
              <w:bottom w:val="single" w:sz="4" w:space="0" w:color="008000"/>
              <w:right w:val="single" w:sz="4" w:space="0" w:color="008000"/>
            </w:tcBorders>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tcBorders>
              <w:top w:val="single" w:sz="4" w:space="0" w:color="008000"/>
              <w:left w:val="single" w:sz="4" w:space="0" w:color="008000"/>
              <w:bottom w:val="single" w:sz="4" w:space="0" w:color="008000"/>
              <w:right w:val="single" w:sz="12" w:space="0" w:color="008000"/>
            </w:tcBorders>
            <w:shd w:val="clear" w:color="auto" w:fill="D9D9D9"/>
          </w:tcPr>
          <w:p>
            <w:pPr>
              <w:pStyle w:val="TableText0"/>
              <w:spacing w:line="240" w:lineRule="atLeast"/>
              <w:jc w:val="left"/>
              <w:rPr>
                <w:rFonts w:ascii="Helvetica" w:hAnsi="Helvetica" w:cs="Helvetica"/>
                <w:szCs w:val="18"/>
              </w:rPr>
            </w:pPr>
            <w:r>
              <w:rPr>
                <w:rFonts w:ascii="Helvetica" w:hAnsi="Helvetica" w:cs="Helvetica"/>
                <w:bCs/>
                <w:i/>
                <w:szCs w:val="18"/>
              </w:rPr>
              <w:t>Arabis mosaic virus</w:t>
            </w:r>
            <w:r>
              <w:rPr>
                <w:rFonts w:ascii="Helvetica" w:hAnsi="Helvetica" w:cs="Helvetica"/>
                <w:bCs/>
                <w:szCs w:val="18"/>
              </w:rPr>
              <w:t xml:space="preserve"> – grape strains </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None</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szCs w:val="18"/>
              </w:rPr>
            </w:pPr>
            <w:r>
              <w:rPr>
                <w:rFonts w:ascii="Helvetica" w:hAnsi="Helvetica" w:cs="Helvetica"/>
                <w:szCs w:val="18"/>
              </w:rPr>
              <w:t>Arabis mosaic</w:t>
            </w:r>
          </w:p>
        </w:tc>
      </w:tr>
      <w:tr>
        <w:tc>
          <w:tcPr>
            <w:tcW w:w="1851" w:type="dxa"/>
            <w:tcBorders>
              <w:top w:val="single" w:sz="4" w:space="0" w:color="008000"/>
              <w:left w:val="single" w:sz="12" w:space="0" w:color="008000"/>
              <w:bottom w:val="single" w:sz="4" w:space="0" w:color="008000"/>
              <w:right w:val="single" w:sz="4" w:space="0" w:color="008000"/>
            </w:tcBorders>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Borders>
              <w:top w:val="single" w:sz="4" w:space="0" w:color="008000"/>
              <w:left w:val="single" w:sz="4" w:space="0" w:color="008000"/>
              <w:bottom w:val="single" w:sz="4" w:space="0" w:color="008000"/>
              <w:right w:val="single" w:sz="12" w:space="0" w:color="008000"/>
            </w:tcBorders>
          </w:tcPr>
          <w:p>
            <w:pPr>
              <w:pStyle w:val="TableText0"/>
              <w:spacing w:before="40" w:after="40" w:line="240" w:lineRule="atLeast"/>
              <w:jc w:val="left"/>
              <w:rPr>
                <w:rFonts w:ascii="Helvetica" w:hAnsi="Helvetica" w:cs="Helvetica"/>
                <w:i/>
                <w:szCs w:val="18"/>
              </w:rPr>
            </w:pPr>
            <w:r>
              <w:rPr>
                <w:rStyle w:val="Emphasis"/>
                <w:rFonts w:ascii="Helvetica" w:hAnsi="Helvetica" w:cs="Helvetica"/>
                <w:i w:val="0"/>
                <w:szCs w:val="18"/>
              </w:rPr>
              <w:t xml:space="preserve">The strain of ArMV infecting grapevine affects a range of host plants and produces characteristic symptoms (Fortusini </w:t>
            </w:r>
            <w:r>
              <w:rPr>
                <w:rStyle w:val="Emphasis"/>
                <w:rFonts w:ascii="Helvetica" w:hAnsi="Helvetica" w:cs="Helvetica"/>
                <w:szCs w:val="18"/>
              </w:rPr>
              <w:t>et al</w:t>
            </w:r>
            <w:r>
              <w:rPr>
                <w:rStyle w:val="Emphasis"/>
                <w:rFonts w:ascii="Helvetica" w:hAnsi="Helvetica" w:cs="Helvetica"/>
                <w:i w:val="0"/>
                <w:szCs w:val="18"/>
              </w:rPr>
              <w:t xml:space="preserve">. 1983; Belli </w:t>
            </w:r>
            <w:r>
              <w:rPr>
                <w:rStyle w:val="Emphasis"/>
                <w:rFonts w:ascii="Helvetica" w:hAnsi="Helvetica" w:cs="Helvetica"/>
                <w:szCs w:val="18"/>
              </w:rPr>
              <w:t>et al</w:t>
            </w:r>
            <w:r>
              <w:rPr>
                <w:rStyle w:val="Emphasis"/>
                <w:rFonts w:ascii="Helvetica" w:hAnsi="Helvetica" w:cs="Helvetica"/>
                <w:i w:val="0"/>
                <w:szCs w:val="18"/>
              </w:rPr>
              <w:t>. 1982)</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i/>
                <w:szCs w:val="18"/>
              </w:rPr>
            </w:pPr>
            <w:r>
              <w:rPr>
                <w:rStyle w:val="Emphasis"/>
                <w:rFonts w:ascii="Helvetica" w:hAnsi="Helvetica" w:cs="Helvetica"/>
                <w:i w:val="0"/>
                <w:szCs w:val="18"/>
              </w:rPr>
              <w:t xml:space="preserve">Balkans, Bulgaria, Canada, Croatia, Central Europe, France, Germany, Hungary, Israel, Italy, Japan, New Zealand, Romania, Switzerland, Ukraine Yugoslavia (Cadman </w:t>
            </w:r>
            <w:r>
              <w:rPr>
                <w:rStyle w:val="Emphasis"/>
                <w:rFonts w:ascii="Helvetica" w:hAnsi="Helvetica" w:cs="Helvetica"/>
                <w:szCs w:val="18"/>
              </w:rPr>
              <w:t>et al</w:t>
            </w:r>
            <w:r>
              <w:rPr>
                <w:rStyle w:val="Emphasis"/>
                <w:rFonts w:ascii="Helvetica" w:hAnsi="Helvetica" w:cs="Helvetica"/>
                <w:i w:val="0"/>
                <w:szCs w:val="18"/>
              </w:rPr>
              <w:t xml:space="preserve">. 1960; Kearns and Mossop 1984; MacKenzie </w:t>
            </w:r>
            <w:r>
              <w:rPr>
                <w:rStyle w:val="Emphasis"/>
                <w:rFonts w:ascii="Helvetica" w:hAnsi="Helvetica" w:cs="Helvetica"/>
                <w:szCs w:val="18"/>
              </w:rPr>
              <w:t>et al</w:t>
            </w:r>
            <w:r>
              <w:rPr>
                <w:rStyle w:val="Emphasis"/>
                <w:rFonts w:ascii="Helvetica" w:hAnsi="Helvetica" w:cs="Helvetica"/>
                <w:i w:val="0"/>
                <w:szCs w:val="18"/>
              </w:rPr>
              <w:t xml:space="preserve">. 1996; Delibašić  </w:t>
            </w:r>
            <w:r>
              <w:rPr>
                <w:rStyle w:val="Emphasis"/>
                <w:rFonts w:ascii="Helvetica" w:hAnsi="Helvetica" w:cs="Helvetica"/>
                <w:szCs w:val="18"/>
              </w:rPr>
              <w:t>et al</w:t>
            </w:r>
            <w:r>
              <w:rPr>
                <w:rStyle w:val="Emphasis"/>
                <w:rFonts w:ascii="Helvetica" w:hAnsi="Helvetica" w:cs="Helvetica"/>
                <w:i w:val="0"/>
                <w:szCs w:val="18"/>
              </w:rPr>
              <w:t xml:space="preserve">. 2000), Iran (Pourrahim </w:t>
            </w:r>
            <w:r>
              <w:rPr>
                <w:rStyle w:val="Emphasis"/>
                <w:rFonts w:ascii="Helvetica" w:hAnsi="Helvetica" w:cs="Helvetica"/>
                <w:szCs w:val="18"/>
              </w:rPr>
              <w:t>et al.</w:t>
            </w:r>
            <w:r>
              <w:rPr>
                <w:rStyle w:val="Emphasis"/>
                <w:rFonts w:ascii="Helvetica" w:hAnsi="Helvetica" w:cs="Helvetica"/>
                <w:i w:val="0"/>
                <w:szCs w:val="18"/>
              </w:rPr>
              <w:t xml:space="preserve"> 2004) and Spain (Abelleira </w:t>
            </w:r>
            <w:r>
              <w:rPr>
                <w:rStyle w:val="Emphasis"/>
                <w:rFonts w:ascii="Helvetica" w:hAnsi="Helvetica" w:cs="Helvetica"/>
                <w:szCs w:val="18"/>
              </w:rPr>
              <w:t>et al</w:t>
            </w:r>
            <w:r>
              <w:rPr>
                <w:rStyle w:val="Emphasis"/>
                <w:rFonts w:ascii="Helvetica" w:hAnsi="Helvetica" w:cs="Helvetica"/>
                <w:i w:val="0"/>
                <w:szCs w:val="18"/>
              </w:rPr>
              <w:t>. 2010)</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bCs/>
                <w:i/>
                <w:szCs w:val="18"/>
              </w:rPr>
              <w:t>Artichoke Italian latent virus</w:t>
            </w:r>
            <w:r>
              <w:rPr>
                <w:rFonts w:ascii="Helvetica" w:hAnsi="Helvetica" w:cs="Helvetica"/>
                <w:bCs/>
                <w:szCs w:val="18"/>
              </w:rPr>
              <w:t xml:space="preserve"> (AILV)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Artichoke patchy chlorotic stunting disease, Yellowing disease of artichoke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Cynara scolymus</w:t>
            </w:r>
            <w:r>
              <w:rPr>
                <w:rFonts w:ascii="Helvetica" w:hAnsi="Helvetica" w:cs="Helvetica"/>
                <w:szCs w:val="18"/>
              </w:rPr>
              <w:t xml:space="preserve">, </w:t>
            </w:r>
            <w:r>
              <w:rPr>
                <w:rFonts w:ascii="Helvetica" w:hAnsi="Helvetica" w:cs="Helvetica"/>
                <w:i/>
                <w:szCs w:val="18"/>
              </w:rPr>
              <w:t>Cichorium intybus</w:t>
            </w:r>
            <w:r>
              <w:rPr>
                <w:rFonts w:ascii="Helvetica" w:hAnsi="Helvetica" w:cs="Helvetica"/>
                <w:szCs w:val="18"/>
              </w:rPr>
              <w:t xml:space="preserve">, </w:t>
            </w:r>
            <w:r>
              <w:rPr>
                <w:rFonts w:ascii="Helvetica" w:hAnsi="Helvetica" w:cs="Helvetica"/>
                <w:i/>
                <w:szCs w:val="18"/>
              </w:rPr>
              <w:t>Crepis neglecta</w:t>
            </w:r>
            <w:r>
              <w:rPr>
                <w:rFonts w:ascii="Helvetica" w:hAnsi="Helvetica" w:cs="Helvetica"/>
                <w:szCs w:val="18"/>
              </w:rPr>
              <w:t xml:space="preserve">, </w:t>
            </w:r>
            <w:r>
              <w:rPr>
                <w:rFonts w:ascii="Helvetica" w:hAnsi="Helvetica" w:cs="Helvetica"/>
                <w:i/>
                <w:szCs w:val="18"/>
              </w:rPr>
              <w:t>Gladiolus</w:t>
            </w:r>
            <w:r>
              <w:rPr>
                <w:rFonts w:ascii="Helvetica" w:hAnsi="Helvetica" w:cs="Helvetica"/>
                <w:szCs w:val="18"/>
              </w:rPr>
              <w:t xml:space="preserve"> spp., </w:t>
            </w:r>
            <w:r>
              <w:rPr>
                <w:rFonts w:ascii="Helvetica" w:hAnsi="Helvetica" w:cs="Helvetica"/>
                <w:i/>
                <w:szCs w:val="18"/>
              </w:rPr>
              <w:t>Helminthia echioides</w:t>
            </w:r>
            <w:r>
              <w:rPr>
                <w:rFonts w:ascii="Helvetica" w:hAnsi="Helvetica" w:cs="Helvetica"/>
                <w:szCs w:val="18"/>
              </w:rPr>
              <w:t xml:space="preserve">, </w:t>
            </w:r>
            <w:r>
              <w:rPr>
                <w:rFonts w:ascii="Helvetica" w:hAnsi="Helvetica" w:cs="Helvetica"/>
                <w:i/>
                <w:szCs w:val="18"/>
              </w:rPr>
              <w:t>Hypochoeris aetensis</w:t>
            </w:r>
            <w:r>
              <w:rPr>
                <w:rFonts w:ascii="Helvetica" w:hAnsi="Helvetica" w:cs="Helvetica"/>
                <w:szCs w:val="18"/>
              </w:rPr>
              <w:t xml:space="preserve">, </w:t>
            </w:r>
            <w:r>
              <w:rPr>
                <w:rFonts w:ascii="Helvetica" w:hAnsi="Helvetica" w:cs="Helvetica"/>
                <w:i/>
                <w:szCs w:val="18"/>
              </w:rPr>
              <w:t>Lactuca virosa</w:t>
            </w:r>
            <w:r>
              <w:rPr>
                <w:rFonts w:ascii="Helvetica" w:hAnsi="Helvetica" w:cs="Helvetica"/>
                <w:szCs w:val="18"/>
              </w:rPr>
              <w:t xml:space="preserve">, </w:t>
            </w:r>
            <w:r>
              <w:rPr>
                <w:rFonts w:ascii="Helvetica" w:hAnsi="Helvetica" w:cs="Helvetica"/>
                <w:i/>
                <w:szCs w:val="18"/>
              </w:rPr>
              <w:t>Urospermum dalechampii</w:t>
            </w:r>
            <w:r>
              <w:rPr>
                <w:rFonts w:ascii="Helvetica" w:hAnsi="Helvetica" w:cs="Helvetica"/>
                <w:szCs w:val="18"/>
              </w:rPr>
              <w:t xml:space="preserve">, </w:t>
            </w:r>
            <w:r>
              <w:rPr>
                <w:rFonts w:ascii="Helvetica" w:hAnsi="Helvetica" w:cs="Helvetica"/>
                <w:i/>
                <w:szCs w:val="18"/>
              </w:rPr>
              <w:t>Lamium amplexicaule</w:t>
            </w:r>
            <w:r>
              <w:rPr>
                <w:rFonts w:ascii="Helvetica" w:hAnsi="Helvetica" w:cs="Helvetica"/>
                <w:szCs w:val="18"/>
              </w:rPr>
              <w:t xml:space="preserve">, </w:t>
            </w:r>
            <w:r>
              <w:rPr>
                <w:rFonts w:ascii="Helvetica" w:hAnsi="Helvetica" w:cs="Helvetica"/>
                <w:i/>
                <w:szCs w:val="18"/>
              </w:rPr>
              <w:t>Pelargonium zonale</w:t>
            </w:r>
            <w:r>
              <w:rPr>
                <w:rFonts w:ascii="Helvetica" w:hAnsi="Helvetica" w:cs="Helvetica"/>
                <w:szCs w:val="18"/>
              </w:rPr>
              <w:t xml:space="preserve">, </w:t>
            </w:r>
            <w:r>
              <w:rPr>
                <w:rFonts w:ascii="Helvetica" w:hAnsi="Helvetica" w:cs="Helvetica"/>
                <w:i/>
                <w:szCs w:val="18"/>
              </w:rPr>
              <w:t xml:space="preserve">Sonchus </w:t>
            </w:r>
            <w:r>
              <w:rPr>
                <w:rFonts w:ascii="Helvetica" w:hAnsi="Helvetica" w:cs="Helvetica"/>
                <w:szCs w:val="18"/>
              </w:rPr>
              <w:t xml:space="preserve">spp., </w:t>
            </w:r>
            <w:r>
              <w:rPr>
                <w:rFonts w:ascii="Helvetica" w:hAnsi="Helvetica" w:cs="Helvetica"/>
                <w:i/>
                <w:szCs w:val="18"/>
              </w:rPr>
              <w:t>Vitis vinifera</w:t>
            </w:r>
            <w:r>
              <w:rPr>
                <w:rFonts w:ascii="Helvetica" w:hAnsi="Helvetica" w:cs="Helvetica"/>
                <w:szCs w:val="18"/>
              </w:rPr>
              <w:t xml:space="preserve"> (Brunt </w:t>
            </w:r>
            <w:r>
              <w:rPr>
                <w:rFonts w:ascii="Helvetica" w:hAnsi="Helvetica" w:cs="Helvetica"/>
                <w:i/>
                <w:szCs w:val="18"/>
              </w:rPr>
              <w:t>et al</w:t>
            </w:r>
            <w:r>
              <w:rPr>
                <w:rFonts w:ascii="Helvetica" w:hAnsi="Helvetica" w:cs="Helvetica"/>
                <w:szCs w:val="18"/>
              </w:rPr>
              <w:t>. 1996)</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r>
                <w:rPr>
                  <w:rFonts w:ascii="Helvetica" w:hAnsi="Helvetica" w:cs="Helvetica"/>
                  <w:szCs w:val="18"/>
                </w:rPr>
                <w:t>Bulgaria</w:t>
              </w:r>
            </w:smartTag>
            <w:r>
              <w:rPr>
                <w:rFonts w:ascii="Helvetica" w:hAnsi="Helvetica" w:cs="Helvetica"/>
                <w:szCs w:val="18"/>
              </w:rPr>
              <w:t xml:space="preserve"> (Savino </w:t>
            </w:r>
            <w:r>
              <w:rPr>
                <w:rFonts w:ascii="Helvetica" w:hAnsi="Helvetica" w:cs="Helvetica"/>
                <w:i/>
                <w:szCs w:val="18"/>
              </w:rPr>
              <w:t>et al</w:t>
            </w:r>
            <w:r>
              <w:rPr>
                <w:rFonts w:ascii="Helvetica" w:hAnsi="Helvetica" w:cs="Helvetica"/>
                <w:szCs w:val="18"/>
              </w:rPr>
              <w:t xml:space="preserve">. 1977), </w:t>
            </w:r>
            <w:smartTag w:uri="urn:schemas-microsoft-com:office:smarttags" w:element="country-region">
              <w:r>
                <w:rPr>
                  <w:rFonts w:ascii="Helvetica" w:hAnsi="Helvetica" w:cs="Helvetica"/>
                  <w:szCs w:val="18"/>
                </w:rPr>
                <w:t>Greece</w:t>
              </w:r>
            </w:smartTag>
            <w:r>
              <w:rPr>
                <w:rFonts w:ascii="Helvetica" w:hAnsi="Helvetica" w:cs="Helvetica"/>
                <w:szCs w:val="18"/>
              </w:rPr>
              <w:t xml:space="preserve"> (Kyriakopoulou 2008),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(Roca </w:t>
            </w:r>
            <w:r>
              <w:rPr>
                <w:rFonts w:ascii="Helvetica" w:hAnsi="Helvetica" w:cs="Helvetica"/>
                <w:i/>
                <w:szCs w:val="18"/>
              </w:rPr>
              <w:t>et al</w:t>
            </w:r>
            <w:r>
              <w:rPr>
                <w:rFonts w:ascii="Helvetica" w:hAnsi="Helvetica" w:cs="Helvetica"/>
                <w:szCs w:val="18"/>
              </w:rPr>
              <w:t xml:space="preserve">. 1975) and </w:t>
            </w:r>
            <w:smartTag w:uri="urn:schemas-microsoft-com:office:smarttags" w:element="country-region">
              <w:smartTag w:uri="urn:schemas-microsoft-com:office:smarttags" w:element="place">
                <w:r>
                  <w:rPr>
                    <w:rFonts w:ascii="Helvetica" w:hAnsi="Helvetica" w:cs="Helvetica"/>
                    <w:szCs w:val="18"/>
                  </w:rPr>
                  <w:t>Russia</w:t>
                </w:r>
              </w:smartTag>
            </w:smartTag>
            <w:r>
              <w:rPr>
                <w:rFonts w:ascii="Helvetica" w:hAnsi="Helvetica" w:cs="Helvetica"/>
                <w:szCs w:val="18"/>
              </w:rPr>
              <w:t xml:space="preserve"> (Gallitelli </w:t>
            </w:r>
            <w:r>
              <w:rPr>
                <w:rFonts w:ascii="Helvetica" w:hAnsi="Helvetica" w:cs="Helvetica"/>
                <w:i/>
                <w:szCs w:val="18"/>
              </w:rPr>
              <w:t>et al</w:t>
            </w:r>
            <w:r>
              <w:rPr>
                <w:rFonts w:ascii="Helvetica" w:hAnsi="Helvetica" w:cs="Helvetica"/>
                <w:szCs w:val="18"/>
              </w:rPr>
              <w:t xml:space="preserve">. 2004). </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bCs/>
                <w:i/>
                <w:szCs w:val="18"/>
              </w:rPr>
              <w:t>Blueberry leaf mottle virus</w:t>
            </w:r>
            <w:r>
              <w:rPr>
                <w:rFonts w:ascii="Helvetica" w:hAnsi="Helvetica" w:cs="Helvetica"/>
                <w:bCs/>
                <w:szCs w:val="18"/>
              </w:rPr>
              <w:t xml:space="preserve"> (BLMoV) </w:t>
            </w:r>
            <w:smartTag w:uri="urn:schemas-microsoft-com:office:smarttags" w:element="State">
              <w:smartTag w:uri="urn:schemas-microsoft-com:office:smarttags" w:element="place">
                <w:r>
                  <w:rPr>
                    <w:rFonts w:ascii="Helvetica" w:hAnsi="Helvetica" w:cs="Helvetica"/>
                    <w:bCs/>
                    <w:szCs w:val="18"/>
                  </w:rPr>
                  <w:t>New York</w:t>
                </w:r>
              </w:smartTag>
            </w:smartTag>
            <w:r>
              <w:rPr>
                <w:rFonts w:ascii="Helvetica" w:hAnsi="Helvetica" w:cs="Helvetica"/>
                <w:bCs/>
                <w:szCs w:val="18"/>
              </w:rPr>
              <w:t xml:space="preserve"> (NY) strain</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Fanleaf degeneration/decline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Grapevines (Uyemoto </w:t>
            </w:r>
            <w:r>
              <w:rPr>
                <w:rFonts w:ascii="Helvetica" w:hAnsi="Helvetica" w:cs="Helvetica"/>
                <w:i/>
                <w:szCs w:val="18"/>
              </w:rPr>
              <w:t>et al</w:t>
            </w:r>
            <w:r>
              <w:rPr>
                <w:rFonts w:ascii="Helvetica" w:hAnsi="Helvetica" w:cs="Helvetica"/>
                <w:szCs w:val="18"/>
              </w:rPr>
              <w:t>. 1977)</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smartTag w:uri="urn:schemas-microsoft-com:office:smarttags" w:element="place">
                <w:r>
                  <w:rPr>
                    <w:rFonts w:ascii="Helvetica" w:hAnsi="Helvetica" w:cs="Helvetica"/>
                    <w:bCs/>
                    <w:szCs w:val="18"/>
                  </w:rPr>
                  <w:t>USA</w:t>
                </w:r>
              </w:smartTag>
            </w:smartTag>
            <w:r>
              <w:rPr>
                <w:rFonts w:ascii="Helvetica" w:hAnsi="Helvetica" w:cs="Helvetica"/>
                <w:bCs/>
                <w:szCs w:val="18"/>
              </w:rPr>
              <w:t xml:space="preserve"> (Uyemoto </w:t>
            </w:r>
            <w:r>
              <w:rPr>
                <w:rFonts w:ascii="Helvetica" w:hAnsi="Helvetica" w:cs="Helvetica"/>
                <w:bCs/>
                <w:i/>
                <w:szCs w:val="18"/>
              </w:rPr>
              <w:t>et al</w:t>
            </w:r>
            <w:r>
              <w:rPr>
                <w:rFonts w:ascii="Helvetica" w:hAnsi="Helvetica" w:cs="Helvetica"/>
                <w:bCs/>
                <w:szCs w:val="18"/>
              </w:rPr>
              <w:t>. 1977)</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bCs/>
                <w:i/>
                <w:szCs w:val="18"/>
              </w:rPr>
              <w:t>Cherry leafroll virus</w:t>
            </w:r>
            <w:r>
              <w:rPr>
                <w:rFonts w:ascii="Helvetica" w:hAnsi="Helvetica" w:cs="Helvetica"/>
                <w:bCs/>
                <w:szCs w:val="18"/>
              </w:rPr>
              <w:t xml:space="preserve"> – grapevine isolate (CLRV)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bCs/>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
                <w:szCs w:val="18"/>
              </w:rPr>
              <w:t xml:space="preserve">Vitis vinifera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r>
                <w:rPr>
                  <w:rFonts w:ascii="Helvetica" w:hAnsi="Helvetica" w:cs="Helvetica"/>
                  <w:szCs w:val="18"/>
                </w:rPr>
                <w:t>Chile</w:t>
              </w:r>
            </w:smartTag>
            <w:r>
              <w:rPr>
                <w:rFonts w:ascii="Helvetica" w:hAnsi="Helvetica" w:cs="Helvetica"/>
                <w:szCs w:val="18"/>
              </w:rPr>
              <w:t xml:space="preserve"> (Herrera and Madariaga 2001) and </w:t>
            </w:r>
            <w:smartTag w:uri="urn:schemas-microsoft-com:office:smarttags" w:element="country-region">
              <w:smartTag w:uri="urn:schemas-microsoft-com:office:smarttags" w:element="place">
                <w:r>
                  <w:rPr>
                    <w:rFonts w:ascii="Helvetica" w:hAnsi="Helvetica" w:cs="Helvetica"/>
                    <w:szCs w:val="18"/>
                  </w:rPr>
                  <w:t>Germany</w:t>
                </w:r>
              </w:smartTag>
            </w:smartTag>
            <w:r>
              <w:rPr>
                <w:rFonts w:ascii="Helvetica" w:hAnsi="Helvetica" w:cs="Helvetica"/>
                <w:szCs w:val="18"/>
              </w:rPr>
              <w:t xml:space="preserve"> (Ipach </w:t>
            </w:r>
            <w:r>
              <w:rPr>
                <w:rFonts w:ascii="Helvetica" w:hAnsi="Helvetica" w:cs="Helvetica"/>
                <w:i/>
                <w:szCs w:val="18"/>
              </w:rPr>
              <w:t>et al</w:t>
            </w:r>
            <w:r>
              <w:rPr>
                <w:rFonts w:ascii="Helvetica" w:hAnsi="Helvetica" w:cs="Helvetica"/>
                <w:szCs w:val="18"/>
              </w:rPr>
              <w:t xml:space="preserve">. 2003). </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bCs/>
                <w:i/>
                <w:szCs w:val="18"/>
              </w:rPr>
              <w:t>Grapevine ajinashika virus</w:t>
            </w:r>
            <w:r>
              <w:rPr>
                <w:rFonts w:ascii="Helvetica" w:hAnsi="Helvetica" w:cs="Helvetica"/>
                <w:bCs/>
                <w:szCs w:val="18"/>
              </w:rPr>
              <w:t xml:space="preserve"> (GAgV)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Grapevine ajinashika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lang w:val="de-DE"/>
              </w:rPr>
            </w:pPr>
            <w:r>
              <w:rPr>
                <w:rFonts w:ascii="Helvetica" w:hAnsi="Helvetica" w:cs="Helvetica"/>
                <w:i/>
                <w:szCs w:val="18"/>
              </w:rPr>
              <w:t xml:space="preserve">Vitis vinifera </w:t>
            </w:r>
            <w:r>
              <w:rPr>
                <w:rFonts w:ascii="Helvetica" w:hAnsi="Helvetica" w:cs="Helvetica"/>
                <w:szCs w:val="18"/>
              </w:rPr>
              <w:t xml:space="preserve">cv. Koshu (Namba </w:t>
            </w:r>
            <w:r>
              <w:rPr>
                <w:rFonts w:ascii="Helvetica" w:hAnsi="Helvetica" w:cs="Helvetica"/>
                <w:i/>
                <w:szCs w:val="18"/>
              </w:rPr>
              <w:t>et al</w:t>
            </w:r>
            <w:r>
              <w:rPr>
                <w:rFonts w:ascii="Helvetica" w:hAnsi="Helvetica" w:cs="Helvetica"/>
                <w:szCs w:val="18"/>
              </w:rPr>
              <w:t>. 1991b)</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Japan (Namba </w:t>
            </w:r>
            <w:r>
              <w:rPr>
                <w:rFonts w:ascii="Helvetica" w:hAnsi="Helvetica" w:cs="Helvetica"/>
                <w:i/>
                <w:szCs w:val="18"/>
              </w:rPr>
              <w:t>et al</w:t>
            </w:r>
            <w:r>
              <w:rPr>
                <w:rFonts w:ascii="Helvetica" w:hAnsi="Helvetica" w:cs="Helvetica"/>
                <w:szCs w:val="18"/>
              </w:rPr>
              <w:t>.1991b).</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bCs/>
                <w:i/>
                <w:szCs w:val="18"/>
              </w:rPr>
              <w:t>Grapevine angular mosaic-associated virus</w:t>
            </w:r>
            <w:r>
              <w:rPr>
                <w:rFonts w:ascii="Helvetica" w:hAnsi="Helvetica" w:cs="Helvetica"/>
                <w:bCs/>
                <w:szCs w:val="18"/>
              </w:rPr>
              <w:t xml:space="preserve"> (GAMaV)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Grapevine angular mosaic</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(Girgis </w:t>
            </w:r>
            <w:r>
              <w:rPr>
                <w:rFonts w:ascii="Helvetica" w:hAnsi="Helvetica" w:cs="Helvetica"/>
                <w:i/>
                <w:szCs w:val="18"/>
              </w:rPr>
              <w:t>et al</w:t>
            </w:r>
            <w:r>
              <w:rPr>
                <w:rFonts w:ascii="Helvetica" w:hAnsi="Helvetica" w:cs="Helvetica"/>
                <w:szCs w:val="18"/>
              </w:rPr>
              <w:t>. 2009).</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smartTag w:uri="urn:schemas-microsoft-com:office:smarttags" w:element="place">
                <w:r>
                  <w:rPr>
                    <w:rFonts w:ascii="Helvetica" w:hAnsi="Helvetica" w:cs="Helvetica"/>
                    <w:szCs w:val="18"/>
                  </w:rPr>
                  <w:t>Greece</w:t>
                </w:r>
              </w:smartTag>
            </w:smartTag>
            <w:r>
              <w:rPr>
                <w:rFonts w:ascii="Helvetica" w:hAnsi="Helvetica" w:cs="Helvetica"/>
                <w:szCs w:val="18"/>
              </w:rPr>
              <w:t xml:space="preserve"> (Girgis </w:t>
            </w:r>
            <w:r>
              <w:rPr>
                <w:rFonts w:ascii="Helvetica" w:hAnsi="Helvetica" w:cs="Helvetica"/>
                <w:i/>
                <w:szCs w:val="18"/>
              </w:rPr>
              <w:t>et al</w:t>
            </w:r>
            <w:r>
              <w:rPr>
                <w:rFonts w:ascii="Helvetica" w:hAnsi="Helvetica" w:cs="Helvetica"/>
                <w:szCs w:val="18"/>
              </w:rPr>
              <w:t>. 2009).</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bCs/>
                <w:i/>
                <w:szCs w:val="18"/>
              </w:rPr>
              <w:t>Grapevine Anatolian ringspot virus</w:t>
            </w:r>
            <w:r>
              <w:rPr>
                <w:rFonts w:ascii="Helvetica" w:hAnsi="Helvetica" w:cs="Helvetica"/>
                <w:bCs/>
                <w:szCs w:val="18"/>
              </w:rPr>
              <w:t xml:space="preserve"> (GARSV)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Fanleaf degeneration/decline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cultivar Kizlar Tahasi (</w:t>
            </w:r>
            <w:r>
              <w:rPr>
                <w:rFonts w:ascii="Helvetica" w:hAnsi="Helvetica" w:cs="Helvetica"/>
                <w:bCs/>
                <w:szCs w:val="18"/>
              </w:rPr>
              <w:t xml:space="preserve">Goklap </w:t>
            </w:r>
            <w:r>
              <w:rPr>
                <w:rFonts w:ascii="Helvetica" w:hAnsi="Helvetica" w:cs="Helvetica"/>
                <w:bCs/>
                <w:i/>
                <w:szCs w:val="18"/>
              </w:rPr>
              <w:t>et al</w:t>
            </w:r>
            <w:r>
              <w:rPr>
                <w:rFonts w:ascii="Helvetica" w:hAnsi="Helvetica" w:cs="Helvetica"/>
                <w:bCs/>
                <w:szCs w:val="18"/>
              </w:rPr>
              <w:t>. 2003).</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smartTag w:uri="urn:schemas-microsoft-com:office:smarttags" w:element="place">
                <w:r>
                  <w:rPr>
                    <w:rFonts w:ascii="Helvetica" w:hAnsi="Helvetica" w:cs="Helvetica"/>
                    <w:szCs w:val="18"/>
                  </w:rPr>
                  <w:t>Turkey</w:t>
                </w:r>
              </w:smartTag>
            </w:smartTag>
            <w:r>
              <w:rPr>
                <w:rFonts w:ascii="Helvetica" w:hAnsi="Helvetica" w:cs="Helvetica"/>
                <w:szCs w:val="18"/>
              </w:rPr>
              <w:t xml:space="preserve"> </w:t>
            </w:r>
            <w:r>
              <w:rPr>
                <w:rFonts w:ascii="Helvetica" w:hAnsi="Helvetica" w:cs="Helvetica"/>
                <w:iCs/>
                <w:szCs w:val="18"/>
              </w:rPr>
              <w:t>(</w:t>
            </w:r>
            <w:r>
              <w:rPr>
                <w:rFonts w:ascii="Helvetica" w:hAnsi="Helvetica" w:cs="Helvetica"/>
                <w:szCs w:val="18"/>
              </w:rPr>
              <w:t xml:space="preserve">Cigsar </w:t>
            </w:r>
            <w:r>
              <w:rPr>
                <w:rFonts w:ascii="Helvetica" w:hAnsi="Helvetica" w:cs="Helvetica"/>
                <w:i/>
                <w:szCs w:val="18"/>
              </w:rPr>
              <w:t>et al</w:t>
            </w:r>
            <w:r>
              <w:rPr>
                <w:rFonts w:ascii="Helvetica" w:hAnsi="Helvetica" w:cs="Helvetica"/>
                <w:szCs w:val="18"/>
              </w:rPr>
              <w:t xml:space="preserve">. 2002; Gokalp </w:t>
            </w:r>
            <w:r>
              <w:rPr>
                <w:rFonts w:ascii="Helvetica" w:hAnsi="Helvetica" w:cs="Helvetica"/>
                <w:i/>
                <w:szCs w:val="18"/>
              </w:rPr>
              <w:t>et al</w:t>
            </w:r>
            <w:r>
              <w:rPr>
                <w:rFonts w:ascii="Helvetica" w:hAnsi="Helvetica" w:cs="Helvetica"/>
                <w:szCs w:val="18"/>
              </w:rPr>
              <w:t xml:space="preserve">. 2003; </w:t>
            </w:r>
            <w:r>
              <w:rPr>
                <w:rFonts w:ascii="Helvetica" w:hAnsi="Helvetica" w:cs="Helvetica"/>
                <w:iCs/>
                <w:szCs w:val="18"/>
              </w:rPr>
              <w:t xml:space="preserve">Laimer </w:t>
            </w:r>
            <w:r>
              <w:rPr>
                <w:rFonts w:ascii="Helvetica" w:hAnsi="Helvetica" w:cs="Helvetica"/>
                <w:i/>
                <w:iCs/>
                <w:szCs w:val="18"/>
              </w:rPr>
              <w:t>et al</w:t>
            </w:r>
            <w:r>
              <w:rPr>
                <w:rFonts w:ascii="Helvetica" w:hAnsi="Helvetica" w:cs="Helvetica"/>
                <w:iCs/>
                <w:szCs w:val="18"/>
              </w:rPr>
              <w:t xml:space="preserve">. 2009). </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bCs/>
                <w:i/>
                <w:szCs w:val="18"/>
              </w:rPr>
              <w:t xml:space="preserve">Grapevine asteroid mosaic associated virus </w:t>
            </w:r>
            <w:r>
              <w:rPr>
                <w:rFonts w:ascii="Helvetica" w:hAnsi="Helvetica" w:cs="Helvetica"/>
                <w:bCs/>
                <w:szCs w:val="18"/>
              </w:rPr>
              <w:t>(GAMV)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(Martelli and Boudon-Padi</w:t>
            </w:r>
            <w:smartTag w:uri="urn:schemas-microsoft-com:office:smarttags" w:element="PersonName">
              <w:r>
                <w:rPr>
                  <w:rFonts w:ascii="Helvetica" w:hAnsi="Helvetica" w:cs="Helvetica"/>
                  <w:szCs w:val="18"/>
                </w:rPr>
                <w:t>eu</w:t>
              </w:r>
            </w:smartTag>
            <w:r>
              <w:rPr>
                <w:rFonts w:ascii="Helvetica" w:hAnsi="Helvetica" w:cs="Helvetica"/>
                <w:szCs w:val="18"/>
              </w:rPr>
              <w:t xml:space="preserve"> 2006).</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State">
              <w:r>
                <w:rPr>
                  <w:rFonts w:ascii="Helvetica" w:hAnsi="Helvetica" w:cs="Helvetica"/>
                  <w:szCs w:val="18"/>
                </w:rPr>
                <w:t>California</w:t>
              </w:r>
            </w:smartTag>
            <w:r>
              <w:rPr>
                <w:rFonts w:ascii="Helvetica" w:hAnsi="Helvetica" w:cs="Helvetica"/>
                <w:szCs w:val="18"/>
              </w:rPr>
              <w:t xml:space="preserve">, </w:t>
            </w:r>
            <w:smartTag w:uri="urn:schemas-microsoft-com:office:smarttags" w:element="country-region">
              <w:smartTag w:uri="urn:schemas-microsoft-com:office:smarttags" w:element="place">
                <w:r>
                  <w:rPr>
                    <w:rFonts w:ascii="Helvetica" w:hAnsi="Helvetica" w:cs="Helvetica"/>
                    <w:szCs w:val="18"/>
                  </w:rPr>
                  <w:t>USA</w:t>
                </w:r>
              </w:smartTag>
            </w:smartTag>
            <w:r>
              <w:rPr>
                <w:rFonts w:ascii="Helvetica" w:hAnsi="Helvetica" w:cs="Helvetica"/>
                <w:szCs w:val="18"/>
              </w:rPr>
              <w:t xml:space="preserve"> (Martelli and Boudon-Padi</w:t>
            </w:r>
            <w:smartTag w:uri="urn:schemas-microsoft-com:office:smarttags" w:element="PersonName">
              <w:r>
                <w:rPr>
                  <w:rFonts w:ascii="Helvetica" w:hAnsi="Helvetica" w:cs="Helvetica"/>
                  <w:szCs w:val="18"/>
                </w:rPr>
                <w:t>eu</w:t>
              </w:r>
            </w:smartTag>
            <w:r>
              <w:rPr>
                <w:rFonts w:ascii="Helvetica" w:hAnsi="Helvetica" w:cs="Helvetica"/>
                <w:szCs w:val="18"/>
              </w:rPr>
              <w:t xml:space="preserve"> 2006). Records from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and </w:t>
            </w:r>
            <w:smartTag w:uri="urn:schemas-microsoft-com:office:smarttags" w:element="country-region">
              <w:r>
                <w:rPr>
                  <w:rFonts w:ascii="Helvetica" w:hAnsi="Helvetica" w:cs="Helvetica"/>
                  <w:szCs w:val="18"/>
                </w:rPr>
                <w:t>South Africa</w:t>
              </w:r>
            </w:smartTag>
            <w:r>
              <w:rPr>
                <w:rFonts w:ascii="Helvetica" w:hAnsi="Helvetica" w:cs="Helvetica"/>
                <w:szCs w:val="18"/>
              </w:rPr>
              <w:t xml:space="preserve"> have not been confirmed experimentally and a record from </w:t>
            </w:r>
            <w:smartTag w:uri="urn:schemas-microsoft-com:office:smarttags" w:element="country-region">
              <w:smartTag w:uri="urn:schemas-microsoft-com:office:smarttags" w:element="place">
                <w:r>
                  <w:rPr>
                    <w:rFonts w:ascii="Helvetica" w:hAnsi="Helvetica" w:cs="Helvetica"/>
                    <w:szCs w:val="18"/>
                  </w:rPr>
                  <w:t>Greece</w:t>
                </w:r>
              </w:smartTag>
            </w:smartTag>
            <w:r>
              <w:rPr>
                <w:rFonts w:ascii="Helvetica" w:hAnsi="Helvetica" w:cs="Helvetica"/>
                <w:szCs w:val="18"/>
              </w:rPr>
              <w:t xml:space="preserve"> was proven to refer to Grapevine rupestris vein feathering (Martelli and Boudon-Padi</w:t>
            </w:r>
            <w:smartTag w:uri="urn:schemas-microsoft-com:office:smarttags" w:element="PersonName">
              <w:r>
                <w:rPr>
                  <w:rFonts w:ascii="Helvetica" w:hAnsi="Helvetica" w:cs="Helvetica"/>
                  <w:szCs w:val="18"/>
                </w:rPr>
                <w:t>eu</w:t>
              </w:r>
            </w:smartTag>
            <w:r>
              <w:rPr>
                <w:rFonts w:ascii="Helvetica" w:hAnsi="Helvetica" w:cs="Helvetica"/>
                <w:szCs w:val="18"/>
              </w:rPr>
              <w:t xml:space="preserve"> 2006).</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i/>
                <w:szCs w:val="18"/>
              </w:rPr>
            </w:pPr>
            <w:r>
              <w:rPr>
                <w:rFonts w:ascii="Helvetica" w:hAnsi="Helvetica" w:cs="Helvetica"/>
                <w:bCs/>
                <w:i/>
                <w:szCs w:val="18"/>
              </w:rPr>
              <w:t>Grapevine berry inner necrosis virus (GINV)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Grapevine berry inner necrosis disease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(Yoshikawa </w:t>
            </w:r>
            <w:r>
              <w:rPr>
                <w:rFonts w:ascii="Helvetica" w:hAnsi="Helvetica" w:cs="Helvetica"/>
                <w:i/>
                <w:szCs w:val="18"/>
              </w:rPr>
              <w:t>et al</w:t>
            </w:r>
            <w:r>
              <w:rPr>
                <w:rFonts w:ascii="Helvetica" w:hAnsi="Helvetica" w:cs="Helvetica"/>
                <w:szCs w:val="18"/>
              </w:rPr>
              <w:t>. 1997).</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Japan (Yoshikawa </w:t>
            </w:r>
            <w:r>
              <w:rPr>
                <w:rFonts w:ascii="Helvetica" w:hAnsi="Helvetica" w:cs="Helvetica"/>
                <w:i/>
                <w:szCs w:val="18"/>
              </w:rPr>
              <w:t>et al</w:t>
            </w:r>
            <w:r>
              <w:rPr>
                <w:rFonts w:ascii="Helvetica" w:hAnsi="Helvetica" w:cs="Helvetica"/>
                <w:szCs w:val="18"/>
              </w:rPr>
              <w:t>. 1997).</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bCs/>
                <w:i/>
                <w:szCs w:val="18"/>
              </w:rPr>
              <w:t>Grapevine Bulgarian latent virus</w:t>
            </w:r>
            <w:r>
              <w:rPr>
                <w:rFonts w:ascii="Helvetica" w:hAnsi="Helvetica" w:cs="Helvetica"/>
                <w:bCs/>
                <w:szCs w:val="18"/>
              </w:rPr>
              <w:t xml:space="preserve"> (GBLV)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Fanleaf degeneration/decline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w:t>
            </w:r>
            <w:r>
              <w:rPr>
                <w:rFonts w:ascii="Helvetica" w:hAnsi="Helvetica" w:cs="Helvetica"/>
                <w:bCs/>
                <w:szCs w:val="18"/>
              </w:rPr>
              <w:t xml:space="preserve">Gokalp </w:t>
            </w:r>
            <w:r>
              <w:rPr>
                <w:rFonts w:ascii="Helvetica" w:hAnsi="Helvetica" w:cs="Helvetica"/>
                <w:bCs/>
                <w:i/>
                <w:szCs w:val="18"/>
              </w:rPr>
              <w:t>et al</w:t>
            </w:r>
            <w:r>
              <w:rPr>
                <w:rFonts w:ascii="Helvetica" w:hAnsi="Helvetica" w:cs="Helvetica"/>
                <w:bCs/>
                <w:szCs w:val="18"/>
              </w:rPr>
              <w:t>. 2003).</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r>
                <w:rPr>
                  <w:rFonts w:ascii="Helvetica" w:hAnsi="Helvetica" w:cs="Helvetica"/>
                  <w:szCs w:val="18"/>
                </w:rPr>
                <w:t>Bulgaria</w:t>
              </w:r>
            </w:smartTag>
            <w:r>
              <w:rPr>
                <w:rFonts w:ascii="Helvetica" w:hAnsi="Helvetica" w:cs="Helvetica"/>
                <w:szCs w:val="18"/>
              </w:rPr>
              <w:t xml:space="preserve"> </w:t>
            </w:r>
            <w:r>
              <w:rPr>
                <w:rFonts w:ascii="Helvetica" w:hAnsi="Helvetica" w:cs="Helvetica"/>
                <w:iCs/>
                <w:szCs w:val="18"/>
              </w:rPr>
              <w:t>(</w:t>
            </w:r>
            <w:r>
              <w:rPr>
                <w:rFonts w:ascii="Helvetica" w:hAnsi="Helvetica" w:cs="Helvetica"/>
                <w:szCs w:val="18"/>
              </w:rPr>
              <w:t xml:space="preserve">Martelli </w:t>
            </w:r>
            <w:r>
              <w:rPr>
                <w:rFonts w:ascii="Helvetica" w:hAnsi="Helvetica" w:cs="Helvetica"/>
                <w:i/>
                <w:szCs w:val="18"/>
              </w:rPr>
              <w:t>et al</w:t>
            </w:r>
            <w:r>
              <w:rPr>
                <w:rFonts w:ascii="Helvetica" w:hAnsi="Helvetica" w:cs="Helvetica"/>
                <w:szCs w:val="18"/>
              </w:rPr>
              <w:t>. 1977, 1978), Portugal (</w:t>
            </w:r>
            <w:r>
              <w:rPr>
                <w:rFonts w:ascii="Helvetica" w:hAnsi="Helvetica" w:cs="Helvetica"/>
                <w:bCs/>
                <w:szCs w:val="18"/>
              </w:rPr>
              <w:t xml:space="preserve">Sequeira and Mendonça, 1992) </w:t>
            </w:r>
            <w:r>
              <w:rPr>
                <w:rFonts w:ascii="Helvetica" w:hAnsi="Helvetica" w:cs="Helvetica"/>
                <w:szCs w:val="18"/>
              </w:rPr>
              <w:t>Yugoslavia, Czechoslovakia, former USSR, Hungary (Martelli 1993).</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i/>
                <w:szCs w:val="18"/>
              </w:rPr>
            </w:pPr>
            <w:r>
              <w:rPr>
                <w:rFonts w:ascii="Helvetica" w:hAnsi="Helvetica" w:cs="Helvetica"/>
                <w:bCs/>
                <w:i/>
                <w:szCs w:val="18"/>
              </w:rPr>
              <w:t>Grapevine chrome mosaic virus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bCs/>
                <w:i/>
                <w:szCs w:val="18"/>
              </w:rPr>
              <w:t>Bratislava mosaic virus, Hungarian yellow mosaic, Hungarian chrome mosaic virus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Fanleaf degeneration/decline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(Dimou </w:t>
            </w:r>
            <w:r>
              <w:rPr>
                <w:rFonts w:ascii="Helvetica" w:hAnsi="Helvetica" w:cs="Helvetica"/>
                <w:bCs/>
                <w:i/>
                <w:szCs w:val="18"/>
              </w:rPr>
              <w:t>et al</w:t>
            </w:r>
            <w:r>
              <w:rPr>
                <w:rFonts w:ascii="Helvetica" w:hAnsi="Helvetica" w:cs="Helvetica"/>
                <w:bCs/>
                <w:szCs w:val="18"/>
              </w:rPr>
              <w:t>. 1994).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smartTag w:uri="urn:schemas-microsoft-com:office:smarttags" w:element="country-region">
              <w:r>
                <w:rPr>
                  <w:rFonts w:ascii="Helvetica" w:hAnsi="Helvetica" w:cs="Helvetica"/>
                  <w:bCs/>
                  <w:szCs w:val="18"/>
                </w:rPr>
                <w:t>Austria</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Croatia</w:t>
              </w:r>
            </w:smartTag>
            <w:r>
              <w:rPr>
                <w:rFonts w:ascii="Helvetica" w:hAnsi="Helvetica" w:cs="Helvetica"/>
                <w:bCs/>
                <w:szCs w:val="18"/>
              </w:rPr>
              <w:t xml:space="preserve">, the former </w:t>
            </w:r>
            <w:smartTag w:uri="urn:schemas-microsoft-com:office:smarttags" w:element="country-region">
              <w:r>
                <w:rPr>
                  <w:rFonts w:ascii="Helvetica" w:hAnsi="Helvetica" w:cs="Helvetica"/>
                  <w:bCs/>
                  <w:szCs w:val="18"/>
                </w:rPr>
                <w:t>Czechoslovakia</w:t>
              </w:r>
            </w:smartTag>
            <w:r>
              <w:rPr>
                <w:rFonts w:ascii="Helvetica" w:hAnsi="Helvetica" w:cs="Helvetica"/>
                <w:bCs/>
                <w:szCs w:val="18"/>
              </w:rPr>
              <w:t xml:space="preserve">, and </w:t>
            </w:r>
            <w:smartTag w:uri="urn:schemas-microsoft-com:office:smarttags" w:element="country-region">
              <w:smartTag w:uri="urn:schemas-microsoft-com:office:smarttags" w:element="place">
                <w:r>
                  <w:rPr>
                    <w:rFonts w:ascii="Helvetica" w:hAnsi="Helvetica" w:cs="Helvetica"/>
                    <w:bCs/>
                    <w:szCs w:val="18"/>
                  </w:rPr>
                  <w:t>Hungary</w:t>
                </w:r>
              </w:smartTag>
            </w:smartTag>
            <w:r>
              <w:rPr>
                <w:rFonts w:ascii="Helvetica" w:hAnsi="Helvetica" w:cs="Helvetica"/>
                <w:bCs/>
                <w:szCs w:val="18"/>
              </w:rPr>
              <w:t xml:space="preserve"> (Uyemoto </w:t>
            </w:r>
            <w:r>
              <w:rPr>
                <w:rFonts w:ascii="Helvetica" w:hAnsi="Helvetica" w:cs="Helvetica"/>
                <w:bCs/>
                <w:i/>
                <w:szCs w:val="18"/>
              </w:rPr>
              <w:t>et al</w:t>
            </w:r>
            <w:r>
              <w:rPr>
                <w:rFonts w:ascii="Helvetica" w:hAnsi="Helvetica" w:cs="Helvetica"/>
                <w:bCs/>
                <w:szCs w:val="18"/>
              </w:rPr>
              <w:t>. 2009).</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i/>
                <w:szCs w:val="18"/>
              </w:rPr>
            </w:pPr>
            <w:r>
              <w:rPr>
                <w:rFonts w:ascii="Helvetica" w:hAnsi="Helvetica" w:cs="Helvetica"/>
                <w:bCs/>
                <w:i/>
                <w:szCs w:val="18"/>
              </w:rPr>
              <w:t>Grapevine deformation virus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Fanleaf degeneration/decline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w:t>
            </w:r>
            <w:r>
              <w:rPr>
                <w:rFonts w:ascii="Helvetica" w:hAnsi="Helvetica" w:cs="Helvetica"/>
                <w:bCs/>
                <w:szCs w:val="18"/>
              </w:rPr>
              <w:t xml:space="preserve">Cigsar </w:t>
            </w:r>
            <w:r>
              <w:rPr>
                <w:rFonts w:ascii="Helvetica" w:hAnsi="Helvetica" w:cs="Helvetica"/>
                <w:bCs/>
                <w:i/>
                <w:szCs w:val="18"/>
              </w:rPr>
              <w:t>et al</w:t>
            </w:r>
            <w:r>
              <w:rPr>
                <w:rFonts w:ascii="Helvetica" w:hAnsi="Helvetica" w:cs="Helvetica"/>
                <w:bCs/>
                <w:szCs w:val="18"/>
              </w:rPr>
              <w:t>. 2003).</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smartTag w:uri="urn:schemas-microsoft-com:office:smarttags" w:element="country-region">
              <w:smartTag w:uri="urn:schemas-microsoft-com:office:smarttags" w:element="place">
                <w:r>
                  <w:rPr>
                    <w:rFonts w:ascii="Helvetica" w:hAnsi="Helvetica" w:cs="Helvetica"/>
                    <w:bCs/>
                    <w:szCs w:val="18"/>
                  </w:rPr>
                  <w:t>Turkey</w:t>
                </w:r>
              </w:smartTag>
            </w:smartTag>
            <w:r>
              <w:rPr>
                <w:rFonts w:ascii="Helvetica" w:hAnsi="Helvetica" w:cs="Helvetica"/>
                <w:bCs/>
                <w:szCs w:val="18"/>
              </w:rPr>
              <w:t xml:space="preserve"> </w:t>
            </w:r>
            <w:r>
              <w:rPr>
                <w:rFonts w:ascii="Helvetica" w:hAnsi="Helvetica" w:cs="Helvetica"/>
                <w:szCs w:val="18"/>
              </w:rPr>
              <w:t>(</w:t>
            </w:r>
            <w:r>
              <w:rPr>
                <w:rFonts w:ascii="Helvetica" w:hAnsi="Helvetica" w:cs="Helvetica"/>
                <w:bCs/>
                <w:szCs w:val="18"/>
              </w:rPr>
              <w:t xml:space="preserve">Cigsar </w:t>
            </w:r>
            <w:r>
              <w:rPr>
                <w:rFonts w:ascii="Helvetica" w:hAnsi="Helvetica" w:cs="Helvetica"/>
                <w:bCs/>
                <w:i/>
                <w:szCs w:val="18"/>
              </w:rPr>
              <w:t>et al</w:t>
            </w:r>
            <w:r>
              <w:rPr>
                <w:rFonts w:ascii="Helvetica" w:hAnsi="Helvetica" w:cs="Helvetica"/>
                <w:bCs/>
                <w:szCs w:val="18"/>
              </w:rPr>
              <w:t xml:space="preserve">. 2003; Digiaro </w:t>
            </w:r>
            <w:r>
              <w:rPr>
                <w:rFonts w:ascii="Helvetica" w:hAnsi="Helvetica" w:cs="Helvetica"/>
                <w:bCs/>
                <w:i/>
                <w:szCs w:val="18"/>
              </w:rPr>
              <w:t>et al</w:t>
            </w:r>
            <w:r>
              <w:rPr>
                <w:rFonts w:ascii="Helvetica" w:hAnsi="Helvetica" w:cs="Helvetica"/>
                <w:bCs/>
                <w:szCs w:val="18"/>
              </w:rPr>
              <w:t>. 2003).</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i/>
                <w:szCs w:val="18"/>
              </w:rPr>
              <w:t xml:space="preserve">Grapevine fanleaf virus </w:t>
            </w:r>
            <w:r>
              <w:rPr>
                <w:rFonts w:ascii="Helvetica" w:hAnsi="Helvetica" w:cs="Helvetica"/>
                <w:szCs w:val="18"/>
              </w:rPr>
              <w:t xml:space="preserve">(GFLV)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bCs/>
                <w:i/>
                <w:szCs w:val="18"/>
              </w:rPr>
            </w:pPr>
            <w:r>
              <w:rPr>
                <w:rFonts w:ascii="Helvetica" w:hAnsi="Helvetica" w:cs="Helvetica"/>
                <w:i/>
                <w:szCs w:val="18"/>
              </w:rPr>
              <w:t>Grapevine arriciamento virus, Grapevine court-noué virus, Grapevine infectious degeneration virus, Grapevine Reisigkrankheit Virus, Grapevine roncet virus Grapevine urticado virus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szCs w:val="18"/>
              </w:rPr>
              <w:t xml:space="preserve">Fanleaf disease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i/>
                <w:szCs w:val="18"/>
              </w:rPr>
              <w:t>Vitis</w:t>
            </w:r>
            <w:r>
              <w:rPr>
                <w:rFonts w:ascii="Helvetica" w:hAnsi="Helvetica" w:cs="Helvetica"/>
                <w:szCs w:val="18"/>
              </w:rPr>
              <w:t xml:space="preserve"> species (Andret-Link </w:t>
            </w:r>
            <w:r>
              <w:rPr>
                <w:rFonts w:ascii="Helvetica" w:hAnsi="Helvetica" w:cs="Helvetica"/>
                <w:i/>
                <w:szCs w:val="18"/>
              </w:rPr>
              <w:t xml:space="preserve">et al. </w:t>
            </w:r>
            <w:r>
              <w:rPr>
                <w:rFonts w:ascii="Helvetica" w:hAnsi="Helvetica" w:cs="Helvetica"/>
                <w:szCs w:val="18"/>
              </w:rPr>
              <w:t>2004)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szCs w:val="18"/>
              </w:rPr>
              <w:t xml:space="preserve">Asia, Africa, Europe, </w:t>
            </w:r>
            <w:smartTag w:uri="urn:schemas-microsoft-com:office:smarttags" w:element="country-region">
              <w:r>
                <w:rPr>
                  <w:rFonts w:ascii="Helvetica" w:hAnsi="Helvetica" w:cs="Helvetica"/>
                  <w:szCs w:val="18"/>
                </w:rPr>
                <w:t>New Zealand</w:t>
              </w:r>
            </w:smartTag>
            <w:r>
              <w:rPr>
                <w:rFonts w:ascii="Helvetica" w:hAnsi="Helvetica" w:cs="Helvetica"/>
                <w:szCs w:val="18"/>
              </w:rPr>
              <w:t xml:space="preserve">, North America and </w:t>
            </w:r>
            <w:smartTag w:uri="urn:schemas-microsoft-com:office:smarttags" w:element="place">
              <w:r>
                <w:rPr>
                  <w:rFonts w:ascii="Helvetica" w:hAnsi="Helvetica" w:cs="Helvetica"/>
                  <w:szCs w:val="18"/>
                </w:rPr>
                <w:t>South America</w:t>
              </w:r>
            </w:smartTag>
            <w:r>
              <w:rPr>
                <w:rFonts w:ascii="Helvetica" w:hAnsi="Helvetica" w:cs="Helvetica"/>
                <w:szCs w:val="18"/>
              </w:rPr>
              <w:t xml:space="preserve"> (Andret-Link </w:t>
            </w:r>
            <w:r>
              <w:rPr>
                <w:rFonts w:ascii="Helvetica" w:hAnsi="Helvetica" w:cs="Helvetica"/>
                <w:i/>
                <w:szCs w:val="18"/>
              </w:rPr>
              <w:t xml:space="preserve">et al. </w:t>
            </w:r>
            <w:r>
              <w:rPr>
                <w:rFonts w:ascii="Helvetica" w:hAnsi="Helvetica" w:cs="Helvetica"/>
                <w:szCs w:val="18"/>
              </w:rPr>
              <w:t>2004).</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 xml:space="preserve">Grapevine leafroll associated virus 6 </w:t>
            </w:r>
            <w:r>
              <w:rPr>
                <w:rFonts w:ascii="Helvetica" w:hAnsi="Helvetica" w:cs="Helvetica"/>
                <w:szCs w:val="18"/>
              </w:rPr>
              <w:t>(GLRaV-6)</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lang w:val="de-DE"/>
              </w:rPr>
            </w:pPr>
            <w:r>
              <w:rPr>
                <w:rFonts w:ascii="Helvetica" w:hAnsi="Helvetica" w:cs="Helvetica"/>
                <w:i/>
                <w:szCs w:val="18"/>
              </w:rPr>
              <w:t>Vitis</w:t>
            </w:r>
            <w:r>
              <w:rPr>
                <w:rFonts w:ascii="Helvetica" w:hAnsi="Helvetica" w:cs="Helvetica"/>
                <w:szCs w:val="18"/>
              </w:rPr>
              <w:t xml:space="preserve"> species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Brazil (Kuniyuki </w:t>
            </w:r>
            <w:r>
              <w:rPr>
                <w:rFonts w:ascii="Helvetica" w:hAnsi="Helvetica" w:cs="Helvetica"/>
                <w:i/>
                <w:szCs w:val="18"/>
              </w:rPr>
              <w:t xml:space="preserve">et al. </w:t>
            </w:r>
            <w:r>
              <w:rPr>
                <w:rFonts w:ascii="Helvetica" w:hAnsi="Helvetica" w:cs="Helvetica"/>
                <w:szCs w:val="18"/>
              </w:rPr>
              <w:t xml:space="preserve">2008), Italy (Boscia </w:t>
            </w:r>
            <w:r>
              <w:rPr>
                <w:rFonts w:ascii="Helvetica" w:hAnsi="Helvetica" w:cs="Helvetica"/>
                <w:i/>
                <w:szCs w:val="18"/>
              </w:rPr>
              <w:t>et al</w:t>
            </w:r>
            <w:r>
              <w:rPr>
                <w:rFonts w:ascii="Helvetica" w:hAnsi="Helvetica" w:cs="Helvetica"/>
                <w:szCs w:val="18"/>
              </w:rPr>
              <w:t xml:space="preserve">. 2000), North Africa (Eddin </w:t>
            </w:r>
            <w:r>
              <w:rPr>
                <w:rFonts w:ascii="Helvetica" w:hAnsi="Helvetica" w:cs="Helvetica"/>
                <w:i/>
                <w:szCs w:val="18"/>
              </w:rPr>
              <w:t xml:space="preserve">et al. </w:t>
            </w:r>
            <w:r>
              <w:rPr>
                <w:rFonts w:ascii="Helvetica" w:hAnsi="Helvetica" w:cs="Helvetica"/>
                <w:szCs w:val="18"/>
              </w:rPr>
              <w:t xml:space="preserve">2008, Mahfoudhi </w:t>
            </w:r>
            <w:r>
              <w:rPr>
                <w:rFonts w:ascii="Helvetica" w:hAnsi="Helvetica" w:cs="Helvetica"/>
                <w:i/>
                <w:szCs w:val="18"/>
              </w:rPr>
              <w:t xml:space="preserve">et al. </w:t>
            </w:r>
            <w:r>
              <w:rPr>
                <w:rFonts w:ascii="Helvetica" w:hAnsi="Helvetica" w:cs="Helvetica"/>
                <w:szCs w:val="18"/>
              </w:rPr>
              <w:t xml:space="preserve">2009), Switzerland (Gugerli and Ramel 1993) Turkey (Cigsar </w:t>
            </w:r>
            <w:r>
              <w:rPr>
                <w:rFonts w:ascii="Helvetica" w:hAnsi="Helvetica" w:cs="Helvetica"/>
                <w:i/>
                <w:szCs w:val="18"/>
              </w:rPr>
              <w:t xml:space="preserve">et al. </w:t>
            </w:r>
            <w:r>
              <w:rPr>
                <w:rFonts w:ascii="Helvetica" w:hAnsi="Helvetica" w:cs="Helvetica"/>
                <w:szCs w:val="18"/>
              </w:rPr>
              <w:t xml:space="preserve">2002), USA (Martinson </w:t>
            </w:r>
            <w:r>
              <w:rPr>
                <w:rFonts w:ascii="Helvetica" w:hAnsi="Helvetica" w:cs="Helvetica"/>
                <w:i/>
                <w:szCs w:val="18"/>
              </w:rPr>
              <w:t>et al</w:t>
            </w:r>
            <w:r>
              <w:rPr>
                <w:rFonts w:ascii="Helvetica" w:hAnsi="Helvetica" w:cs="Helvetica"/>
                <w:szCs w:val="18"/>
              </w:rPr>
              <w:t>. 2008, Fuchs 2007).</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 xml:space="preserve">Grapevine leafroll associated virus 7 </w:t>
            </w:r>
            <w:r>
              <w:rPr>
                <w:rFonts w:ascii="Helvetica" w:hAnsi="Helvetica" w:cs="Helvetica"/>
                <w:szCs w:val="18"/>
              </w:rPr>
              <w:t>(GLRaV-7)</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lang w:val="de-DE"/>
              </w:rPr>
            </w:pPr>
            <w:r>
              <w:rPr>
                <w:rFonts w:ascii="Helvetica" w:hAnsi="Helvetica" w:cs="Helvetica"/>
                <w:i/>
                <w:szCs w:val="18"/>
              </w:rPr>
              <w:t>Vitis</w:t>
            </w:r>
            <w:r>
              <w:rPr>
                <w:rFonts w:ascii="Helvetica" w:hAnsi="Helvetica" w:cs="Helvetica"/>
                <w:szCs w:val="18"/>
              </w:rPr>
              <w:t xml:space="preserve"> species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r>
                <w:rPr>
                  <w:rFonts w:ascii="Helvetica" w:hAnsi="Helvetica" w:cs="Helvetica"/>
                  <w:szCs w:val="18"/>
                </w:rPr>
                <w:t>Albania</w:t>
              </w:r>
            </w:smartTag>
            <w:r>
              <w:rPr>
                <w:rFonts w:ascii="Helvetica" w:hAnsi="Helvetica" w:cs="Helvetica"/>
                <w:szCs w:val="18"/>
              </w:rPr>
              <w:t xml:space="preserve">, </w:t>
            </w:r>
            <w:smartTag w:uri="urn:schemas-microsoft-com:office:smarttags" w:element="country-region">
              <w:r>
                <w:rPr>
                  <w:rFonts w:ascii="Helvetica" w:hAnsi="Helvetica" w:cs="Helvetica"/>
                  <w:szCs w:val="18"/>
                </w:rPr>
                <w:t>Armenia</w:t>
              </w:r>
            </w:smartTag>
            <w:r>
              <w:rPr>
                <w:rFonts w:ascii="Helvetica" w:hAnsi="Helvetica" w:cs="Helvetica"/>
                <w:szCs w:val="18"/>
              </w:rPr>
              <w:t xml:space="preserve">, </w:t>
            </w:r>
            <w:smartTag w:uri="urn:schemas-microsoft-com:office:smarttags" w:element="country-region">
              <w:r>
                <w:rPr>
                  <w:rFonts w:ascii="Helvetica" w:hAnsi="Helvetica" w:cs="Helvetica"/>
                  <w:szCs w:val="18"/>
                </w:rPr>
                <w:t>Greece</w:t>
              </w:r>
            </w:smartTag>
            <w:r>
              <w:rPr>
                <w:rFonts w:ascii="Helvetica" w:hAnsi="Helvetica" w:cs="Helvetica"/>
                <w:szCs w:val="18"/>
              </w:rPr>
              <w:t xml:space="preserve">,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Jordan (Digiaro </w:t>
            </w:r>
            <w:r>
              <w:rPr>
                <w:rFonts w:ascii="Helvetica" w:hAnsi="Helvetica" w:cs="Helvetica"/>
                <w:i/>
                <w:szCs w:val="18"/>
              </w:rPr>
              <w:t>et al</w:t>
            </w:r>
            <w:r>
              <w:rPr>
                <w:rFonts w:ascii="Helvetica" w:hAnsi="Helvetica" w:cs="Helvetica"/>
                <w:szCs w:val="18"/>
              </w:rPr>
              <w:t xml:space="preserve">. 2000 ) and </w:t>
            </w:r>
            <w:smartTag w:uri="urn:schemas-microsoft-com:office:smarttags" w:element="country-region">
              <w:smartTag w:uri="urn:schemas-microsoft-com:office:smarttags" w:element="place">
                <w:r>
                  <w:rPr>
                    <w:rFonts w:ascii="Helvetica" w:hAnsi="Helvetica" w:cs="Helvetica"/>
                    <w:szCs w:val="18"/>
                  </w:rPr>
                  <w:t>Portugal</w:t>
                </w:r>
              </w:smartTag>
            </w:smartTag>
            <w:r>
              <w:rPr>
                <w:rFonts w:ascii="Helvetica" w:hAnsi="Helvetica" w:cs="Helvetica"/>
                <w:szCs w:val="18"/>
              </w:rPr>
              <w:t xml:space="preserve"> (Santos </w:t>
            </w:r>
            <w:r>
              <w:rPr>
                <w:rFonts w:ascii="Helvetica" w:hAnsi="Helvetica" w:cs="Helvetica"/>
                <w:i/>
                <w:szCs w:val="18"/>
              </w:rPr>
              <w:t>et al</w:t>
            </w:r>
            <w:r>
              <w:rPr>
                <w:rFonts w:ascii="Helvetica" w:hAnsi="Helvetica" w:cs="Helvetica"/>
                <w:szCs w:val="18"/>
              </w:rPr>
              <w:t>. 2000)</w:t>
            </w:r>
            <w:r>
              <w:rPr>
                <w:rFonts w:ascii="Helvetica" w:hAnsi="Helvetica" w:cs="Helvetica"/>
                <w:i/>
                <w:szCs w:val="18"/>
                <w:lang w:eastAsia="en-AU"/>
              </w:rPr>
              <w:t xml:space="preserve"> </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Grapevine leafroll associated virus 10</w:t>
            </w:r>
            <w:r>
              <w:rPr>
                <w:rFonts w:ascii="Helvetica" w:hAnsi="Helvetica" w:cs="Helvetica"/>
                <w:szCs w:val="18"/>
              </w:rPr>
              <w:t xml:space="preserve"> (GLRaV-10) </w:t>
            </w:r>
          </w:p>
        </w:tc>
      </w:tr>
      <w:tr>
        <w:tc>
          <w:tcPr>
            <w:tcW w:w="1851" w:type="dxa"/>
          </w:tcPr>
          <w:p>
            <w:pPr>
              <w:spacing w:before="60" w:after="6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line="240" w:lineRule="atLeast"/>
              <w:jc w:val="left"/>
              <w:rPr>
                <w:rFonts w:ascii="Helvetica" w:hAnsi="Helvetica" w:cs="Helvetica"/>
                <w:szCs w:val="18"/>
              </w:rPr>
            </w:pPr>
            <w:r>
              <w:rPr>
                <w:rFonts w:ascii="Helvetica" w:hAnsi="Helvetica" w:cs="Helvetica"/>
                <w:i/>
                <w:szCs w:val="18"/>
              </w:rPr>
              <w:t>Grapevine leafroll associated virus De</w:t>
            </w:r>
            <w:r>
              <w:rPr>
                <w:rFonts w:ascii="Helvetica" w:hAnsi="Helvetica" w:cs="Helvetica"/>
                <w:szCs w:val="18"/>
              </w:rPr>
              <w:t xml:space="preserve"> (GLRaV-De)</w:t>
            </w:r>
          </w:p>
        </w:tc>
      </w:tr>
      <w:tr>
        <w:tc>
          <w:tcPr>
            <w:tcW w:w="1851" w:type="dxa"/>
          </w:tcPr>
          <w:p>
            <w:pPr>
              <w:spacing w:before="60" w:after="6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line="240" w:lineRule="atLeast"/>
              <w:jc w:val="left"/>
              <w:rPr>
                <w:rFonts w:ascii="Helvetica" w:hAnsi="Helvetica" w:cs="Helvetica"/>
                <w:szCs w:val="18"/>
              </w:rPr>
            </w:pPr>
          </w:p>
        </w:tc>
      </w:tr>
      <w:tr>
        <w:tc>
          <w:tcPr>
            <w:tcW w:w="1851" w:type="dxa"/>
          </w:tcPr>
          <w:p>
            <w:pPr>
              <w:spacing w:before="60" w:after="6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line="240" w:lineRule="atLeast"/>
              <w:jc w:val="left"/>
              <w:rPr>
                <w:rFonts w:ascii="Helvetica" w:hAnsi="Helvetica" w:cs="Helvetica"/>
                <w:szCs w:val="18"/>
                <w:lang w:val="de-DE"/>
              </w:rPr>
            </w:pPr>
            <w:r>
              <w:rPr>
                <w:rFonts w:ascii="Helvetica" w:hAnsi="Helvetica" w:cs="Helvetica"/>
                <w:i/>
                <w:szCs w:val="18"/>
              </w:rPr>
              <w:t>Vitis</w:t>
            </w:r>
            <w:r>
              <w:rPr>
                <w:rFonts w:ascii="Helvetica" w:hAnsi="Helvetica" w:cs="Helvetica"/>
                <w:szCs w:val="18"/>
              </w:rPr>
              <w:t xml:space="preserve"> species</w:t>
            </w:r>
          </w:p>
        </w:tc>
      </w:tr>
      <w:tr>
        <w:tc>
          <w:tcPr>
            <w:tcW w:w="1851" w:type="dxa"/>
          </w:tcPr>
          <w:p>
            <w:pPr>
              <w:spacing w:before="60" w:after="6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line="240" w:lineRule="atLeast"/>
              <w:jc w:val="left"/>
              <w:rPr>
                <w:rFonts w:ascii="Helvetica" w:hAnsi="Helvetica" w:cs="Helvetica"/>
                <w:szCs w:val="18"/>
                <w:highlight w:val="yellow"/>
              </w:rPr>
            </w:pP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 xml:space="preserve">Grapevine leafroll associated virus </w:t>
            </w:r>
            <w:r>
              <w:rPr>
                <w:rFonts w:ascii="Helvetica" w:hAnsi="Helvetica" w:cs="Helvetica"/>
                <w:szCs w:val="18"/>
              </w:rPr>
              <w:t xml:space="preserve">11 (GLRaV-11)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Grapevine leafroll associated virus Pr </w:t>
            </w:r>
            <w:r>
              <w:rPr>
                <w:rFonts w:ascii="Helvetica" w:hAnsi="Helvetica" w:cs="Helvetica"/>
                <w:szCs w:val="18"/>
              </w:rPr>
              <w:t>(GLRaV-Pr)</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lang w:val="de-DE"/>
              </w:rPr>
            </w:pPr>
            <w:r>
              <w:rPr>
                <w:rFonts w:ascii="Helvetica" w:hAnsi="Helvetica" w:cs="Helvetica"/>
                <w:i/>
                <w:szCs w:val="18"/>
              </w:rPr>
              <w:t>Vitis</w:t>
            </w:r>
            <w:r>
              <w:rPr>
                <w:rFonts w:ascii="Helvetica" w:hAnsi="Helvetica" w:cs="Helvetica"/>
                <w:szCs w:val="18"/>
              </w:rPr>
              <w:t xml:space="preserve"> species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Grapevine line pattern virus</w:t>
            </w:r>
            <w:r>
              <w:rPr>
                <w:rFonts w:ascii="Helvetica" w:hAnsi="Helvetica" w:cs="Helvetica"/>
                <w:szCs w:val="18"/>
              </w:rPr>
              <w:t xml:space="preserve"> (GLPV)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Grapevine line pattern</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Vitis vinifera </w:t>
            </w:r>
            <w:r>
              <w:rPr>
                <w:rFonts w:ascii="Helvetica" w:hAnsi="Helvetica" w:cs="Helvetica"/>
                <w:szCs w:val="18"/>
              </w:rPr>
              <w:t>(Martelli and Boudon-Padi</w:t>
            </w:r>
            <w:smartTag w:uri="urn:schemas-microsoft-com:office:smarttags" w:element="PersonName">
              <w:r>
                <w:rPr>
                  <w:rFonts w:ascii="Helvetica" w:hAnsi="Helvetica" w:cs="Helvetica"/>
                  <w:szCs w:val="18"/>
                </w:rPr>
                <w:t>eu</w:t>
              </w:r>
            </w:smartTag>
            <w:r>
              <w:rPr>
                <w:rFonts w:ascii="Helvetica" w:hAnsi="Helvetica" w:cs="Helvetica"/>
                <w:szCs w:val="18"/>
              </w:rPr>
              <w:t xml:space="preserve"> 2006).</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smartTag w:uri="urn:schemas-microsoft-com:office:smarttags" w:element="place">
                <w:r>
                  <w:rPr>
                    <w:rFonts w:ascii="Helvetica" w:hAnsi="Helvetica" w:cs="Helvetica"/>
                    <w:szCs w:val="18"/>
                  </w:rPr>
                  <w:t>Hungary</w:t>
                </w:r>
              </w:smartTag>
            </w:smartTag>
            <w:r>
              <w:rPr>
                <w:rFonts w:ascii="Helvetica" w:hAnsi="Helvetica" w:cs="Helvetica"/>
                <w:szCs w:val="18"/>
              </w:rPr>
              <w:t xml:space="preserve"> (Martelli and Boudon-Padi</w:t>
            </w:r>
            <w:smartTag w:uri="urn:schemas-microsoft-com:office:smarttags" w:element="PersonName">
              <w:r>
                <w:rPr>
                  <w:rFonts w:ascii="Helvetica" w:hAnsi="Helvetica" w:cs="Helvetica"/>
                  <w:szCs w:val="18"/>
                </w:rPr>
                <w:t>eu</w:t>
              </w:r>
            </w:smartTag>
            <w:r>
              <w:rPr>
                <w:rFonts w:ascii="Helvetica" w:hAnsi="Helvetica" w:cs="Helvetica"/>
                <w:szCs w:val="18"/>
              </w:rPr>
              <w:t xml:space="preserve"> 2006). </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i/>
                <w:szCs w:val="18"/>
              </w:rPr>
            </w:pPr>
            <w:r>
              <w:rPr>
                <w:rFonts w:ascii="Helvetica" w:hAnsi="Helvetica" w:cs="Helvetica"/>
                <w:i/>
                <w:szCs w:val="18"/>
              </w:rPr>
              <w:t>Grapevine red globe virus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None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Vitis vinifera </w:t>
            </w:r>
            <w:r>
              <w:rPr>
                <w:rFonts w:ascii="Helvetica" w:hAnsi="Helvetica" w:cs="Helvetica"/>
                <w:szCs w:val="18"/>
              </w:rPr>
              <w:t>(Martelli and Boudon-Padi</w:t>
            </w:r>
            <w:smartTag w:uri="urn:schemas-microsoft-com:office:smarttags" w:element="PersonName">
              <w:r>
                <w:rPr>
                  <w:rFonts w:ascii="Helvetica" w:hAnsi="Helvetica" w:cs="Helvetica"/>
                  <w:szCs w:val="18"/>
                </w:rPr>
                <w:t>eu</w:t>
              </w:r>
            </w:smartTag>
            <w:r>
              <w:rPr>
                <w:rFonts w:ascii="Helvetica" w:hAnsi="Helvetica" w:cs="Helvetica"/>
                <w:szCs w:val="18"/>
              </w:rPr>
              <w:t xml:space="preserve"> 2006).</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r>
                <w:rPr>
                  <w:rFonts w:ascii="Helvetica" w:hAnsi="Helvetica" w:cs="Helvetica"/>
                  <w:szCs w:val="18"/>
                </w:rPr>
                <w:t>Albania</w:t>
              </w:r>
            </w:smartTag>
            <w:r>
              <w:rPr>
                <w:rFonts w:ascii="Helvetica" w:hAnsi="Helvetica" w:cs="Helvetica"/>
                <w:szCs w:val="18"/>
              </w:rPr>
              <w:t xml:space="preserve">,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(Sabanadzovic </w:t>
            </w:r>
            <w:r>
              <w:rPr>
                <w:rFonts w:ascii="Helvetica" w:hAnsi="Helvetica" w:cs="Helvetica"/>
                <w:i/>
                <w:szCs w:val="18"/>
              </w:rPr>
              <w:t>et al</w:t>
            </w:r>
            <w:r>
              <w:rPr>
                <w:rFonts w:ascii="Helvetica" w:hAnsi="Helvetica" w:cs="Helvetica"/>
                <w:szCs w:val="18"/>
              </w:rPr>
              <w:t xml:space="preserve">. 2000) and </w:t>
            </w:r>
            <w:smartTag w:uri="urn:schemas-microsoft-com:office:smarttags" w:element="State">
              <w:smartTag w:uri="urn:schemas-microsoft-com:office:smarttags" w:element="place">
                <w:r>
                  <w:rPr>
                    <w:rFonts w:ascii="Helvetica" w:hAnsi="Helvetica" w:cs="Helvetica"/>
                    <w:szCs w:val="18"/>
                  </w:rPr>
                  <w:t>California</w:t>
                </w:r>
              </w:smartTag>
            </w:smartTag>
            <w:r>
              <w:rPr>
                <w:rFonts w:ascii="Helvetica" w:hAnsi="Helvetica" w:cs="Helvetica"/>
                <w:szCs w:val="18"/>
              </w:rPr>
              <w:t xml:space="preserve"> (Martelli and Boudon-Padi</w:t>
            </w:r>
            <w:smartTag w:uri="urn:schemas-microsoft-com:office:smarttags" w:element="PersonName">
              <w:r>
                <w:rPr>
                  <w:rFonts w:ascii="Helvetica" w:hAnsi="Helvetica" w:cs="Helvetica"/>
                  <w:szCs w:val="18"/>
                </w:rPr>
                <w:t>eu</w:t>
              </w:r>
            </w:smartTag>
            <w:r>
              <w:rPr>
                <w:rFonts w:ascii="Helvetica" w:hAnsi="Helvetica" w:cs="Helvetica"/>
                <w:szCs w:val="18"/>
              </w:rPr>
              <w:t xml:space="preserve"> 2006). </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bCs/>
                <w:i/>
                <w:szCs w:val="18"/>
              </w:rPr>
              <w:t>Grapevine rupestris vein feathering virus</w:t>
            </w:r>
            <w:r>
              <w:rPr>
                <w:rFonts w:ascii="Helvetica" w:hAnsi="Helvetica" w:cs="Helvetica"/>
                <w:bCs/>
                <w:szCs w:val="18"/>
              </w:rPr>
              <w:t xml:space="preserve"> (GRVFV)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Grapevine fleck complex, Syrah Decline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w:t>
            </w:r>
            <w:r>
              <w:rPr>
                <w:rFonts w:ascii="Helvetica" w:hAnsi="Helvetica" w:cs="Helvetica"/>
                <w:bCs/>
                <w:szCs w:val="18"/>
              </w:rPr>
              <w:t xml:space="preserve">Uyemoto </w:t>
            </w:r>
            <w:r>
              <w:rPr>
                <w:rFonts w:ascii="Helvetica" w:hAnsi="Helvetica" w:cs="Helvetica"/>
                <w:bCs/>
                <w:i/>
                <w:szCs w:val="18"/>
              </w:rPr>
              <w:t>et al</w:t>
            </w:r>
            <w:r>
              <w:rPr>
                <w:rFonts w:ascii="Helvetica" w:hAnsi="Helvetica" w:cs="Helvetica"/>
                <w:bCs/>
                <w:szCs w:val="18"/>
              </w:rPr>
              <w:t>. 2009).</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smartTag w:uri="urn:schemas-microsoft-com:office:smarttags" w:element="State">
              <w:r>
                <w:rPr>
                  <w:rFonts w:ascii="Helvetica" w:hAnsi="Helvetica" w:cs="Helvetica"/>
                  <w:bCs/>
                  <w:szCs w:val="18"/>
                </w:rPr>
                <w:t>California</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USA</w:t>
              </w:r>
            </w:smartTag>
            <w:r>
              <w:rPr>
                <w:rFonts w:ascii="Helvetica" w:hAnsi="Helvetica" w:cs="Helvetica"/>
                <w:bCs/>
                <w:szCs w:val="18"/>
              </w:rPr>
              <w:t xml:space="preserve"> (Al Rwahnih </w:t>
            </w:r>
            <w:r>
              <w:rPr>
                <w:rFonts w:ascii="Helvetica" w:hAnsi="Helvetica" w:cs="Helvetica"/>
                <w:bCs/>
                <w:i/>
                <w:szCs w:val="18"/>
              </w:rPr>
              <w:t>et al</w:t>
            </w:r>
            <w:r>
              <w:rPr>
                <w:rFonts w:ascii="Helvetica" w:hAnsi="Helvetica" w:cs="Helvetica"/>
                <w:bCs/>
                <w:szCs w:val="18"/>
              </w:rPr>
              <w:t xml:space="preserve">. 2009), </w:t>
            </w:r>
            <w:smartTag w:uri="urn:schemas-microsoft-com:office:smarttags" w:element="country-region">
              <w:r>
                <w:rPr>
                  <w:rFonts w:ascii="Helvetica" w:hAnsi="Helvetica" w:cs="Helvetica"/>
                  <w:bCs/>
                  <w:szCs w:val="18"/>
                </w:rPr>
                <w:t>Greece</w:t>
              </w:r>
            </w:smartTag>
            <w:r>
              <w:rPr>
                <w:rFonts w:ascii="Helvetica" w:hAnsi="Helvetica" w:cs="Helvetica"/>
                <w:bCs/>
                <w:szCs w:val="18"/>
              </w:rPr>
              <w:t xml:space="preserve">, </w:t>
            </w:r>
            <w:smartTag w:uri="urn:schemas-microsoft-com:office:smarttags" w:element="country-region">
              <w:smartTag w:uri="urn:schemas-microsoft-com:office:smarttags" w:element="place">
                <w:r>
                  <w:rPr>
                    <w:rFonts w:ascii="Helvetica" w:hAnsi="Helvetica" w:cs="Helvetica"/>
                    <w:bCs/>
                    <w:szCs w:val="18"/>
                  </w:rPr>
                  <w:t>Italy</w:t>
                </w:r>
              </w:smartTag>
            </w:smartTag>
            <w:r>
              <w:rPr>
                <w:rFonts w:ascii="Helvetica" w:hAnsi="Helvetica" w:cs="Helvetica"/>
                <w:bCs/>
                <w:szCs w:val="18"/>
              </w:rPr>
              <w:t xml:space="preserve"> (Uyemoto </w:t>
            </w:r>
            <w:r>
              <w:rPr>
                <w:rFonts w:ascii="Helvetica" w:hAnsi="Helvetica" w:cs="Helvetica"/>
                <w:bCs/>
                <w:i/>
                <w:szCs w:val="18"/>
              </w:rPr>
              <w:t>et al</w:t>
            </w:r>
            <w:r>
              <w:rPr>
                <w:rFonts w:ascii="Helvetica" w:hAnsi="Helvetica" w:cs="Helvetica"/>
                <w:bCs/>
                <w:szCs w:val="18"/>
              </w:rPr>
              <w:t xml:space="preserve">. 2009) </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bCs/>
                <w:i/>
                <w:szCs w:val="18"/>
              </w:rPr>
              <w:t>Grapevine syrah virus I</w:t>
            </w:r>
            <w:r>
              <w:rPr>
                <w:rFonts w:ascii="Helvetica" w:hAnsi="Helvetica" w:cs="Helvetica"/>
                <w:bCs/>
                <w:szCs w:val="18"/>
              </w:rPr>
              <w:t xml:space="preserve"> (GSyV-I)</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Syrah decline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w:t>
            </w:r>
            <w:r>
              <w:rPr>
                <w:rFonts w:ascii="Helvetica" w:hAnsi="Helvetica" w:cs="Helvetica"/>
                <w:bCs/>
                <w:szCs w:val="18"/>
              </w:rPr>
              <w:t xml:space="preserve">Uyemoto </w:t>
            </w:r>
            <w:r>
              <w:rPr>
                <w:rFonts w:ascii="Helvetica" w:hAnsi="Helvetica" w:cs="Helvetica"/>
                <w:bCs/>
                <w:i/>
                <w:szCs w:val="18"/>
              </w:rPr>
              <w:t>et al</w:t>
            </w:r>
            <w:r>
              <w:rPr>
                <w:rFonts w:ascii="Helvetica" w:hAnsi="Helvetica" w:cs="Helvetica"/>
                <w:bCs/>
                <w:szCs w:val="18"/>
              </w:rPr>
              <w:t>. 2009).</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smartTag w:uri="urn:schemas-microsoft-com:office:smarttags" w:element="country-region">
              <w:r>
                <w:rPr>
                  <w:rFonts w:ascii="Helvetica" w:hAnsi="Helvetica" w:cs="Helvetica"/>
                  <w:bCs/>
                  <w:szCs w:val="18"/>
                </w:rPr>
                <w:t>Chile</w:t>
              </w:r>
            </w:smartTag>
            <w:r>
              <w:rPr>
                <w:rFonts w:ascii="Helvetica" w:hAnsi="Helvetica" w:cs="Helvetica"/>
                <w:bCs/>
                <w:szCs w:val="18"/>
              </w:rPr>
              <w:t xml:space="preserve"> (Engel </w:t>
            </w:r>
            <w:r>
              <w:rPr>
                <w:rFonts w:ascii="Helvetica" w:hAnsi="Helvetica" w:cs="Helvetica"/>
                <w:bCs/>
                <w:i/>
                <w:szCs w:val="18"/>
              </w:rPr>
              <w:t>et al</w:t>
            </w:r>
            <w:r>
              <w:rPr>
                <w:rFonts w:ascii="Helvetica" w:hAnsi="Helvetica" w:cs="Helvetica"/>
                <w:bCs/>
                <w:szCs w:val="18"/>
              </w:rPr>
              <w:t xml:space="preserve">. 2010) and the US (Al Rwahnih </w:t>
            </w:r>
            <w:r>
              <w:rPr>
                <w:rFonts w:ascii="Helvetica" w:hAnsi="Helvetica" w:cs="Helvetica"/>
                <w:bCs/>
                <w:i/>
                <w:szCs w:val="18"/>
              </w:rPr>
              <w:t>et al</w:t>
            </w:r>
            <w:r>
              <w:rPr>
                <w:rFonts w:ascii="Helvetica" w:hAnsi="Helvetica" w:cs="Helvetica"/>
                <w:bCs/>
                <w:szCs w:val="18"/>
              </w:rPr>
              <w:t>. 2009)</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Grapevine Tunisian ringspot virus</w:t>
            </w:r>
            <w:r>
              <w:rPr>
                <w:rFonts w:ascii="Helvetica" w:hAnsi="Helvetica" w:cs="Helvetica"/>
                <w:szCs w:val="18"/>
              </w:rPr>
              <w:t xml:space="preserve"> (GTRSV)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 xml:space="preserve">Vitis </w:t>
            </w:r>
            <w:r>
              <w:rPr>
                <w:rFonts w:ascii="Helvetica" w:hAnsi="Helvetica" w:cs="Helvetica"/>
                <w:szCs w:val="18"/>
              </w:rPr>
              <w:t xml:space="preserve">species (Ouertani </w:t>
            </w:r>
            <w:r>
              <w:rPr>
                <w:rFonts w:ascii="Helvetica" w:hAnsi="Helvetica" w:cs="Helvetica"/>
                <w:i/>
                <w:szCs w:val="18"/>
              </w:rPr>
              <w:t>et al</w:t>
            </w:r>
            <w:r>
              <w:rPr>
                <w:rFonts w:ascii="Helvetica" w:hAnsi="Helvetica" w:cs="Helvetica"/>
                <w:szCs w:val="18"/>
              </w:rPr>
              <w:t>. 1992)</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bCs/>
                <w:szCs w:val="18"/>
              </w:rPr>
              <w:t xml:space="preserve">Tunisia (Ouertani </w:t>
            </w:r>
            <w:r>
              <w:rPr>
                <w:rFonts w:ascii="Helvetica" w:hAnsi="Helvetica" w:cs="Helvetica"/>
                <w:bCs/>
                <w:i/>
                <w:szCs w:val="18"/>
              </w:rPr>
              <w:t>et al</w:t>
            </w:r>
            <w:r>
              <w:rPr>
                <w:rFonts w:ascii="Helvetica" w:hAnsi="Helvetica" w:cs="Helvetica"/>
                <w:bCs/>
                <w:szCs w:val="18"/>
              </w:rPr>
              <w:t>. 1992)</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Grapevine virus B</w:t>
            </w:r>
            <w:r>
              <w:rPr>
                <w:rFonts w:ascii="Helvetica" w:hAnsi="Helvetica" w:cs="Helvetica"/>
                <w:szCs w:val="18"/>
              </w:rPr>
              <w:t xml:space="preserve"> (GVB) (strains associated with grapevine corky bark)</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Corky bark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smartTag w:uri="urn:schemas-microsoft-com:office:smarttags" w:element="country-region">
              <w:r>
                <w:rPr>
                  <w:rFonts w:ascii="Helvetica" w:hAnsi="Helvetica" w:cs="Helvetica"/>
                  <w:bCs/>
                  <w:szCs w:val="18"/>
                </w:rPr>
                <w:t>Brazil</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Bulgaria</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France</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Italy</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Japan</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Mexico</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South Africa</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Spain</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Switzerland</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USA</w:t>
              </w:r>
            </w:smartTag>
            <w:r>
              <w:rPr>
                <w:rFonts w:ascii="Helvetica" w:hAnsi="Helvetica" w:cs="Helvetica"/>
                <w:bCs/>
                <w:szCs w:val="18"/>
              </w:rPr>
              <w:t xml:space="preserve"> (</w:t>
            </w:r>
            <w:smartTag w:uri="urn:schemas-microsoft-com:office:smarttags" w:element="State">
              <w:r>
                <w:rPr>
                  <w:rFonts w:ascii="Helvetica" w:hAnsi="Helvetica" w:cs="Helvetica"/>
                  <w:bCs/>
                  <w:szCs w:val="18"/>
                </w:rPr>
                <w:t>California</w:t>
              </w:r>
            </w:smartTag>
            <w:r>
              <w:rPr>
                <w:rFonts w:ascii="Helvetica" w:hAnsi="Helvetica" w:cs="Helvetica"/>
                <w:bCs/>
                <w:szCs w:val="18"/>
              </w:rPr>
              <w:t xml:space="preserve">), </w:t>
            </w:r>
            <w:smartTag w:uri="urn:schemas-microsoft-com:office:smarttags" w:element="country-region">
              <w:r>
                <w:rPr>
                  <w:rFonts w:ascii="Helvetica" w:hAnsi="Helvetica" w:cs="Helvetica"/>
                  <w:bCs/>
                  <w:szCs w:val="18"/>
                </w:rPr>
                <w:t>Yugoslavia</w:t>
              </w:r>
            </w:smartTag>
            <w:r>
              <w:rPr>
                <w:rFonts w:ascii="Helvetica" w:hAnsi="Helvetica" w:cs="Helvetica"/>
                <w:bCs/>
                <w:szCs w:val="18"/>
              </w:rPr>
              <w:t xml:space="preserve"> (Namba </w:t>
            </w:r>
            <w:r>
              <w:rPr>
                <w:rFonts w:ascii="Helvetica" w:hAnsi="Helvetica" w:cs="Helvetica"/>
                <w:bCs/>
                <w:i/>
                <w:szCs w:val="18"/>
              </w:rPr>
              <w:t>et al</w:t>
            </w:r>
            <w:r>
              <w:rPr>
                <w:rFonts w:ascii="Helvetica" w:hAnsi="Helvetica" w:cs="Helvetica"/>
                <w:bCs/>
                <w:szCs w:val="18"/>
              </w:rPr>
              <w:t xml:space="preserve">. 1991a), and </w:t>
            </w:r>
            <w:smartTag w:uri="urn:schemas-microsoft-com:office:smarttags" w:element="country-region">
              <w:smartTag w:uri="urn:schemas-microsoft-com:office:smarttags" w:element="place">
                <w:r>
                  <w:rPr>
                    <w:rFonts w:ascii="Helvetica" w:hAnsi="Helvetica" w:cs="Helvetica"/>
                    <w:bCs/>
                    <w:szCs w:val="18"/>
                  </w:rPr>
                  <w:t>Tunisia</w:t>
                </w:r>
              </w:smartTag>
            </w:smartTag>
            <w:r>
              <w:rPr>
                <w:rFonts w:ascii="Helvetica" w:hAnsi="Helvetica" w:cs="Helvetica"/>
                <w:bCs/>
                <w:szCs w:val="18"/>
              </w:rPr>
              <w:t xml:space="preserve"> (Abdallah </w:t>
            </w:r>
            <w:r>
              <w:rPr>
                <w:rFonts w:ascii="Helvetica" w:hAnsi="Helvetica" w:cs="Helvetica"/>
                <w:bCs/>
                <w:i/>
                <w:szCs w:val="18"/>
              </w:rPr>
              <w:t>et al</w:t>
            </w:r>
            <w:r>
              <w:rPr>
                <w:rFonts w:ascii="Helvetica" w:hAnsi="Helvetica" w:cs="Helvetica"/>
                <w:bCs/>
                <w:szCs w:val="18"/>
              </w:rPr>
              <w:t>. 2003).</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bCs/>
                <w:i/>
                <w:szCs w:val="18"/>
              </w:rPr>
              <w:t>Grapevine virus E</w:t>
            </w:r>
            <w:r>
              <w:rPr>
                <w:rFonts w:ascii="Helvetica" w:hAnsi="Helvetica" w:cs="Helvetica"/>
                <w:bCs/>
                <w:szCs w:val="18"/>
              </w:rPr>
              <w:t xml:space="preserve"> (GVE)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bCs/>
                <w:szCs w:val="18"/>
              </w:rPr>
              <w:t>Grapevine rugose wood complex.</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smartTag w:uri="urn:schemas-microsoft-com:office:smarttags" w:element="country-region">
              <w:r>
                <w:rPr>
                  <w:rFonts w:ascii="Helvetica" w:hAnsi="Helvetica" w:cs="Helvetica"/>
                  <w:bCs/>
                  <w:szCs w:val="18"/>
                </w:rPr>
                <w:t>Japan</w:t>
              </w:r>
            </w:smartTag>
            <w:r>
              <w:rPr>
                <w:rFonts w:ascii="Helvetica" w:hAnsi="Helvetica" w:cs="Helvetica"/>
                <w:bCs/>
                <w:szCs w:val="18"/>
              </w:rPr>
              <w:t xml:space="preserve"> (Nakaune </w:t>
            </w:r>
            <w:r>
              <w:rPr>
                <w:rFonts w:ascii="Helvetica" w:hAnsi="Helvetica" w:cs="Helvetica"/>
                <w:bCs/>
                <w:i/>
                <w:szCs w:val="18"/>
              </w:rPr>
              <w:t>et al</w:t>
            </w:r>
            <w:r>
              <w:rPr>
                <w:rFonts w:ascii="Helvetica" w:hAnsi="Helvetica" w:cs="Helvetica"/>
                <w:bCs/>
                <w:szCs w:val="18"/>
              </w:rPr>
              <w:t xml:space="preserve">. 2008) and </w:t>
            </w:r>
            <w:smartTag w:uri="urn:schemas-microsoft-com:office:smarttags" w:element="country-region">
              <w:smartTag w:uri="urn:schemas-microsoft-com:office:smarttags" w:element="place">
                <w:r>
                  <w:rPr>
                    <w:rFonts w:ascii="Helvetica" w:hAnsi="Helvetica" w:cs="Helvetica"/>
                    <w:bCs/>
                    <w:szCs w:val="18"/>
                  </w:rPr>
                  <w:t>South Africa</w:t>
                </w:r>
              </w:smartTag>
            </w:smartTag>
            <w:r>
              <w:rPr>
                <w:rFonts w:ascii="Helvetica" w:hAnsi="Helvetica" w:cs="Helvetica"/>
                <w:bCs/>
                <w:szCs w:val="18"/>
              </w:rPr>
              <w:t xml:space="preserve"> (Coetzee </w:t>
            </w:r>
            <w:r>
              <w:rPr>
                <w:rFonts w:ascii="Helvetica" w:hAnsi="Helvetica" w:cs="Helvetica"/>
                <w:bCs/>
                <w:i/>
                <w:szCs w:val="18"/>
              </w:rPr>
              <w:t>et al</w:t>
            </w:r>
            <w:r>
              <w:rPr>
                <w:rFonts w:ascii="Helvetica" w:hAnsi="Helvetica" w:cs="Helvetica"/>
                <w:bCs/>
                <w:szCs w:val="18"/>
              </w:rPr>
              <w:t>. 2010)</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bCs/>
                <w:i/>
                <w:szCs w:val="18"/>
              </w:rPr>
              <w:t>Peach rosette mosaic virus</w:t>
            </w:r>
            <w:r>
              <w:rPr>
                <w:rFonts w:ascii="Helvetica" w:hAnsi="Helvetica" w:cs="Helvetica"/>
                <w:bCs/>
                <w:szCs w:val="18"/>
              </w:rPr>
              <w:t xml:space="preserve"> (PeRMV)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bCs/>
                <w:i/>
                <w:szCs w:val="18"/>
              </w:rPr>
              <w:t>Rosette mosaic virus, Grape decline virus, Grapevine degeneration virus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bCs/>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bCs/>
                <w:szCs w:val="18"/>
              </w:rPr>
              <w:t>Blueberry, grapevine and peach (Ramsdell and Gillet 1998)</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smartTag w:uri="urn:schemas-microsoft-com:office:smarttags" w:element="country-region">
              <w:r>
                <w:rPr>
                  <w:rFonts w:ascii="Helvetica" w:hAnsi="Helvetica" w:cs="Helvetica"/>
                  <w:szCs w:val="18"/>
                </w:rPr>
                <w:t>Egypt</w:t>
              </w:r>
            </w:smartTag>
            <w:r>
              <w:rPr>
                <w:rFonts w:ascii="Helvetica" w:hAnsi="Helvetica" w:cs="Helvetica"/>
                <w:szCs w:val="18"/>
              </w:rPr>
              <w:t xml:space="preserve"> (Fayek </w:t>
            </w:r>
            <w:r>
              <w:rPr>
                <w:rFonts w:ascii="Helvetica" w:hAnsi="Helvetica" w:cs="Helvetica"/>
                <w:i/>
                <w:szCs w:val="18"/>
              </w:rPr>
              <w:t>et al</w:t>
            </w:r>
            <w:r>
              <w:rPr>
                <w:rFonts w:ascii="Helvetica" w:hAnsi="Helvetica" w:cs="Helvetica"/>
                <w:szCs w:val="18"/>
              </w:rPr>
              <w:t xml:space="preserve">. 2009), </w:t>
            </w:r>
            <w:smartTag w:uri="urn:schemas-microsoft-com:office:smarttags" w:element="country-region">
              <w:r>
                <w:rPr>
                  <w:rFonts w:ascii="Helvetica" w:hAnsi="Helvetica" w:cs="Helvetica"/>
                  <w:szCs w:val="18"/>
                </w:rPr>
                <w:t>Canada</w:t>
              </w:r>
            </w:smartTag>
            <w:r>
              <w:rPr>
                <w:rFonts w:ascii="Helvetica" w:hAnsi="Helvetica" w:cs="Helvetica"/>
                <w:szCs w:val="18"/>
              </w:rPr>
              <w:t xml:space="preserve"> (</w:t>
            </w:r>
            <w:smartTag w:uri="urn:schemas-microsoft-com:office:smarttags" w:element="State">
              <w:r>
                <w:rPr>
                  <w:rFonts w:ascii="Helvetica" w:hAnsi="Helvetica" w:cs="Helvetica"/>
                  <w:szCs w:val="18"/>
                </w:rPr>
                <w:t>Ontario</w:t>
              </w:r>
            </w:smartTag>
            <w:r>
              <w:rPr>
                <w:rFonts w:ascii="Helvetica" w:hAnsi="Helvetica" w:cs="Helvetica"/>
                <w:szCs w:val="18"/>
              </w:rPr>
              <w:t xml:space="preserve">) and </w:t>
            </w:r>
            <w:smartTag w:uri="urn:schemas-microsoft-com:office:smarttags" w:element="country-region">
              <w:r>
                <w:rPr>
                  <w:rFonts w:ascii="Helvetica" w:hAnsi="Helvetica" w:cs="Helvetica"/>
                  <w:szCs w:val="18"/>
                </w:rPr>
                <w:t>USA</w:t>
              </w:r>
            </w:smartTag>
            <w:r>
              <w:rPr>
                <w:rFonts w:ascii="Helvetica" w:hAnsi="Helvetica" w:cs="Helvetica"/>
                <w:szCs w:val="18"/>
              </w:rPr>
              <w:t xml:space="preserve"> (</w:t>
            </w:r>
            <w:smartTag w:uri="urn:schemas-microsoft-com:office:smarttags" w:element="State">
              <w:smartTag w:uri="urn:schemas-microsoft-com:office:smarttags" w:element="place">
                <w:r>
                  <w:rPr>
                    <w:rFonts w:ascii="Helvetica" w:hAnsi="Helvetica" w:cs="Helvetica"/>
                    <w:szCs w:val="18"/>
                  </w:rPr>
                  <w:t>Michigan</w:t>
                </w:r>
              </w:smartTag>
            </w:smartTag>
            <w:r>
              <w:rPr>
                <w:rFonts w:ascii="Helvetica" w:hAnsi="Helvetica" w:cs="Helvetica"/>
                <w:szCs w:val="18"/>
              </w:rPr>
              <w:t xml:space="preserve">) </w:t>
            </w:r>
            <w:r>
              <w:rPr>
                <w:rFonts w:ascii="Helvetica" w:hAnsi="Helvetica" w:cs="Helvetica"/>
                <w:bCs/>
                <w:szCs w:val="18"/>
              </w:rPr>
              <w:t>(Ramsdell and Gillet 1998)</w:t>
            </w:r>
            <w:r>
              <w:rPr>
                <w:rFonts w:ascii="Helvetica" w:hAnsi="Helvetica" w:cs="Helvetica"/>
                <w:szCs w:val="18"/>
              </w:rPr>
              <w:t>.</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bCs/>
                <w:i/>
                <w:szCs w:val="18"/>
              </w:rPr>
              <w:t>Petunia asteroid mosaic virus</w:t>
            </w:r>
            <w:r>
              <w:rPr>
                <w:rFonts w:ascii="Helvetica" w:hAnsi="Helvetica" w:cs="Helvetica"/>
                <w:bCs/>
                <w:szCs w:val="18"/>
              </w:rPr>
              <w:t xml:space="preserve"> (PeAMV)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bCs/>
                <w:i/>
                <w:szCs w:val="18"/>
              </w:rPr>
              <w:t>Tomato bushy stunt virus – petunia strain</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bCs/>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szCs w:val="18"/>
              </w:rPr>
              <w:t xml:space="preserve">Woody hosts (cherries, plums, grapes, privet and dogwood), hops and spinach. PeAMV has also been reported from the roots of </w:t>
            </w:r>
            <w:r>
              <w:rPr>
                <w:rFonts w:ascii="Helvetica" w:hAnsi="Helvetica" w:cs="Helvetica"/>
                <w:i/>
                <w:szCs w:val="18"/>
              </w:rPr>
              <w:t>Chenopodium album</w:t>
            </w:r>
            <w:r>
              <w:rPr>
                <w:rFonts w:ascii="Helvetica" w:hAnsi="Helvetica" w:cs="Helvetica"/>
                <w:szCs w:val="18"/>
              </w:rPr>
              <w:t xml:space="preserve">, </w:t>
            </w:r>
            <w:r>
              <w:rPr>
                <w:rFonts w:ascii="Helvetica" w:hAnsi="Helvetica" w:cs="Helvetica"/>
                <w:i/>
                <w:szCs w:val="18"/>
              </w:rPr>
              <w:t>Cucumis melo</w:t>
            </w:r>
            <w:r>
              <w:rPr>
                <w:rFonts w:ascii="Helvetica" w:hAnsi="Helvetica" w:cs="Helvetica"/>
                <w:szCs w:val="18"/>
              </w:rPr>
              <w:t xml:space="preserve">, </w:t>
            </w:r>
            <w:r>
              <w:rPr>
                <w:rFonts w:ascii="Helvetica" w:hAnsi="Helvetica" w:cs="Helvetica"/>
                <w:i/>
                <w:szCs w:val="18"/>
              </w:rPr>
              <w:t>Plantago major</w:t>
            </w:r>
            <w:r>
              <w:rPr>
                <w:rFonts w:ascii="Helvetica" w:hAnsi="Helvetica" w:cs="Helvetica"/>
                <w:szCs w:val="18"/>
              </w:rPr>
              <w:t xml:space="preserve"> and </w:t>
            </w:r>
            <w:r>
              <w:rPr>
                <w:rFonts w:ascii="Helvetica" w:hAnsi="Helvetica" w:cs="Helvetica"/>
                <w:i/>
                <w:szCs w:val="18"/>
              </w:rPr>
              <w:t>Stellaria media</w:t>
            </w:r>
            <w:r>
              <w:rPr>
                <w:rFonts w:ascii="Helvetica" w:hAnsi="Helvetica" w:cs="Helvetica"/>
                <w:szCs w:val="18"/>
              </w:rPr>
              <w:t xml:space="preserve"> (Lovisolo 1990).</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szCs w:val="18"/>
              </w:rPr>
              <w:t xml:space="preserve">PeAMV is widely distributed in Asia, Europe and North America; however, on grapes it is reported only from </w:t>
            </w:r>
            <w:smartTag w:uri="urn:schemas-microsoft-com:office:smarttags" w:element="country-region">
              <w:r>
                <w:rPr>
                  <w:rFonts w:ascii="Helvetica" w:hAnsi="Helvetica" w:cs="Helvetica"/>
                  <w:szCs w:val="18"/>
                </w:rPr>
                <w:t>Czechoslovakia</w:t>
              </w:r>
            </w:smartTag>
            <w:r>
              <w:rPr>
                <w:rFonts w:ascii="Helvetica" w:hAnsi="Helvetica" w:cs="Helvetica"/>
                <w:szCs w:val="18"/>
              </w:rPr>
              <w:t xml:space="preserve">,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and </w:t>
            </w:r>
            <w:smartTag w:uri="urn:schemas-microsoft-com:office:smarttags" w:element="country-region">
              <w:smartTag w:uri="urn:schemas-microsoft-com:office:smarttags" w:element="place">
                <w:r>
                  <w:rPr>
                    <w:rFonts w:ascii="Helvetica" w:hAnsi="Helvetica" w:cs="Helvetica"/>
                    <w:szCs w:val="18"/>
                  </w:rPr>
                  <w:t>West Germany</w:t>
                </w:r>
              </w:smartTag>
            </w:smartTag>
            <w:r>
              <w:rPr>
                <w:rFonts w:ascii="Helvetica" w:hAnsi="Helvetica" w:cs="Helvetica"/>
                <w:szCs w:val="18"/>
              </w:rPr>
              <w:t xml:space="preserve"> (Bercks 1967; Novák and Lanzová 1976; Koenig </w:t>
            </w:r>
            <w:r>
              <w:rPr>
                <w:rFonts w:ascii="Helvetica" w:hAnsi="Helvetica" w:cs="Helvetica"/>
                <w:i/>
                <w:szCs w:val="18"/>
              </w:rPr>
              <w:t>et al.</w:t>
            </w:r>
            <w:r>
              <w:rPr>
                <w:rFonts w:ascii="Helvetica" w:hAnsi="Helvetica" w:cs="Helvetica"/>
                <w:szCs w:val="18"/>
              </w:rPr>
              <w:t xml:space="preserve"> 1989; Martelli 1993; Constable </w:t>
            </w:r>
            <w:r>
              <w:rPr>
                <w:rFonts w:ascii="Helvetica" w:hAnsi="Helvetica" w:cs="Helvetica"/>
                <w:i/>
                <w:szCs w:val="18"/>
              </w:rPr>
              <w:t>et al.</w:t>
            </w:r>
            <w:r>
              <w:rPr>
                <w:rFonts w:ascii="Helvetica" w:hAnsi="Helvetica" w:cs="Helvetica"/>
                <w:szCs w:val="18"/>
              </w:rPr>
              <w:t xml:space="preserve"> 2010).</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bCs/>
                <w:i/>
                <w:szCs w:val="18"/>
              </w:rPr>
              <w:t>Raspberry ringspot virus</w:t>
            </w:r>
            <w:r>
              <w:rPr>
                <w:rFonts w:ascii="Helvetica" w:hAnsi="Helvetica" w:cs="Helvetica"/>
                <w:bCs/>
                <w:szCs w:val="18"/>
              </w:rPr>
              <w:t xml:space="preserve"> (RpRSV) – Grapevine strain</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bCs/>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bCs/>
                <w:szCs w:val="18"/>
              </w:rPr>
              <w:t>Grapevine fanleaf disease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bCs/>
                <w:i/>
                <w:szCs w:val="18"/>
              </w:rPr>
            </w:pPr>
            <w:r>
              <w:rPr>
                <w:rFonts w:ascii="Helvetica" w:hAnsi="Helvetica" w:cs="Helvetica"/>
                <w:bCs/>
                <w:i/>
                <w:szCs w:val="18"/>
              </w:rPr>
              <w:t>Vitis vinifera</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bCs/>
                <w:szCs w:val="18"/>
              </w:rPr>
              <w:t xml:space="preserve">Germany (Martelli and Boudon-Padieu 2006; Wetzel </w:t>
            </w:r>
            <w:r>
              <w:rPr>
                <w:rFonts w:ascii="Helvetica" w:hAnsi="Helvetica" w:cs="Helvetica"/>
                <w:bCs/>
                <w:i/>
                <w:szCs w:val="18"/>
              </w:rPr>
              <w:t>et al</w:t>
            </w:r>
            <w:r>
              <w:rPr>
                <w:rFonts w:ascii="Helvetica" w:hAnsi="Helvetica" w:cs="Helvetica"/>
                <w:bCs/>
                <w:szCs w:val="18"/>
              </w:rPr>
              <w:t>. 2006)</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szCs w:val="18"/>
              </w:rPr>
            </w:pPr>
            <w:r>
              <w:rPr>
                <w:rFonts w:ascii="Helvetica" w:hAnsi="Helvetica" w:cs="Helvetica"/>
                <w:i/>
                <w:szCs w:val="18"/>
              </w:rPr>
              <w:t>Sowbane mosaic virus</w:t>
            </w:r>
            <w:r>
              <w:rPr>
                <w:rFonts w:ascii="Helvetica" w:hAnsi="Helvetica" w:cs="Helvetica"/>
                <w:szCs w:val="18"/>
              </w:rPr>
              <w:t xml:space="preserve"> (SoMV) – grape strains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i/>
                <w:szCs w:val="18"/>
              </w:rPr>
            </w:pPr>
            <w:r>
              <w:rPr>
                <w:rFonts w:ascii="Helvetica" w:hAnsi="Helvetica" w:cs="Helvetica"/>
                <w:i/>
                <w:szCs w:val="18"/>
              </w:rPr>
              <w:t>Chenopodium mosaic virus, Apple latent virus 2, Chenopodium star mottle virus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Vitis vinifera</w:t>
            </w:r>
            <w:r>
              <w:rPr>
                <w:rFonts w:ascii="Helvetica" w:hAnsi="Helvetica" w:cs="Helvetica"/>
                <w:szCs w:val="18"/>
              </w:rPr>
              <w:t xml:space="preserve"> (grapevine) (Bercks and Querfurth 1969).</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Bulgaria, Czechoslovakia and Germany (Bercks and Querfurth 1969; Jankulova 1972; Pozdena </w:t>
            </w:r>
            <w:r>
              <w:rPr>
                <w:rFonts w:ascii="Helvetica" w:hAnsi="Helvetica" w:cs="Helvetica"/>
                <w:i/>
                <w:szCs w:val="18"/>
              </w:rPr>
              <w:t>et al</w:t>
            </w:r>
            <w:r>
              <w:rPr>
                <w:rFonts w:ascii="Helvetica" w:hAnsi="Helvetica" w:cs="Helvetica"/>
                <w:szCs w:val="18"/>
              </w:rPr>
              <w:t>. 1977)</w:t>
            </w:r>
          </w:p>
        </w:tc>
      </w:tr>
      <w:tr>
        <w:tc>
          <w:tcPr>
            <w:tcW w:w="1851" w:type="dxa"/>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i/>
                <w:szCs w:val="18"/>
              </w:rPr>
            </w:pPr>
            <w:r>
              <w:rPr>
                <w:rFonts w:ascii="Helvetica" w:hAnsi="Helvetica" w:cs="Helvetica"/>
                <w:i/>
                <w:szCs w:val="18"/>
              </w:rPr>
              <w:t>Strawberry latent ringspot virus</w:t>
            </w:r>
          </w:p>
        </w:tc>
      </w:tr>
      <w:tr>
        <w:tc>
          <w:tcPr>
            <w:tcW w:w="1851" w:type="dxa"/>
          </w:tcPr>
          <w:p>
            <w:pPr>
              <w:spacing w:before="60" w:after="6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vAlign w:val="center"/>
          </w:tcPr>
          <w:p>
            <w:pPr>
              <w:pStyle w:val="TableText0"/>
              <w:spacing w:line="240" w:lineRule="atLeast"/>
              <w:jc w:val="left"/>
              <w:rPr>
                <w:rFonts w:ascii="Helvetica" w:hAnsi="Helvetica" w:cs="Helvetica"/>
                <w:i/>
                <w:szCs w:val="18"/>
              </w:rPr>
            </w:pPr>
            <w:r>
              <w:rPr>
                <w:rFonts w:ascii="Helvetica" w:hAnsi="Helvetica" w:cs="Helvetica"/>
                <w:i/>
                <w:szCs w:val="18"/>
              </w:rPr>
              <w:t>Aesculus line pattern virus, Rhubarb virus 5</w:t>
            </w:r>
          </w:p>
        </w:tc>
      </w:tr>
      <w:tr>
        <w:tc>
          <w:tcPr>
            <w:tcW w:w="1851" w:type="dxa"/>
          </w:tcPr>
          <w:p>
            <w:pPr>
              <w:spacing w:before="60" w:after="6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vAlign w:val="center"/>
          </w:tcPr>
          <w:p>
            <w:pPr>
              <w:pStyle w:val="TableText0"/>
              <w:spacing w:line="240" w:lineRule="atLeast"/>
              <w:jc w:val="left"/>
              <w:rPr>
                <w:rFonts w:ascii="Helvetica" w:hAnsi="Helvetica" w:cs="Helvetica"/>
                <w:szCs w:val="18"/>
              </w:rPr>
            </w:pPr>
          </w:p>
        </w:tc>
      </w:tr>
      <w:tr>
        <w:tc>
          <w:tcPr>
            <w:tcW w:w="1851" w:type="dxa"/>
          </w:tcPr>
          <w:p>
            <w:pPr>
              <w:spacing w:before="60" w:after="6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vAlign w:val="center"/>
          </w:tcPr>
          <w:p>
            <w:pPr>
              <w:pStyle w:val="TableText0"/>
              <w:spacing w:line="240" w:lineRule="atLeast"/>
              <w:jc w:val="left"/>
              <w:rPr>
                <w:rFonts w:ascii="Helvetica" w:hAnsi="Helvetica" w:cs="Helvetica"/>
                <w:szCs w:val="18"/>
              </w:rPr>
            </w:pPr>
            <w:r>
              <w:rPr>
                <w:rFonts w:ascii="Helvetica" w:hAnsi="Helvetica" w:cs="Helvetica"/>
                <w:szCs w:val="18"/>
              </w:rPr>
              <w:t xml:space="preserve">Wide host range 126 species belonging to 27 families (Tzanetakis </w:t>
            </w:r>
            <w:r>
              <w:rPr>
                <w:rFonts w:ascii="Helvetica" w:hAnsi="Helvetica" w:cs="Helvetica"/>
                <w:i/>
                <w:szCs w:val="18"/>
              </w:rPr>
              <w:t>et al</w:t>
            </w:r>
            <w:r>
              <w:rPr>
                <w:rFonts w:ascii="Helvetica" w:hAnsi="Helvetica" w:cs="Helvetica"/>
                <w:szCs w:val="18"/>
              </w:rPr>
              <w:t xml:space="preserve">. 2006) including asparagus, blackberries, black currants, celery, cherries, </w:t>
            </w:r>
            <w:r>
              <w:rPr>
                <w:rFonts w:ascii="Helvetica" w:hAnsi="Helvetica" w:cs="Helvetica"/>
                <w:i/>
                <w:szCs w:val="18"/>
              </w:rPr>
              <w:t>Gladiolus</w:t>
            </w:r>
            <w:r>
              <w:rPr>
                <w:rFonts w:ascii="Helvetica" w:hAnsi="Helvetica" w:cs="Helvetica"/>
                <w:szCs w:val="18"/>
              </w:rPr>
              <w:t xml:space="preserve">, </w:t>
            </w:r>
            <w:r>
              <w:rPr>
                <w:rFonts w:ascii="Helvetica" w:hAnsi="Helvetica" w:cs="Helvetica"/>
                <w:i/>
                <w:szCs w:val="18"/>
              </w:rPr>
              <w:t>Narcissus</w:t>
            </w:r>
            <w:r>
              <w:rPr>
                <w:rFonts w:ascii="Helvetica" w:hAnsi="Helvetica" w:cs="Helvetica"/>
                <w:szCs w:val="18"/>
              </w:rPr>
              <w:t xml:space="preserve">, grapes, plums, peaches, raspberries, red currants, roses, rhubarb, </w:t>
            </w:r>
            <w:r>
              <w:rPr>
                <w:rFonts w:ascii="Helvetica" w:hAnsi="Helvetica" w:cs="Helvetica"/>
                <w:i/>
                <w:szCs w:val="18"/>
              </w:rPr>
              <w:t xml:space="preserve">Sambucus nigra </w:t>
            </w:r>
            <w:r>
              <w:rPr>
                <w:rFonts w:ascii="Helvetica" w:hAnsi="Helvetica" w:cs="Helvetica"/>
                <w:szCs w:val="18"/>
              </w:rPr>
              <w:t>and strawberries.</w:t>
            </w:r>
          </w:p>
        </w:tc>
      </w:tr>
      <w:tr>
        <w:tc>
          <w:tcPr>
            <w:tcW w:w="1851" w:type="dxa"/>
          </w:tcPr>
          <w:p>
            <w:pPr>
              <w:spacing w:before="60" w:after="6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vAlign w:val="center"/>
          </w:tcPr>
          <w:p>
            <w:pPr>
              <w:pStyle w:val="TableText0"/>
              <w:spacing w:line="240" w:lineRule="atLeast"/>
              <w:jc w:val="left"/>
              <w:rPr>
                <w:rFonts w:ascii="Helvetica" w:hAnsi="Helvetica" w:cs="Helvetica"/>
                <w:szCs w:val="18"/>
              </w:rPr>
            </w:pPr>
            <w:r>
              <w:rPr>
                <w:rFonts w:ascii="Helvetica" w:hAnsi="Helvetica" w:cs="Helvetica"/>
                <w:szCs w:val="18"/>
              </w:rPr>
              <w:t xml:space="preserve">SLRSV has been reported from Europe and </w:t>
            </w:r>
            <w:smartTag w:uri="urn:schemas-microsoft-com:office:smarttags" w:element="country-region">
              <w:r>
                <w:rPr>
                  <w:rFonts w:ascii="Helvetica" w:hAnsi="Helvetica" w:cs="Helvetica"/>
                  <w:szCs w:val="18"/>
                </w:rPr>
                <w:t>Israel</w:t>
              </w:r>
            </w:smartTag>
            <w:r>
              <w:rPr>
                <w:rFonts w:ascii="Helvetica" w:hAnsi="Helvetica" w:cs="Helvetica"/>
                <w:szCs w:val="18"/>
              </w:rPr>
              <w:t xml:space="preserve">, </w:t>
            </w:r>
            <w:smartTag w:uri="urn:schemas-microsoft-com:office:smarttags" w:element="country-region">
              <w:r>
                <w:rPr>
                  <w:rFonts w:ascii="Helvetica" w:hAnsi="Helvetica" w:cs="Helvetica"/>
                  <w:szCs w:val="18"/>
                </w:rPr>
                <w:t>New Zealand</w:t>
              </w:r>
            </w:smartTag>
            <w:r>
              <w:rPr>
                <w:rFonts w:ascii="Helvetica" w:hAnsi="Helvetica" w:cs="Helvetica"/>
                <w:szCs w:val="18"/>
              </w:rPr>
              <w:t xml:space="preserve">, North America and </w:t>
            </w:r>
            <w:smartTag w:uri="urn:schemas-microsoft-com:office:smarttags" w:element="country-region">
              <w:smartTag w:uri="urn:schemas-microsoft-com:office:smarttags" w:element="place">
                <w:r>
                  <w:rPr>
                    <w:rFonts w:ascii="Helvetica" w:hAnsi="Helvetica" w:cs="Helvetica"/>
                    <w:szCs w:val="18"/>
                  </w:rPr>
                  <w:t>Turkey</w:t>
                </w:r>
              </w:smartTag>
            </w:smartTag>
            <w:r>
              <w:rPr>
                <w:rFonts w:ascii="Helvetica" w:hAnsi="Helvetica" w:cs="Helvetica"/>
                <w:szCs w:val="18"/>
              </w:rPr>
              <w:t xml:space="preserve"> (EPPO 2010a). However, in grapevines, SLRSV infections were reported in </w:t>
            </w:r>
            <w:smartTag w:uri="urn:schemas-microsoft-com:office:smarttags" w:element="PlaceName">
              <w:r>
                <w:rPr>
                  <w:rFonts w:ascii="Helvetica" w:hAnsi="Helvetica" w:cs="Helvetica"/>
                  <w:szCs w:val="18"/>
                </w:rPr>
                <w:t>Czech</w:t>
              </w:r>
            </w:smartTag>
            <w:r>
              <w:rPr>
                <w:rFonts w:ascii="Helvetica" w:hAnsi="Helvetica" w:cs="Helvetica"/>
                <w:szCs w:val="18"/>
              </w:rPr>
              <w:t xml:space="preserve"> </w:t>
            </w:r>
            <w:smartTag w:uri="urn:schemas-microsoft-com:office:smarttags" w:element="PlaceType">
              <w:r>
                <w:rPr>
                  <w:rFonts w:ascii="Helvetica" w:hAnsi="Helvetica" w:cs="Helvetica"/>
                  <w:szCs w:val="18"/>
                </w:rPr>
                <w:t>Republic</w:t>
              </w:r>
            </w:smartTag>
            <w:r>
              <w:rPr>
                <w:rFonts w:ascii="Helvetica" w:hAnsi="Helvetica" w:cs="Helvetica"/>
                <w:szCs w:val="18"/>
              </w:rPr>
              <w:t xml:space="preserve"> (Komínek 2008), France (Walter 1997), </w:t>
            </w:r>
            <w:smartTag w:uri="urn:schemas-microsoft-com:office:smarttags" w:element="country-region">
              <w:r>
                <w:rPr>
                  <w:rFonts w:ascii="Helvetica" w:hAnsi="Helvetica" w:cs="Helvetica"/>
                  <w:szCs w:val="18"/>
                </w:rPr>
                <w:t>Germany</w:t>
              </w:r>
            </w:smartTag>
            <w:r>
              <w:rPr>
                <w:rFonts w:ascii="Helvetica" w:hAnsi="Helvetica" w:cs="Helvetica"/>
                <w:szCs w:val="18"/>
              </w:rPr>
              <w:t xml:space="preserve"> (</w:t>
            </w:r>
            <w:r>
              <w:t>Bercks</w:t>
            </w:r>
            <w:r>
              <w:rPr>
                <w:rFonts w:ascii="Helvetica" w:hAnsi="Helvetica" w:cs="Helvetica"/>
                <w:szCs w:val="18"/>
              </w:rPr>
              <w:t xml:space="preserve"> </w:t>
            </w:r>
            <w:r>
              <w:rPr>
                <w:rFonts w:ascii="Helvetica" w:hAnsi="Helvetica" w:cs="Helvetica"/>
                <w:i/>
                <w:szCs w:val="18"/>
              </w:rPr>
              <w:t>et al.</w:t>
            </w:r>
            <w:r>
              <w:rPr>
                <w:rFonts w:ascii="Helvetica" w:hAnsi="Helvetica" w:cs="Helvetica"/>
                <w:szCs w:val="18"/>
              </w:rPr>
              <w:t xml:space="preserve"> 1977), </w:t>
            </w:r>
            <w:smartTag w:uri="urn:schemas-microsoft-com:office:smarttags" w:element="country-region">
              <w:r>
                <w:rPr>
                  <w:rFonts w:ascii="Helvetica" w:hAnsi="Helvetica" w:cs="Helvetica"/>
                  <w:szCs w:val="18"/>
                </w:rPr>
                <w:t>Italy</w:t>
              </w:r>
            </w:smartTag>
            <w:r>
              <w:rPr>
                <w:rFonts w:ascii="Helvetica" w:hAnsi="Helvetica" w:cs="Helvetica"/>
                <w:szCs w:val="18"/>
              </w:rPr>
              <w:t xml:space="preserve"> (Babini and Bertaccini 1982), </w:t>
            </w:r>
            <w:smartTag w:uri="urn:schemas-microsoft-com:office:smarttags" w:element="country-region">
              <w:r>
                <w:rPr>
                  <w:rFonts w:ascii="Helvetica" w:hAnsi="Helvetica" w:cs="Helvetica"/>
                  <w:szCs w:val="18"/>
                </w:rPr>
                <w:t>Romania</w:t>
              </w:r>
            </w:smartTag>
            <w:r>
              <w:rPr>
                <w:rFonts w:ascii="Helvetica" w:hAnsi="Helvetica" w:cs="Helvetica"/>
                <w:szCs w:val="18"/>
              </w:rPr>
              <w:t xml:space="preserve"> (Eppler </w:t>
            </w:r>
            <w:r>
              <w:rPr>
                <w:rFonts w:ascii="Helvetica" w:hAnsi="Helvetica" w:cs="Helvetica"/>
                <w:i/>
                <w:szCs w:val="18"/>
              </w:rPr>
              <w:t>et al</w:t>
            </w:r>
            <w:r>
              <w:rPr>
                <w:rFonts w:ascii="Helvetica" w:hAnsi="Helvetica" w:cs="Helvetica"/>
                <w:szCs w:val="18"/>
              </w:rPr>
              <w:t xml:space="preserve">. 1989), Turkey (Savino </w:t>
            </w:r>
            <w:r>
              <w:rPr>
                <w:rFonts w:ascii="Helvetica" w:hAnsi="Helvetica" w:cs="Helvetica"/>
                <w:i/>
                <w:szCs w:val="18"/>
              </w:rPr>
              <w:t>et al</w:t>
            </w:r>
            <w:r>
              <w:rPr>
                <w:rFonts w:ascii="Helvetica" w:hAnsi="Helvetica" w:cs="Helvetica"/>
                <w:szCs w:val="18"/>
              </w:rPr>
              <w:t xml:space="preserve">. 1987; Akbas and Erdiller 1993). </w:t>
            </w:r>
          </w:p>
        </w:tc>
      </w:tr>
      <w:tr>
        <w:tc>
          <w:tcPr>
            <w:tcW w:w="1851" w:type="dxa"/>
            <w:shd w:val="clear" w:color="auto" w:fill="E0E0E0"/>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vAlign w:val="center"/>
          </w:tcPr>
          <w:p>
            <w:pPr>
              <w:pStyle w:val="TableText0"/>
              <w:spacing w:line="240" w:lineRule="atLeast"/>
              <w:jc w:val="left"/>
              <w:rPr>
                <w:rFonts w:ascii="Helvetica" w:hAnsi="Helvetica" w:cs="Helvetica"/>
                <w:szCs w:val="18"/>
              </w:rPr>
            </w:pPr>
            <w:r>
              <w:rPr>
                <w:rFonts w:ascii="Helvetica" w:hAnsi="Helvetica" w:cs="Helvetica"/>
                <w:i/>
                <w:szCs w:val="18"/>
              </w:rPr>
              <w:t>Tobacco necrosis virus</w:t>
            </w:r>
            <w:r>
              <w:rPr>
                <w:rFonts w:ascii="Helvetica" w:hAnsi="Helvetica" w:cs="Helvetica"/>
                <w:szCs w:val="18"/>
              </w:rPr>
              <w:t xml:space="preserve"> – grape strain </w:t>
            </w:r>
          </w:p>
        </w:tc>
      </w:tr>
      <w:tr>
        <w:tc>
          <w:tcPr>
            <w:tcW w:w="1851" w:type="dxa"/>
            <w:vAlign w:val="center"/>
          </w:tcPr>
          <w:p>
            <w:pPr>
              <w:pStyle w:val="TableText0"/>
              <w:keepNext w:val="0"/>
              <w:spacing w:before="40" w:after="40" w:line="240" w:lineRule="atLeast"/>
              <w:jc w:val="left"/>
              <w:rPr>
                <w:rFonts w:ascii="Helvetica" w:hAnsi="Helvetica" w:cs="Helvetica"/>
                <w:b/>
                <w:bCs/>
                <w:szCs w:val="18"/>
              </w:rPr>
            </w:pPr>
          </w:p>
        </w:tc>
        <w:tc>
          <w:tcPr>
            <w:tcW w:w="7461" w:type="dxa"/>
            <w:vAlign w:val="center"/>
          </w:tcPr>
          <w:p>
            <w:pPr>
              <w:pStyle w:val="TableText0"/>
              <w:spacing w:before="40" w:after="40" w:line="240" w:lineRule="atLeast"/>
              <w:jc w:val="left"/>
              <w:rPr>
                <w:rFonts w:ascii="Helvetica" w:hAnsi="Helvetica" w:cs="Helvetica"/>
                <w:szCs w:val="18"/>
              </w:rPr>
            </w:pPr>
          </w:p>
        </w:tc>
      </w:tr>
      <w:tr>
        <w:tc>
          <w:tcPr>
            <w:tcW w:w="1851" w:type="dxa"/>
          </w:tcPr>
          <w:p>
            <w:pPr>
              <w:pStyle w:val="TableText0"/>
              <w:keepNext w:val="0"/>
              <w:spacing w:before="40" w:after="40" w:line="240" w:lineRule="atLeast"/>
              <w:jc w:val="left"/>
              <w:rPr>
                <w:rFonts w:ascii="Helvetica" w:hAnsi="Helvetica" w:cs="Helvetica"/>
                <w:b/>
                <w:bCs/>
                <w:szCs w:val="18"/>
              </w:rPr>
            </w:pPr>
            <w:r>
              <w:rPr>
                <w:rFonts w:ascii="Helvetica" w:hAnsi="Helvetica" w:cs="Helvetica"/>
                <w:b/>
                <w:bCs/>
                <w:szCs w:val="18"/>
              </w:rPr>
              <w:t>Synonyms</w:t>
            </w:r>
          </w:p>
        </w:tc>
        <w:tc>
          <w:tcPr>
            <w:tcW w:w="7461" w:type="dxa"/>
            <w:vAlign w:val="center"/>
          </w:tcPr>
          <w:p>
            <w:pPr>
              <w:pStyle w:val="TableText0"/>
              <w:spacing w:before="40" w:after="40" w:line="240" w:lineRule="atLeast"/>
              <w:jc w:val="left"/>
              <w:rPr>
                <w:rFonts w:ascii="Helvetica" w:hAnsi="Helvetica" w:cs="Helvetica"/>
                <w:szCs w:val="18"/>
              </w:rPr>
            </w:pPr>
          </w:p>
        </w:tc>
      </w:tr>
      <w:tr>
        <w:tc>
          <w:tcPr>
            <w:tcW w:w="1851" w:type="dxa"/>
            <w:vAlign w:val="center"/>
          </w:tcPr>
          <w:p>
            <w:pPr>
              <w:pStyle w:val="TableText0"/>
              <w:keepNext w:val="0"/>
              <w:spacing w:before="40" w:after="40" w:line="240" w:lineRule="atLeast"/>
              <w:jc w:val="left"/>
              <w:rPr>
                <w:rFonts w:ascii="Helvetica" w:hAnsi="Helvetica" w:cs="Helvetica"/>
                <w:b/>
                <w:bCs/>
                <w:szCs w:val="18"/>
              </w:rPr>
            </w:pPr>
            <w:r>
              <w:rPr>
                <w:rFonts w:ascii="Helvetica" w:hAnsi="Helvetica" w:cs="Helvetica"/>
                <w:b/>
                <w:bCs/>
                <w:szCs w:val="18"/>
              </w:rPr>
              <w:t>Common name(s)</w:t>
            </w:r>
          </w:p>
        </w:tc>
        <w:tc>
          <w:tcPr>
            <w:tcW w:w="7461" w:type="dxa"/>
            <w:vAlign w:val="center"/>
          </w:tcPr>
          <w:p>
            <w:pPr>
              <w:pStyle w:val="TableText0"/>
              <w:spacing w:before="40" w:after="40" w:line="240" w:lineRule="atLeast"/>
              <w:jc w:val="left"/>
              <w:rPr>
                <w:rFonts w:ascii="Helvetica" w:hAnsi="Helvetica" w:cs="Helvetica"/>
                <w:i/>
                <w:szCs w:val="18"/>
              </w:rPr>
            </w:pPr>
            <w:r>
              <w:rPr>
                <w:rFonts w:ascii="Helvetica" w:hAnsi="Helvetica" w:cs="Helvetica"/>
                <w:i/>
                <w:szCs w:val="18"/>
              </w:rPr>
              <w:t>Tobacco necrosis virus</w:t>
            </w:r>
          </w:p>
        </w:tc>
      </w:tr>
      <w:tr>
        <w:tc>
          <w:tcPr>
            <w:tcW w:w="1851" w:type="dxa"/>
          </w:tcPr>
          <w:p>
            <w:pPr>
              <w:pStyle w:val="TableText0"/>
              <w:keepNext w:val="0"/>
              <w:spacing w:before="40" w:after="40" w:line="240" w:lineRule="atLeast"/>
              <w:jc w:val="left"/>
              <w:rPr>
                <w:rFonts w:ascii="Helvetica" w:hAnsi="Helvetica" w:cs="Helvetica"/>
                <w:b/>
                <w:bCs/>
                <w:szCs w:val="18"/>
              </w:rPr>
            </w:pPr>
            <w:r>
              <w:rPr>
                <w:rFonts w:ascii="Helvetica" w:hAnsi="Helvetica" w:cs="Helvetica"/>
                <w:b/>
                <w:bCs/>
                <w:szCs w:val="18"/>
              </w:rPr>
              <w:t>Main hosts</w:t>
            </w:r>
          </w:p>
        </w:tc>
        <w:tc>
          <w:tcPr>
            <w:tcW w:w="7461" w:type="dxa"/>
            <w:vAlign w:val="center"/>
          </w:tcPr>
          <w:p>
            <w:pPr>
              <w:pStyle w:val="TableText0"/>
              <w:spacing w:before="40" w:after="40" w:line="240" w:lineRule="atLeast"/>
              <w:jc w:val="left"/>
              <w:rPr>
                <w:rFonts w:ascii="Helvetica" w:hAnsi="Helvetica" w:cs="Helvetica"/>
                <w:szCs w:val="18"/>
              </w:rPr>
            </w:pPr>
            <w:r>
              <w:rPr>
                <w:rFonts w:ascii="Helvetica" w:hAnsi="Helvetica" w:cs="Helvetica"/>
                <w:szCs w:val="18"/>
                <w:lang w:val="en-US"/>
              </w:rPr>
              <w:t>Grapevine (</w:t>
            </w:r>
            <w:r>
              <w:rPr>
                <w:rFonts w:ascii="Helvetica" w:hAnsi="Helvetica" w:cs="Helvetica"/>
                <w:szCs w:val="18"/>
              </w:rPr>
              <w:t>Cesati and Van Regenmortel 1969).</w:t>
            </w:r>
          </w:p>
          <w:p>
            <w:pPr>
              <w:pStyle w:val="TableText0"/>
              <w:spacing w:before="40" w:after="40" w:line="240" w:lineRule="atLeast"/>
              <w:jc w:val="left"/>
              <w:rPr>
                <w:rFonts w:ascii="Helvetica" w:hAnsi="Helvetica" w:cs="Helvetica"/>
                <w:szCs w:val="18"/>
                <w:lang w:val="en-US"/>
              </w:rPr>
            </w:pPr>
            <w:r>
              <w:rPr>
                <w:rFonts w:ascii="Helvetica" w:hAnsi="Helvetica" w:cs="Helvetica"/>
                <w:szCs w:val="18"/>
              </w:rPr>
              <w:t xml:space="preserve">NTVs hosts include: </w:t>
            </w:r>
            <w:r>
              <w:rPr>
                <w:rFonts w:ascii="Helvetica" w:hAnsi="Helvetica" w:cs="Helvetica"/>
                <w:i/>
                <w:szCs w:val="18"/>
              </w:rPr>
              <w:t>Brassica oleracea</w:t>
            </w:r>
            <w:r>
              <w:rPr>
                <w:rFonts w:ascii="Helvetica" w:hAnsi="Helvetica" w:cs="Helvetica"/>
                <w:szCs w:val="18"/>
              </w:rPr>
              <w:t xml:space="preserve"> (cabbage), </w:t>
            </w:r>
            <w:r>
              <w:rPr>
                <w:rFonts w:ascii="Helvetica" w:hAnsi="Helvetica" w:cs="Helvetica"/>
                <w:i/>
                <w:szCs w:val="18"/>
              </w:rPr>
              <w:t>Chenopodium quinoa</w:t>
            </w:r>
            <w:r>
              <w:rPr>
                <w:rFonts w:ascii="Helvetica" w:hAnsi="Helvetica" w:cs="Helvetica"/>
                <w:szCs w:val="18"/>
              </w:rPr>
              <w:t xml:space="preserve"> (quinoa), </w:t>
            </w:r>
            <w:r>
              <w:rPr>
                <w:rFonts w:ascii="Helvetica" w:hAnsi="Helvetica" w:cs="Helvetica"/>
                <w:i/>
                <w:szCs w:val="18"/>
              </w:rPr>
              <w:t>Cucumis sativus</w:t>
            </w:r>
            <w:r>
              <w:rPr>
                <w:rFonts w:ascii="Helvetica" w:hAnsi="Helvetica" w:cs="Helvetica"/>
                <w:szCs w:val="18"/>
              </w:rPr>
              <w:t xml:space="preserve"> (cucumber), </w:t>
            </w:r>
            <w:r>
              <w:rPr>
                <w:rFonts w:ascii="Helvetica" w:hAnsi="Helvetica" w:cs="Helvetica"/>
                <w:i/>
                <w:szCs w:val="18"/>
              </w:rPr>
              <w:t>Cucurbita pepo</w:t>
            </w:r>
            <w:r>
              <w:rPr>
                <w:rFonts w:ascii="Helvetica" w:hAnsi="Helvetica" w:cs="Helvetica"/>
                <w:szCs w:val="18"/>
              </w:rPr>
              <w:t xml:space="preserve"> (zucchini), </w:t>
            </w:r>
            <w:r>
              <w:rPr>
                <w:rFonts w:ascii="Helvetica" w:hAnsi="Helvetica" w:cs="Helvetica"/>
                <w:i/>
                <w:szCs w:val="18"/>
              </w:rPr>
              <w:t>Daucus carota</w:t>
            </w:r>
            <w:r>
              <w:rPr>
                <w:rFonts w:ascii="Helvetica" w:hAnsi="Helvetica" w:cs="Helvetica"/>
                <w:szCs w:val="18"/>
              </w:rPr>
              <w:t xml:space="preserve"> (carrot), </w:t>
            </w:r>
            <w:r>
              <w:rPr>
                <w:rFonts w:ascii="Helvetica" w:hAnsi="Helvetica" w:cs="Helvetica"/>
                <w:i/>
                <w:szCs w:val="18"/>
              </w:rPr>
              <w:t>Fragaria × ananassa</w:t>
            </w:r>
            <w:r>
              <w:rPr>
                <w:rFonts w:ascii="Helvetica" w:hAnsi="Helvetica" w:cs="Helvetica"/>
                <w:szCs w:val="18"/>
              </w:rPr>
              <w:t xml:space="preserve"> (strawberry), </w:t>
            </w:r>
            <w:r>
              <w:rPr>
                <w:rFonts w:ascii="Helvetica" w:hAnsi="Helvetica" w:cs="Helvetica"/>
                <w:i/>
                <w:szCs w:val="18"/>
              </w:rPr>
              <w:t>Glycine max</w:t>
            </w:r>
            <w:r>
              <w:rPr>
                <w:rFonts w:ascii="Helvetica" w:hAnsi="Helvetica" w:cs="Helvetica"/>
                <w:szCs w:val="18"/>
              </w:rPr>
              <w:t xml:space="preserve"> (soybean), </w:t>
            </w:r>
            <w:r>
              <w:rPr>
                <w:rFonts w:ascii="Helvetica" w:hAnsi="Helvetica" w:cs="Helvetica"/>
                <w:i/>
                <w:szCs w:val="18"/>
              </w:rPr>
              <w:t>Malus pumila</w:t>
            </w:r>
            <w:r>
              <w:rPr>
                <w:rFonts w:ascii="Helvetica" w:hAnsi="Helvetica" w:cs="Helvetica"/>
                <w:szCs w:val="18"/>
              </w:rPr>
              <w:t xml:space="preserve"> (apple), </w:t>
            </w:r>
            <w:r>
              <w:rPr>
                <w:rFonts w:ascii="Helvetica" w:hAnsi="Helvetica" w:cs="Helvetica"/>
                <w:i/>
                <w:szCs w:val="18"/>
              </w:rPr>
              <w:t>Nicotiana tabacum</w:t>
            </w:r>
            <w:r>
              <w:rPr>
                <w:rFonts w:ascii="Helvetica" w:hAnsi="Helvetica" w:cs="Helvetica"/>
                <w:szCs w:val="18"/>
              </w:rPr>
              <w:t xml:space="preserve"> (tobacco), </w:t>
            </w:r>
            <w:r>
              <w:rPr>
                <w:rFonts w:ascii="Helvetica" w:hAnsi="Helvetica" w:cs="Helvetica"/>
                <w:i/>
                <w:szCs w:val="18"/>
              </w:rPr>
              <w:t>Lactuca sativa</w:t>
            </w:r>
            <w:r>
              <w:rPr>
                <w:rFonts w:ascii="Helvetica" w:hAnsi="Helvetica" w:cs="Helvetica"/>
                <w:szCs w:val="18"/>
              </w:rPr>
              <w:t xml:space="preserve"> (lettuce), </w:t>
            </w:r>
            <w:r>
              <w:rPr>
                <w:rFonts w:ascii="Helvetica" w:hAnsi="Helvetica" w:cs="Helvetica"/>
                <w:i/>
                <w:szCs w:val="18"/>
              </w:rPr>
              <w:t xml:space="preserve">Olea </w:t>
            </w:r>
            <w:smartTag w:uri="urn:schemas-microsoft-com:office:smarttags" w:element="PersonName">
              <w:r>
                <w:rPr>
                  <w:rFonts w:ascii="Helvetica" w:hAnsi="Helvetica" w:cs="Helvetica"/>
                  <w:i/>
                  <w:szCs w:val="18"/>
                </w:rPr>
                <w:t>eu</w:t>
              </w:r>
            </w:smartTag>
            <w:r>
              <w:rPr>
                <w:rFonts w:ascii="Helvetica" w:hAnsi="Helvetica" w:cs="Helvetica"/>
                <w:i/>
                <w:szCs w:val="18"/>
              </w:rPr>
              <w:t>ropaea</w:t>
            </w:r>
            <w:r>
              <w:rPr>
                <w:rFonts w:ascii="Helvetica" w:hAnsi="Helvetica" w:cs="Helvetica"/>
                <w:szCs w:val="18"/>
              </w:rPr>
              <w:t xml:space="preserve"> (olive), </w:t>
            </w:r>
            <w:r>
              <w:rPr>
                <w:rFonts w:ascii="Helvetica" w:hAnsi="Helvetica" w:cs="Helvetica"/>
                <w:i/>
                <w:szCs w:val="18"/>
              </w:rPr>
              <w:t>Phaseolus vulgaris</w:t>
            </w:r>
            <w:r>
              <w:rPr>
                <w:rFonts w:ascii="Helvetica" w:hAnsi="Helvetica" w:cs="Helvetica"/>
                <w:szCs w:val="18"/>
              </w:rPr>
              <w:t xml:space="preserve"> (common bean), </w:t>
            </w:r>
            <w:r>
              <w:rPr>
                <w:rFonts w:ascii="Helvetica" w:hAnsi="Helvetica" w:cs="Helvetica"/>
                <w:i/>
                <w:szCs w:val="18"/>
              </w:rPr>
              <w:t>Solanum tuberosum</w:t>
            </w:r>
            <w:r>
              <w:rPr>
                <w:rFonts w:ascii="Helvetica" w:hAnsi="Helvetica" w:cs="Helvetica"/>
                <w:szCs w:val="18"/>
              </w:rPr>
              <w:t xml:space="preserve"> (potato), </w:t>
            </w:r>
            <w:r>
              <w:rPr>
                <w:rFonts w:ascii="Helvetica" w:hAnsi="Helvetica" w:cs="Helvetica"/>
                <w:i/>
                <w:szCs w:val="18"/>
              </w:rPr>
              <w:t>Tulipa</w:t>
            </w:r>
            <w:r>
              <w:rPr>
                <w:rFonts w:ascii="Helvetica" w:hAnsi="Helvetica" w:cs="Helvetica"/>
                <w:szCs w:val="18"/>
              </w:rPr>
              <w:t xml:space="preserve"> spp. (tulip) (other hosts are infected but remain symptomless) (Kassanis 1970; Brunt and Teakle 1996; CABI 2012a; Zitikaite and Staniulis 2009).</w:t>
            </w:r>
          </w:p>
        </w:tc>
      </w:tr>
      <w:tr>
        <w:tc>
          <w:tcPr>
            <w:tcW w:w="1851" w:type="dxa"/>
          </w:tcPr>
          <w:p>
            <w:pPr>
              <w:pStyle w:val="TableText0"/>
              <w:keepNext w:val="0"/>
              <w:spacing w:before="40" w:after="40" w:line="240" w:lineRule="atLeast"/>
              <w:jc w:val="left"/>
              <w:rPr>
                <w:rFonts w:ascii="Helvetica" w:hAnsi="Helvetica" w:cs="Helvetica"/>
                <w:b/>
                <w:bCs/>
                <w:szCs w:val="18"/>
              </w:rPr>
            </w:pPr>
            <w:r>
              <w:rPr>
                <w:rFonts w:ascii="Helvetica" w:hAnsi="Helvetica" w:cs="Helvetica"/>
                <w:b/>
                <w:bCs/>
                <w:szCs w:val="18"/>
              </w:rPr>
              <w:t>Distribution</w:t>
            </w:r>
          </w:p>
        </w:tc>
        <w:tc>
          <w:tcPr>
            <w:tcW w:w="7461" w:type="dxa"/>
            <w:vAlign w:val="center"/>
          </w:tcPr>
          <w:p>
            <w:pPr>
              <w:pStyle w:val="TableText0"/>
              <w:spacing w:before="40" w:after="40" w:line="240" w:lineRule="atLeast"/>
              <w:jc w:val="left"/>
              <w:rPr>
                <w:rFonts w:ascii="Helvetica" w:hAnsi="Helvetica" w:cs="Helvetica"/>
                <w:szCs w:val="18"/>
              </w:rPr>
            </w:pPr>
            <w:smartTag w:uri="urn:schemas-microsoft-com:office:smarttags" w:element="country-region">
              <w:smartTag w:uri="urn:schemas-microsoft-com:office:smarttags" w:element="place">
                <w:r>
                  <w:rPr>
                    <w:rFonts w:ascii="Helvetica" w:hAnsi="Helvetica" w:cs="Helvetica"/>
                    <w:szCs w:val="18"/>
                  </w:rPr>
                  <w:t>South Africa</w:t>
                </w:r>
              </w:smartTag>
            </w:smartTag>
            <w:r>
              <w:rPr>
                <w:rFonts w:ascii="Helvetica" w:hAnsi="Helvetica" w:cs="Helvetica"/>
                <w:szCs w:val="18"/>
              </w:rPr>
              <w:t xml:space="preserve"> (Cesati and Van Regenmortel 1969). </w:t>
            </w:r>
          </w:p>
          <w:p>
            <w:pPr>
              <w:pStyle w:val="TableText0"/>
              <w:spacing w:before="40" w:after="40" w:line="240" w:lineRule="atLeast"/>
              <w:jc w:val="left"/>
              <w:rPr>
                <w:rFonts w:ascii="Helvetica" w:hAnsi="Helvetica" w:cs="Helvetica"/>
                <w:szCs w:val="18"/>
              </w:rPr>
            </w:pPr>
            <w:r>
              <w:rPr>
                <w:rFonts w:ascii="Helvetica" w:hAnsi="Helvetica" w:cs="Helvetica"/>
                <w:szCs w:val="18"/>
              </w:rPr>
              <w:t xml:space="preserve">TNV probably worldwide but species and strain distributions are largely unknown) Belgium, Brazil, Canada, China, Czechoslovakia (former), Denmark, Finland, France, Germany, Hungary, India, Italy, Japan, Latvia, Netherlands, New Zealand, Norway, Romania, Russia, South Africa, Spain, Sweden, Switzerland, Turkey, United Kingdom (CABI 2012a). </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i/>
                <w:szCs w:val="18"/>
              </w:rPr>
            </w:pPr>
            <w:r>
              <w:rPr>
                <w:rFonts w:ascii="Helvetica" w:hAnsi="Helvetica" w:cs="Helvetica"/>
                <w:i/>
                <w:szCs w:val="18"/>
              </w:rPr>
              <w:t>Tomato black ring virus</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i/>
                <w:szCs w:val="18"/>
              </w:rPr>
              <w:t>Potato bouquet virus</w:t>
            </w:r>
            <w:r>
              <w:rPr>
                <w:rFonts w:ascii="Helvetica" w:hAnsi="Helvetica" w:cs="Helvetica"/>
                <w:szCs w:val="18"/>
              </w:rPr>
              <w:t xml:space="preserve">, </w:t>
            </w:r>
            <w:r>
              <w:rPr>
                <w:rFonts w:ascii="Helvetica" w:hAnsi="Helvetica" w:cs="Helvetica"/>
                <w:i/>
                <w:szCs w:val="18"/>
              </w:rPr>
              <w:t>Potato ps</w:t>
            </w:r>
            <w:smartTag w:uri="urn:schemas-microsoft-com:office:smarttags" w:element="PersonName">
              <w:r>
                <w:rPr>
                  <w:rFonts w:ascii="Helvetica" w:hAnsi="Helvetica" w:cs="Helvetica"/>
                  <w:i/>
                  <w:szCs w:val="18"/>
                </w:rPr>
                <w:t>eu</w:t>
              </w:r>
            </w:smartTag>
            <w:r>
              <w:rPr>
                <w:rFonts w:ascii="Helvetica" w:hAnsi="Helvetica" w:cs="Helvetica"/>
                <w:i/>
                <w:szCs w:val="18"/>
              </w:rPr>
              <w:t>do-aucuba virus</w:t>
            </w:r>
            <w:r>
              <w:rPr>
                <w:rFonts w:ascii="Helvetica" w:hAnsi="Helvetica" w:cs="Helvetica"/>
                <w:szCs w:val="18"/>
              </w:rPr>
              <w:t xml:space="preserve">, </w:t>
            </w:r>
            <w:r>
              <w:rPr>
                <w:rFonts w:ascii="Helvetica" w:hAnsi="Helvetica" w:cs="Helvetica"/>
                <w:i/>
                <w:szCs w:val="18"/>
              </w:rPr>
              <w:t>Tomato black ring virus</w:t>
            </w:r>
            <w:r>
              <w:rPr>
                <w:rFonts w:ascii="Helvetica" w:hAnsi="Helvetica" w:cs="Helvetica"/>
                <w:szCs w:val="18"/>
              </w:rPr>
              <w: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szCs w:val="18"/>
                <w:lang w:eastAsia="en-AU"/>
              </w:rPr>
            </w:pPr>
            <w:r>
              <w:rPr>
                <w:rFonts w:ascii="Helvetica" w:hAnsi="Helvetica" w:cs="Helvetica"/>
                <w:szCs w:val="18"/>
              </w:rPr>
              <w:t>Ring spot of beet</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Wide host range, including carrot, celery, cucumber, </w:t>
            </w:r>
            <w:r>
              <w:rPr>
                <w:rFonts w:ascii="Helvetica" w:hAnsi="Helvetica" w:cs="Helvetica"/>
                <w:i/>
                <w:szCs w:val="18"/>
              </w:rPr>
              <w:t xml:space="preserve">Fragaria </w:t>
            </w:r>
            <w:r>
              <w:rPr>
                <w:rFonts w:ascii="Helvetica" w:hAnsi="Helvetica" w:cs="Helvetica"/>
                <w:szCs w:val="18"/>
              </w:rPr>
              <w:t xml:space="preserve">species, </w:t>
            </w:r>
            <w:r>
              <w:rPr>
                <w:rFonts w:ascii="Helvetica" w:hAnsi="Helvetica" w:cs="Helvetica"/>
                <w:i/>
                <w:szCs w:val="18"/>
              </w:rPr>
              <w:t xml:space="preserve">Prunus </w:t>
            </w:r>
            <w:r>
              <w:rPr>
                <w:rFonts w:ascii="Helvetica" w:hAnsi="Helvetica" w:cs="Helvetica"/>
                <w:szCs w:val="18"/>
              </w:rPr>
              <w:t xml:space="preserve">spp., </w:t>
            </w:r>
            <w:r>
              <w:rPr>
                <w:rFonts w:ascii="Helvetica" w:hAnsi="Helvetica" w:cs="Helvetica"/>
                <w:i/>
                <w:szCs w:val="18"/>
              </w:rPr>
              <w:t xml:space="preserve">Ribes </w:t>
            </w:r>
            <w:r>
              <w:rPr>
                <w:rFonts w:ascii="Helvetica" w:hAnsi="Helvetica" w:cs="Helvetica"/>
                <w:szCs w:val="18"/>
              </w:rPr>
              <w:t xml:space="preserve">spp., </w:t>
            </w:r>
            <w:r>
              <w:rPr>
                <w:rFonts w:ascii="Helvetica" w:hAnsi="Helvetica" w:cs="Helvetica"/>
                <w:i/>
                <w:szCs w:val="18"/>
              </w:rPr>
              <w:t xml:space="preserve">Rubus </w:t>
            </w:r>
            <w:r>
              <w:rPr>
                <w:rFonts w:ascii="Helvetica" w:hAnsi="Helvetica" w:cs="Helvetica"/>
                <w:szCs w:val="18"/>
              </w:rPr>
              <w:t xml:space="preserve">spp., solanaceous species, </w:t>
            </w:r>
            <w:r>
              <w:rPr>
                <w:rFonts w:ascii="Helvetica" w:hAnsi="Helvetica" w:cs="Helvetica"/>
                <w:i/>
                <w:szCs w:val="18"/>
              </w:rPr>
              <w:t>Vitis vinifera</w:t>
            </w:r>
            <w:r>
              <w:rPr>
                <w:rFonts w:ascii="Helvetica" w:hAnsi="Helvetica" w:cs="Helvetica"/>
                <w:szCs w:val="18"/>
              </w:rPr>
              <w:t xml:space="preserve"> and a number of weed and ornamental species (Harisson 1957, 1958; Pospieszny </w:t>
            </w:r>
            <w:r>
              <w:rPr>
                <w:rFonts w:ascii="Helvetica" w:hAnsi="Helvetica" w:cs="Helvetica"/>
                <w:i/>
                <w:szCs w:val="18"/>
              </w:rPr>
              <w:t>et al</w:t>
            </w:r>
            <w:r>
              <w:rPr>
                <w:rFonts w:ascii="Helvetica" w:hAnsi="Helvetica" w:cs="Helvetica"/>
                <w:szCs w:val="18"/>
              </w:rPr>
              <w:t xml:space="preserve">. 2004, Jonczyk </w:t>
            </w:r>
            <w:r>
              <w:rPr>
                <w:rFonts w:ascii="Helvetica" w:hAnsi="Helvetica" w:cs="Helvetica"/>
                <w:i/>
                <w:szCs w:val="18"/>
              </w:rPr>
              <w:t>et al</w:t>
            </w:r>
            <w:r>
              <w:rPr>
                <w:rFonts w:ascii="Helvetica" w:hAnsi="Helvetica" w:cs="Helvetica"/>
                <w:szCs w:val="18"/>
              </w:rPr>
              <w:t>. 2004).</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r>
              <w:rPr>
                <w:rFonts w:ascii="Helvetica" w:hAnsi="Helvetica" w:cs="Helvetica"/>
                <w:szCs w:val="18"/>
              </w:rPr>
              <w:t xml:space="preserve">Europe, </w:t>
            </w:r>
            <w:smartTag w:uri="urn:schemas-microsoft-com:office:smarttags" w:element="country-region">
              <w:r>
                <w:rPr>
                  <w:rFonts w:ascii="Helvetica" w:hAnsi="Helvetica" w:cs="Helvetica"/>
                  <w:szCs w:val="18"/>
                </w:rPr>
                <w:t>India</w:t>
              </w:r>
            </w:smartTag>
            <w:r>
              <w:rPr>
                <w:rFonts w:ascii="Helvetica" w:hAnsi="Helvetica" w:cs="Helvetica"/>
                <w:szCs w:val="18"/>
              </w:rPr>
              <w:t xml:space="preserve">, </w:t>
            </w:r>
            <w:smartTag w:uri="urn:schemas-microsoft-com:office:smarttags" w:element="country-region">
              <w:r>
                <w:rPr>
                  <w:rFonts w:ascii="Helvetica" w:hAnsi="Helvetica" w:cs="Helvetica"/>
                  <w:szCs w:val="18"/>
                </w:rPr>
                <w:t>Japan</w:t>
              </w:r>
            </w:smartTag>
            <w:r>
              <w:rPr>
                <w:rFonts w:ascii="Helvetica" w:hAnsi="Helvetica" w:cs="Helvetica"/>
                <w:szCs w:val="18"/>
              </w:rPr>
              <w:t xml:space="preserve">, North and South America (Harper </w:t>
            </w:r>
            <w:r>
              <w:rPr>
                <w:rFonts w:ascii="Helvetica" w:hAnsi="Helvetica" w:cs="Helvetica"/>
                <w:i/>
                <w:szCs w:val="18"/>
              </w:rPr>
              <w:t>et al</w:t>
            </w:r>
            <w:r>
              <w:rPr>
                <w:rFonts w:ascii="Helvetica" w:hAnsi="Helvetica" w:cs="Helvetica"/>
                <w:szCs w:val="18"/>
              </w:rPr>
              <w:t xml:space="preserve">. 2010), </w:t>
            </w:r>
            <w:smartTag w:uri="urn:schemas-microsoft-com:office:smarttags" w:element="country-region">
              <w:r>
                <w:rPr>
                  <w:rFonts w:ascii="Helvetica" w:hAnsi="Helvetica" w:cs="Helvetica"/>
                  <w:szCs w:val="18"/>
                </w:rPr>
                <w:t>Israel</w:t>
              </w:r>
            </w:smartTag>
            <w:r>
              <w:rPr>
                <w:rFonts w:ascii="Helvetica" w:hAnsi="Helvetica" w:cs="Helvetica"/>
                <w:szCs w:val="18"/>
              </w:rPr>
              <w:t xml:space="preserve"> and </w:t>
            </w:r>
            <w:smartTag w:uri="urn:schemas-microsoft-com:office:smarttags" w:element="country-region">
              <w:smartTag w:uri="urn:schemas-microsoft-com:office:smarttags" w:element="place">
                <w:r>
                  <w:rPr>
                    <w:rFonts w:ascii="Helvetica" w:hAnsi="Helvetica" w:cs="Helvetica"/>
                    <w:szCs w:val="18"/>
                  </w:rPr>
                  <w:t>Turkey</w:t>
                </w:r>
              </w:smartTag>
            </w:smartTag>
            <w:r>
              <w:rPr>
                <w:rFonts w:ascii="Helvetica" w:hAnsi="Helvetica" w:cs="Helvetica"/>
                <w:szCs w:val="18"/>
              </w:rPr>
              <w:t xml:space="preserve"> (Uyemoto </w:t>
            </w:r>
            <w:r>
              <w:rPr>
                <w:rFonts w:ascii="Helvetica" w:hAnsi="Helvetica" w:cs="Helvetica"/>
                <w:i/>
                <w:szCs w:val="18"/>
              </w:rPr>
              <w:t>et al</w:t>
            </w:r>
            <w:r>
              <w:rPr>
                <w:rFonts w:ascii="Helvetica" w:hAnsi="Helvetica" w:cs="Helvetica"/>
                <w:szCs w:val="18"/>
              </w:rPr>
              <w:t>. 2009).</w:t>
            </w:r>
          </w:p>
        </w:tc>
      </w:tr>
      <w:tr>
        <w:tc>
          <w:tcPr>
            <w:tcW w:w="1851" w:type="dxa"/>
            <w:shd w:val="clear" w:color="auto" w:fill="D9D9D9"/>
          </w:tcPr>
          <w:p>
            <w:pPr>
              <w:spacing w:before="60" w:after="60" w:line="240" w:lineRule="atLeast"/>
              <w:jc w:val="left"/>
              <w:rPr>
                <w:rFonts w:ascii="Helvetica" w:hAnsi="Helvetica" w:cs="Helvetica"/>
                <w:b/>
                <w:sz w:val="18"/>
                <w:szCs w:val="18"/>
              </w:rPr>
            </w:pPr>
            <w:r>
              <w:rPr>
                <w:rFonts w:ascii="Helvetica" w:hAnsi="Helvetica" w:cs="Helvetica"/>
                <w:b/>
                <w:sz w:val="18"/>
                <w:szCs w:val="18"/>
              </w:rPr>
              <w:t>Quarantine pest</w:t>
            </w:r>
          </w:p>
        </w:tc>
        <w:tc>
          <w:tcPr>
            <w:tcW w:w="7461" w:type="dxa"/>
            <w:shd w:val="clear" w:color="auto" w:fill="D9D9D9"/>
          </w:tcPr>
          <w:p>
            <w:pPr>
              <w:pStyle w:val="TableText0"/>
              <w:spacing w:line="240" w:lineRule="atLeast"/>
              <w:jc w:val="left"/>
              <w:rPr>
                <w:rFonts w:ascii="Helvetica" w:hAnsi="Helvetica" w:cs="Helvetica"/>
                <w:bCs/>
                <w:szCs w:val="18"/>
              </w:rPr>
            </w:pPr>
            <w:r>
              <w:rPr>
                <w:rFonts w:ascii="Helvetica" w:hAnsi="Helvetica" w:cs="Helvetica"/>
                <w:bCs/>
                <w:i/>
                <w:szCs w:val="18"/>
              </w:rPr>
              <w:t>Tomato ringspot virus</w:t>
            </w:r>
            <w:r>
              <w:rPr>
                <w:rFonts w:ascii="Helvetica" w:hAnsi="Helvetica" w:cs="Helvetica"/>
                <w:bCs/>
                <w:szCs w:val="18"/>
              </w:rPr>
              <w:t xml:space="preserve"> (TomRSV)</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Synonyms</w:t>
            </w:r>
          </w:p>
        </w:tc>
        <w:tc>
          <w:tcPr>
            <w:tcW w:w="7461" w:type="dxa"/>
          </w:tcPr>
          <w:p>
            <w:pPr>
              <w:pStyle w:val="TableText0"/>
              <w:spacing w:before="40" w:after="40" w:line="240" w:lineRule="atLeast"/>
              <w:jc w:val="left"/>
              <w:rPr>
                <w:rFonts w:ascii="Helvetica" w:hAnsi="Helvetica" w:cs="Helvetica"/>
                <w:szCs w:val="18"/>
              </w:rPr>
            </w:pP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Common name(s)</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bCs/>
                <w:szCs w:val="18"/>
              </w:rPr>
              <w:t>Ringspot virus decline</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Main hosts</w:t>
            </w:r>
          </w:p>
        </w:tc>
        <w:tc>
          <w:tcPr>
            <w:tcW w:w="7461" w:type="dxa"/>
          </w:tcPr>
          <w:p>
            <w:pPr>
              <w:pStyle w:val="TableText0"/>
              <w:spacing w:before="40" w:after="40" w:line="240" w:lineRule="atLeast"/>
              <w:jc w:val="left"/>
              <w:rPr>
                <w:rFonts w:ascii="Helvetica" w:hAnsi="Helvetica" w:cs="Helvetica"/>
                <w:bCs/>
                <w:szCs w:val="18"/>
              </w:rPr>
            </w:pPr>
            <w:r>
              <w:rPr>
                <w:rFonts w:ascii="Helvetica" w:hAnsi="Helvetica" w:cs="Helvetica"/>
                <w:bCs/>
                <w:szCs w:val="18"/>
              </w:rPr>
              <w:t xml:space="preserve">TomRSV infects a wide range </w:t>
            </w:r>
            <w:r>
              <w:rPr>
                <w:rFonts w:ascii="Helvetica" w:hAnsi="Helvetica" w:cs="Helvetica"/>
                <w:szCs w:val="18"/>
              </w:rPr>
              <w:t xml:space="preserve">including black currants, cherries and other </w:t>
            </w:r>
            <w:r>
              <w:rPr>
                <w:rFonts w:ascii="Helvetica" w:hAnsi="Helvetica" w:cs="Helvetica"/>
                <w:i/>
                <w:iCs/>
                <w:szCs w:val="18"/>
              </w:rPr>
              <w:t xml:space="preserve">Prunus </w:t>
            </w:r>
            <w:r>
              <w:rPr>
                <w:rFonts w:ascii="Helvetica" w:hAnsi="Helvetica" w:cs="Helvetica"/>
                <w:szCs w:val="18"/>
              </w:rPr>
              <w:t xml:space="preserve">spp., </w:t>
            </w:r>
            <w:r>
              <w:rPr>
                <w:rFonts w:ascii="Helvetica" w:hAnsi="Helvetica" w:cs="Helvetica"/>
                <w:i/>
                <w:iCs/>
                <w:szCs w:val="18"/>
              </w:rPr>
              <w:t>Fraxinus americana</w:t>
            </w:r>
            <w:r>
              <w:rPr>
                <w:rFonts w:ascii="Helvetica" w:hAnsi="Helvetica" w:cs="Helvetica"/>
                <w:iCs/>
                <w:szCs w:val="18"/>
              </w:rPr>
              <w:t>,</w:t>
            </w:r>
            <w:r>
              <w:rPr>
                <w:rFonts w:ascii="Helvetica" w:hAnsi="Helvetica" w:cs="Helvetica"/>
                <w:i/>
                <w:iCs/>
                <w:szCs w:val="18"/>
              </w:rPr>
              <w:t xml:space="preserve"> Gladiolus</w:t>
            </w:r>
            <w:r>
              <w:rPr>
                <w:rFonts w:ascii="Helvetica" w:hAnsi="Helvetica" w:cs="Helvetica"/>
                <w:iCs/>
                <w:szCs w:val="18"/>
              </w:rPr>
              <w:t>,</w:t>
            </w:r>
            <w:r>
              <w:rPr>
                <w:rFonts w:ascii="Helvetica" w:hAnsi="Helvetica" w:cs="Helvetica"/>
                <w:i/>
                <w:iCs/>
                <w:szCs w:val="18"/>
              </w:rPr>
              <w:t xml:space="preserve"> </w:t>
            </w:r>
            <w:r>
              <w:rPr>
                <w:rFonts w:ascii="Helvetica" w:hAnsi="Helvetica" w:cs="Helvetica"/>
                <w:szCs w:val="18"/>
              </w:rPr>
              <w:t xml:space="preserve">gooseberries, grapes, </w:t>
            </w:r>
            <w:r>
              <w:rPr>
                <w:rFonts w:ascii="Helvetica" w:hAnsi="Helvetica" w:cs="Helvetica"/>
                <w:i/>
                <w:iCs/>
                <w:szCs w:val="18"/>
              </w:rPr>
              <w:t>Hydrangea</w:t>
            </w:r>
            <w:r>
              <w:rPr>
                <w:rFonts w:ascii="Helvetica" w:hAnsi="Helvetica" w:cs="Helvetica"/>
                <w:szCs w:val="18"/>
              </w:rPr>
              <w:t xml:space="preserve">, peaches, </w:t>
            </w:r>
            <w:r>
              <w:rPr>
                <w:rFonts w:ascii="Helvetica" w:hAnsi="Helvetica" w:cs="Helvetica"/>
                <w:i/>
                <w:iCs/>
                <w:szCs w:val="18"/>
              </w:rPr>
              <w:t>Pelargonium</w:t>
            </w:r>
            <w:r>
              <w:rPr>
                <w:rFonts w:ascii="Helvetica" w:hAnsi="Helvetica" w:cs="Helvetica"/>
                <w:szCs w:val="18"/>
              </w:rPr>
              <w:t xml:space="preserve">, raspberries, </w:t>
            </w:r>
            <w:r>
              <w:rPr>
                <w:rFonts w:ascii="Helvetica" w:hAnsi="Helvetica" w:cs="Helvetica"/>
                <w:i/>
                <w:iCs/>
                <w:szCs w:val="18"/>
              </w:rPr>
              <w:t>Rubus laciniatus</w:t>
            </w:r>
            <w:r>
              <w:rPr>
                <w:rFonts w:ascii="Helvetica" w:hAnsi="Helvetica" w:cs="Helvetica"/>
                <w:szCs w:val="18"/>
              </w:rPr>
              <w:t>, strawberries</w:t>
            </w:r>
            <w:r>
              <w:rPr>
                <w:rFonts w:ascii="Helvetica" w:hAnsi="Helvetica" w:cs="Helvetica"/>
                <w:bCs/>
                <w:szCs w:val="18"/>
              </w:rPr>
              <w:t xml:space="preserve">. TomRSV also infects many common weeds in vineyards including common chickweed, dandelions, red clover and sheep sorrel (Schilder 2011). </w:t>
            </w:r>
          </w:p>
        </w:tc>
      </w:tr>
      <w:tr>
        <w:tc>
          <w:tcPr>
            <w:tcW w:w="1851" w:type="dxa"/>
          </w:tcPr>
          <w:p>
            <w:pPr>
              <w:spacing w:before="40" w:after="40" w:line="240" w:lineRule="atLeast"/>
              <w:jc w:val="left"/>
              <w:rPr>
                <w:rFonts w:ascii="Helvetica" w:hAnsi="Helvetica" w:cs="Helvetica"/>
                <w:b/>
                <w:sz w:val="18"/>
                <w:szCs w:val="18"/>
              </w:rPr>
            </w:pPr>
            <w:r>
              <w:rPr>
                <w:rFonts w:ascii="Helvetica" w:hAnsi="Helvetica" w:cs="Helvetica"/>
                <w:b/>
                <w:sz w:val="18"/>
                <w:szCs w:val="18"/>
              </w:rPr>
              <w:t>Distribution</w:t>
            </w:r>
          </w:p>
        </w:tc>
        <w:tc>
          <w:tcPr>
            <w:tcW w:w="7461" w:type="dxa"/>
          </w:tcPr>
          <w:p>
            <w:pPr>
              <w:pStyle w:val="TableText0"/>
              <w:spacing w:before="40" w:after="40" w:line="240" w:lineRule="atLeast"/>
              <w:jc w:val="left"/>
              <w:rPr>
                <w:rFonts w:ascii="Helvetica" w:hAnsi="Helvetica" w:cs="Helvetica"/>
                <w:szCs w:val="18"/>
              </w:rPr>
            </w:pPr>
            <w:smartTag w:uri="urn:schemas-microsoft-com:office:smarttags" w:element="country-region">
              <w:r>
                <w:rPr>
                  <w:rFonts w:ascii="Helvetica" w:hAnsi="Helvetica" w:cs="Helvetica"/>
                  <w:szCs w:val="18"/>
                </w:rPr>
                <w:t>China</w:t>
              </w:r>
            </w:smartTag>
            <w:r>
              <w:rPr>
                <w:rFonts w:ascii="Helvetica" w:hAnsi="Helvetica" w:cs="Helvetica"/>
                <w:szCs w:val="18"/>
              </w:rPr>
              <w:t xml:space="preserve">, </w:t>
            </w:r>
            <w:smartTag w:uri="urn:schemas-microsoft-com:office:smarttags" w:element="country-region">
              <w:r>
                <w:rPr>
                  <w:rFonts w:ascii="Helvetica" w:hAnsi="Helvetica" w:cs="Helvetica"/>
                  <w:szCs w:val="18"/>
                </w:rPr>
                <w:t>Canada</w:t>
              </w:r>
            </w:smartTag>
            <w:r>
              <w:rPr>
                <w:rFonts w:ascii="Helvetica" w:hAnsi="Helvetica" w:cs="Helvetica"/>
                <w:szCs w:val="18"/>
              </w:rPr>
              <w:t xml:space="preserve">, </w:t>
            </w:r>
            <w:smartTag w:uri="urn:schemas-microsoft-com:office:smarttags" w:element="country-region">
              <w:r>
                <w:rPr>
                  <w:rFonts w:ascii="Helvetica" w:hAnsi="Helvetica" w:cs="Helvetica"/>
                  <w:szCs w:val="18"/>
                </w:rPr>
                <w:t>Egypt</w:t>
              </w:r>
            </w:smartTag>
            <w:r>
              <w:rPr>
                <w:rFonts w:ascii="Helvetica" w:hAnsi="Helvetica" w:cs="Helvetica"/>
                <w:szCs w:val="18"/>
              </w:rPr>
              <w:t xml:space="preserve">, </w:t>
            </w:r>
            <w:smartTag w:uri="urn:schemas-microsoft-com:office:smarttags" w:element="country-region">
              <w:r>
                <w:rPr>
                  <w:rFonts w:ascii="Helvetica" w:hAnsi="Helvetica" w:cs="Helvetica"/>
                  <w:szCs w:val="18"/>
                </w:rPr>
                <w:t>Japan</w:t>
              </w:r>
            </w:smartTag>
            <w:r>
              <w:rPr>
                <w:rFonts w:ascii="Helvetica" w:hAnsi="Helvetica" w:cs="Helvetica"/>
                <w:szCs w:val="18"/>
              </w:rPr>
              <w:t xml:space="preserve">, </w:t>
            </w:r>
            <w:smartTag w:uri="urn:schemas-microsoft-com:office:smarttags" w:element="country-region">
              <w:r>
                <w:rPr>
                  <w:rFonts w:ascii="Helvetica" w:hAnsi="Helvetica" w:cs="Helvetica"/>
                  <w:szCs w:val="18"/>
                </w:rPr>
                <w:t>Korea</w:t>
              </w:r>
            </w:smartTag>
            <w:r>
              <w:rPr>
                <w:rFonts w:ascii="Helvetica" w:hAnsi="Helvetica" w:cs="Helvetica"/>
                <w:szCs w:val="18"/>
              </w:rPr>
              <w:t xml:space="preserve">, </w:t>
            </w:r>
            <w:smartTag w:uri="urn:schemas-microsoft-com:office:smarttags" w:element="country-region">
              <w:smartTag w:uri="urn:schemas-microsoft-com:office:smarttags" w:element="place">
                <w:r>
                  <w:rPr>
                    <w:rFonts w:ascii="Helvetica" w:hAnsi="Helvetica" w:cs="Helvetica"/>
                    <w:szCs w:val="18"/>
                  </w:rPr>
                  <w:t>USA</w:t>
                </w:r>
              </w:smartTag>
            </w:smartTag>
            <w:r>
              <w:rPr>
                <w:rFonts w:ascii="Helvetica" w:hAnsi="Helvetica" w:cs="Helvetica"/>
                <w:szCs w:val="18"/>
              </w:rPr>
              <w:t xml:space="preserve"> (Fayek </w:t>
            </w:r>
            <w:r>
              <w:rPr>
                <w:rFonts w:ascii="Helvetica" w:hAnsi="Helvetica" w:cs="Helvetica"/>
                <w:i/>
                <w:szCs w:val="18"/>
              </w:rPr>
              <w:t>et al</w:t>
            </w:r>
            <w:r>
              <w:rPr>
                <w:rFonts w:ascii="Helvetica" w:hAnsi="Helvetica" w:cs="Helvetica"/>
                <w:szCs w:val="18"/>
              </w:rPr>
              <w:t>. 2009; EPPO 2010b).</w:t>
            </w:r>
          </w:p>
        </w:tc>
      </w:tr>
    </w:tbl>
    <w:p>
      <w:pPr>
        <w:jc w:val="left"/>
      </w:pPr>
    </w:p>
    <w:p>
      <w:pPr>
        <w:pStyle w:val="BAText1"/>
        <w:spacing w:before="120" w:line="240" w:lineRule="auto"/>
        <w:jc w:val="left"/>
      </w:pPr>
    </w:p>
    <w:p>
      <w:pPr>
        <w:jc w:val="left"/>
        <w:sectPr>
          <w:headerReference w:type="even" r:id="rId125"/>
          <w:headerReference w:type="default" r:id="rId126"/>
          <w:type w:val="nextColumn"/>
          <w:pgSz w:w="11906" w:h="16838"/>
          <w:pgMar w:top="1412" w:right="1412" w:bottom="1412" w:left="1412" w:header="709" w:footer="709" w:gutter="0"/>
          <w:cols w:space="708"/>
          <w:docGrid w:linePitch="360"/>
        </w:sectPr>
      </w:pPr>
    </w:p>
    <w:p>
      <w:pPr>
        <w:pStyle w:val="Headernonumb"/>
        <w:jc w:val="left"/>
      </w:pPr>
      <w:bookmarkStart w:id="127" w:name="_Toc189380597"/>
      <w:bookmarkStart w:id="128" w:name="_Toc198715089"/>
      <w:bookmarkStart w:id="129" w:name="_Toc275422539"/>
      <w:bookmarkStart w:id="130" w:name="_Toc275502610"/>
      <w:bookmarkStart w:id="131" w:name="_Toc345423532"/>
      <w:bookmarkEnd w:id="119"/>
      <w:bookmarkEnd w:id="120"/>
      <w:bookmarkEnd w:id="121"/>
      <w:bookmarkEnd w:id="122"/>
      <w:bookmarkEnd w:id="123"/>
      <w:bookmarkEnd w:id="124"/>
      <w:bookmarkEnd w:id="125"/>
      <w:bookmarkEnd w:id="126"/>
      <w:r>
        <w:t>Glossary</w:t>
      </w:r>
      <w:bookmarkEnd w:id="127"/>
      <w:bookmarkEnd w:id="128"/>
      <w:bookmarkEnd w:id="129"/>
      <w:bookmarkEnd w:id="130"/>
      <w:bookmarkEnd w:id="131"/>
    </w:p>
    <w:tbl>
      <w:tblPr>
        <w:tblW w:w="0" w:type="auto"/>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ook w:val="00BF"/>
      </w:tblPr>
      <w:tblGrid>
        <w:gridCol w:w="2660"/>
        <w:gridCol w:w="6626"/>
      </w:tblGrid>
      <w:tr>
        <w:trPr>
          <w:trHeight w:val="284"/>
          <w:tblHeader/>
        </w:trPr>
        <w:tc>
          <w:tcPr>
            <w:tcW w:w="2660" w:type="dxa"/>
            <w:shd w:val="clear" w:color="auto" w:fill="E6E6E6"/>
          </w:tcPr>
          <w:p>
            <w:pPr>
              <w:pStyle w:val="TableText"/>
              <w:spacing w:before="20" w:after="20" w:line="240" w:lineRule="atLeast"/>
              <w:jc w:val="left"/>
              <w:rPr>
                <w:b/>
                <w:bCs/>
              </w:rPr>
            </w:pPr>
            <w:r>
              <w:rPr>
                <w:b/>
                <w:sz w:val="18"/>
              </w:rPr>
              <w:t>Term or abbreviation</w:t>
            </w:r>
          </w:p>
        </w:tc>
        <w:tc>
          <w:tcPr>
            <w:tcW w:w="6626" w:type="dxa"/>
            <w:shd w:val="clear" w:color="auto" w:fill="E6E6E6"/>
          </w:tcPr>
          <w:p>
            <w:pPr>
              <w:pStyle w:val="TableText"/>
              <w:spacing w:before="20" w:after="20" w:line="240" w:lineRule="atLeast"/>
              <w:jc w:val="left"/>
              <w:rPr>
                <w:b/>
              </w:rPr>
            </w:pPr>
            <w:r>
              <w:rPr>
                <w:b/>
                <w:sz w:val="18"/>
              </w:rPr>
              <w:t>Definition</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Additional declaration</w:t>
            </w:r>
          </w:p>
        </w:tc>
        <w:tc>
          <w:tcPr>
            <w:tcW w:w="6626" w:type="dxa"/>
          </w:tcPr>
          <w:p>
            <w:pPr>
              <w:pStyle w:val="TableText"/>
              <w:spacing w:before="20" w:after="20" w:line="240" w:lineRule="atLeast"/>
              <w:jc w:val="left"/>
              <w:rPr>
                <w:rFonts w:cs="Arial"/>
                <w:szCs w:val="16"/>
              </w:rPr>
            </w:pPr>
            <w:r>
              <w:rPr>
                <w:rFonts w:cs="Arial"/>
                <w:szCs w:val="16"/>
              </w:rPr>
              <w:t xml:space="preserve">A statement that is required by an importing country to be entered on a Phytosanitary Certificate and which provides specific additional information on a consignment in relation to regulated pests (FAO 2009). </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Appropriate level of protection</w:t>
            </w:r>
          </w:p>
        </w:tc>
        <w:tc>
          <w:tcPr>
            <w:tcW w:w="6626" w:type="dxa"/>
          </w:tcPr>
          <w:p>
            <w:pPr>
              <w:pStyle w:val="TableText"/>
              <w:spacing w:before="20" w:after="20" w:line="240" w:lineRule="atLeast"/>
              <w:jc w:val="left"/>
              <w:rPr>
                <w:rFonts w:cs="Arial"/>
                <w:szCs w:val="16"/>
              </w:rPr>
            </w:pPr>
            <w:r>
              <w:rPr>
                <w:rFonts w:cs="Arial"/>
                <w:szCs w:val="16"/>
              </w:rPr>
              <w:t>The level of protection deemed appropriate by the Member establishing a sanitary or phytosanitary measure to protect human, animal or plant life or health within its territory (</w:t>
            </w:r>
            <w:r>
              <w:rPr>
                <w:rFonts w:cs="Arial"/>
                <w:szCs w:val="16"/>
              </w:rPr>
              <w:fldChar w:fldCharType="begin"/>
            </w:r>
            <w:r>
              <w:rPr>
                <w:rFonts w:cs="Arial"/>
                <w:szCs w:val="16"/>
              </w:rPr>
              <w:instrText xml:space="preserve"> QUOTE "WTO 1995" </w:instrText>
            </w:r>
            <w:r>
              <w:rPr>
                <w:rFonts w:cs="Arial"/>
                <w:vanish/>
                <w:szCs w:val="16"/>
              </w:rPr>
              <w:fldChar w:fldCharType="begin"/>
            </w:r>
            <w:r>
              <w:rPr>
                <w:rFonts w:cs="Arial"/>
                <w:vanish/>
                <w:szCs w:val="16"/>
              </w:rPr>
              <w:instrText xml:space="preserve"> ADDIN PROCITE ÿ\11\05‘\19\02\00\00\00\08WTO 1995\01\02\00\03\00àà\00\00\00î|p\05‘|ÿÿÿÿm\05‘|ÞÂÂw\00\00\01\00\07\00\00\008\00\00\00\05\00\00\00\00\00\00ÃÂw\00\002\00\00\00\00\00ÎÃÂw\00\00\00\00ÿÿÿÿ\07ÄÂw8\00\00\007\01\00\001H:\5CMy Documents\5Cpersonal\5Cbiblio\5CRochelleforBA.pdt\0EWTO 1995 #3280\01\02\00\03\00àà\00\00\00¿H\00&gt;\14\00\14\00\00\00\01\00\00\00\00\00\00\00\00\00\00\00\10\00\00\00\00\00\00\00\0B\00\00\00\00\00\00ºI_ø|Å\00\01\00\00\00\01\00\00\00\00\00\00\00tò\12\000¬W\00ÿÿÿÿ </w:instrText>
            </w:r>
            <w:r>
              <w:rPr>
                <w:rFonts w:cs="Arial"/>
                <w:vanish/>
                <w:szCs w:val="16"/>
              </w:rPr>
              <w:fldChar w:fldCharType="end"/>
            </w:r>
            <w:r>
              <w:rPr>
                <w:rFonts w:cs="Arial"/>
                <w:szCs w:val="16"/>
              </w:rPr>
              <w:fldChar w:fldCharType="separate"/>
            </w:r>
            <w:r>
              <w:rPr>
                <w:rFonts w:cs="Arial"/>
                <w:szCs w:val="16"/>
              </w:rPr>
              <w:t>WTO 1995</w:t>
            </w:r>
            <w:r>
              <w:rPr>
                <w:rFonts w:cs="Arial"/>
                <w:szCs w:val="16"/>
              </w:rPr>
              <w:fldChar w:fldCharType="end"/>
            </w:r>
            <w:r>
              <w:rPr>
                <w:rFonts w:cs="Arial"/>
                <w:szCs w:val="16"/>
              </w:rPr>
              <w:t>).</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Area</w:t>
            </w:r>
          </w:p>
        </w:tc>
        <w:tc>
          <w:tcPr>
            <w:tcW w:w="6626" w:type="dxa"/>
          </w:tcPr>
          <w:p>
            <w:pPr>
              <w:pStyle w:val="TableText"/>
              <w:spacing w:before="20" w:after="20" w:line="240" w:lineRule="atLeast"/>
              <w:jc w:val="left"/>
              <w:rPr>
                <w:rFonts w:cs="Arial"/>
                <w:szCs w:val="16"/>
              </w:rPr>
            </w:pPr>
            <w:r>
              <w:rPr>
                <w:rFonts w:cs="Arial"/>
                <w:szCs w:val="16"/>
              </w:rPr>
              <w:t>An officially defined country, part of a country or all or parts of several countries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 xml:space="preserve">Plant Biosecurity </w:t>
            </w:r>
          </w:p>
        </w:tc>
        <w:tc>
          <w:tcPr>
            <w:tcW w:w="6626" w:type="dxa"/>
          </w:tcPr>
          <w:p>
            <w:pPr>
              <w:pStyle w:val="TableText"/>
              <w:spacing w:before="20" w:after="20" w:line="240" w:lineRule="atLeast"/>
              <w:jc w:val="left"/>
              <w:rPr>
                <w:rFonts w:cs="Arial"/>
                <w:szCs w:val="16"/>
              </w:rPr>
            </w:pPr>
            <w:r>
              <w:rPr>
                <w:rFonts w:cs="Arial"/>
                <w:snapToGrid w:val="0"/>
                <w:szCs w:val="16"/>
              </w:rPr>
              <w:t xml:space="preserve">A branch within the </w:t>
            </w:r>
            <w:r>
              <w:rPr>
                <w:rFonts w:cs="Arial"/>
                <w:szCs w:val="16"/>
              </w:rPr>
              <w:t>Australian Government Department of Agriculture, Fisheries and Forestry, responsible for recommendations for the development of Australia’s plant biosecurity policy.</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Certificate</w:t>
            </w:r>
          </w:p>
        </w:tc>
        <w:tc>
          <w:tcPr>
            <w:tcW w:w="6626" w:type="dxa"/>
          </w:tcPr>
          <w:p>
            <w:pPr>
              <w:pStyle w:val="TableText"/>
              <w:spacing w:before="20" w:after="20" w:line="240" w:lineRule="atLeast"/>
              <w:jc w:val="left"/>
              <w:rPr>
                <w:rFonts w:cs="Arial"/>
                <w:snapToGrid w:val="0"/>
                <w:szCs w:val="16"/>
              </w:rPr>
            </w:pPr>
            <w:r>
              <w:rPr>
                <w:rFonts w:cs="Arial"/>
                <w:snapToGrid w:val="0"/>
                <w:szCs w:val="16"/>
              </w:rPr>
              <w:t>An official document which attests to the phytosanitary status of any consignment affected by phytosanitary regulations (</w:t>
            </w:r>
            <w:r>
              <w:rPr>
                <w:rFonts w:cs="Arial"/>
                <w:szCs w:val="16"/>
              </w:rPr>
              <w:t>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Consignment</w:t>
            </w:r>
          </w:p>
        </w:tc>
        <w:tc>
          <w:tcPr>
            <w:tcW w:w="6626" w:type="dxa"/>
          </w:tcPr>
          <w:p>
            <w:pPr>
              <w:pStyle w:val="TableText"/>
              <w:spacing w:before="20" w:after="20" w:line="240" w:lineRule="atLeast"/>
              <w:jc w:val="left"/>
              <w:rPr>
                <w:rFonts w:cs="Arial"/>
                <w:szCs w:val="16"/>
              </w:rPr>
            </w:pPr>
            <w:r>
              <w:rPr>
                <w:rFonts w:cs="Arial"/>
                <w:szCs w:val="16"/>
              </w:rPr>
              <w:t>A quantity of plants, plant products and/or other articles being moved from one country to another and covered, when required, by a single Phytosanitary Certificate (a consignment may be composed of one or more commodities or lots)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Control (of a pest)</w:t>
            </w:r>
          </w:p>
        </w:tc>
        <w:tc>
          <w:tcPr>
            <w:tcW w:w="6626" w:type="dxa"/>
          </w:tcPr>
          <w:p>
            <w:pPr>
              <w:pStyle w:val="TableText"/>
              <w:spacing w:before="20" w:after="20" w:line="240" w:lineRule="atLeast"/>
              <w:jc w:val="left"/>
              <w:rPr>
                <w:rFonts w:cs="Arial"/>
                <w:szCs w:val="16"/>
              </w:rPr>
            </w:pPr>
            <w:r>
              <w:rPr>
                <w:rFonts w:cs="Arial"/>
                <w:szCs w:val="16"/>
              </w:rPr>
              <w:t>Suppression, containment or eradication of a pest population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Endangered area</w:t>
            </w:r>
          </w:p>
        </w:tc>
        <w:tc>
          <w:tcPr>
            <w:tcW w:w="6626" w:type="dxa"/>
          </w:tcPr>
          <w:p>
            <w:pPr>
              <w:pStyle w:val="TableText"/>
              <w:spacing w:before="20" w:after="20" w:line="240" w:lineRule="atLeast"/>
              <w:jc w:val="left"/>
              <w:rPr>
                <w:rFonts w:cs="Arial"/>
                <w:szCs w:val="16"/>
              </w:rPr>
            </w:pPr>
            <w:r>
              <w:rPr>
                <w:rFonts w:cs="Arial"/>
                <w:szCs w:val="16"/>
              </w:rPr>
              <w:t>An area where ecological factors favour the establishment of a pest whose presence in the area will result in economically important loss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Entry (of a pest)</w:t>
            </w:r>
          </w:p>
        </w:tc>
        <w:tc>
          <w:tcPr>
            <w:tcW w:w="6626" w:type="dxa"/>
          </w:tcPr>
          <w:p>
            <w:pPr>
              <w:pStyle w:val="TableText"/>
              <w:spacing w:before="20" w:after="20" w:line="240" w:lineRule="atLeast"/>
              <w:jc w:val="left"/>
              <w:rPr>
                <w:rFonts w:cs="Arial"/>
                <w:szCs w:val="16"/>
              </w:rPr>
            </w:pPr>
            <w:r>
              <w:rPr>
                <w:rFonts w:cs="Arial"/>
                <w:szCs w:val="16"/>
              </w:rPr>
              <w:t>Movement of a pest into an area where it is not yet present, or present but not widely distributed and being officially controlled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Establishment</w:t>
            </w:r>
          </w:p>
        </w:tc>
        <w:tc>
          <w:tcPr>
            <w:tcW w:w="6626" w:type="dxa"/>
          </w:tcPr>
          <w:p>
            <w:pPr>
              <w:pStyle w:val="TableText"/>
              <w:spacing w:before="20" w:after="20" w:line="240" w:lineRule="atLeast"/>
              <w:jc w:val="left"/>
              <w:rPr>
                <w:rFonts w:cs="Arial"/>
                <w:szCs w:val="16"/>
              </w:rPr>
            </w:pPr>
            <w:r>
              <w:rPr>
                <w:rFonts w:cs="Arial"/>
                <w:szCs w:val="16"/>
              </w:rPr>
              <w:t>Perpetuation, for the foreseeable future, of a pest within an area after entry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Fruits and vegetables</w:t>
            </w:r>
          </w:p>
        </w:tc>
        <w:tc>
          <w:tcPr>
            <w:tcW w:w="6626" w:type="dxa"/>
          </w:tcPr>
          <w:p>
            <w:pPr>
              <w:pStyle w:val="TableText"/>
              <w:spacing w:before="20" w:after="20" w:line="240" w:lineRule="atLeast"/>
              <w:jc w:val="left"/>
              <w:rPr>
                <w:rFonts w:cs="Arial"/>
                <w:szCs w:val="16"/>
              </w:rPr>
            </w:pPr>
            <w:r>
              <w:rPr>
                <w:rFonts w:cs="Arial"/>
                <w:szCs w:val="16"/>
              </w:rPr>
              <w:t>A commodity class for fresh parts of plants intended for consumption or processing and not for planting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Host range</w:t>
            </w:r>
          </w:p>
        </w:tc>
        <w:tc>
          <w:tcPr>
            <w:tcW w:w="6626" w:type="dxa"/>
          </w:tcPr>
          <w:p>
            <w:pPr>
              <w:pStyle w:val="TableText"/>
              <w:spacing w:before="20" w:after="20" w:line="240" w:lineRule="atLeast"/>
              <w:jc w:val="left"/>
              <w:rPr>
                <w:rFonts w:cs="Arial"/>
                <w:szCs w:val="16"/>
              </w:rPr>
            </w:pPr>
            <w:r>
              <w:rPr>
                <w:rFonts w:cs="Arial"/>
                <w:szCs w:val="16"/>
              </w:rPr>
              <w:t>Species capable, under natural conditions, of sustaining a specific pest or other organism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Import Permit</w:t>
            </w:r>
          </w:p>
        </w:tc>
        <w:tc>
          <w:tcPr>
            <w:tcW w:w="6626" w:type="dxa"/>
          </w:tcPr>
          <w:p>
            <w:pPr>
              <w:pStyle w:val="TableText"/>
              <w:spacing w:before="20" w:after="20" w:line="240" w:lineRule="atLeast"/>
              <w:jc w:val="left"/>
              <w:rPr>
                <w:rFonts w:cs="Arial"/>
                <w:szCs w:val="16"/>
              </w:rPr>
            </w:pPr>
            <w:r>
              <w:rPr>
                <w:rFonts w:cs="Arial"/>
                <w:szCs w:val="16"/>
              </w:rPr>
              <w:t>Official document authorising importation of a commodity in accordance with specified phytosanitary import requirements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Import Risk Analysis</w:t>
            </w:r>
          </w:p>
        </w:tc>
        <w:tc>
          <w:tcPr>
            <w:tcW w:w="6626" w:type="dxa"/>
          </w:tcPr>
          <w:p>
            <w:pPr>
              <w:pStyle w:val="TableText"/>
              <w:spacing w:before="20" w:after="20" w:line="240" w:lineRule="atLeast"/>
              <w:jc w:val="left"/>
              <w:rPr>
                <w:rFonts w:cs="Arial"/>
                <w:szCs w:val="16"/>
              </w:rPr>
            </w:pPr>
            <w:r>
              <w:rPr>
                <w:rFonts w:cs="Arial"/>
                <w:szCs w:val="16"/>
              </w:rPr>
              <w:t>An administrative process through which quarantine policy is developed or reviewed, incorporating risk assessment, risk management and risk communication.</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Infestation (of a commodity)</w:t>
            </w:r>
          </w:p>
        </w:tc>
        <w:tc>
          <w:tcPr>
            <w:tcW w:w="6626" w:type="dxa"/>
          </w:tcPr>
          <w:p>
            <w:pPr>
              <w:pStyle w:val="TableText"/>
              <w:spacing w:before="20" w:after="20" w:line="240" w:lineRule="atLeast"/>
              <w:jc w:val="left"/>
              <w:rPr>
                <w:rFonts w:cs="Arial"/>
                <w:szCs w:val="16"/>
              </w:rPr>
            </w:pPr>
            <w:r>
              <w:rPr>
                <w:rFonts w:cs="Arial"/>
                <w:szCs w:val="16"/>
              </w:rPr>
              <w:t>Presence in a commodity of a living pest of the plant or plant product concerned. Infestation includes infection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Inspection</w:t>
            </w:r>
          </w:p>
        </w:tc>
        <w:tc>
          <w:tcPr>
            <w:tcW w:w="6626" w:type="dxa"/>
          </w:tcPr>
          <w:p>
            <w:pPr>
              <w:pStyle w:val="TableText"/>
              <w:spacing w:before="20" w:after="20" w:line="240" w:lineRule="atLeast"/>
              <w:jc w:val="left"/>
              <w:rPr>
                <w:rFonts w:cs="Arial"/>
                <w:szCs w:val="16"/>
              </w:rPr>
            </w:pPr>
            <w:r>
              <w:rPr>
                <w:rFonts w:cs="Arial"/>
                <w:szCs w:val="16"/>
              </w:rPr>
              <w:t>Official visual examination of plants, plant products or other regulated articles to determine if pests are present and/or to determine compliance with phytosanitary regulations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Intended use</w:t>
            </w:r>
          </w:p>
        </w:tc>
        <w:tc>
          <w:tcPr>
            <w:tcW w:w="6626" w:type="dxa"/>
          </w:tcPr>
          <w:p>
            <w:pPr>
              <w:pStyle w:val="TableText"/>
              <w:spacing w:before="20" w:after="20" w:line="240" w:lineRule="atLeast"/>
              <w:jc w:val="left"/>
              <w:rPr>
                <w:rFonts w:cs="Arial"/>
                <w:szCs w:val="16"/>
              </w:rPr>
            </w:pPr>
            <w:r>
              <w:rPr>
                <w:rFonts w:cs="Arial"/>
                <w:szCs w:val="16"/>
              </w:rPr>
              <w:t>Declared purpose for which plants, plant products, or other regulated articles are imported, produced, or used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Interception (of a pest)</w:t>
            </w:r>
          </w:p>
        </w:tc>
        <w:tc>
          <w:tcPr>
            <w:tcW w:w="6626" w:type="dxa"/>
          </w:tcPr>
          <w:p>
            <w:pPr>
              <w:pStyle w:val="TableText"/>
              <w:spacing w:before="20" w:after="20" w:line="240" w:lineRule="atLeast"/>
              <w:jc w:val="left"/>
              <w:rPr>
                <w:rFonts w:cs="Arial"/>
                <w:szCs w:val="16"/>
              </w:rPr>
            </w:pPr>
            <w:r>
              <w:rPr>
                <w:rFonts w:cs="Arial"/>
                <w:szCs w:val="16"/>
              </w:rPr>
              <w:t>The detection of a pest during inspection or testing of an imported consignment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International Standard for Phytosanitary Measures</w:t>
            </w:r>
          </w:p>
        </w:tc>
        <w:tc>
          <w:tcPr>
            <w:tcW w:w="6626" w:type="dxa"/>
          </w:tcPr>
          <w:p>
            <w:pPr>
              <w:pStyle w:val="TableText"/>
              <w:spacing w:before="20" w:after="20" w:line="240" w:lineRule="atLeast"/>
              <w:jc w:val="left"/>
              <w:rPr>
                <w:rFonts w:cs="Arial"/>
                <w:szCs w:val="16"/>
              </w:rPr>
            </w:pPr>
            <w:r>
              <w:rPr>
                <w:rFonts w:cs="Arial"/>
                <w:szCs w:val="16"/>
              </w:rPr>
              <w:t>An international standard adopted by the Conference of FAO [Food and Agriculture Organization], the Interim Commission on phytosanitary measures or the Commission on phytosanitary measures, established under the IPPC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Introduction</w:t>
            </w:r>
          </w:p>
        </w:tc>
        <w:tc>
          <w:tcPr>
            <w:tcW w:w="6626" w:type="dxa"/>
          </w:tcPr>
          <w:p>
            <w:pPr>
              <w:pStyle w:val="TableText"/>
              <w:spacing w:before="20" w:after="20" w:line="240" w:lineRule="atLeast"/>
              <w:jc w:val="left"/>
              <w:rPr>
                <w:rFonts w:cs="Arial"/>
                <w:szCs w:val="16"/>
              </w:rPr>
            </w:pPr>
            <w:r>
              <w:rPr>
                <w:rFonts w:cs="Arial"/>
                <w:szCs w:val="16"/>
              </w:rPr>
              <w:t>The entry of a pest resulting in its establishment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National Plant Protection Organisation</w:t>
            </w:r>
          </w:p>
        </w:tc>
        <w:tc>
          <w:tcPr>
            <w:tcW w:w="6626" w:type="dxa"/>
          </w:tcPr>
          <w:p>
            <w:pPr>
              <w:pStyle w:val="TableText"/>
              <w:spacing w:before="20" w:after="20" w:line="240" w:lineRule="atLeast"/>
              <w:jc w:val="left"/>
              <w:rPr>
                <w:rFonts w:cs="Arial"/>
                <w:szCs w:val="16"/>
              </w:rPr>
            </w:pPr>
            <w:r>
              <w:rPr>
                <w:rFonts w:cs="Arial"/>
                <w:szCs w:val="16"/>
              </w:rPr>
              <w:t>Official service established by a government to discharge the functions specified by the IPPC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Official control</w:t>
            </w:r>
          </w:p>
        </w:tc>
        <w:tc>
          <w:tcPr>
            <w:tcW w:w="6626" w:type="dxa"/>
          </w:tcPr>
          <w:p>
            <w:pPr>
              <w:pStyle w:val="TableText"/>
              <w:spacing w:before="20" w:after="20" w:line="240" w:lineRule="atLeast"/>
              <w:jc w:val="left"/>
              <w:rPr>
                <w:rFonts w:cs="Arial"/>
                <w:szCs w:val="16"/>
              </w:rPr>
            </w:pPr>
            <w:r>
              <w:rPr>
                <w:rFonts w:cs="Arial"/>
                <w:szCs w:val="16"/>
              </w:rPr>
              <w:t>The active enforcement of mandatory phytosanitary regulations and the application of mandatory phytosanitary procedures with the objective of eradication or containment of quarantine pests or for the management of regulated non-quarantine pests (</w:t>
            </w:r>
            <w:r>
              <w:rPr>
                <w:rFonts w:cs="Arial"/>
                <w:szCs w:val="16"/>
              </w:rPr>
              <w:fldChar w:fldCharType="begin"/>
            </w:r>
            <w:r>
              <w:rPr>
                <w:rFonts w:cs="Arial"/>
                <w:szCs w:val="16"/>
              </w:rPr>
              <w:instrText xml:space="preserve"> QUOTE "FAO 2006" </w:instrText>
            </w:r>
            <w:r>
              <w:rPr>
                <w:rFonts w:cs="Arial"/>
                <w:vanish/>
                <w:szCs w:val="16"/>
              </w:rPr>
              <w:fldChar w:fldCharType="begin"/>
            </w:r>
            <w:r>
              <w:rPr>
                <w:rFonts w:cs="Arial"/>
                <w:vanish/>
                <w:szCs w:val="16"/>
              </w:rPr>
              <w:instrText xml:space="preserve"> ADDIN PROCITE ÿ\11\05‘\19\02\00\00\00\08FAO 2006\01\02\00\03\00àà\00\00\00î|p\05‘|ÿÿÿÿm\05‘|ÞÂÂw\00\00\01\00\07\00\00\008\00\00\00\05\00\00\00\00\00\00ÃÂw\00\002\00\00\00\00\00ÎÃÂw\00\00\00\00ÿÿÿÿ\07ÄÂw8\00\00\00\0E\04\00\001H:\5CMy Documents\5Cpersonal\5Cbiblio\5CRochelleforBA.pdt\0FFAO 2006 #13146\01\02\00\03\00àà\00\00\00¿H\00\18&gt;\14\00\14\00\00\00\01\00\00\00\00\00\00\00\00\00\00\00\10\00\00\00\00\00\00\00\0C\00\00\00\00\00\00ºI_ø|Å\00\01\00\00\00\01\00\00\00\00\00\00\00tò\12\000¬W\00ÿÿÿÿ </w:instrText>
            </w:r>
            <w:r>
              <w:rPr>
                <w:rFonts w:cs="Arial"/>
                <w:vanish/>
                <w:szCs w:val="16"/>
              </w:rPr>
              <w:fldChar w:fldCharType="end"/>
            </w:r>
            <w:r>
              <w:rPr>
                <w:rFonts w:cs="Arial"/>
                <w:szCs w:val="16"/>
              </w:rPr>
              <w:fldChar w:fldCharType="separate"/>
            </w:r>
            <w:r>
              <w:rPr>
                <w:rFonts w:cs="Arial"/>
                <w:szCs w:val="16"/>
              </w:rPr>
              <w:t>FAO 2006</w:t>
            </w:r>
            <w:r>
              <w:rPr>
                <w:rFonts w:cs="Arial"/>
                <w:szCs w:val="16"/>
              </w:rPr>
              <w:fldChar w:fldCharType="end"/>
            </w:r>
            <w:r>
              <w:rPr>
                <w:rFonts w:cs="Arial"/>
                <w:szCs w:val="16"/>
              </w:rPr>
              <w:t>).</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Pathway</w:t>
            </w:r>
          </w:p>
        </w:tc>
        <w:tc>
          <w:tcPr>
            <w:tcW w:w="6626" w:type="dxa"/>
          </w:tcPr>
          <w:p>
            <w:pPr>
              <w:pStyle w:val="TableText"/>
              <w:spacing w:before="20" w:after="20" w:line="240" w:lineRule="atLeast"/>
              <w:jc w:val="left"/>
              <w:rPr>
                <w:rFonts w:cs="Arial"/>
                <w:szCs w:val="16"/>
              </w:rPr>
            </w:pPr>
            <w:r>
              <w:rPr>
                <w:rFonts w:cs="Arial"/>
                <w:szCs w:val="16"/>
              </w:rPr>
              <w:t>Any means that allows the entry or spread of a pest (FAO 2009).</w:t>
            </w:r>
          </w:p>
        </w:tc>
      </w:tr>
      <w:tr>
        <w:trPr>
          <w:trHeight w:val="284"/>
        </w:trPr>
        <w:tc>
          <w:tcPr>
            <w:tcW w:w="2660" w:type="dxa"/>
          </w:tcPr>
          <w:p>
            <w:pPr>
              <w:pStyle w:val="TableText"/>
              <w:spacing w:before="20" w:after="20" w:line="240" w:lineRule="atLeast"/>
              <w:jc w:val="left"/>
              <w:rPr>
                <w:rFonts w:cs="Arial"/>
                <w:b/>
                <w:bCs/>
                <w:szCs w:val="16"/>
              </w:rPr>
            </w:pPr>
            <w:smartTag w:uri="urn:schemas-microsoft-com:office:smarttags" w:element="place">
              <w:r>
                <w:rPr>
                  <w:rFonts w:cs="Arial"/>
                  <w:b/>
                  <w:bCs/>
                  <w:szCs w:val="16"/>
                </w:rPr>
                <w:t>Pest</w:t>
              </w:r>
            </w:smartTag>
          </w:p>
        </w:tc>
        <w:tc>
          <w:tcPr>
            <w:tcW w:w="6626" w:type="dxa"/>
          </w:tcPr>
          <w:p>
            <w:pPr>
              <w:pStyle w:val="TableText"/>
              <w:spacing w:before="20" w:after="20" w:line="240" w:lineRule="atLeast"/>
              <w:jc w:val="left"/>
              <w:rPr>
                <w:rFonts w:cs="Arial"/>
                <w:szCs w:val="16"/>
              </w:rPr>
            </w:pPr>
            <w:r>
              <w:rPr>
                <w:rFonts w:cs="Arial"/>
                <w:szCs w:val="16"/>
              </w:rPr>
              <w:t>Any species, strain or biotype of plant, animal, or pathogenic agent injurious to plants or plant products (FAO 2009).</w:t>
            </w:r>
          </w:p>
        </w:tc>
      </w:tr>
      <w:tr>
        <w:trPr>
          <w:trHeight w:val="284"/>
        </w:trPr>
        <w:tc>
          <w:tcPr>
            <w:tcW w:w="2660" w:type="dxa"/>
          </w:tcPr>
          <w:p>
            <w:pPr>
              <w:pStyle w:val="TableText"/>
              <w:spacing w:before="20" w:after="20" w:line="240" w:lineRule="atLeast"/>
              <w:jc w:val="left"/>
              <w:rPr>
                <w:rFonts w:cs="Arial"/>
                <w:b/>
                <w:bCs/>
                <w:szCs w:val="16"/>
              </w:rPr>
            </w:pPr>
            <w:smartTag w:uri="urn:schemas-microsoft-com:office:smarttags" w:element="place">
              <w:r>
                <w:rPr>
                  <w:rFonts w:cs="Arial"/>
                  <w:b/>
                  <w:bCs/>
                  <w:szCs w:val="16"/>
                </w:rPr>
                <w:t>Pest</w:t>
              </w:r>
            </w:smartTag>
            <w:r>
              <w:rPr>
                <w:rFonts w:cs="Arial"/>
                <w:b/>
                <w:bCs/>
                <w:szCs w:val="16"/>
              </w:rPr>
              <w:t xml:space="preserve"> categorisation</w:t>
            </w:r>
          </w:p>
        </w:tc>
        <w:tc>
          <w:tcPr>
            <w:tcW w:w="6626" w:type="dxa"/>
          </w:tcPr>
          <w:p>
            <w:pPr>
              <w:pStyle w:val="TableText"/>
              <w:spacing w:before="20" w:after="20" w:line="240" w:lineRule="atLeast"/>
              <w:jc w:val="left"/>
              <w:rPr>
                <w:rFonts w:cs="Arial"/>
                <w:szCs w:val="16"/>
              </w:rPr>
            </w:pPr>
            <w:r>
              <w:rPr>
                <w:rFonts w:cs="Arial"/>
                <w:szCs w:val="16"/>
              </w:rPr>
              <w:t>The process for determining whether a pest has or has not the characteristics of a quarantine pest or those of a regulated non-quarantine pest (FAO 2009).</w:t>
            </w:r>
          </w:p>
        </w:tc>
      </w:tr>
      <w:tr>
        <w:trPr>
          <w:trHeight w:val="284"/>
        </w:trPr>
        <w:tc>
          <w:tcPr>
            <w:tcW w:w="2660" w:type="dxa"/>
          </w:tcPr>
          <w:p>
            <w:pPr>
              <w:pStyle w:val="TableText"/>
              <w:spacing w:before="20" w:after="20" w:line="240" w:lineRule="atLeast"/>
              <w:jc w:val="left"/>
              <w:rPr>
                <w:rFonts w:cs="Arial"/>
                <w:b/>
                <w:bCs/>
                <w:szCs w:val="16"/>
              </w:rPr>
            </w:pPr>
            <w:smartTag w:uri="urn:schemas-microsoft-com:office:smarttags" w:element="place">
              <w:r>
                <w:rPr>
                  <w:rFonts w:cs="Arial"/>
                  <w:b/>
                  <w:bCs/>
                  <w:szCs w:val="16"/>
                </w:rPr>
                <w:t>Pest</w:t>
              </w:r>
            </w:smartTag>
            <w:r>
              <w:rPr>
                <w:rFonts w:cs="Arial"/>
                <w:b/>
                <w:bCs/>
                <w:szCs w:val="16"/>
              </w:rPr>
              <w:t xml:space="preserve"> Free Area</w:t>
            </w:r>
          </w:p>
        </w:tc>
        <w:tc>
          <w:tcPr>
            <w:tcW w:w="6626" w:type="dxa"/>
          </w:tcPr>
          <w:p>
            <w:pPr>
              <w:pStyle w:val="TableText"/>
              <w:spacing w:before="20" w:after="20" w:line="240" w:lineRule="atLeast"/>
              <w:jc w:val="left"/>
              <w:rPr>
                <w:rFonts w:cs="Arial"/>
                <w:szCs w:val="16"/>
              </w:rPr>
            </w:pPr>
            <w:r>
              <w:rPr>
                <w:rFonts w:cs="Arial"/>
                <w:szCs w:val="16"/>
              </w:rPr>
              <w:t>An area in which a specific pest does not occur as demonstrated by scientific evidence and in which, where appropriate, this condition is being officially maintained (FAO 2009).</w:t>
            </w:r>
          </w:p>
        </w:tc>
      </w:tr>
      <w:tr>
        <w:trPr>
          <w:trHeight w:val="284"/>
        </w:trPr>
        <w:tc>
          <w:tcPr>
            <w:tcW w:w="2660" w:type="dxa"/>
          </w:tcPr>
          <w:p>
            <w:pPr>
              <w:pStyle w:val="TableText"/>
              <w:spacing w:before="20" w:after="20" w:line="240" w:lineRule="atLeast"/>
              <w:jc w:val="left"/>
              <w:rPr>
                <w:rFonts w:cs="Arial"/>
                <w:b/>
                <w:bCs/>
                <w:szCs w:val="16"/>
              </w:rPr>
            </w:pPr>
            <w:smartTag w:uri="urn:schemas-microsoft-com:office:smarttags" w:element="place">
              <w:r>
                <w:rPr>
                  <w:rFonts w:cs="Arial"/>
                  <w:b/>
                  <w:bCs/>
                  <w:szCs w:val="16"/>
                </w:rPr>
                <w:t>Pest</w:t>
              </w:r>
            </w:smartTag>
            <w:r>
              <w:rPr>
                <w:rFonts w:cs="Arial"/>
                <w:b/>
                <w:bCs/>
                <w:szCs w:val="16"/>
              </w:rPr>
              <w:t xml:space="preserve"> free place of production</w:t>
            </w:r>
          </w:p>
        </w:tc>
        <w:tc>
          <w:tcPr>
            <w:tcW w:w="6626" w:type="dxa"/>
          </w:tcPr>
          <w:p>
            <w:pPr>
              <w:pStyle w:val="TableText"/>
              <w:spacing w:before="20" w:after="20" w:line="240" w:lineRule="atLeast"/>
              <w:jc w:val="left"/>
              <w:rPr>
                <w:rFonts w:cs="Arial"/>
                <w:szCs w:val="16"/>
              </w:rPr>
            </w:pPr>
            <w:r>
              <w:rPr>
                <w:rFonts w:cs="Arial"/>
                <w:szCs w:val="16"/>
              </w:rPr>
              <w:t>Place of production in which a specific pest does not occur as demonstrated by scientific evidence and in which, where appropriate, this condition is being officially maintained for a defined period (FAO 2009).</w:t>
            </w:r>
          </w:p>
        </w:tc>
      </w:tr>
      <w:tr>
        <w:trPr>
          <w:trHeight w:val="284"/>
        </w:trPr>
        <w:tc>
          <w:tcPr>
            <w:tcW w:w="2660" w:type="dxa"/>
          </w:tcPr>
          <w:p>
            <w:pPr>
              <w:pStyle w:val="TableText"/>
              <w:spacing w:before="20" w:after="20" w:line="240" w:lineRule="atLeast"/>
              <w:jc w:val="left"/>
              <w:rPr>
                <w:rFonts w:cs="Arial"/>
                <w:b/>
                <w:bCs/>
                <w:szCs w:val="16"/>
              </w:rPr>
            </w:pPr>
            <w:smartTag w:uri="urn:schemas-microsoft-com:office:smarttags" w:element="place">
              <w:r>
                <w:rPr>
                  <w:rFonts w:cs="Arial"/>
                  <w:b/>
                  <w:bCs/>
                  <w:szCs w:val="16"/>
                </w:rPr>
                <w:t>Pest</w:t>
              </w:r>
            </w:smartTag>
            <w:r>
              <w:rPr>
                <w:rFonts w:cs="Arial"/>
                <w:b/>
                <w:bCs/>
                <w:szCs w:val="16"/>
              </w:rPr>
              <w:t xml:space="preserve"> free production site</w:t>
            </w:r>
          </w:p>
        </w:tc>
        <w:tc>
          <w:tcPr>
            <w:tcW w:w="6626" w:type="dxa"/>
          </w:tcPr>
          <w:p>
            <w:pPr>
              <w:pStyle w:val="TableText"/>
              <w:spacing w:before="20" w:after="20" w:line="240" w:lineRule="atLeast"/>
              <w:jc w:val="left"/>
              <w:rPr>
                <w:rFonts w:cs="Arial"/>
                <w:szCs w:val="16"/>
              </w:rPr>
            </w:pPr>
            <w:r>
              <w:rPr>
                <w:rFonts w:cs="Arial"/>
                <w:szCs w:val="16"/>
              </w:rPr>
              <w:t>A defined portion of a place of production in which a specific pest does not occur as demonstrated by scientific evidence and in which, where appropriate, this conditions is begin officially maintained for a defined period and that is managed as a separate unit in the same way as a pest free place of production (FAO 2009).</w:t>
            </w:r>
          </w:p>
        </w:tc>
      </w:tr>
      <w:tr>
        <w:trPr>
          <w:trHeight w:val="284"/>
        </w:trPr>
        <w:tc>
          <w:tcPr>
            <w:tcW w:w="2660" w:type="dxa"/>
          </w:tcPr>
          <w:p>
            <w:pPr>
              <w:pStyle w:val="TableText"/>
              <w:spacing w:before="20" w:after="20" w:line="240" w:lineRule="atLeast"/>
              <w:jc w:val="left"/>
              <w:rPr>
                <w:rFonts w:cs="Arial"/>
                <w:bCs/>
                <w:szCs w:val="16"/>
              </w:rPr>
            </w:pPr>
            <w:smartTag w:uri="urn:schemas-microsoft-com:office:smarttags" w:element="place">
              <w:r>
                <w:rPr>
                  <w:rFonts w:cs="Arial"/>
                  <w:b/>
                  <w:bCs/>
                  <w:szCs w:val="16"/>
                </w:rPr>
                <w:t>Pest</w:t>
              </w:r>
            </w:smartTag>
            <w:r>
              <w:rPr>
                <w:rFonts w:cs="Arial"/>
                <w:b/>
                <w:bCs/>
                <w:szCs w:val="16"/>
              </w:rPr>
              <w:t xml:space="preserve"> Risk Analysis </w:t>
            </w:r>
          </w:p>
        </w:tc>
        <w:tc>
          <w:tcPr>
            <w:tcW w:w="6626" w:type="dxa"/>
          </w:tcPr>
          <w:p>
            <w:pPr>
              <w:pStyle w:val="TableText"/>
              <w:spacing w:before="20" w:after="20" w:line="240" w:lineRule="atLeast"/>
              <w:jc w:val="left"/>
              <w:rPr>
                <w:rFonts w:cs="Arial"/>
                <w:szCs w:val="16"/>
              </w:rPr>
            </w:pPr>
            <w:r>
              <w:rPr>
                <w:rFonts w:cs="Arial"/>
                <w:szCs w:val="16"/>
              </w:rPr>
              <w:t>The process of evaluating biological or other scientific and economic evidence to determine whether an organism is a pest, whether it should be regulated, and the strength of any phytosanitary measures to be taken against it (FAO 2009).</w:t>
            </w:r>
          </w:p>
        </w:tc>
      </w:tr>
      <w:tr>
        <w:trPr>
          <w:trHeight w:val="284"/>
        </w:trPr>
        <w:tc>
          <w:tcPr>
            <w:tcW w:w="2660" w:type="dxa"/>
          </w:tcPr>
          <w:p>
            <w:pPr>
              <w:pStyle w:val="TableText"/>
              <w:spacing w:before="20" w:after="20" w:line="240" w:lineRule="atLeast"/>
              <w:jc w:val="left"/>
              <w:rPr>
                <w:rFonts w:cs="Arial"/>
                <w:szCs w:val="16"/>
              </w:rPr>
            </w:pPr>
            <w:smartTag w:uri="urn:schemas-microsoft-com:office:smarttags" w:element="place">
              <w:r>
                <w:rPr>
                  <w:rFonts w:cs="Arial"/>
                  <w:b/>
                  <w:bCs/>
                  <w:szCs w:val="16"/>
                </w:rPr>
                <w:t>Pest</w:t>
              </w:r>
            </w:smartTag>
            <w:r>
              <w:rPr>
                <w:rFonts w:cs="Arial"/>
                <w:b/>
                <w:bCs/>
                <w:szCs w:val="16"/>
              </w:rPr>
              <w:t xml:space="preserve"> risk assessment (for quarantine pests)</w:t>
            </w:r>
          </w:p>
        </w:tc>
        <w:tc>
          <w:tcPr>
            <w:tcW w:w="6626" w:type="dxa"/>
          </w:tcPr>
          <w:p>
            <w:pPr>
              <w:pStyle w:val="TableText"/>
              <w:spacing w:before="20" w:after="20" w:line="240" w:lineRule="atLeast"/>
              <w:jc w:val="left"/>
              <w:rPr>
                <w:rFonts w:cs="Arial"/>
                <w:szCs w:val="16"/>
              </w:rPr>
            </w:pPr>
            <w:r>
              <w:rPr>
                <w:rFonts w:cs="Arial"/>
                <w:szCs w:val="16"/>
              </w:rPr>
              <w:t xml:space="preserve">Evaluation of the probability of the </w:t>
            </w:r>
            <w:r>
              <w:rPr>
                <w:rFonts w:cs="Arial"/>
                <w:bCs/>
                <w:szCs w:val="16"/>
              </w:rPr>
              <w:t xml:space="preserve">introduction </w:t>
            </w:r>
            <w:r>
              <w:rPr>
                <w:rFonts w:cs="Arial"/>
                <w:szCs w:val="16"/>
              </w:rPr>
              <w:t xml:space="preserve">and </w:t>
            </w:r>
            <w:r>
              <w:rPr>
                <w:rFonts w:cs="Arial"/>
                <w:bCs/>
                <w:szCs w:val="16"/>
              </w:rPr>
              <w:t xml:space="preserve">spread </w:t>
            </w:r>
            <w:r>
              <w:rPr>
                <w:rFonts w:cs="Arial"/>
                <w:szCs w:val="16"/>
              </w:rPr>
              <w:t xml:space="preserve">of a </w:t>
            </w:r>
            <w:r>
              <w:rPr>
                <w:rFonts w:cs="Arial"/>
                <w:bCs/>
                <w:szCs w:val="16"/>
              </w:rPr>
              <w:t xml:space="preserve">pest </w:t>
            </w:r>
            <w:r>
              <w:rPr>
                <w:rFonts w:cs="Arial"/>
                <w:szCs w:val="16"/>
              </w:rPr>
              <w:t xml:space="preserve">and the magnitude of the associated potential economic consequences (FAO 2009). </w:t>
            </w:r>
          </w:p>
        </w:tc>
      </w:tr>
      <w:tr>
        <w:trPr>
          <w:trHeight w:val="284"/>
        </w:trPr>
        <w:tc>
          <w:tcPr>
            <w:tcW w:w="2660" w:type="dxa"/>
          </w:tcPr>
          <w:p>
            <w:pPr>
              <w:pStyle w:val="TableText"/>
              <w:spacing w:before="20" w:after="20" w:line="240" w:lineRule="atLeast"/>
              <w:jc w:val="left"/>
              <w:rPr>
                <w:rFonts w:cs="Arial"/>
                <w:b/>
                <w:bCs/>
                <w:szCs w:val="16"/>
              </w:rPr>
            </w:pPr>
            <w:smartTag w:uri="urn:schemas-microsoft-com:office:smarttags" w:element="place">
              <w:r>
                <w:rPr>
                  <w:rFonts w:cs="Arial"/>
                  <w:b/>
                  <w:bCs/>
                  <w:szCs w:val="16"/>
                </w:rPr>
                <w:t>Pest</w:t>
              </w:r>
            </w:smartTag>
            <w:r>
              <w:rPr>
                <w:rFonts w:cs="Arial"/>
                <w:b/>
                <w:bCs/>
                <w:szCs w:val="16"/>
              </w:rPr>
              <w:t xml:space="preserve"> risk management (for quarantine pests)</w:t>
            </w:r>
          </w:p>
        </w:tc>
        <w:tc>
          <w:tcPr>
            <w:tcW w:w="6626" w:type="dxa"/>
          </w:tcPr>
          <w:p>
            <w:pPr>
              <w:pStyle w:val="TableText"/>
              <w:spacing w:before="20" w:after="20" w:line="240" w:lineRule="atLeast"/>
              <w:jc w:val="left"/>
              <w:rPr>
                <w:rFonts w:cs="Arial"/>
                <w:szCs w:val="16"/>
              </w:rPr>
            </w:pPr>
            <w:r>
              <w:rPr>
                <w:rFonts w:cs="Arial"/>
                <w:szCs w:val="16"/>
              </w:rPr>
              <w:t>Evaluation and selection of options to reduce the risk of introduction and spread of a pest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Phytosanitary Certificate</w:t>
            </w:r>
          </w:p>
        </w:tc>
        <w:tc>
          <w:tcPr>
            <w:tcW w:w="6626" w:type="dxa"/>
          </w:tcPr>
          <w:p>
            <w:pPr>
              <w:pStyle w:val="TableText"/>
              <w:spacing w:before="20" w:after="20" w:line="240" w:lineRule="atLeast"/>
              <w:jc w:val="left"/>
              <w:rPr>
                <w:rFonts w:cs="Arial"/>
                <w:szCs w:val="16"/>
              </w:rPr>
            </w:pPr>
            <w:r>
              <w:rPr>
                <w:rFonts w:cs="Arial"/>
                <w:szCs w:val="16"/>
              </w:rPr>
              <w:t>Certificate patterned after the model certificates of the IPPC (FAO 2009).</w:t>
            </w:r>
          </w:p>
        </w:tc>
      </w:tr>
      <w:tr>
        <w:trPr>
          <w:trHeight w:val="284"/>
        </w:trPr>
        <w:tc>
          <w:tcPr>
            <w:tcW w:w="2660" w:type="dxa"/>
          </w:tcPr>
          <w:p>
            <w:pPr>
              <w:pStyle w:val="TableText"/>
              <w:spacing w:before="20" w:after="20" w:line="240" w:lineRule="atLeast"/>
              <w:jc w:val="left"/>
              <w:rPr>
                <w:rFonts w:cs="Arial"/>
                <w:bCs/>
                <w:szCs w:val="16"/>
              </w:rPr>
            </w:pPr>
            <w:r>
              <w:rPr>
                <w:rFonts w:cs="Arial"/>
                <w:b/>
                <w:bCs/>
                <w:szCs w:val="16"/>
              </w:rPr>
              <w:t xml:space="preserve">Phytosanitary measure </w:t>
            </w:r>
          </w:p>
        </w:tc>
        <w:tc>
          <w:tcPr>
            <w:tcW w:w="6626" w:type="dxa"/>
          </w:tcPr>
          <w:p>
            <w:pPr>
              <w:pStyle w:val="TableText"/>
              <w:spacing w:before="20" w:after="20" w:line="240" w:lineRule="atLeast"/>
              <w:jc w:val="left"/>
              <w:rPr>
                <w:rFonts w:cs="Arial"/>
                <w:szCs w:val="16"/>
              </w:rPr>
            </w:pPr>
            <w:r>
              <w:rPr>
                <w:rFonts w:cs="Arial"/>
                <w:szCs w:val="16"/>
              </w:rPr>
              <w:t>Any legislation, regulation or official procedure having the purpose to prevent the introduction and/or spread of quarantine pests, or to limit the economic impact of regulated non-quarantine pests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Phytosanitary regulation</w:t>
            </w:r>
          </w:p>
        </w:tc>
        <w:tc>
          <w:tcPr>
            <w:tcW w:w="6626" w:type="dxa"/>
          </w:tcPr>
          <w:p>
            <w:pPr>
              <w:pStyle w:val="TableText"/>
              <w:spacing w:before="20" w:after="20" w:line="240" w:lineRule="atLeast"/>
              <w:jc w:val="left"/>
              <w:rPr>
                <w:rFonts w:cs="Arial"/>
                <w:szCs w:val="16"/>
              </w:rPr>
            </w:pPr>
            <w:r>
              <w:rPr>
                <w:rFonts w:cs="Arial"/>
                <w:szCs w:val="16"/>
              </w:rPr>
              <w:t xml:space="preserve">Official rule to prevent the introduction and/or spread of quarantine pests, or to limit the economic impact of regulated non-quarantine pests, including establishment of procedures for phytosanitary certification (FAO 2009). </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Polyphagous</w:t>
            </w:r>
          </w:p>
        </w:tc>
        <w:tc>
          <w:tcPr>
            <w:tcW w:w="6626" w:type="dxa"/>
          </w:tcPr>
          <w:p>
            <w:pPr>
              <w:pStyle w:val="TableText"/>
              <w:spacing w:before="20" w:after="20" w:line="240" w:lineRule="atLeast"/>
              <w:jc w:val="left"/>
              <w:rPr>
                <w:rFonts w:cs="Arial"/>
                <w:szCs w:val="16"/>
              </w:rPr>
            </w:pPr>
            <w:r>
              <w:rPr>
                <w:rFonts w:cs="Arial"/>
                <w:szCs w:val="16"/>
              </w:rPr>
              <w:t>Feeding on a relatively large number of host plants from different plant families.</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PRA area</w:t>
            </w:r>
          </w:p>
        </w:tc>
        <w:tc>
          <w:tcPr>
            <w:tcW w:w="6626" w:type="dxa"/>
          </w:tcPr>
          <w:p>
            <w:pPr>
              <w:pStyle w:val="TableText"/>
              <w:spacing w:before="20" w:after="20" w:line="240" w:lineRule="atLeast"/>
              <w:jc w:val="left"/>
              <w:rPr>
                <w:rFonts w:cs="Arial"/>
                <w:szCs w:val="16"/>
              </w:rPr>
            </w:pPr>
            <w:r>
              <w:rPr>
                <w:rFonts w:cs="Arial"/>
                <w:szCs w:val="16"/>
              </w:rPr>
              <w:t>Area in relation to which a Pest Risk Analysis is conducted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Quarantine pest</w:t>
            </w:r>
          </w:p>
        </w:tc>
        <w:tc>
          <w:tcPr>
            <w:tcW w:w="6626" w:type="dxa"/>
          </w:tcPr>
          <w:p>
            <w:pPr>
              <w:pStyle w:val="TableText"/>
              <w:spacing w:before="20" w:after="20" w:line="240" w:lineRule="atLeast"/>
              <w:jc w:val="left"/>
              <w:rPr>
                <w:rFonts w:cs="Arial"/>
                <w:szCs w:val="16"/>
              </w:rPr>
            </w:pPr>
            <w:r>
              <w:rPr>
                <w:rFonts w:cs="Arial"/>
                <w:szCs w:val="16"/>
              </w:rPr>
              <w:t>A pest of potential economic importance to the area endangered thereby and not yet present there, or present but not widely distributed and being officially controlled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Regulated article</w:t>
            </w:r>
          </w:p>
        </w:tc>
        <w:tc>
          <w:tcPr>
            <w:tcW w:w="6626" w:type="dxa"/>
          </w:tcPr>
          <w:p>
            <w:pPr>
              <w:pStyle w:val="TableText"/>
              <w:spacing w:before="20" w:after="20" w:line="240" w:lineRule="atLeast"/>
              <w:jc w:val="left"/>
              <w:rPr>
                <w:rFonts w:cs="Arial"/>
                <w:szCs w:val="16"/>
              </w:rPr>
            </w:pPr>
            <w:r>
              <w:rPr>
                <w:rFonts w:cs="Arial"/>
                <w:szCs w:val="16"/>
              </w:rPr>
              <w:t>Any plant, plant product, storage place, packaging, conveyance, container, soil and any other organism, object or material capable of harbouring or spreading pests, deemed to require phytosanitary measures, particularly where international transportation is involved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Restricted risk</w:t>
            </w:r>
          </w:p>
        </w:tc>
        <w:tc>
          <w:tcPr>
            <w:tcW w:w="6626" w:type="dxa"/>
          </w:tcPr>
          <w:p>
            <w:pPr>
              <w:pStyle w:val="TableText"/>
              <w:spacing w:before="20" w:after="20" w:line="240" w:lineRule="atLeast"/>
              <w:jc w:val="left"/>
              <w:rPr>
                <w:rFonts w:cs="Arial"/>
                <w:szCs w:val="16"/>
              </w:rPr>
            </w:pPr>
            <w:r>
              <w:rPr>
                <w:rFonts w:cs="Arial"/>
                <w:szCs w:val="16"/>
              </w:rPr>
              <w:t>Risk estimate with phytosanitary measure(s) applied.</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Rhizomes</w:t>
            </w:r>
          </w:p>
        </w:tc>
        <w:tc>
          <w:tcPr>
            <w:tcW w:w="6626" w:type="dxa"/>
          </w:tcPr>
          <w:p>
            <w:pPr>
              <w:pStyle w:val="TableText"/>
              <w:spacing w:before="20" w:after="20" w:line="240" w:lineRule="atLeast"/>
              <w:jc w:val="left"/>
              <w:rPr>
                <w:rFonts w:cs="Arial"/>
                <w:szCs w:val="16"/>
              </w:rPr>
            </w:pPr>
            <w:r>
              <w:rPr>
                <w:rFonts w:cs="Arial"/>
                <w:color w:val="000000"/>
                <w:szCs w:val="16"/>
              </w:rPr>
              <w:t>A horizontal plant stem with shoots above and roots below serving as a reproductive structure. Rhizomes may also be referred to as creeping rootstalks, or rootstocks</w:t>
            </w:r>
            <w:r>
              <w:rPr>
                <w:rFonts w:cs="Arial"/>
                <w:szCs w:val="16"/>
                <w:highlight w:val="yellow"/>
              </w:rPr>
              <w:t xml:space="preserve"> </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Spread</w:t>
            </w:r>
          </w:p>
        </w:tc>
        <w:tc>
          <w:tcPr>
            <w:tcW w:w="6626" w:type="dxa"/>
          </w:tcPr>
          <w:p>
            <w:pPr>
              <w:pStyle w:val="TableText"/>
              <w:spacing w:before="20" w:after="20" w:line="240" w:lineRule="atLeast"/>
              <w:jc w:val="left"/>
              <w:rPr>
                <w:rFonts w:cs="Arial"/>
                <w:szCs w:val="16"/>
              </w:rPr>
            </w:pPr>
            <w:r>
              <w:rPr>
                <w:rFonts w:cs="Arial"/>
                <w:szCs w:val="16"/>
              </w:rPr>
              <w:t>Expansion of the geographical distribution of a pest within an area (FAO 2009).</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Stakeholders</w:t>
            </w:r>
          </w:p>
        </w:tc>
        <w:tc>
          <w:tcPr>
            <w:tcW w:w="6626" w:type="dxa"/>
          </w:tcPr>
          <w:p>
            <w:pPr>
              <w:pStyle w:val="TableText"/>
              <w:spacing w:before="20" w:after="20" w:line="240" w:lineRule="atLeast"/>
              <w:jc w:val="left"/>
              <w:rPr>
                <w:rFonts w:cs="Arial"/>
                <w:szCs w:val="16"/>
              </w:rPr>
            </w:pPr>
            <w:r>
              <w:rPr>
                <w:rFonts w:cs="Arial"/>
                <w:szCs w:val="16"/>
              </w:rPr>
              <w:t xml:space="preserve">Government agencies, individuals, community or industry groups or organizations, whether in </w:t>
            </w:r>
            <w:smartTag w:uri="urn:schemas-microsoft-com:office:smarttags" w:element="country-region">
              <w:smartTag w:uri="urn:schemas-microsoft-com:office:smarttags" w:element="place">
                <w:r>
                  <w:rPr>
                    <w:rFonts w:cs="Arial"/>
                    <w:szCs w:val="16"/>
                  </w:rPr>
                  <w:t>Australia</w:t>
                </w:r>
              </w:smartTag>
            </w:smartTag>
            <w:r>
              <w:rPr>
                <w:rFonts w:cs="Arial"/>
                <w:szCs w:val="16"/>
              </w:rPr>
              <w:t xml:space="preserve"> or overseas, including the proponent/applicant for a specific proposal, who have an interest in the policy issues.</w:t>
            </w:r>
          </w:p>
        </w:tc>
      </w:tr>
      <w:tr>
        <w:trPr>
          <w:trHeight w:val="284"/>
        </w:trPr>
        <w:tc>
          <w:tcPr>
            <w:tcW w:w="2660" w:type="dxa"/>
          </w:tcPr>
          <w:p>
            <w:pPr>
              <w:pStyle w:val="TableText"/>
              <w:spacing w:before="20" w:after="20" w:line="240" w:lineRule="atLeast"/>
              <w:jc w:val="left"/>
              <w:rPr>
                <w:rFonts w:cs="Arial"/>
                <w:b/>
                <w:bCs/>
                <w:szCs w:val="16"/>
              </w:rPr>
            </w:pPr>
            <w:r>
              <w:rPr>
                <w:rFonts w:cs="Arial"/>
                <w:b/>
                <w:bCs/>
                <w:szCs w:val="16"/>
              </w:rPr>
              <w:t>Unrestricted risk</w:t>
            </w:r>
          </w:p>
        </w:tc>
        <w:tc>
          <w:tcPr>
            <w:tcW w:w="6626" w:type="dxa"/>
          </w:tcPr>
          <w:p>
            <w:pPr>
              <w:pStyle w:val="TableText"/>
              <w:spacing w:before="20" w:after="20" w:line="240" w:lineRule="atLeast"/>
              <w:jc w:val="left"/>
              <w:rPr>
                <w:rFonts w:cs="Arial"/>
                <w:szCs w:val="16"/>
                <w:highlight w:val="yellow"/>
              </w:rPr>
            </w:pPr>
            <w:r>
              <w:rPr>
                <w:rFonts w:cs="Arial"/>
                <w:szCs w:val="16"/>
              </w:rPr>
              <w:t>Unrestricted risk estimates apply in the absence of risk management measures.</w:t>
            </w:r>
          </w:p>
        </w:tc>
      </w:tr>
    </w:tbl>
    <w:p/>
    <w:p>
      <w:pPr>
        <w:sectPr>
          <w:headerReference w:type="even" r:id="rId127"/>
          <w:headerReference w:type="default" r:id="rId128"/>
          <w:type w:val="nextColumn"/>
          <w:pgSz w:w="11906" w:h="16838"/>
          <w:pgMar w:top="1412" w:right="1412" w:bottom="1412" w:left="1412" w:header="709" w:footer="709" w:gutter="0"/>
          <w:cols w:space="708"/>
          <w:docGrid w:linePitch="360"/>
        </w:sectPr>
      </w:pPr>
    </w:p>
    <w:p>
      <w:pPr>
        <w:pStyle w:val="Headernonumb"/>
      </w:pPr>
      <w:bookmarkStart w:id="132" w:name="_Toc275422540"/>
      <w:bookmarkStart w:id="133" w:name="_Toc275502611"/>
      <w:bookmarkStart w:id="134" w:name="_Toc345423533"/>
      <w:r>
        <w:t>References</w:t>
      </w:r>
      <w:bookmarkEnd w:id="113"/>
      <w:bookmarkEnd w:id="132"/>
      <w:bookmarkEnd w:id="133"/>
      <w:bookmarkEnd w:id="134"/>
    </w:p>
    <w:bookmarkEnd w:id="114"/>
    <w:p>
      <w:pPr>
        <w:autoSpaceDE w:val="0"/>
        <w:autoSpaceDN w:val="0"/>
        <w:spacing w:before="120" w:after="120" w:line="300" w:lineRule="atLeast"/>
        <w:jc w:val="left"/>
        <w:rPr>
          <w:lang w:eastAsia="en-AU"/>
        </w:rPr>
      </w:pPr>
      <w:r>
        <w:rPr>
          <w:lang w:eastAsia="en-AU"/>
        </w:rPr>
        <w:t>Abdallah FB, Chebil S, Ghorbel A (2003) More about in vitro grape virus symptomatology.</w:t>
      </w:r>
      <w:r>
        <w:rPr>
          <w:i/>
          <w:iCs/>
          <w:lang w:eastAsia="en-AU"/>
        </w:rPr>
        <w:t xml:space="preserve"> Phytopathologia Mediterranea</w:t>
      </w:r>
      <w:r>
        <w:rPr>
          <w:lang w:eastAsia="en-AU"/>
        </w:rPr>
        <w:t xml:space="preserve"> 42: 35–40.</w:t>
      </w:r>
    </w:p>
    <w:p>
      <w:pPr>
        <w:autoSpaceDE w:val="0"/>
        <w:autoSpaceDN w:val="0"/>
        <w:spacing w:before="120" w:after="120" w:line="300" w:lineRule="atLeast"/>
        <w:jc w:val="left"/>
        <w:rPr>
          <w:rStyle w:val="journalabstracttitle1"/>
          <w:rFonts w:ascii="Times New Roman" w:hAnsi="Times New Roman" w:cs="Times New Roman"/>
          <w:b w:val="0"/>
          <w:bCs w:val="0"/>
          <w:sz w:val="24"/>
          <w:szCs w:val="24"/>
        </w:rPr>
      </w:pPr>
      <w:r>
        <w:t xml:space="preserve">Abelleira A, Mansilla JP, Padilla V, Hita I, Cabaleiro C, Bertolini E, Olmos A, Legorburu FJ (2010) First report of </w:t>
      </w:r>
      <w:hyperlink r:id="rId129" w:tooltip="Arabis mosaic virus (page does not exist)" w:history="1">
        <w:r>
          <w:rPr>
            <w:i/>
          </w:rPr>
          <w:t>Arabis mosaic virus</w:t>
        </w:r>
      </w:hyperlink>
      <w:r>
        <w:t xml:space="preserve"> on grapevine in Spain. </w:t>
      </w:r>
      <w:hyperlink r:id="rId130" w:tooltip="Plant Disease" w:history="1">
        <w:r>
          <w:rPr>
            <w:i/>
          </w:rPr>
          <w:t>Plant Disease</w:t>
        </w:r>
      </w:hyperlink>
      <w:r>
        <w:t xml:space="preserve"> 94: 635–635.</w:t>
      </w:r>
    </w:p>
    <w:p>
      <w:pPr>
        <w:pStyle w:val="NormalWeb"/>
        <w:spacing w:before="120" w:beforeAutospacing="0" w:after="120" w:afterAutospacing="0" w:line="300" w:lineRule="atLeast"/>
        <w:jc w:val="left"/>
        <w:rPr>
          <w:rStyle w:val="journalabstracttitle1"/>
          <w:rFonts w:ascii="Times New Roman" w:hAnsi="Times New Roman" w:cs="Times New Roman"/>
          <w:b w:val="0"/>
          <w:sz w:val="24"/>
          <w:szCs w:val="24"/>
        </w:rPr>
      </w:pPr>
      <w:r>
        <w:rPr>
          <w:rStyle w:val="journalabstracttitle1"/>
          <w:rFonts w:ascii="Times New Roman" w:hAnsi="Times New Roman" w:cs="Times New Roman"/>
          <w:b w:val="0"/>
          <w:sz w:val="24"/>
          <w:szCs w:val="24"/>
        </w:rPr>
        <w:t xml:space="preserve">Abou Ghanem-Sabanadzovic N, Sabanadzovic S, Martelli GP (2003) Sequence analysis of the 3’ end of three </w:t>
      </w:r>
      <w:r>
        <w:rPr>
          <w:rStyle w:val="journalabstracttitle1"/>
          <w:rFonts w:ascii="Times New Roman" w:hAnsi="Times New Roman" w:cs="Times New Roman"/>
          <w:b w:val="0"/>
          <w:i/>
          <w:sz w:val="24"/>
          <w:szCs w:val="24"/>
        </w:rPr>
        <w:t>Grapevine fleck virus</w:t>
      </w:r>
      <w:r>
        <w:rPr>
          <w:rStyle w:val="journalabstracttitle1"/>
          <w:rFonts w:ascii="Times New Roman" w:hAnsi="Times New Roman" w:cs="Times New Roman"/>
          <w:b w:val="0"/>
          <w:sz w:val="24"/>
          <w:szCs w:val="24"/>
        </w:rPr>
        <w:t xml:space="preserve">-like viruses from grapevine. </w:t>
      </w:r>
      <w:r>
        <w:rPr>
          <w:rStyle w:val="journalabstracttitle1"/>
          <w:rFonts w:ascii="Times New Roman" w:hAnsi="Times New Roman" w:cs="Times New Roman"/>
          <w:b w:val="0"/>
          <w:i/>
          <w:sz w:val="24"/>
          <w:szCs w:val="24"/>
        </w:rPr>
        <w:t xml:space="preserve">Virus Genes </w:t>
      </w:r>
      <w:r>
        <w:rPr>
          <w:rStyle w:val="journalabstracttitle1"/>
          <w:rFonts w:ascii="Times New Roman" w:hAnsi="Times New Roman" w:cs="Times New Roman"/>
          <w:b w:val="0"/>
          <w:sz w:val="24"/>
          <w:szCs w:val="24"/>
        </w:rPr>
        <w:t>27: 11–16.</w:t>
      </w:r>
    </w:p>
    <w:p>
      <w:pPr>
        <w:pStyle w:val="NormalWeb"/>
        <w:spacing w:before="120" w:beforeAutospacing="0" w:after="120" w:afterAutospacing="0" w:line="300" w:lineRule="atLeast"/>
        <w:jc w:val="left"/>
        <w:rPr>
          <w:rStyle w:val="journalabstracttitle1"/>
          <w:rFonts w:ascii="Times New Roman" w:hAnsi="Times New Roman" w:cs="Times New Roman"/>
          <w:b w:val="0"/>
          <w:sz w:val="24"/>
          <w:szCs w:val="24"/>
        </w:rPr>
      </w:pPr>
      <w:r>
        <w:rPr>
          <w:rStyle w:val="journalabstracttitle1"/>
          <w:rFonts w:ascii="Times New Roman" w:hAnsi="Times New Roman" w:cs="Times New Roman"/>
          <w:b w:val="0"/>
          <w:sz w:val="24"/>
          <w:szCs w:val="24"/>
        </w:rPr>
        <w:t xml:space="preserve">Abou-Mansour E, Polier J, Pezet R, Tabacchi R (2009) Purification and partial characterisation of a 60 KDa laccase from </w:t>
      </w:r>
      <w:r>
        <w:rPr>
          <w:rStyle w:val="journalabstracttitle1"/>
          <w:rFonts w:ascii="Times New Roman" w:hAnsi="Times New Roman" w:cs="Times New Roman"/>
          <w:b w:val="0"/>
          <w:i/>
          <w:sz w:val="24"/>
          <w:szCs w:val="24"/>
        </w:rPr>
        <w:t>Fomitiporia mediterranea</w:t>
      </w:r>
      <w:r>
        <w:rPr>
          <w:rStyle w:val="journalabstracttitle1"/>
          <w:rFonts w:ascii="Times New Roman" w:hAnsi="Times New Roman" w:cs="Times New Roman"/>
          <w:b w:val="0"/>
          <w:sz w:val="24"/>
          <w:szCs w:val="24"/>
        </w:rPr>
        <w:t xml:space="preserve">. </w:t>
      </w:r>
      <w:r>
        <w:rPr>
          <w:rStyle w:val="journalabstracttitle1"/>
          <w:rFonts w:ascii="Times New Roman" w:hAnsi="Times New Roman" w:cs="Times New Roman"/>
          <w:b w:val="0"/>
          <w:i/>
          <w:sz w:val="24"/>
          <w:szCs w:val="24"/>
        </w:rPr>
        <w:t>Phytopathologia</w:t>
      </w:r>
      <w:r>
        <w:rPr>
          <w:rStyle w:val="journalabstracttitle1"/>
          <w:rFonts w:ascii="Times New Roman" w:hAnsi="Times New Roman" w:cs="Times New Roman"/>
          <w:b w:val="0"/>
          <w:sz w:val="24"/>
          <w:szCs w:val="24"/>
        </w:rPr>
        <w:t xml:space="preserve"> </w:t>
      </w:r>
      <w:r>
        <w:rPr>
          <w:rStyle w:val="journalabstracttitle1"/>
          <w:rFonts w:ascii="Times New Roman" w:hAnsi="Times New Roman" w:cs="Times New Roman"/>
          <w:b w:val="0"/>
          <w:i/>
          <w:sz w:val="24"/>
          <w:szCs w:val="24"/>
        </w:rPr>
        <w:t>Mediterranea</w:t>
      </w:r>
      <w:r>
        <w:rPr>
          <w:rStyle w:val="journalabstracttitle1"/>
          <w:rFonts w:ascii="Times New Roman" w:hAnsi="Times New Roman" w:cs="Times New Roman"/>
          <w:b w:val="0"/>
          <w:sz w:val="24"/>
          <w:szCs w:val="24"/>
        </w:rPr>
        <w:t xml:space="preserve"> 48: 447–453.</w:t>
      </w:r>
    </w:p>
    <w:p>
      <w:pPr>
        <w:pStyle w:val="NormalWeb"/>
        <w:spacing w:before="120" w:beforeAutospacing="0" w:after="120" w:afterAutospacing="0" w:line="300" w:lineRule="atLeast"/>
        <w:jc w:val="left"/>
        <w:rPr>
          <w:rStyle w:val="journalabstracttitle1"/>
          <w:rFonts w:ascii="Times New Roman" w:hAnsi="Times New Roman" w:cs="Times New Roman"/>
          <w:b w:val="0"/>
          <w:sz w:val="24"/>
          <w:szCs w:val="24"/>
        </w:rPr>
      </w:pPr>
      <w:r>
        <w:rPr>
          <w:rStyle w:val="journalabstracttitle1"/>
          <w:rFonts w:ascii="Times New Roman" w:hAnsi="Times New Roman" w:cs="Times New Roman"/>
          <w:b w:val="0"/>
          <w:sz w:val="24"/>
          <w:szCs w:val="24"/>
        </w:rPr>
        <w:t xml:space="preserve">Abu Yaman IK (1967) Population study of the grape leafhopper in </w:t>
      </w:r>
      <w:smartTag w:uri="urn:schemas-microsoft-com:office:smarttags" w:element="country-region">
        <w:smartTag w:uri="urn:schemas-microsoft-com:office:smarttags" w:element="place">
          <w:r>
            <w:rPr>
              <w:rStyle w:val="journalabstracttitle1"/>
              <w:rFonts w:ascii="Times New Roman" w:hAnsi="Times New Roman" w:cs="Times New Roman"/>
              <w:b w:val="0"/>
              <w:sz w:val="24"/>
              <w:szCs w:val="24"/>
            </w:rPr>
            <w:t>Iraq</w:t>
          </w:r>
        </w:smartTag>
      </w:smartTag>
      <w:r>
        <w:rPr>
          <w:rStyle w:val="journalabstracttitle1"/>
          <w:rFonts w:ascii="Times New Roman" w:hAnsi="Times New Roman" w:cs="Times New Roman"/>
          <w:b w:val="0"/>
          <w:sz w:val="24"/>
          <w:szCs w:val="24"/>
        </w:rPr>
        <w:t xml:space="preserve">. </w:t>
      </w:r>
      <w:r>
        <w:rPr>
          <w:rFonts w:ascii="Times New Roman" w:eastAsia="Times New Roman" w:hAnsi="Times New Roman" w:cs="Times New Roman"/>
          <w:i/>
        </w:rPr>
        <w:t>Zeitschrift für Angewandte Entomologie</w:t>
      </w:r>
      <w:r>
        <w:rPr>
          <w:rFonts w:ascii="Times New Roman" w:eastAsia="Times New Roman" w:hAnsi="Times New Roman" w:cs="Times New Roman"/>
          <w:bCs/>
          <w:i/>
        </w:rPr>
        <w:t xml:space="preserve"> </w:t>
      </w:r>
      <w:r>
        <w:rPr>
          <w:rStyle w:val="journalabstracttitle1"/>
          <w:rFonts w:ascii="Times New Roman" w:hAnsi="Times New Roman" w:cs="Times New Roman"/>
          <w:b w:val="0"/>
          <w:sz w:val="24"/>
          <w:szCs w:val="24"/>
        </w:rPr>
        <w:t>60: 182–187.</w:t>
      </w:r>
    </w:p>
    <w:p>
      <w:pPr>
        <w:autoSpaceDE w:val="0"/>
        <w:autoSpaceDN w:val="0"/>
        <w:spacing w:before="120" w:after="120" w:line="300" w:lineRule="atLeast"/>
        <w:jc w:val="left"/>
      </w:pPr>
      <w:r>
        <w:rPr>
          <w:rStyle w:val="mainarea"/>
        </w:rPr>
        <w:t>AFD</w:t>
      </w:r>
      <w:r>
        <w:t xml:space="preserve"> (2008) </w:t>
      </w:r>
      <w:r>
        <w:rPr>
          <w:lang w:eastAsia="en-AU"/>
        </w:rPr>
        <w:t>Australian</w:t>
      </w:r>
      <w:r>
        <w:t xml:space="preserve"> Faunal Directory. Australian Biological Resources Study. </w:t>
      </w:r>
      <w:hyperlink r:id="rId131" w:history="1">
        <w:r>
          <w:rPr>
            <w:rStyle w:val="Hyperlink"/>
            <w:color w:val="auto"/>
          </w:rPr>
          <w:t>http://www.environment.gov.au/biodiversity/abrs/online-resources/fauna/afd</w:t>
        </w:r>
      </w:hyperlink>
      <w:r>
        <w:rPr>
          <w:u w:val="single"/>
        </w:rPr>
        <w:t>/</w:t>
      </w:r>
      <w:r>
        <w:t xml:space="preserve"> Accessed February 2008.</w:t>
      </w:r>
    </w:p>
    <w:p>
      <w:pPr>
        <w:autoSpaceDE w:val="0"/>
        <w:autoSpaceDN w:val="0"/>
        <w:spacing w:before="120" w:after="120" w:line="300" w:lineRule="atLeast"/>
        <w:jc w:val="left"/>
      </w:pPr>
      <w:r>
        <w:t xml:space="preserve">Afonin AN, Greene SL, Dzyubenko NI, Frolov AN (2008) Interactive agricultural </w:t>
      </w:r>
      <w:r>
        <w:rPr>
          <w:lang w:eastAsia="en-AU"/>
        </w:rPr>
        <w:t>ecological</w:t>
      </w:r>
      <w:r>
        <w:t xml:space="preserve"> atlas of Russia and neighboring countries. Economic plants and their diseases, pests and weeds. </w:t>
      </w:r>
      <w:hyperlink r:id="rId132" w:history="1">
        <w:r>
          <w:rPr>
            <w:rStyle w:val="Hyperlink"/>
            <w:color w:val="auto"/>
          </w:rPr>
          <w:t>http://www.agroatlas.ru</w:t>
        </w:r>
      </w:hyperlink>
      <w:r>
        <w:t xml:space="preserve"> Accessed February 2010.</w:t>
      </w:r>
    </w:p>
    <w:p>
      <w:pPr>
        <w:autoSpaceDE w:val="0"/>
        <w:autoSpaceDN w:val="0"/>
        <w:spacing w:before="120" w:after="120" w:line="300" w:lineRule="atLeast"/>
        <w:jc w:val="left"/>
        <w:rPr>
          <w:lang w:eastAsia="en-AU"/>
        </w:rPr>
      </w:pPr>
      <w:r>
        <w:rPr>
          <w:lang w:eastAsia="en-AU"/>
        </w:rPr>
        <w:t xml:space="preserve">AgroAtlas (2009a) </w:t>
      </w:r>
      <w:r>
        <w:t xml:space="preserve">Interactive agricultural </w:t>
      </w:r>
      <w:r>
        <w:rPr>
          <w:lang w:eastAsia="en-AU"/>
        </w:rPr>
        <w:t>ecological</w:t>
      </w:r>
      <w:r>
        <w:t xml:space="preserve"> atlas of Russia and neighboring countries. Economic plants and their diseases, pests and weeds. </w:t>
      </w:r>
      <w:r>
        <w:rPr>
          <w:lang w:eastAsia="en-AU"/>
        </w:rPr>
        <w:t xml:space="preserve">Pests – </w:t>
      </w:r>
      <w:r>
        <w:rPr>
          <w:i/>
          <w:lang w:eastAsia="en-AU"/>
        </w:rPr>
        <w:t>Agrotis segetum</w:t>
      </w:r>
      <w:r>
        <w:rPr>
          <w:lang w:eastAsia="en-AU"/>
        </w:rPr>
        <w:t xml:space="preserve"> Denis &amp; Schiffermuller 1775. </w:t>
      </w:r>
      <w:r>
        <w:rPr>
          <w:u w:val="single"/>
          <w:lang w:eastAsia="en-AU"/>
        </w:rPr>
        <w:t xml:space="preserve">http://www.agroatlas.ru/en/content/pests/Agrotis_segetum/ </w:t>
      </w:r>
      <w:r>
        <w:rPr>
          <w:lang w:eastAsia="en-AU"/>
        </w:rPr>
        <w:t>Accessed July 2009.</w:t>
      </w:r>
    </w:p>
    <w:p>
      <w:pPr>
        <w:autoSpaceDE w:val="0"/>
        <w:autoSpaceDN w:val="0"/>
        <w:spacing w:before="120" w:after="120" w:line="300" w:lineRule="atLeast"/>
        <w:jc w:val="left"/>
        <w:rPr>
          <w:lang w:eastAsia="en-AU"/>
        </w:rPr>
      </w:pPr>
      <w:r>
        <w:rPr>
          <w:lang w:eastAsia="en-AU"/>
        </w:rPr>
        <w:t xml:space="preserve">AgroAtlas (2009b) </w:t>
      </w:r>
      <w:r>
        <w:t xml:space="preserve">Interactive agricultural </w:t>
      </w:r>
      <w:r>
        <w:rPr>
          <w:lang w:eastAsia="en-AU"/>
        </w:rPr>
        <w:t>ecological</w:t>
      </w:r>
      <w:r>
        <w:t xml:space="preserve"> atlas of Russia and neighboring countries. Economic plants and their diseases, pests and weeds. </w:t>
      </w:r>
      <w:r>
        <w:rPr>
          <w:lang w:eastAsia="en-AU"/>
        </w:rPr>
        <w:t xml:space="preserve">Pests – </w:t>
      </w:r>
      <w:r>
        <w:rPr>
          <w:i/>
          <w:lang w:eastAsia="en-AU"/>
        </w:rPr>
        <w:t>Autographa gamma</w:t>
      </w:r>
      <w:r>
        <w:rPr>
          <w:lang w:eastAsia="en-AU"/>
        </w:rPr>
        <w:t xml:space="preserve"> L. </w:t>
      </w:r>
      <w:hyperlink r:id="rId133" w:history="1">
        <w:r>
          <w:rPr>
            <w:rStyle w:val="Hyperlink"/>
            <w:color w:val="auto"/>
            <w:lang w:eastAsia="en-AU"/>
          </w:rPr>
          <w:t>http://www.agroatlas.ru/en/content/pests/Autographa_gamma/</w:t>
        </w:r>
      </w:hyperlink>
      <w:r>
        <w:rPr>
          <w:u w:val="single"/>
          <w:lang w:eastAsia="en-AU"/>
        </w:rPr>
        <w:t xml:space="preserve"> </w:t>
      </w:r>
      <w:r>
        <w:rPr>
          <w:lang w:eastAsia="en-AU"/>
        </w:rPr>
        <w:t>Accessed March 2009.</w:t>
      </w:r>
    </w:p>
    <w:p>
      <w:pPr>
        <w:autoSpaceDE w:val="0"/>
        <w:autoSpaceDN w:val="0"/>
        <w:spacing w:before="120" w:after="120" w:line="300" w:lineRule="atLeast"/>
        <w:jc w:val="left"/>
      </w:pPr>
      <w:r>
        <w:t xml:space="preserve">AgroAtlas (2009c) Interactive agricultural </w:t>
      </w:r>
      <w:r>
        <w:rPr>
          <w:lang w:eastAsia="en-AU"/>
        </w:rPr>
        <w:t>ecological</w:t>
      </w:r>
      <w:r>
        <w:t xml:space="preserve"> atlas of Russia and neighboring countries. Pests – </w:t>
      </w:r>
      <w:r>
        <w:rPr>
          <w:i/>
        </w:rPr>
        <w:t>Melolontha melolontha</w:t>
      </w:r>
      <w:r>
        <w:t xml:space="preserve"> L. – Common Cockchafer </w:t>
      </w:r>
      <w:hyperlink r:id="rId134" w:history="1">
        <w:r>
          <w:rPr>
            <w:u w:val="single"/>
          </w:rPr>
          <w:t>http://www.agroatlas.ru/en/content/pests/Melolontha_melolontha/</w:t>
        </w:r>
      </w:hyperlink>
      <w:r>
        <w:t xml:space="preserve"> Accessed July 2009.</w:t>
      </w:r>
    </w:p>
    <w:p>
      <w:pPr>
        <w:autoSpaceDE w:val="0"/>
        <w:autoSpaceDN w:val="0"/>
        <w:spacing w:before="120" w:after="120" w:line="300" w:lineRule="atLeast"/>
        <w:jc w:val="left"/>
        <w:rPr>
          <w:lang w:eastAsia="en-AU"/>
        </w:rPr>
      </w:pPr>
      <w:r>
        <w:rPr>
          <w:lang w:eastAsia="en-AU"/>
        </w:rPr>
        <w:t xml:space="preserve">AgroAtlas (2011a) </w:t>
      </w:r>
      <w:r>
        <w:t xml:space="preserve">Interactive agricultural </w:t>
      </w:r>
      <w:r>
        <w:rPr>
          <w:lang w:eastAsia="en-AU"/>
        </w:rPr>
        <w:t>ecological</w:t>
      </w:r>
      <w:r>
        <w:t xml:space="preserve"> atlas of Russia and neighboring countries. Economic plants and their diseases, pests and weeds. </w:t>
      </w:r>
      <w:r>
        <w:rPr>
          <w:lang w:eastAsia="en-AU"/>
        </w:rPr>
        <w:t xml:space="preserve">Pests – </w:t>
      </w:r>
      <w:r>
        <w:rPr>
          <w:i/>
          <w:iCs/>
          <w:lang w:eastAsia="en-AU"/>
        </w:rPr>
        <w:t xml:space="preserve">Eupoecilia ambiguella </w:t>
      </w:r>
      <w:r>
        <w:rPr>
          <w:lang w:eastAsia="en-AU"/>
        </w:rPr>
        <w:t xml:space="preserve">(Hubner). </w:t>
      </w:r>
      <w:hyperlink r:id="rId135" w:history="1">
        <w:r>
          <w:rPr>
            <w:rStyle w:val="Hyperlink"/>
            <w:color w:val="auto"/>
            <w:lang w:eastAsia="en-AU"/>
          </w:rPr>
          <w:t>http://www.agroatlas.spb.ru/en/content/pests/Eupoecilia_ambiguella</w:t>
        </w:r>
      </w:hyperlink>
      <w:r>
        <w:rPr>
          <w:lang w:eastAsia="en-AU"/>
        </w:rPr>
        <w:t xml:space="preserve"> Accessed July 2011.</w:t>
      </w:r>
    </w:p>
    <w:p>
      <w:pPr>
        <w:autoSpaceDE w:val="0"/>
        <w:autoSpaceDN w:val="0"/>
        <w:spacing w:before="120" w:after="120" w:line="300" w:lineRule="atLeast"/>
        <w:jc w:val="left"/>
        <w:rPr>
          <w:lang w:eastAsia="en-AU"/>
        </w:rPr>
      </w:pPr>
      <w:r>
        <w:rPr>
          <w:lang w:eastAsia="en-AU"/>
        </w:rPr>
        <w:t xml:space="preserve">AgroAtlas (2011b) </w:t>
      </w:r>
      <w:r>
        <w:t xml:space="preserve">Interactive agricultural </w:t>
      </w:r>
      <w:r>
        <w:rPr>
          <w:lang w:eastAsia="en-AU"/>
        </w:rPr>
        <w:t>ecological</w:t>
      </w:r>
      <w:r>
        <w:t xml:space="preserve"> atlas of Russia and neighboring countries. Economic plants and their diseases, pests and weeds. </w:t>
      </w:r>
      <w:r>
        <w:rPr>
          <w:lang w:eastAsia="en-AU"/>
        </w:rPr>
        <w:t xml:space="preserve">Pests – </w:t>
      </w:r>
      <w:r>
        <w:rPr>
          <w:i/>
          <w:iCs/>
          <w:lang w:eastAsia="en-AU"/>
        </w:rPr>
        <w:t xml:space="preserve">Sparganothis pilleriana </w:t>
      </w:r>
      <w:r>
        <w:rPr>
          <w:iCs/>
          <w:lang w:eastAsia="en-AU"/>
        </w:rPr>
        <w:t>Den. et Schiff. – Grape leafroller, Vine tortrix Moth, Long-palpi tortrix, Leaf-rolling tortrix</w:t>
      </w:r>
      <w:r>
        <w:rPr>
          <w:lang w:eastAsia="en-AU"/>
        </w:rPr>
        <w:t xml:space="preserve">. </w:t>
      </w:r>
      <w:hyperlink r:id="rId136" w:history="1">
        <w:r>
          <w:rPr>
            <w:rStyle w:val="Hyperlink"/>
            <w:color w:val="auto"/>
            <w:lang w:eastAsia="en-AU"/>
          </w:rPr>
          <w:t>http://www.agroatlas.ru/en/content/pests/Sparganothis_pilleriana</w:t>
        </w:r>
        <w:r>
          <w:rPr>
            <w:rStyle w:val="Hyperlink"/>
            <w:color w:val="auto"/>
            <w:u w:val="none"/>
            <w:lang w:eastAsia="en-AU"/>
          </w:rPr>
          <w:t>/</w:t>
        </w:r>
      </w:hyperlink>
      <w:r>
        <w:rPr>
          <w:lang w:eastAsia="en-AU"/>
        </w:rPr>
        <w:t xml:space="preserve"> Accessed July 2011.</w:t>
      </w:r>
    </w:p>
    <w:p>
      <w:pPr>
        <w:autoSpaceDE w:val="0"/>
        <w:autoSpaceDN w:val="0"/>
        <w:spacing w:before="120" w:after="120" w:line="300" w:lineRule="atLeast"/>
        <w:jc w:val="left"/>
        <w:rPr>
          <w:lang w:eastAsia="en-AU"/>
        </w:rPr>
      </w:pPr>
      <w:r>
        <w:rPr>
          <w:rStyle w:val="mainarea"/>
        </w:rPr>
        <w:t>Ahadiyat</w:t>
      </w:r>
      <w:r>
        <w:rPr>
          <w:lang w:eastAsia="en-AU"/>
        </w:rPr>
        <w:t xml:space="preserve"> A, Zangeneh AM (2007) First Report of </w:t>
      </w:r>
      <w:r>
        <w:rPr>
          <w:i/>
          <w:iCs/>
          <w:lang w:eastAsia="en-AU"/>
        </w:rPr>
        <w:t>Ectopsocus briggsi</w:t>
      </w:r>
      <w:r>
        <w:rPr>
          <w:lang w:eastAsia="en-AU"/>
        </w:rPr>
        <w:t xml:space="preserve"> and </w:t>
      </w:r>
      <w:r>
        <w:rPr>
          <w:i/>
          <w:iCs/>
          <w:lang w:eastAsia="en-AU"/>
        </w:rPr>
        <w:t xml:space="preserve">Trichopsocus </w:t>
      </w:r>
      <w:r>
        <w:rPr>
          <w:i/>
          <w:lang w:eastAsia="en-AU"/>
        </w:rPr>
        <w:t>dalii</w:t>
      </w:r>
      <w:r>
        <w:rPr>
          <w:lang w:eastAsia="en-AU"/>
        </w:rPr>
        <w:t xml:space="preserve"> (Psocoptera: Psocomorpha: Ectopsocidae and Trichopsocidae) from Iran.</w:t>
      </w:r>
      <w:r>
        <w:rPr>
          <w:i/>
          <w:iCs/>
          <w:lang w:eastAsia="en-AU"/>
        </w:rPr>
        <w:t xml:space="preserve"> </w:t>
      </w:r>
      <w:smartTag w:uri="urn:schemas-microsoft-com:office:smarttags" w:element="State">
        <w:smartTag w:uri="urn:schemas-microsoft-com:office:smarttags" w:element="place">
          <w:r>
            <w:rPr>
              <w:i/>
              <w:iCs/>
              <w:lang w:eastAsia="en-AU"/>
            </w:rPr>
            <w:t>Florida</w:t>
          </w:r>
        </w:smartTag>
      </w:smartTag>
      <w:r>
        <w:rPr>
          <w:i/>
          <w:iCs/>
          <w:lang w:eastAsia="en-AU"/>
        </w:rPr>
        <w:t xml:space="preserve"> Entomologist </w:t>
      </w:r>
      <w:r>
        <w:rPr>
          <w:lang w:eastAsia="en-AU"/>
        </w:rPr>
        <w:t xml:space="preserve">90: 790–791. </w:t>
      </w:r>
    </w:p>
    <w:p>
      <w:pPr>
        <w:autoSpaceDE w:val="0"/>
        <w:autoSpaceDN w:val="0"/>
        <w:spacing w:before="120" w:after="120" w:line="300" w:lineRule="atLeast"/>
        <w:jc w:val="left"/>
        <w:rPr>
          <w:rStyle w:val="gsa1"/>
          <w:color w:val="auto"/>
        </w:rPr>
      </w:pPr>
      <w:r>
        <w:rPr>
          <w:rStyle w:val="gsa1"/>
          <w:color w:val="auto"/>
        </w:rPr>
        <w:t xml:space="preserve">Akbas B, Erdiller G (1993) Research on grapevine virus </w:t>
      </w:r>
      <w:r>
        <w:t>diseases</w:t>
      </w:r>
      <w:r>
        <w:rPr>
          <w:rStyle w:val="gsa1"/>
          <w:color w:val="auto"/>
        </w:rPr>
        <w:t xml:space="preserve"> and determination of their incidences in Ankara, Turkey. </w:t>
      </w:r>
      <w:r>
        <w:rPr>
          <w:rStyle w:val="gsa1"/>
          <w:i/>
          <w:color w:val="auto"/>
        </w:rPr>
        <w:t>Journal of Turkish Phytopathology</w:t>
      </w:r>
      <w:r>
        <w:rPr>
          <w:rStyle w:val="gsa1"/>
          <w:color w:val="auto"/>
        </w:rPr>
        <w:t xml:space="preserve"> 22: 55–63. </w:t>
      </w:r>
    </w:p>
    <w:p>
      <w:pPr>
        <w:spacing w:before="120" w:after="120" w:line="300" w:lineRule="atLeast"/>
        <w:jc w:val="left"/>
      </w:pPr>
      <w:r>
        <w:t xml:space="preserve">Al Rwahnih M, Daubert S, Golino D, Rowhani A (2009) Deep sequencing analysis of RNAs from a grapevine showing Syrah decline symptoms reveals a multiple virus infection that includes a novel virus. </w:t>
      </w:r>
      <w:r>
        <w:rPr>
          <w:i/>
        </w:rPr>
        <w:t>Virology</w:t>
      </w:r>
      <w:r>
        <w:t xml:space="preserve"> 387: 395–401.</w:t>
      </w:r>
    </w:p>
    <w:p>
      <w:pPr>
        <w:spacing w:before="120" w:after="120" w:line="300" w:lineRule="atLeast"/>
        <w:jc w:val="left"/>
      </w:pPr>
      <w:r>
        <w:t xml:space="preserve">Alaniz S, León M, Vicent A, García-Jiménez J, Abad-Campos P, Armengol J (2007) Characterization of </w:t>
      </w:r>
      <w:r>
        <w:rPr>
          <w:i/>
        </w:rPr>
        <w:t>Cylindrocarpon</w:t>
      </w:r>
      <w:r>
        <w:t xml:space="preserve"> species associated with black foot disease of grapevines in Spain. </w:t>
      </w:r>
      <w:r>
        <w:rPr>
          <w:i/>
        </w:rPr>
        <w:t>Plant Disease</w:t>
      </w:r>
      <w:r>
        <w:t xml:space="preserve"> 91: 1187–1193.</w:t>
      </w:r>
    </w:p>
    <w:p>
      <w:pPr>
        <w:autoSpaceDE w:val="0"/>
        <w:autoSpaceDN w:val="0"/>
        <w:spacing w:before="120" w:after="120" w:line="300" w:lineRule="atLeast"/>
        <w:jc w:val="left"/>
      </w:pPr>
      <w:r>
        <w:t xml:space="preserve">Alford DV (2007) </w:t>
      </w:r>
      <w:r>
        <w:rPr>
          <w:i/>
        </w:rPr>
        <w:t>Pests of fruit crops: a colour handbook</w:t>
      </w:r>
      <w:r>
        <w:t xml:space="preserve">. Manson Publishing, </w:t>
      </w:r>
      <w:smartTag w:uri="urn:schemas-microsoft-com:office:smarttags" w:element="City">
        <w:smartTag w:uri="urn:schemas-microsoft-com:office:smarttags" w:element="place">
          <w:r>
            <w:t>London</w:t>
          </w:r>
        </w:smartTag>
      </w:smartTag>
    </w:p>
    <w:p>
      <w:pPr>
        <w:autoSpaceDE w:val="0"/>
        <w:autoSpaceDN w:val="0"/>
        <w:spacing w:before="120" w:after="120" w:line="300" w:lineRule="atLeast"/>
        <w:jc w:val="left"/>
      </w:pPr>
      <w:smartTag w:uri="urn:schemas-microsoft-com:office:smarttags" w:element="place">
        <w:smartTag w:uri="urn:schemas-microsoft-com:office:smarttags" w:element="City">
          <w:r>
            <w:t>AliNiazee</w:t>
          </w:r>
        </w:smartTag>
        <w:r>
          <w:t xml:space="preserve"> </w:t>
        </w:r>
        <w:smartTag w:uri="urn:schemas-microsoft-com:office:smarttags" w:element="State">
          <w:r>
            <w:t>MT</w:t>
          </w:r>
        </w:smartTag>
      </w:smartTag>
      <w:r>
        <w:t xml:space="preserve"> (1974) Contribution to the bionomics of the grape leaffolder, </w:t>
      </w:r>
      <w:r>
        <w:rPr>
          <w:i/>
          <w:iCs/>
        </w:rPr>
        <w:t>Desmia funeralis</w:t>
      </w:r>
      <w:r>
        <w:t xml:space="preserve"> (Hübner): A laboratory study with field observations. </w:t>
      </w:r>
      <w:smartTag w:uri="urn:schemas-microsoft-com:office:smarttags" w:element="place">
        <w:smartTag w:uri="urn:schemas-microsoft-com:office:smarttags" w:element="PlaceName">
          <w:r>
            <w:rPr>
              <w:i/>
            </w:rPr>
            <w:t>Pacific</w:t>
          </w:r>
        </w:smartTag>
        <w:r>
          <w:rPr>
            <w:i/>
          </w:rPr>
          <w:t xml:space="preserve"> </w:t>
        </w:r>
        <w:smartTag w:uri="urn:schemas-microsoft-com:office:smarttags" w:element="PlaceType">
          <w:r>
            <w:rPr>
              <w:i/>
            </w:rPr>
            <w:t>Coast</w:t>
          </w:r>
        </w:smartTag>
      </w:smartTag>
      <w:r>
        <w:rPr>
          <w:i/>
        </w:rPr>
        <w:t xml:space="preserve"> Entomological Society Memorandum</w:t>
      </w:r>
      <w:r>
        <w:t xml:space="preserve"> 50: 269–278.</w:t>
      </w:r>
    </w:p>
    <w:p>
      <w:pPr>
        <w:autoSpaceDE w:val="0"/>
        <w:autoSpaceDN w:val="0"/>
        <w:spacing w:before="120" w:after="120" w:line="300" w:lineRule="atLeast"/>
        <w:jc w:val="left"/>
      </w:pPr>
      <w:smartTag w:uri="urn:schemas-microsoft-com:office:smarttags" w:element="place">
        <w:smartTag w:uri="urn:schemas-microsoft-com:office:smarttags" w:element="City">
          <w:r>
            <w:t>AliNiazee</w:t>
          </w:r>
        </w:smartTag>
        <w:r>
          <w:t xml:space="preserve"> </w:t>
        </w:r>
        <w:smartTag w:uri="urn:schemas-microsoft-com:office:smarttags" w:element="State">
          <w:r>
            <w:t>MT</w:t>
          </w:r>
        </w:smartTag>
      </w:smartTag>
      <w:r>
        <w:t xml:space="preserve">, Stafford EM (1972) Notes on the biology, ecology, and damage of </w:t>
      </w:r>
      <w:r>
        <w:rPr>
          <w:i/>
        </w:rPr>
        <w:t>Platynota stultana</w:t>
      </w:r>
      <w:r>
        <w:t xml:space="preserve"> on grapes. </w:t>
      </w:r>
      <w:r>
        <w:rPr>
          <w:i/>
        </w:rPr>
        <w:t xml:space="preserve">Journal of Economic Entomology </w:t>
      </w:r>
      <w:r>
        <w:t>65: 1042–1044.</w:t>
      </w:r>
    </w:p>
    <w:p>
      <w:pPr>
        <w:autoSpaceDE w:val="0"/>
        <w:autoSpaceDN w:val="0"/>
        <w:spacing w:before="120" w:after="120" w:line="300" w:lineRule="atLeast"/>
        <w:jc w:val="left"/>
      </w:pPr>
      <w:r>
        <w:t xml:space="preserve">Allsopp PG (1980) The biology of false wireworms and their adults (soil-inhabiting Tenebrionidae) (Coleoptera): a review. </w:t>
      </w:r>
      <w:r>
        <w:rPr>
          <w:i/>
        </w:rPr>
        <w:t>Bulletin of Entomological Research</w:t>
      </w:r>
      <w:r>
        <w:t xml:space="preserve"> 70: 343–379.</w:t>
      </w:r>
    </w:p>
    <w:p>
      <w:pPr>
        <w:autoSpaceDE w:val="0"/>
        <w:autoSpaceDN w:val="0"/>
        <w:spacing w:before="120" w:after="120" w:line="300" w:lineRule="atLeast"/>
        <w:jc w:val="left"/>
      </w:pPr>
      <w:r>
        <w:t xml:space="preserve">Alma A, Davis RE, Vibio M, Danielli A, Bosco D, Arzone A, Bertaccini A (1996) Mixed infection of grapevines in northern Italy by phytoplasmas including 16S rRNA RFLP subgroup 16SrI-B strains previously unreported in this host. </w:t>
      </w:r>
      <w:r>
        <w:rPr>
          <w:i/>
        </w:rPr>
        <w:t>Plant Disease</w:t>
      </w:r>
      <w:r>
        <w:t xml:space="preserve"> 80: 418–421.</w:t>
      </w:r>
    </w:p>
    <w:p>
      <w:pPr>
        <w:autoSpaceDE w:val="0"/>
        <w:autoSpaceDN w:val="0"/>
        <w:spacing w:before="120" w:after="120" w:line="300" w:lineRule="atLeast"/>
        <w:jc w:val="left"/>
      </w:pPr>
      <w:r>
        <w:t xml:space="preserve">Amalfi M, Yombiyeni P, Decock C (2010) </w:t>
      </w:r>
      <w:r>
        <w:rPr>
          <w:i/>
          <w:iCs/>
        </w:rPr>
        <w:t>Fomitiporia</w:t>
      </w:r>
      <w:r>
        <w:t xml:space="preserve"> in sub-Saharan </w:t>
      </w:r>
      <w:smartTag w:uri="urn:schemas-microsoft-com:office:smarttags" w:element="place">
        <w:r>
          <w:t>Africa</w:t>
        </w:r>
      </w:smartTag>
      <w:r>
        <w:t xml:space="preserve">: morphology and multigene phylogenetic analysis support three new species from the Guineo-Congolian rainforest. </w:t>
      </w:r>
      <w:r>
        <w:rPr>
          <w:i/>
          <w:iCs/>
        </w:rPr>
        <w:t>Mycologia</w:t>
      </w:r>
      <w:r>
        <w:t xml:space="preserve"> 102: 1303–1317.</w:t>
      </w:r>
    </w:p>
    <w:p>
      <w:pPr>
        <w:autoSpaceDE w:val="0"/>
        <w:autoSpaceDN w:val="0"/>
        <w:spacing w:before="120" w:after="120" w:line="300" w:lineRule="atLeast"/>
        <w:jc w:val="left"/>
      </w:pPr>
      <w:r>
        <w:t xml:space="preserve">Andolfi A, Mugnai L, Luque J, Surico G, Cimmino A, Evidente A (2011) Phytotoxins produced by fungi associated with grapevine trunk diseases. </w:t>
      </w:r>
      <w:r>
        <w:rPr>
          <w:i/>
        </w:rPr>
        <w:t>Toxins</w:t>
      </w:r>
      <w:r>
        <w:t xml:space="preserve"> 3: 1569–1605.</w:t>
      </w:r>
    </w:p>
    <w:p>
      <w:pPr>
        <w:spacing w:before="120" w:after="120" w:line="300" w:lineRule="atLeast"/>
        <w:jc w:val="left"/>
      </w:pPr>
      <w:r>
        <w:t xml:space="preserve">Andret-Link P, Laporte C, Valat L, Ritzenthaler C, Demangeat G, Vigne E, Laval V, Pfeiffer P, Stussi-Garaud C, Fuchs M (2004) </w:t>
      </w:r>
      <w:r>
        <w:rPr>
          <w:i/>
        </w:rPr>
        <w:t>Grapevine fanleaf virus:</w:t>
      </w:r>
      <w:r>
        <w:t xml:space="preserve"> still a major threat to the grapevine industry. </w:t>
      </w:r>
      <w:r>
        <w:rPr>
          <w:i/>
          <w:iCs/>
        </w:rPr>
        <w:t>Journal of Plant Pathology</w:t>
      </w:r>
      <w:r>
        <w:t xml:space="preserve"> 86: 183–195.</w:t>
      </w:r>
    </w:p>
    <w:p>
      <w:pPr>
        <w:spacing w:before="120" w:after="120" w:line="300" w:lineRule="atLeast"/>
        <w:jc w:val="left"/>
      </w:pPr>
      <w:r>
        <w:t xml:space="preserve">Angelotti F, Scapin CR, Tessmann DJ, Vida JB, Oliveira RR, Canteri MG (2008) Diagrammatic scale for assessment of grapevine rust. </w:t>
      </w:r>
      <w:r>
        <w:rPr>
          <w:i/>
        </w:rPr>
        <w:t>Tropical Plant Pathology</w:t>
      </w:r>
      <w:r>
        <w:t xml:space="preserve"> 33: 439–443.</w:t>
      </w:r>
    </w:p>
    <w:p>
      <w:pPr>
        <w:autoSpaceDE w:val="0"/>
        <w:autoSpaceDN w:val="0"/>
        <w:spacing w:before="120" w:after="120" w:line="280" w:lineRule="atLeast"/>
        <w:jc w:val="left"/>
      </w:pPr>
      <w:r>
        <w:t xml:space="preserve">Anon (2005) </w:t>
      </w:r>
      <w:smartTag w:uri="urn:schemas-microsoft-com:office:smarttags" w:element="place">
        <w:r>
          <w:t>Pest</w:t>
        </w:r>
      </w:smartTag>
      <w:r>
        <w:t xml:space="preserve"> management plans for major crops of Shaanxi project area, World Bank Agricultural Technology Project. </w:t>
      </w:r>
      <w:r>
        <w:rPr>
          <w:u w:val="single"/>
        </w:rPr>
        <w:t>http://www-wds.worldbank.org/external/default/WDSContentServer/WDSP/IB/2005/02/25/000012009_20050225142337/Rendered/INDEX/E10100v20PMP0for0Shaanxi.txt</w:t>
      </w:r>
      <w:r>
        <w:t xml:space="preserve"> Accessed December 2011.</w:t>
      </w:r>
    </w:p>
    <w:p>
      <w:pPr>
        <w:autoSpaceDE w:val="0"/>
        <w:autoSpaceDN w:val="0"/>
        <w:spacing w:before="120" w:after="120" w:line="300" w:lineRule="atLeast"/>
        <w:jc w:val="left"/>
        <w:rPr>
          <w:bCs/>
        </w:rPr>
      </w:pPr>
      <w:r>
        <w:t xml:space="preserve">Anon (2008) </w:t>
      </w:r>
      <w:r>
        <w:rPr>
          <w:i/>
        </w:rPr>
        <w:t>Eumorpha achemon</w:t>
      </w:r>
      <w:r>
        <w:t xml:space="preserve">. </w:t>
      </w:r>
      <w:r>
        <w:rPr>
          <w:bCs/>
        </w:rPr>
        <w:t>Sphingidae of the United States</w:t>
      </w:r>
      <w:r>
        <w:t xml:space="preserve">. </w:t>
      </w:r>
      <w:r>
        <w:rPr>
          <w:u w:val="single"/>
        </w:rPr>
        <w:t>http://www.silkmoths.bizland.com/eachemon.htm</w:t>
      </w:r>
      <w:r>
        <w:t xml:space="preserve"> Accessed April 2008.</w:t>
      </w:r>
    </w:p>
    <w:p>
      <w:pPr>
        <w:autoSpaceDE w:val="0"/>
        <w:autoSpaceDN w:val="0"/>
        <w:spacing w:before="120" w:after="120" w:line="300" w:lineRule="atLeast"/>
        <w:jc w:val="left"/>
        <w:rPr>
          <w:lang w:eastAsia="en-AU"/>
        </w:rPr>
      </w:pPr>
      <w:r>
        <w:rPr>
          <w:lang w:eastAsia="en-AU"/>
        </w:rPr>
        <w:t xml:space="preserve">Anon (2011) </w:t>
      </w:r>
      <w:r>
        <w:rPr>
          <w:i/>
          <w:lang w:eastAsia="en-AU"/>
        </w:rPr>
        <w:t>Thyridium vitis</w:t>
      </w:r>
      <w:r>
        <w:rPr>
          <w:lang w:eastAsia="en-AU"/>
        </w:rPr>
        <w:t xml:space="preserve">. Bulletin of the Torrey Botanical Club </w:t>
      </w:r>
      <w:r>
        <w:rPr>
          <w:u w:val="single"/>
          <w:lang w:eastAsia="en-AU"/>
        </w:rPr>
        <w:t>http://www.ebooksread.com/authors-eng/torrey-botanical-club/bulletin-of-the-torrey-botanical-club-goo/page-5-bulletin-of-the-torrey-botanical-club-goo.shtml</w:t>
      </w:r>
      <w:r>
        <w:rPr>
          <w:lang w:eastAsia="en-AU"/>
        </w:rPr>
        <w:t xml:space="preserve"> Accessed December 2011.</w:t>
      </w:r>
    </w:p>
    <w:p>
      <w:pPr>
        <w:autoSpaceDE w:val="0"/>
        <w:autoSpaceDN w:val="0"/>
        <w:spacing w:before="120" w:after="120" w:line="300" w:lineRule="atLeast"/>
        <w:jc w:val="left"/>
      </w:pPr>
      <w:r>
        <w:rPr>
          <w:lang w:eastAsia="en-AU"/>
        </w:rPr>
        <w:t>APHIS-USDA (2002) Importation of grapes (</w:t>
      </w:r>
      <w:r>
        <w:rPr>
          <w:i/>
          <w:iCs/>
          <w:lang w:eastAsia="en-AU"/>
        </w:rPr>
        <w:t xml:space="preserve">Vitis </w:t>
      </w:r>
      <w:r>
        <w:rPr>
          <w:lang w:eastAsia="en-AU"/>
        </w:rPr>
        <w:t>spp.) from Korea into the United States. A qualitative, pathway-initiated pest risk assessment. APHIS-USDA, Riverdale, MD, USA.</w:t>
      </w:r>
      <w:r>
        <w:t xml:space="preserve"> </w:t>
      </w:r>
      <w:r>
        <w:rPr>
          <w:u w:val="single"/>
        </w:rPr>
        <w:t>https://web01.aphis.usda.gov/oxygen_fod/fb_md_ppq.nsf/0/6a4c6eb951006d8685256e2a005ecdc0/$FILE/0058.pdf</w:t>
      </w:r>
      <w:r>
        <w:t xml:space="preserve"> Accessed April 2011.</w:t>
      </w:r>
    </w:p>
    <w:p>
      <w:pPr>
        <w:autoSpaceDE w:val="0"/>
        <w:autoSpaceDN w:val="0"/>
        <w:spacing w:before="120" w:after="120" w:line="300" w:lineRule="atLeast"/>
        <w:jc w:val="left"/>
      </w:pPr>
      <w:r>
        <w:t xml:space="preserve">Aptroot A (1995) A monograph of Didymosphaeria. </w:t>
      </w:r>
      <w:r>
        <w:rPr>
          <w:i/>
        </w:rPr>
        <w:t xml:space="preserve">Studies in Mycology </w:t>
      </w:r>
      <w:r>
        <w:t>37: 1–160.</w:t>
      </w:r>
    </w:p>
    <w:p>
      <w:pPr>
        <w:autoSpaceDE w:val="0"/>
        <w:autoSpaceDN w:val="0"/>
        <w:spacing w:before="120" w:after="120" w:line="300" w:lineRule="atLeast"/>
        <w:jc w:val="left"/>
      </w:pPr>
      <w:r>
        <w:t>AQSIQ (2006) Export technical reference information for Chinese grape, received on 20 July 2006. General Administration of Quality Supervision, Inspection and Quarantine of the People's Republic of China, Beijing.</w:t>
      </w:r>
    </w:p>
    <w:p>
      <w:pPr>
        <w:autoSpaceDE w:val="0"/>
        <w:autoSpaceDN w:val="0"/>
        <w:spacing w:before="120" w:after="120" w:line="300" w:lineRule="atLeast"/>
        <w:jc w:val="left"/>
      </w:pPr>
      <w:r>
        <w:t xml:space="preserve">AQSIQ (2007) Reply on supplementary information on pests in table grapes exported from </w:t>
      </w:r>
      <w:smartTag w:uri="urn:schemas-microsoft-com:office:smarttags" w:element="country-region">
        <w:r>
          <w:t>China</w:t>
        </w:r>
      </w:smartTag>
      <w:r>
        <w:t xml:space="preserve"> to </w:t>
      </w:r>
      <w:smartTag w:uri="urn:schemas-microsoft-com:office:smarttags" w:element="country-region">
        <w:smartTag w:uri="urn:schemas-microsoft-com:office:smarttags" w:element="place">
          <w:r>
            <w:t>Australia</w:t>
          </w:r>
        </w:smartTag>
      </w:smartTag>
      <w:r>
        <w:t xml:space="preserve"> received on 19 March 2007. General Administration of Quality Supervision, Inspection and Quarantine of the People's Republic of China, Beijing.</w:t>
      </w:r>
    </w:p>
    <w:p>
      <w:pPr>
        <w:autoSpaceDE w:val="0"/>
        <w:autoSpaceDN w:val="0"/>
        <w:spacing w:before="120" w:after="120" w:line="300" w:lineRule="atLeast"/>
        <w:jc w:val="left"/>
      </w:pPr>
      <w:r>
        <w:t xml:space="preserve">Arnaud G, Malembic-Maher S, Salar P, Bonnet P, Maixner M, Marcone C, Boudon-Padieu E, Foissac X (2007) Multilocus sequence typing confirms the close genetic interrelatedness of three distinct Flavescence dorée Phytoplasma strain clusters and group 16SrV phytoplasmas infecting grapevine and alder in Europe. </w:t>
      </w:r>
      <w:r>
        <w:rPr>
          <w:i/>
        </w:rPr>
        <w:t>Applied and Environmental Microbiology</w:t>
      </w:r>
      <w:r>
        <w:t xml:space="preserve"> 73: 4001–4010.</w:t>
      </w:r>
    </w:p>
    <w:p>
      <w:pPr>
        <w:autoSpaceDE w:val="0"/>
        <w:autoSpaceDN w:val="0"/>
        <w:spacing w:before="120" w:after="120" w:line="300" w:lineRule="atLeast"/>
        <w:jc w:val="left"/>
      </w:pPr>
      <w:r>
        <w:t xml:space="preserve">Arnold JW (1982) Larval hemocytes in Noctuidae (Insecta: Lepidoptera). </w:t>
      </w:r>
      <w:r>
        <w:rPr>
          <w:i/>
        </w:rPr>
        <w:t xml:space="preserve">International Journal of Insect Morphology and Embryology </w:t>
      </w:r>
      <w:r>
        <w:t>11: 173–188.</w:t>
      </w:r>
    </w:p>
    <w:p>
      <w:pPr>
        <w:spacing w:before="120" w:after="120" w:line="300" w:lineRule="atLeast"/>
        <w:jc w:val="left"/>
      </w:pPr>
      <w:r>
        <w:t xml:space="preserve">Aroca A, Gramaje D, Armengol J, García-Jiménez J, Raposo R (2010) Evaluation of the grapevine nursery propagation process as a source of </w:t>
      </w:r>
      <w:r>
        <w:rPr>
          <w:i/>
        </w:rPr>
        <w:t xml:space="preserve">Phaeoacremonium </w:t>
      </w:r>
      <w:r>
        <w:t xml:space="preserve">spp. and </w:t>
      </w:r>
      <w:r>
        <w:rPr>
          <w:i/>
        </w:rPr>
        <w:t xml:space="preserve">Phaeomoniella chlamydospora </w:t>
      </w:r>
      <w:r>
        <w:t xml:space="preserve">and occurrence of trunk disease pathogens in rootstock mother vines in Spain. </w:t>
      </w:r>
      <w:r>
        <w:rPr>
          <w:i/>
        </w:rPr>
        <w:t>European Journal of Plant Pathology</w:t>
      </w:r>
      <w:r>
        <w:t xml:space="preserve"> 126: 165–174.</w:t>
      </w:r>
    </w:p>
    <w:p>
      <w:pPr>
        <w:spacing w:before="120" w:after="120" w:line="300" w:lineRule="atLeast"/>
        <w:jc w:val="left"/>
      </w:pPr>
      <w:r>
        <w:t xml:space="preserve">Aroca A, Raposo R (2007) PCR-based strategy to detect and identify species of </w:t>
      </w:r>
      <w:r>
        <w:rPr>
          <w:i/>
          <w:iCs/>
        </w:rPr>
        <w:t>Phaeoacremonium</w:t>
      </w:r>
      <w:r>
        <w:t xml:space="preserve"> causing grapevine diseases. </w:t>
      </w:r>
      <w:r>
        <w:rPr>
          <w:i/>
          <w:iCs/>
        </w:rPr>
        <w:t xml:space="preserve">Applied and Environmental Microbiology </w:t>
      </w:r>
      <w:r>
        <w:rPr>
          <w:bCs/>
        </w:rPr>
        <w:t>73</w:t>
      </w:r>
      <w:r>
        <w:t xml:space="preserve">: 2911–2918. </w:t>
      </w:r>
    </w:p>
    <w:p>
      <w:pPr>
        <w:spacing w:before="120" w:after="120" w:line="300" w:lineRule="atLeast"/>
        <w:jc w:val="left"/>
      </w:pPr>
      <w:r>
        <w:t xml:space="preserve">Aroca A, Raposo R (2009) Pathogenicity of </w:t>
      </w:r>
      <w:r>
        <w:rPr>
          <w:i/>
          <w:iCs/>
        </w:rPr>
        <w:t>Phaeoacremonium</w:t>
      </w:r>
      <w:r>
        <w:t xml:space="preserve"> species on grapevine. </w:t>
      </w:r>
      <w:r>
        <w:rPr>
          <w:i/>
          <w:iCs/>
        </w:rPr>
        <w:t>Journal of Phytopathology</w:t>
      </w:r>
      <w:r>
        <w:t xml:space="preserve"> </w:t>
      </w:r>
      <w:r>
        <w:rPr>
          <w:bCs/>
        </w:rPr>
        <w:t>157</w:t>
      </w:r>
      <w:r>
        <w:t>: 413–419.</w:t>
      </w:r>
    </w:p>
    <w:p>
      <w:pPr>
        <w:autoSpaceDE w:val="0"/>
        <w:autoSpaceDN w:val="0"/>
        <w:spacing w:before="120" w:after="120" w:line="300" w:lineRule="atLeast"/>
        <w:jc w:val="left"/>
      </w:pPr>
      <w:r>
        <w:t xml:space="preserve">Arpaia ML, Morse JG (1991) Citrus thrips </w:t>
      </w:r>
      <w:r>
        <w:rPr>
          <w:i/>
          <w:iCs/>
        </w:rPr>
        <w:t xml:space="preserve">Scirtothrips citri </w:t>
      </w:r>
      <w:r>
        <w:t xml:space="preserve">(Moulton) (Thysanoptera: Thripidae) scarring and navel orange fruit quality in California. </w:t>
      </w:r>
      <w:r>
        <w:rPr>
          <w:i/>
          <w:iCs/>
        </w:rPr>
        <w:t xml:space="preserve">Journal of Applied Entomology </w:t>
      </w:r>
      <w:r>
        <w:rPr>
          <w:bCs/>
        </w:rPr>
        <w:t>111:</w:t>
      </w:r>
      <w:r>
        <w:t xml:space="preserve"> 28–32. </w:t>
      </w:r>
    </w:p>
    <w:p>
      <w:pPr>
        <w:spacing w:before="120" w:after="120" w:line="300" w:lineRule="atLeast"/>
        <w:jc w:val="left"/>
      </w:pPr>
      <w:r>
        <w:t xml:space="preserve">Auger J, Aballay EE, Pinto CM, Pastenes VC (1992) Effect of </w:t>
      </w:r>
      <w:r>
        <w:rPr>
          <w:i/>
        </w:rPr>
        <w:t>Grape fanleaf virus</w:t>
      </w:r>
      <w:r>
        <w:t xml:space="preserve"> (GFV) on growth and productivity of grapevine plants cv. Thompson Seedless. Original language title: Efecto del virus de la hoja en abanico (VHA) en el desarrollo y productividad de plantas de vid cv. Thompson Seedless. </w:t>
      </w:r>
      <w:r>
        <w:rPr>
          <w:i/>
          <w:iCs/>
        </w:rPr>
        <w:t xml:space="preserve">Fitopatologia </w:t>
      </w:r>
      <w:r>
        <w:t>27: 85–89.</w:t>
      </w:r>
    </w:p>
    <w:p>
      <w:pPr>
        <w:spacing w:before="120" w:after="120" w:line="300" w:lineRule="atLeast"/>
        <w:jc w:val="left"/>
      </w:pPr>
      <w:r>
        <w:t xml:space="preserve">Babini AR, Bertaccini A (1982) Viral aggregates induced by a distinctive strain of </w:t>
      </w:r>
      <w:r>
        <w:rPr>
          <w:i/>
        </w:rPr>
        <w:t>Strawberry latent ringspot virus</w:t>
      </w:r>
      <w:r>
        <w:t xml:space="preserve"> from grapevine. </w:t>
      </w:r>
      <w:r>
        <w:rPr>
          <w:i/>
        </w:rPr>
        <w:t>Phytopathologische Zeitschrift</w:t>
      </w:r>
      <w:r>
        <w:t xml:space="preserve"> 104: 304–308.</w:t>
      </w:r>
    </w:p>
    <w:p>
      <w:pPr>
        <w:spacing w:before="120" w:after="120" w:line="300" w:lineRule="atLeast"/>
        <w:jc w:val="left"/>
        <w:rPr>
          <w:lang w:eastAsia="en-AU"/>
        </w:rPr>
      </w:pPr>
      <w:r>
        <w:rPr>
          <w:bCs/>
          <w:lang w:eastAsia="en-AU"/>
        </w:rPr>
        <w:t xml:space="preserve">Backus EA, Serrano M, Ranger CM (2005) </w:t>
      </w:r>
      <w:r>
        <w:rPr>
          <w:lang w:eastAsia="en-AU"/>
        </w:rPr>
        <w:t xml:space="preserve">Mechanisms of hopperburn: an overview of insect taxonomy, behavior, and physiology. </w:t>
      </w:r>
      <w:r>
        <w:rPr>
          <w:i/>
          <w:lang w:eastAsia="en-AU"/>
        </w:rPr>
        <w:t xml:space="preserve">Annual Review of </w:t>
      </w:r>
      <w:r>
        <w:rPr>
          <w:i/>
        </w:rPr>
        <w:t>Entomology</w:t>
      </w:r>
      <w:r>
        <w:rPr>
          <w:lang w:eastAsia="en-AU"/>
        </w:rPr>
        <w:t xml:space="preserve"> 50: 125–151. </w:t>
      </w:r>
    </w:p>
    <w:p>
      <w:pPr>
        <w:spacing w:before="120" w:after="120" w:line="300" w:lineRule="atLeast"/>
        <w:jc w:val="left"/>
        <w:rPr>
          <w:lang w:eastAsia="en-AU"/>
        </w:rPr>
      </w:pPr>
      <w:r>
        <w:rPr>
          <w:lang w:eastAsia="en-AU"/>
        </w:rPr>
        <w:t xml:space="preserve">Bahcecioglu Z, Braun U, Kabaktepe S (2006) </w:t>
      </w:r>
      <w:r>
        <w:rPr>
          <w:i/>
          <w:lang w:eastAsia="en-AU"/>
        </w:rPr>
        <w:t>Neoërysiphe rubiae</w:t>
      </w:r>
      <w:r>
        <w:rPr>
          <w:lang w:eastAsia="en-AU"/>
        </w:rPr>
        <w:t xml:space="preserve"> – a new powdery mildew species on </w:t>
      </w:r>
      <w:r>
        <w:rPr>
          <w:i/>
          <w:lang w:eastAsia="en-AU"/>
        </w:rPr>
        <w:t xml:space="preserve">Rubia </w:t>
      </w:r>
      <w:r>
        <w:rPr>
          <w:lang w:eastAsia="en-AU"/>
        </w:rPr>
        <w:t xml:space="preserve">cf. </w:t>
      </w:r>
      <w:r>
        <w:rPr>
          <w:i/>
          <w:lang w:eastAsia="en-AU"/>
        </w:rPr>
        <w:t xml:space="preserve">tinctoria </w:t>
      </w:r>
      <w:r>
        <w:rPr>
          <w:lang w:eastAsia="en-AU"/>
        </w:rPr>
        <w:t xml:space="preserve">from </w:t>
      </w:r>
      <w:smartTag w:uri="urn:schemas-microsoft-com:office:smarttags" w:element="country-region">
        <w:smartTag w:uri="urn:schemas-microsoft-com:office:smarttags" w:element="place">
          <w:r>
            <w:rPr>
              <w:lang w:eastAsia="en-AU"/>
            </w:rPr>
            <w:t>Turkey</w:t>
          </w:r>
        </w:smartTag>
      </w:smartTag>
      <w:r>
        <w:rPr>
          <w:lang w:eastAsia="en-AU"/>
        </w:rPr>
        <w:t xml:space="preserve">. </w:t>
      </w:r>
      <w:r>
        <w:rPr>
          <w:i/>
          <w:lang w:eastAsia="en-AU"/>
        </w:rPr>
        <w:t>Nova Hedwigia</w:t>
      </w:r>
      <w:r>
        <w:rPr>
          <w:lang w:eastAsia="en-AU"/>
        </w:rPr>
        <w:t xml:space="preserve"> 83: 489–492.</w:t>
      </w:r>
    </w:p>
    <w:p>
      <w:pPr>
        <w:spacing w:before="120" w:after="120" w:line="300" w:lineRule="atLeast"/>
        <w:jc w:val="left"/>
      </w:pPr>
      <w:r>
        <w:t xml:space="preserve">Balikai RA, Bagali AN, Ryagi YH (1999) </w:t>
      </w:r>
      <w:r>
        <w:rPr>
          <w:lang w:eastAsia="en-AU"/>
        </w:rPr>
        <w:t>Incidence</w:t>
      </w:r>
      <w:r>
        <w:t xml:space="preserve"> of </w:t>
      </w:r>
      <w:r>
        <w:rPr>
          <w:i/>
        </w:rPr>
        <w:t>Spodoptera litura</w:t>
      </w:r>
      <w:r>
        <w:t xml:space="preserve"> Fab. on grapevine, </w:t>
      </w:r>
      <w:r>
        <w:rPr>
          <w:i/>
        </w:rPr>
        <w:t>Vitis vinifera</w:t>
      </w:r>
      <w:r>
        <w:t xml:space="preserve"> L. </w:t>
      </w:r>
      <w:r>
        <w:rPr>
          <w:i/>
        </w:rPr>
        <w:t>Insect Environment</w:t>
      </w:r>
      <w:r>
        <w:t xml:space="preserve"> 5: 32. </w:t>
      </w:r>
    </w:p>
    <w:p>
      <w:pPr>
        <w:spacing w:before="120" w:after="120" w:line="300" w:lineRule="atLeast"/>
        <w:jc w:val="left"/>
        <w:rPr>
          <w:lang w:eastAsia="en-AU"/>
        </w:rPr>
      </w:pPr>
      <w:r>
        <w:rPr>
          <w:lang w:eastAsia="en-AU"/>
        </w:rPr>
        <w:t xml:space="preserve">Barba M, Ferretti L, Pasquini G (2006) I giallumi della vite: un problema fitosanitario di rilevanza nazionale. </w:t>
      </w:r>
      <w:r>
        <w:rPr>
          <w:i/>
          <w:lang w:eastAsia="en-AU"/>
        </w:rPr>
        <w:t>Informatore Fitopatologico</w:t>
      </w:r>
      <w:r>
        <w:rPr>
          <w:lang w:eastAsia="en-AU"/>
        </w:rPr>
        <w:t xml:space="preserve"> 56: 4–8.</w:t>
      </w:r>
    </w:p>
    <w:p>
      <w:pPr>
        <w:spacing w:before="120" w:after="120" w:line="300" w:lineRule="atLeast"/>
        <w:jc w:val="left"/>
        <w:rPr>
          <w:lang w:eastAsia="en-AU"/>
        </w:rPr>
      </w:pPr>
      <w:r>
        <w:rPr>
          <w:lang w:eastAsia="en-AU"/>
        </w:rPr>
        <w:t xml:space="preserve">Barr ME (1990) Some dictyosporus genera and species of Pleosporales in </w:t>
      </w:r>
      <w:smartTag w:uri="urn:schemas-microsoft-com:office:smarttags" w:element="place">
        <w:r>
          <w:rPr>
            <w:lang w:eastAsia="en-AU"/>
          </w:rPr>
          <w:t>North America</w:t>
        </w:r>
      </w:smartTag>
      <w:r>
        <w:rPr>
          <w:lang w:eastAsia="en-AU"/>
        </w:rPr>
        <w:t xml:space="preserve">. </w:t>
      </w:r>
      <w:r>
        <w:rPr>
          <w:i/>
          <w:lang w:eastAsia="en-AU"/>
        </w:rPr>
        <w:t xml:space="preserve">Memoire of the </w:t>
      </w:r>
      <w:smartTag w:uri="urn:schemas-microsoft-com:office:smarttags" w:element="place">
        <w:smartTag w:uri="urn:schemas-microsoft-com:office:smarttags" w:element="PlaceName">
          <w:r>
            <w:rPr>
              <w:i/>
              <w:lang w:eastAsia="en-AU"/>
            </w:rPr>
            <w:t>New York</w:t>
          </w:r>
        </w:smartTag>
        <w:r>
          <w:rPr>
            <w:i/>
            <w:lang w:eastAsia="en-AU"/>
          </w:rPr>
          <w:t xml:space="preserve"> </w:t>
        </w:r>
        <w:smartTag w:uri="urn:schemas-microsoft-com:office:smarttags" w:element="PlaceType">
          <w:r>
            <w:rPr>
              <w:i/>
              <w:lang w:eastAsia="en-AU"/>
            </w:rPr>
            <w:t>Botanical Garden</w:t>
          </w:r>
        </w:smartTag>
      </w:smartTag>
      <w:r>
        <w:rPr>
          <w:lang w:eastAsia="en-AU"/>
        </w:rPr>
        <w:t xml:space="preserve"> 62: 1–92.</w:t>
      </w:r>
    </w:p>
    <w:p>
      <w:pPr>
        <w:spacing w:before="120" w:after="120" w:line="300" w:lineRule="atLeast"/>
        <w:jc w:val="left"/>
        <w:rPr>
          <w:lang w:eastAsia="en-AU"/>
        </w:rPr>
      </w:pPr>
      <w:r>
        <w:rPr>
          <w:lang w:eastAsia="en-AU"/>
        </w:rPr>
        <w:t xml:space="preserve">Batlle A, Angeles-Martinez M, Lavina A (2000) Occurrence, distribution and epidemiology of Grapevine yellows in </w:t>
      </w:r>
      <w:smartTag w:uri="urn:schemas-microsoft-com:office:smarttags" w:element="country-region">
        <w:smartTag w:uri="urn:schemas-microsoft-com:office:smarttags" w:element="place">
          <w:r>
            <w:rPr>
              <w:lang w:eastAsia="en-AU"/>
            </w:rPr>
            <w:t>Spain</w:t>
          </w:r>
        </w:smartTag>
      </w:smartTag>
      <w:r>
        <w:rPr>
          <w:lang w:eastAsia="en-AU"/>
        </w:rPr>
        <w:t xml:space="preserve">. </w:t>
      </w:r>
      <w:r>
        <w:rPr>
          <w:i/>
          <w:lang w:eastAsia="en-AU"/>
        </w:rPr>
        <w:t>European Journal of Plant Pathology</w:t>
      </w:r>
      <w:r>
        <w:rPr>
          <w:lang w:eastAsia="en-AU"/>
        </w:rPr>
        <w:t xml:space="preserve"> 106: 811–816.</w:t>
      </w:r>
    </w:p>
    <w:p>
      <w:pPr>
        <w:spacing w:before="120" w:after="120" w:line="300" w:lineRule="atLeast"/>
        <w:jc w:val="left"/>
      </w:pPr>
      <w:r>
        <w:rPr>
          <w:bCs/>
        </w:rPr>
        <w:t xml:space="preserve">BCCM (2012) BCCM//MUCL fungi &amp; yeasts catalogue – species details. </w:t>
      </w:r>
      <w:hyperlink r:id="rId137" w:history="1">
        <w:r>
          <w:rPr>
            <w:rStyle w:val="Hyperlink"/>
            <w:bCs/>
            <w:color w:val="auto"/>
          </w:rPr>
          <w:t>http://bccm.belspo.be/db/mucl_species_details.php?NUM=12093&amp;FIRSTITEM=1&amp;RANGE=100</w:t>
        </w:r>
      </w:hyperlink>
      <w:r>
        <w:rPr>
          <w:bCs/>
        </w:rPr>
        <w:t xml:space="preserve"> Accessed March 2012.</w:t>
      </w:r>
    </w:p>
    <w:p>
      <w:pPr>
        <w:spacing w:before="120" w:after="120" w:line="300" w:lineRule="atLeast"/>
        <w:jc w:val="left"/>
        <w:rPr>
          <w:lang w:eastAsia="en-AU"/>
        </w:rPr>
      </w:pPr>
      <w:r>
        <w:rPr>
          <w:lang w:eastAsia="en-AU"/>
        </w:rPr>
        <w:t xml:space="preserve">BCMAL (2010) Western grape rootworm, </w:t>
      </w:r>
      <w:r>
        <w:rPr>
          <w:i/>
          <w:lang w:eastAsia="en-AU"/>
        </w:rPr>
        <w:t>Bromius obscurus</w:t>
      </w:r>
      <w:r>
        <w:rPr>
          <w:lang w:eastAsia="en-AU"/>
        </w:rPr>
        <w:t xml:space="preserve"> – British Columbia Ministry of Agriculture and Lands Pest Alert.</w:t>
      </w:r>
      <w:r>
        <w:rPr>
          <w:u w:val="single"/>
          <w:lang w:eastAsia="en-AU"/>
        </w:rPr>
        <w:t xml:space="preserve"> </w:t>
      </w:r>
      <w:hyperlink r:id="rId138" w:tgtFrame="_blank" w:history="1">
        <w:r>
          <w:rPr>
            <w:u w:val="single"/>
            <w:lang w:eastAsia="en-AU"/>
          </w:rPr>
          <w:t>http://www.agf.gov.bc.ca/cropprot/bromius_obscurus.pdf</w:t>
        </w:r>
      </w:hyperlink>
      <w:r>
        <w:rPr>
          <w:lang w:eastAsia="en-AU"/>
        </w:rPr>
        <w:t xml:space="preserve">. Accessed March 2012. </w:t>
      </w:r>
    </w:p>
    <w:p>
      <w:pPr>
        <w:spacing w:before="120" w:after="120" w:line="300" w:lineRule="atLeast"/>
        <w:jc w:val="left"/>
        <w:rPr>
          <w:lang w:eastAsia="en-AU"/>
        </w:rPr>
      </w:pPr>
      <w:r>
        <w:rPr>
          <w:lang w:eastAsia="en-AU"/>
        </w:rPr>
        <w:t xml:space="preserve">Beardsley JW, Gonzalez RH (1975) The biology and ecology of armored scales. </w:t>
      </w:r>
      <w:r>
        <w:rPr>
          <w:i/>
          <w:lang w:eastAsia="en-AU"/>
        </w:rPr>
        <w:t>Annual Review of Entomology</w:t>
      </w:r>
      <w:r>
        <w:rPr>
          <w:lang w:eastAsia="en-AU"/>
        </w:rPr>
        <w:t xml:space="preserve"> 20: 47–73.</w:t>
      </w:r>
    </w:p>
    <w:p>
      <w:pPr>
        <w:spacing w:before="120" w:after="120" w:line="300" w:lineRule="atLeast"/>
        <w:jc w:val="left"/>
        <w:rPr>
          <w:lang w:eastAsia="en-AU"/>
        </w:rPr>
      </w:pPr>
      <w:r>
        <w:rPr>
          <w:lang w:eastAsia="en-AU"/>
        </w:rPr>
        <w:t xml:space="preserve">Belli G, Fortusini A, Vegetti G (1982) </w:t>
      </w:r>
      <w:r>
        <w:rPr>
          <w:i/>
          <w:lang w:eastAsia="en-AU"/>
        </w:rPr>
        <w:t>Arabis mosaic virus</w:t>
      </w:r>
      <w:r>
        <w:rPr>
          <w:lang w:eastAsia="en-AU"/>
        </w:rPr>
        <w:t xml:space="preserve"> isolated from grapevine in </w:t>
      </w:r>
      <w:smartTag w:uri="urn:schemas-microsoft-com:office:smarttags" w:element="country-region">
        <w:smartTag w:uri="urn:schemas-microsoft-com:office:smarttags" w:element="place">
          <w:r>
            <w:rPr>
              <w:lang w:eastAsia="en-AU"/>
            </w:rPr>
            <w:t>Italy</w:t>
          </w:r>
        </w:smartTag>
      </w:smartTag>
      <w:r>
        <w:rPr>
          <w:lang w:eastAsia="en-AU"/>
        </w:rPr>
        <w:t xml:space="preserve">. </w:t>
      </w:r>
      <w:r>
        <w:rPr>
          <w:i/>
          <w:lang w:eastAsia="en-AU"/>
        </w:rPr>
        <w:t>Rivista di Patologia Vegetale</w:t>
      </w:r>
      <w:r>
        <w:rPr>
          <w:lang w:eastAsia="en-AU"/>
        </w:rPr>
        <w:t xml:space="preserve"> 18: 175–177.</w:t>
      </w:r>
    </w:p>
    <w:p>
      <w:pPr>
        <w:autoSpaceDE w:val="0"/>
        <w:autoSpaceDN w:val="0"/>
        <w:spacing w:before="120" w:after="120" w:line="300" w:lineRule="atLeast"/>
        <w:jc w:val="left"/>
        <w:rPr>
          <w:bCs/>
          <w:lang w:eastAsia="en-AU"/>
        </w:rPr>
      </w:pPr>
      <w:r>
        <w:rPr>
          <w:bCs/>
          <w:lang w:eastAsia="en-AU"/>
        </w:rPr>
        <w:t xml:space="preserve">Ben-Dov Y (1994) </w:t>
      </w:r>
      <w:r>
        <w:rPr>
          <w:bCs/>
          <w:i/>
          <w:lang w:eastAsia="en-AU"/>
        </w:rPr>
        <w:t>A systematic catalogue of the mealybugs of the world (Insecta: Homoptera: Coccoidea: Ps</w:t>
      </w:r>
      <w:smartTag w:uri="urn:schemas-microsoft-com:office:smarttags" w:element="PersonName">
        <w:r>
          <w:rPr>
            <w:bCs/>
            <w:i/>
            <w:lang w:eastAsia="en-AU"/>
          </w:rPr>
          <w:t>eu</w:t>
        </w:r>
      </w:smartTag>
      <w:r>
        <w:rPr>
          <w:bCs/>
          <w:i/>
          <w:lang w:eastAsia="en-AU"/>
        </w:rPr>
        <w:t>dococcidae and Putoidae) with data on geographical distribution, host plants, biology and economic importance</w:t>
      </w:r>
      <w:r>
        <w:rPr>
          <w:bCs/>
          <w:lang w:eastAsia="en-AU"/>
        </w:rPr>
        <w:t xml:space="preserve">. Intercept Limited, </w:t>
      </w:r>
      <w:smartTag w:uri="urn:schemas-microsoft-com:office:smarttags" w:element="country-region">
        <w:smartTag w:uri="urn:schemas-microsoft-com:office:smarttags" w:element="place">
          <w:r>
            <w:rPr>
              <w:bCs/>
              <w:lang w:eastAsia="en-AU"/>
            </w:rPr>
            <w:t>UK</w:t>
          </w:r>
        </w:smartTag>
      </w:smartTag>
      <w:r>
        <w:rPr>
          <w:bCs/>
          <w:lang w:eastAsia="en-AU"/>
        </w:rPr>
        <w:t xml:space="preserve">. </w:t>
      </w:r>
    </w:p>
    <w:p>
      <w:pPr>
        <w:spacing w:before="120" w:after="120" w:line="300" w:lineRule="atLeast"/>
        <w:jc w:val="left"/>
        <w:rPr>
          <w:rStyle w:val="a"/>
          <w:lang w:val="de-DE"/>
        </w:rPr>
      </w:pPr>
      <w:r>
        <w:rPr>
          <w:rStyle w:val="a"/>
        </w:rPr>
        <w:t xml:space="preserve">Ben-Dov Y, Miller DR, Gibson GAP (2012) ScaleNet. </w:t>
      </w:r>
      <w:r>
        <w:rPr>
          <w:rStyle w:val="a"/>
          <w:u w:val="single"/>
        </w:rPr>
        <w:t>http://www.sel.barc.usda.gov/scalenet</w:t>
      </w:r>
      <w:r>
        <w:rPr>
          <w:rStyle w:val="a"/>
        </w:rPr>
        <w:t xml:space="preserve">. </w:t>
      </w:r>
      <w:r>
        <w:rPr>
          <w:rStyle w:val="a"/>
          <w:lang w:val="de-DE"/>
        </w:rPr>
        <w:t>Accessed February 2012.</w:t>
      </w:r>
    </w:p>
    <w:p>
      <w:pPr>
        <w:autoSpaceDE w:val="0"/>
        <w:autoSpaceDN w:val="0"/>
        <w:spacing w:before="120" w:after="120" w:line="300" w:lineRule="atLeast"/>
        <w:jc w:val="left"/>
      </w:pPr>
      <w:r>
        <w:rPr>
          <w:lang w:val="de-DE"/>
        </w:rPr>
        <w:t xml:space="preserve">Benson DA, Karsch-Mizrachi I, Lipman DJ, Ostell J, Wheeler DL (2008) GenBank. </w:t>
      </w:r>
      <w:r>
        <w:rPr>
          <w:i/>
        </w:rPr>
        <w:t>Nucleic Acids Research</w:t>
      </w:r>
      <w:r>
        <w:t xml:space="preserve"> 36: D25–D35.</w:t>
      </w:r>
    </w:p>
    <w:p>
      <w:pPr>
        <w:autoSpaceDE w:val="0"/>
        <w:autoSpaceDN w:val="0"/>
        <w:spacing w:before="120" w:after="120" w:line="300" w:lineRule="atLeast"/>
        <w:jc w:val="left"/>
      </w:pPr>
      <w:r>
        <w:t xml:space="preserve">Bentley WJ, Varela LG, Zalom FG, Smith RJ, Purcell AH, Phillips PA, Haviland DR, Daane KM, Battany MC, Granett J (2008) UC IPM Pest Management Guidelines: Grape: UC ANR Publication 3448 </w:t>
      </w:r>
      <w:hyperlink r:id="rId139" w:history="1">
        <w:r>
          <w:rPr>
            <w:rStyle w:val="Hyperlink"/>
            <w:color w:val="auto"/>
          </w:rPr>
          <w:t>http://www.ipm.ucdavis.edu/PMG/r302301411.html</w:t>
        </w:r>
      </w:hyperlink>
      <w:r>
        <w:t xml:space="preserve"> Accessed February 2011.</w:t>
      </w:r>
    </w:p>
    <w:p>
      <w:pPr>
        <w:autoSpaceDE w:val="0"/>
        <w:autoSpaceDN w:val="0"/>
        <w:spacing w:before="120" w:after="120" w:line="300" w:lineRule="atLeast"/>
        <w:jc w:val="left"/>
      </w:pPr>
      <w:r>
        <w:rPr>
          <w:rStyle w:val="mainarea"/>
        </w:rPr>
        <w:t>Benvenuti</w:t>
      </w:r>
      <w:r>
        <w:t xml:space="preserve"> A, Lucchi A (2005) </w:t>
      </w:r>
      <w:r>
        <w:rPr>
          <w:bCs/>
        </w:rPr>
        <w:t xml:space="preserve">Corso di Laurea in Viticoltura ed Enologia. II crisomelide </w:t>
      </w:r>
      <w:r>
        <w:t>alticino</w:t>
      </w:r>
      <w:r>
        <w:rPr>
          <w:bCs/>
        </w:rPr>
        <w:t xml:space="preserve"> della vite </w:t>
      </w:r>
      <w:r>
        <w:rPr>
          <w:bCs/>
          <w:i/>
          <w:iCs/>
        </w:rPr>
        <w:t>Altica ampelophaga</w:t>
      </w:r>
      <w:r>
        <w:rPr>
          <w:bCs/>
        </w:rPr>
        <w:t xml:space="preserve"> Guérin-Meneville: cronologia, biologia, dannosità e controllo</w:t>
      </w:r>
      <w:r>
        <w:t xml:space="preserve">’ </w:t>
      </w:r>
      <w:smartTag w:uri="urn:schemas-microsoft-com:office:smarttags" w:element="place">
        <w:smartTag w:uri="urn:schemas-microsoft-com:office:smarttags" w:element="City">
          <w:r>
            <w:t>University of Pisa</w:t>
          </w:r>
        </w:smartTag>
        <w:r>
          <w:t xml:space="preserve">, </w:t>
        </w:r>
        <w:smartTag w:uri="urn:schemas-microsoft-com:office:smarttags" w:element="country-region">
          <w:r>
            <w:t>Italy</w:t>
          </w:r>
        </w:smartTag>
      </w:smartTag>
      <w:r>
        <w:t xml:space="preserve"> (Italian). </w:t>
      </w:r>
      <w:hyperlink r:id="rId140" w:history="1">
        <w:r>
          <w:rPr>
            <w:rStyle w:val="Hyperlink"/>
            <w:color w:val="auto"/>
          </w:rPr>
          <w:t>http://www.agr.unipi.it/tesi05/luglio/ve_benvenuti.html</w:t>
        </w:r>
      </w:hyperlink>
      <w:r>
        <w:t xml:space="preserve"> Accessed February 2010.</w:t>
      </w:r>
    </w:p>
    <w:p>
      <w:pPr>
        <w:autoSpaceDE w:val="0"/>
        <w:autoSpaceDN w:val="0"/>
        <w:spacing w:before="120" w:after="120" w:line="300" w:lineRule="atLeast"/>
        <w:jc w:val="left"/>
        <w:rPr>
          <w:lang w:val="de-DE"/>
        </w:rPr>
      </w:pPr>
      <w:r>
        <w:rPr>
          <w:lang w:val="de-DE"/>
        </w:rPr>
        <w:t>Bercks R (1967) Ueber den Nachweis des Tomatenzwergbusch-Virus (</w:t>
      </w:r>
      <w:r>
        <w:rPr>
          <w:i/>
          <w:lang w:val="de-DE"/>
        </w:rPr>
        <w:t>Tomato bushy stunt virus</w:t>
      </w:r>
      <w:r>
        <w:rPr>
          <w:lang w:val="de-DE"/>
        </w:rPr>
        <w:t xml:space="preserve">) in Reben. </w:t>
      </w:r>
      <w:r>
        <w:rPr>
          <w:i/>
          <w:lang w:val="de-DE"/>
        </w:rPr>
        <w:t>Phytopathologische Zeitschrift</w:t>
      </w:r>
      <w:r>
        <w:rPr>
          <w:lang w:val="de-DE"/>
        </w:rPr>
        <w:t xml:space="preserve"> 60: 273–277.</w:t>
      </w:r>
    </w:p>
    <w:p>
      <w:pPr>
        <w:autoSpaceDE w:val="0"/>
        <w:autoSpaceDN w:val="0"/>
        <w:spacing w:before="120" w:after="120" w:line="300" w:lineRule="atLeast"/>
        <w:jc w:val="left"/>
      </w:pPr>
      <w:r>
        <w:rPr>
          <w:lang w:val="de-DE"/>
        </w:rPr>
        <w:t>Bercks R, Brückbauer Querfurth G, Rüdel M (1977) Untersuchungen über die viruskrankheit de rebe unter besonderer Berücksichtigung ‘atypischer formen</w:t>
      </w:r>
      <w:r>
        <w:t>’</w:t>
      </w:r>
      <w:r>
        <w:rPr>
          <w:lang w:val="de-DE"/>
        </w:rPr>
        <w:t xml:space="preserve"> der Reigigkrankheit. </w:t>
      </w:r>
      <w:r>
        <w:rPr>
          <w:i/>
        </w:rPr>
        <w:t xml:space="preserve">Weinbau und Kell. </w:t>
      </w:r>
      <w:r>
        <w:t>24: 133–180.</w:t>
      </w:r>
    </w:p>
    <w:p>
      <w:pPr>
        <w:autoSpaceDE w:val="0"/>
        <w:autoSpaceDN w:val="0"/>
        <w:spacing w:before="120" w:after="120" w:line="300" w:lineRule="atLeast"/>
        <w:jc w:val="left"/>
      </w:pPr>
      <w:r>
        <w:t xml:space="preserve">Bercks R, Querfurth G (1969) On the detection of </w:t>
      </w:r>
      <w:r>
        <w:rPr>
          <w:i/>
        </w:rPr>
        <w:t>Sowbane mosaic viru</w:t>
      </w:r>
      <w:r>
        <w:t xml:space="preserve">s in grapevines. </w:t>
      </w:r>
      <w:r>
        <w:rPr>
          <w:i/>
        </w:rPr>
        <w:t>Phytopathologische Zeitschrif</w:t>
      </w:r>
      <w:r>
        <w:t xml:space="preserve"> 66: 365–373.</w:t>
      </w:r>
    </w:p>
    <w:p>
      <w:pPr>
        <w:autoSpaceDE w:val="0"/>
        <w:autoSpaceDN w:val="0"/>
        <w:spacing w:before="120" w:after="120" w:line="300" w:lineRule="atLeast"/>
        <w:jc w:val="left"/>
      </w:pPr>
      <w:r>
        <w:t xml:space="preserve">Berger J, Dalla VJ, Baric S (2009) Development of a TaqMan allelic discrimination assay for the distinction of different subtypes of the grapevine yellow phytoplasma Bois noir. </w:t>
      </w:r>
      <w:r>
        <w:rPr>
          <w:i/>
        </w:rPr>
        <w:t>European Journal of Plant Pathology</w:t>
      </w:r>
      <w:r>
        <w:t xml:space="preserve"> 124: 521–526.</w:t>
      </w:r>
    </w:p>
    <w:p>
      <w:pPr>
        <w:autoSpaceDE w:val="0"/>
        <w:autoSpaceDN w:val="0"/>
        <w:spacing w:before="120" w:after="120" w:line="300" w:lineRule="atLeast"/>
        <w:jc w:val="left"/>
      </w:pPr>
      <w:r>
        <w:t xml:space="preserve">Bernard MB, Horne PA, Hoffmann AA (2005) Eriophyoid mite damage in </w:t>
      </w:r>
      <w:r>
        <w:rPr>
          <w:i/>
        </w:rPr>
        <w:t>Vitis vinifera</w:t>
      </w:r>
      <w:r>
        <w:t xml:space="preserve"> (grapevine) in Australia: </w:t>
      </w:r>
      <w:r>
        <w:rPr>
          <w:i/>
        </w:rPr>
        <w:t>Calepitrimerus vitis</w:t>
      </w:r>
      <w:r>
        <w:t xml:space="preserve"> and </w:t>
      </w:r>
      <w:r>
        <w:rPr>
          <w:i/>
        </w:rPr>
        <w:t>Colomerus vitis</w:t>
      </w:r>
      <w:r>
        <w:t xml:space="preserve"> (Acari: Eriophyidae) as the common cause of the widespread ‘Restricted Spring Growth’ syndrome. </w:t>
      </w:r>
      <w:r>
        <w:rPr>
          <w:i/>
        </w:rPr>
        <w:t>Experimental and Applied Acarology</w:t>
      </w:r>
      <w:r>
        <w:t xml:space="preserve"> 35: 83–109.</w:t>
      </w:r>
    </w:p>
    <w:p>
      <w:pPr>
        <w:autoSpaceDE w:val="0"/>
        <w:autoSpaceDN w:val="0"/>
        <w:spacing w:before="120" w:after="120" w:line="300" w:lineRule="atLeast"/>
        <w:jc w:val="left"/>
      </w:pPr>
      <w:smartTag w:uri="urn:schemas-microsoft-com:office:smarttags" w:element="State">
        <w:smartTag w:uri="urn:schemas-microsoft-com:office:smarttags" w:element="place">
          <w:r>
            <w:t>Berry</w:t>
          </w:r>
        </w:smartTag>
      </w:smartTag>
      <w:r>
        <w:t xml:space="preserve"> RE (1998) </w:t>
      </w:r>
      <w:r>
        <w:rPr>
          <w:i/>
        </w:rPr>
        <w:t>Wiremorms: Insects and Mites of Economic Importance in the Northwest</w:t>
      </w:r>
      <w:r>
        <w:t>. 2</w:t>
      </w:r>
      <w:r>
        <w:rPr>
          <w:vertAlign w:val="superscript"/>
        </w:rPr>
        <w:t>nd</w:t>
      </w:r>
      <w:r>
        <w:t xml:space="preserve"> Edn. </w:t>
      </w:r>
      <w:smartTag w:uri="urn:schemas-microsoft-com:office:smarttags" w:element="place">
        <w:smartTag w:uri="urn:schemas-microsoft-com:office:smarttags" w:element="City">
          <w:r>
            <w:t>Oregon State University</w:t>
          </w:r>
        </w:smartTag>
        <w:r>
          <w:t xml:space="preserve">, </w:t>
        </w:r>
        <w:smartTag w:uri="urn:schemas-microsoft-com:office:smarttags" w:element="State">
          <w:r>
            <w:t>Oregon</w:t>
          </w:r>
        </w:smartTag>
      </w:smartTag>
      <w:r>
        <w:t>.</w:t>
      </w:r>
    </w:p>
    <w:p>
      <w:pPr>
        <w:spacing w:before="120" w:after="120" w:line="300" w:lineRule="atLeast"/>
        <w:jc w:val="left"/>
      </w:pPr>
      <w:r>
        <w:t xml:space="preserve">Bertaccini A, Vibio M, Schaff DA, Murari E, Martini M, Danielli A (1997) Geographical distribution of Elm yellows-related phytoplasmas in grapevine Flavescence dorée outbreaks in Veneto (Italy). In </w:t>
      </w:r>
      <w:r>
        <w:rPr>
          <w:i/>
        </w:rPr>
        <w:t>Extended Abstracts of the 12th Meeting of the International Council for the Study of Virus and Virus-like Diseases of the Grapevine, Lisbon, 28 September–2 October 1997</w:t>
      </w:r>
      <w:r>
        <w:t xml:space="preserve">. Departamento de Fitopatologia, </w:t>
      </w:r>
      <w:hyperlink r:id="rId141" w:history="1">
        <w:r>
          <w:rPr>
            <w:iCs/>
          </w:rPr>
          <w:t>Estação Agronómica Nacional</w:t>
        </w:r>
      </w:hyperlink>
      <w:r>
        <w:t>, Oeiras, Portugal.</w:t>
      </w:r>
    </w:p>
    <w:p>
      <w:pPr>
        <w:spacing w:before="120" w:after="120" w:line="300" w:lineRule="atLeast"/>
        <w:jc w:val="left"/>
      </w:pPr>
      <w:r>
        <w:t xml:space="preserve">Bertaccini A, Vibio M, Stefani E (1995) Detection and molecular characterization of phytoplasmas infecting grapevine in Liguria (Italy). </w:t>
      </w:r>
      <w:r>
        <w:rPr>
          <w:i/>
        </w:rPr>
        <w:t>Phytopathologia Mediterranea</w:t>
      </w:r>
      <w:r>
        <w:t xml:space="preserve"> 34: 137–141.</w:t>
      </w:r>
    </w:p>
    <w:p>
      <w:pPr>
        <w:spacing w:before="120" w:after="120" w:line="300" w:lineRule="atLeast"/>
        <w:jc w:val="left"/>
      </w:pPr>
      <w:r>
        <w:t xml:space="preserve">Bhuiyan MK, Nishigaki J (1997) Oviposition of the adult cupreous chafer, </w:t>
      </w:r>
      <w:r>
        <w:rPr>
          <w:i/>
        </w:rPr>
        <w:t>Anomala cuprea</w:t>
      </w:r>
      <w:r>
        <w:t xml:space="preserve"> hope (Coleoptera: Scarabaeidae), at different water contents of the ovipositing medium under laboratory conditions. </w:t>
      </w:r>
      <w:r>
        <w:rPr>
          <w:i/>
        </w:rPr>
        <w:t>Applied Entomology and Zoology</w:t>
      </w:r>
      <w:r>
        <w:t xml:space="preserve"> 32: 431–436.</w:t>
      </w:r>
    </w:p>
    <w:p>
      <w:pPr>
        <w:spacing w:before="120" w:after="120" w:line="300" w:lineRule="atLeast"/>
        <w:jc w:val="left"/>
      </w:pPr>
      <w:r>
        <w:t xml:space="preserve">Bianco PA, Davis RE, Casati P, Fortusini A (1996) Prevalence of Aster yellow (AY) and Elm yellows (EY) group phytoplasmas in symptomatic grapevines in three areas of northern Italy. </w:t>
      </w:r>
      <w:r>
        <w:rPr>
          <w:i/>
        </w:rPr>
        <w:t>Vitis</w:t>
      </w:r>
      <w:r>
        <w:t xml:space="preserve"> 35: 195–199.</w:t>
      </w:r>
    </w:p>
    <w:p>
      <w:pPr>
        <w:autoSpaceDE w:val="0"/>
        <w:autoSpaceDN w:val="0"/>
        <w:spacing w:before="120" w:after="120" w:line="300" w:lineRule="atLeast"/>
        <w:jc w:val="left"/>
      </w:pPr>
      <w:r>
        <w:t xml:space="preserve">Bianco PA, Davis RE, Prince JP, Fortusini A, Casati P, Belli G (1994) Elm yellows and Aster yellows MLOs associated with a grapevine yellows disease very similar to Flavescence dorée in </w:t>
      </w:r>
      <w:smartTag w:uri="urn:schemas-microsoft-com:office:smarttags" w:element="place">
        <w:r>
          <w:t>Northern Italy</w:t>
        </w:r>
      </w:smartTag>
      <w:r>
        <w:t xml:space="preserve">. </w:t>
      </w:r>
      <w:r>
        <w:rPr>
          <w:i/>
        </w:rPr>
        <w:t>International Organization for Mycoplasmology Letters</w:t>
      </w:r>
      <w:r>
        <w:t xml:space="preserve"> 3: 251–252.</w:t>
      </w:r>
    </w:p>
    <w:p>
      <w:pPr>
        <w:spacing w:before="120" w:after="120" w:line="300" w:lineRule="atLeast"/>
        <w:jc w:val="left"/>
      </w:pPr>
      <w:r>
        <w:t xml:space="preserve">Blodgett S (1992) Ground Mealybug. In: </w:t>
      </w:r>
      <w:r>
        <w:rPr>
          <w:i/>
        </w:rPr>
        <w:t>Grape Pest Management,</w:t>
      </w:r>
      <w:r>
        <w:t xml:space="preserve"> 2nd edition. Publication 3343: 247–248. University of California Division of Agriculture and Natural Resources, Oakland, CA, USA.</w:t>
      </w:r>
    </w:p>
    <w:p>
      <w:pPr>
        <w:spacing w:before="120" w:after="120" w:line="300" w:lineRule="atLeast"/>
        <w:jc w:val="left"/>
      </w:pPr>
      <w:r>
        <w:t xml:space="preserve">Boerema GH (1976) The </w:t>
      </w:r>
      <w:r>
        <w:rPr>
          <w:i/>
        </w:rPr>
        <w:t>Phoma</w:t>
      </w:r>
      <w:r>
        <w:t xml:space="preserve"> species studied in culture by Dr R WG Dennis. </w:t>
      </w:r>
      <w:r>
        <w:rPr>
          <w:i/>
        </w:rPr>
        <w:t xml:space="preserve">Transactions of the British Mycological Society </w:t>
      </w:r>
      <w:r>
        <w:t>67: 289–319.</w:t>
      </w:r>
    </w:p>
    <w:p>
      <w:pPr>
        <w:spacing w:before="120" w:after="120" w:line="300" w:lineRule="atLeast"/>
        <w:jc w:val="left"/>
      </w:pPr>
      <w:r>
        <w:t>Boll S, Herrmann JV (2001) A new method to monitor eggs of the Grape leafhopper (</w:t>
      </w:r>
      <w:r>
        <w:rPr>
          <w:i/>
        </w:rPr>
        <w:t>Empoasca vitis</w:t>
      </w:r>
      <w:r>
        <w:t xml:space="preserve">) in grapevine leaves. </w:t>
      </w:r>
      <w:r>
        <w:rPr>
          <w:i/>
        </w:rPr>
        <w:t>Journal of Plant Diseases and Protection</w:t>
      </w:r>
      <w:r>
        <w:t xml:space="preserve"> 108: 77–81.</w:t>
      </w:r>
    </w:p>
    <w:p>
      <w:pPr>
        <w:spacing w:before="120" w:after="120" w:line="300" w:lineRule="atLeast"/>
        <w:jc w:val="left"/>
      </w:pPr>
      <w:r>
        <w:t xml:space="preserve">Booth RG, Cox ML, Madge RB (1990) </w:t>
      </w:r>
      <w:r>
        <w:rPr>
          <w:bCs/>
          <w:i/>
        </w:rPr>
        <w:t>IIE Guides to insects</w:t>
      </w:r>
      <w:r>
        <w:rPr>
          <w:i/>
        </w:rPr>
        <w:t xml:space="preserve"> of i</w:t>
      </w:r>
      <w:r>
        <w:rPr>
          <w:bCs/>
          <w:i/>
        </w:rPr>
        <w:t>mportance to</w:t>
      </w:r>
      <w:r>
        <w:rPr>
          <w:i/>
        </w:rPr>
        <w:t xml:space="preserve"> </w:t>
      </w:r>
      <w:r>
        <w:rPr>
          <w:bCs/>
          <w:i/>
        </w:rPr>
        <w:t>man:</w:t>
      </w:r>
      <w:r>
        <w:rPr>
          <w:i/>
        </w:rPr>
        <w:t xml:space="preserve"> </w:t>
      </w:r>
      <w:r>
        <w:rPr>
          <w:bCs/>
          <w:i/>
        </w:rPr>
        <w:t>3</w:t>
      </w:r>
      <w:r>
        <w:rPr>
          <w:i/>
        </w:rPr>
        <w:t>. Coleoptera</w:t>
      </w:r>
      <w:r>
        <w:t>. Cambridge University Press, Cambridge, UK.</w:t>
      </w:r>
    </w:p>
    <w:p>
      <w:pPr>
        <w:spacing w:before="120" w:after="120" w:line="300" w:lineRule="atLeast"/>
        <w:jc w:val="left"/>
      </w:pPr>
      <w:r>
        <w:t xml:space="preserve">Borbon CM, de Becerra V, Bonomo V, Mazzitelli E, Calvo M (2008) Thrips (Insecta: Thysanoptera) in cherry orchards in Mendoza, Argentina. </w:t>
      </w:r>
      <w:r>
        <w:rPr>
          <w:i/>
        </w:rPr>
        <w:t>Revista de la Facultad de Ciencias Agrarias, Universidad Nacional de Cuyo</w:t>
      </w:r>
      <w:r>
        <w:t xml:space="preserve"> 40: 1–10.</w:t>
      </w:r>
    </w:p>
    <w:p>
      <w:pPr>
        <w:spacing w:before="120" w:after="120" w:line="300" w:lineRule="atLeast"/>
        <w:jc w:val="left"/>
      </w:pPr>
      <w:r>
        <w:t xml:space="preserve">Borden AD, Madsen HF (1951) Stink bug on pears: Habits of pest studied to find a control program which may include sprays, clean culture, host plant eradication. </w:t>
      </w:r>
      <w:r>
        <w:rPr>
          <w:i/>
        </w:rPr>
        <w:t xml:space="preserve">Californian Agriculture </w:t>
      </w:r>
      <w:r>
        <w:t>5: 7.</w:t>
      </w:r>
    </w:p>
    <w:p>
      <w:pPr>
        <w:spacing w:before="120" w:after="120" w:line="300" w:lineRule="atLeast"/>
        <w:jc w:val="left"/>
      </w:pPr>
      <w:r>
        <w:t xml:space="preserve">Bos L (1999) </w:t>
      </w:r>
      <w:r>
        <w:rPr>
          <w:i/>
        </w:rPr>
        <w:t>Plant viruses, unique and intriguing pathogens</w:t>
      </w:r>
      <w:r>
        <w:t>. Backhuys Publishers, Leiden.</w:t>
      </w:r>
    </w:p>
    <w:p>
      <w:pPr>
        <w:spacing w:before="120" w:after="120" w:line="300" w:lineRule="atLeast"/>
        <w:jc w:val="left"/>
      </w:pPr>
      <w:r>
        <w:t xml:space="preserve">Boscia D, Digiaro M, Savino V, Martelli GP (2000) A survey of </w:t>
      </w:r>
      <w:r>
        <w:rPr>
          <w:i/>
        </w:rPr>
        <w:t xml:space="preserve">Grapevine leafroll-associated virus 6 </w:t>
      </w:r>
      <w:r>
        <w:t xml:space="preserve">distribution in Apulia and Abruzzo (southern Italy) and its association with cv. Cardinal. </w:t>
      </w:r>
      <w:hyperlink r:id="rId142" w:history="1">
        <w:r>
          <w:rPr>
            <w:i/>
          </w:rPr>
          <w:t>Vignevini</w:t>
        </w:r>
      </w:hyperlink>
      <w:r>
        <w:t xml:space="preserve"> 27: 92–95.</w:t>
      </w:r>
    </w:p>
    <w:p>
      <w:pPr>
        <w:spacing w:before="120" w:after="120" w:line="300" w:lineRule="atLeast"/>
        <w:jc w:val="left"/>
      </w:pPr>
      <w:r>
        <w:t xml:space="preserve">Bostanian NJ, Vincent C, Goulet H, Lesage L, Lasnier J, Bellemare J, Mauffette Y (2003) The arthropod fauna of Quebec vineyards with particular reference to phytophagous arthropods. </w:t>
      </w:r>
      <w:r>
        <w:rPr>
          <w:i/>
        </w:rPr>
        <w:t xml:space="preserve">Journal of Economic Entomology </w:t>
      </w:r>
      <w:r>
        <w:t>96: 1221–1229.</w:t>
      </w:r>
    </w:p>
    <w:p>
      <w:pPr>
        <w:spacing w:before="120" w:after="120" w:line="300" w:lineRule="atLeast"/>
        <w:jc w:val="left"/>
      </w:pPr>
      <w:r>
        <w:t xml:space="preserve">Botero-Garces N, Isaacs R (2003) Distribution of Grape berry moth, </w:t>
      </w:r>
      <w:r>
        <w:rPr>
          <w:i/>
        </w:rPr>
        <w:t>Endopiza viteana</w:t>
      </w:r>
      <w:r>
        <w:t xml:space="preserve"> (Lepidoptera: Tortricidae) in natural and cultivated habitats. </w:t>
      </w:r>
      <w:r>
        <w:rPr>
          <w:i/>
        </w:rPr>
        <w:t>Environmental Entomology</w:t>
      </w:r>
      <w:r>
        <w:t xml:space="preserve"> 32: 1187–1195.</w:t>
      </w:r>
    </w:p>
    <w:p>
      <w:pPr>
        <w:spacing w:before="120" w:after="120" w:line="300" w:lineRule="atLeast"/>
        <w:jc w:val="left"/>
      </w:pPr>
      <w:r>
        <w:t xml:space="preserve">Botha WJ, Serfontein S, Greyling MM, Berger DK (2001) Detection of </w:t>
      </w:r>
      <w:r>
        <w:rPr>
          <w:i/>
        </w:rPr>
        <w:t>Xylophilus ampelinus</w:t>
      </w:r>
      <w:r>
        <w:t xml:space="preserve"> in grapevine cuttings using a nested polymerase chain reaction. </w:t>
      </w:r>
      <w:r>
        <w:rPr>
          <w:i/>
        </w:rPr>
        <w:t>Plant Pathology</w:t>
      </w:r>
      <w:r>
        <w:t xml:space="preserve"> 50: 515–526.</w:t>
      </w:r>
    </w:p>
    <w:p>
      <w:pPr>
        <w:autoSpaceDE w:val="0"/>
        <w:autoSpaceDN w:val="0"/>
        <w:spacing w:before="120" w:after="120" w:line="300" w:lineRule="atLeast"/>
        <w:jc w:val="left"/>
      </w:pPr>
      <w:r>
        <w:t xml:space="preserve">Botti S, Bertaccini A (2007) Grapevine yellows in Northern Italy: molecular identification of Flavescence dorée Phytoplasma strains and of Bois noir Phytoplasmas. </w:t>
      </w:r>
      <w:r>
        <w:rPr>
          <w:i/>
        </w:rPr>
        <w:t>Journal of Applied Microbiology</w:t>
      </w:r>
      <w:r>
        <w:t xml:space="preserve"> 103: 2325–2330.</w:t>
      </w:r>
    </w:p>
    <w:p>
      <w:pPr>
        <w:spacing w:before="120" w:after="120" w:line="300" w:lineRule="atLeast"/>
        <w:jc w:val="left"/>
      </w:pPr>
      <w:r>
        <w:t xml:space="preserve">Boudon-Padieu E, Larrue J, Caudwell A (1989) ELISA and dot-blot detection of Flavescence dorée MLO in individual leafhopper vectors during latency and inoculative state. </w:t>
      </w:r>
      <w:r>
        <w:rPr>
          <w:i/>
        </w:rPr>
        <w:t>Current Microbiology</w:t>
      </w:r>
      <w:r>
        <w:t xml:space="preserve"> 19: 357–364. </w:t>
      </w:r>
    </w:p>
    <w:p>
      <w:pPr>
        <w:spacing w:before="120" w:after="120" w:line="300" w:lineRule="atLeast"/>
        <w:jc w:val="left"/>
      </w:pPr>
      <w:r>
        <w:rPr>
          <w:lang w:eastAsia="en-AU"/>
        </w:rPr>
        <w:t>Boudon-Padi</w:t>
      </w:r>
      <w:smartTag w:uri="urn:schemas-microsoft-com:office:smarttags" w:element="PersonName">
        <w:r>
          <w:rPr>
            <w:lang w:eastAsia="en-AU"/>
          </w:rPr>
          <w:t>eu</w:t>
        </w:r>
      </w:smartTag>
      <w:r>
        <w:rPr>
          <w:lang w:eastAsia="en-AU"/>
        </w:rPr>
        <w:t xml:space="preserve"> E, Maixner M (2007) Potential effects of climate change on distribution and activity of insect vectors of grapevine pathogens. Global warming, which potential impacts on the vineyards? </w:t>
      </w:r>
      <w:hyperlink r:id="rId143" w:history="1">
        <w:r>
          <w:rPr>
            <w:rStyle w:val="Hyperlink"/>
            <w:color w:val="auto"/>
            <w:lang w:eastAsia="en-AU"/>
          </w:rPr>
          <w:t>http://www.prodinra.inra.fr/prodinra/pinra/data/2008/06/PROD2008d0be8eb_20080625041803219.pdf</w:t>
        </w:r>
      </w:hyperlink>
      <w:r>
        <w:rPr>
          <w:lang w:eastAsia="en-AU"/>
        </w:rPr>
        <w:t xml:space="preserve"> Accessed January 2012.</w:t>
      </w:r>
    </w:p>
    <w:p>
      <w:pPr>
        <w:spacing w:before="120" w:after="120" w:line="300" w:lineRule="atLeast"/>
        <w:jc w:val="left"/>
      </w:pPr>
      <w:r>
        <w:t>Boudon-Padi</w:t>
      </w:r>
      <w:smartTag w:uri="urn:schemas-microsoft-com:office:smarttags" w:element="PersonName">
        <w:r>
          <w:t>eu</w:t>
        </w:r>
      </w:smartTag>
      <w:r>
        <w:t xml:space="preserve"> E. (2005) Phytoplasmas associated to Grapevine yellows and potential vectors, </w:t>
      </w:r>
      <w:r>
        <w:rPr>
          <w:i/>
        </w:rPr>
        <w:t>Bulletin O.I.V</w:t>
      </w:r>
      <w:r>
        <w:t>. 79: 311–320.</w:t>
      </w:r>
    </w:p>
    <w:p>
      <w:pPr>
        <w:autoSpaceDE w:val="0"/>
        <w:autoSpaceDN w:val="0"/>
        <w:spacing w:before="120" w:after="120" w:line="300" w:lineRule="atLeast"/>
        <w:jc w:val="left"/>
        <w:rPr>
          <w:lang w:eastAsia="en-AU"/>
        </w:rPr>
      </w:pPr>
      <w:r>
        <w:rPr>
          <w:lang w:eastAsia="en-AU"/>
        </w:rPr>
        <w:t xml:space="preserve">Bournier A (1976) Grape insects. </w:t>
      </w:r>
      <w:r>
        <w:rPr>
          <w:i/>
          <w:iCs/>
          <w:lang w:eastAsia="en-AU"/>
        </w:rPr>
        <w:t xml:space="preserve">Annual Review of Entomology </w:t>
      </w:r>
      <w:r>
        <w:rPr>
          <w:lang w:eastAsia="en-AU"/>
        </w:rPr>
        <w:t xml:space="preserve">22: 355–376. </w:t>
      </w:r>
    </w:p>
    <w:p>
      <w:pPr>
        <w:spacing w:before="120" w:after="120" w:line="300" w:lineRule="atLeast"/>
        <w:jc w:val="left"/>
      </w:pPr>
      <w:r>
        <w:t xml:space="preserve">Bovey R, Gärtel W, Hewitt WB, Martelli GP, Vuittenez A (1990) </w:t>
      </w:r>
      <w:r>
        <w:rPr>
          <w:i/>
        </w:rPr>
        <w:t>Viruses and virus-like diseases of grapevines</w:t>
      </w:r>
      <w:r>
        <w:t xml:space="preserve"> 46–50. Editions Payot, Lausanne, Switzerland.</w:t>
      </w:r>
    </w:p>
    <w:p>
      <w:pPr>
        <w:spacing w:before="120" w:after="120" w:line="300" w:lineRule="atLeast"/>
        <w:jc w:val="left"/>
        <w:rPr>
          <w:lang w:eastAsia="en-AU"/>
        </w:rPr>
      </w:pPr>
      <w:r>
        <w:rPr>
          <w:lang w:eastAsia="en-AU"/>
        </w:rPr>
        <w:t xml:space="preserve">Brayford D (1987) CMI Descriptions of Pathogenic Fungi and Bacteria no. 926. </w:t>
      </w:r>
      <w:r>
        <w:rPr>
          <w:i/>
          <w:lang w:eastAsia="en-AU"/>
        </w:rPr>
        <w:t>Cylindrocarpon lichenicola</w:t>
      </w:r>
      <w:r>
        <w:rPr>
          <w:lang w:eastAsia="en-AU"/>
        </w:rPr>
        <w:t xml:space="preserve">. </w:t>
      </w:r>
      <w:r>
        <w:rPr>
          <w:i/>
          <w:lang w:eastAsia="en-AU"/>
        </w:rPr>
        <w:t>Mycopathologia</w:t>
      </w:r>
      <w:r>
        <w:rPr>
          <w:lang w:eastAsia="en-AU"/>
        </w:rPr>
        <w:t xml:space="preserve"> 100: 125–126.</w:t>
      </w:r>
    </w:p>
    <w:p>
      <w:pPr>
        <w:spacing w:before="120" w:after="120" w:line="300" w:lineRule="atLeast"/>
        <w:jc w:val="left"/>
      </w:pPr>
      <w:r>
        <w:t xml:space="preserve">Briceño EX, Latorre BA (2008) Characterization of Cladosporium rot in grapevines, a problem of growing importance in </w:t>
      </w:r>
      <w:smartTag w:uri="urn:schemas-microsoft-com:office:smarttags" w:element="country-region">
        <w:smartTag w:uri="urn:schemas-microsoft-com:office:smarttags" w:element="place">
          <w:r>
            <w:t>Chile</w:t>
          </w:r>
        </w:smartTag>
      </w:smartTag>
      <w:r>
        <w:t xml:space="preserve">. </w:t>
      </w:r>
      <w:r>
        <w:rPr>
          <w:i/>
        </w:rPr>
        <w:t xml:space="preserve">Plant Disease </w:t>
      </w:r>
      <w:r>
        <w:t>92: 1635–1642.</w:t>
      </w:r>
    </w:p>
    <w:p>
      <w:pPr>
        <w:spacing w:before="120" w:after="120" w:line="300" w:lineRule="atLeast"/>
        <w:jc w:val="left"/>
      </w:pPr>
      <w:r>
        <w:t>Brooks FE (2002) Brown root rot disease in American Samoa's tropical rain forests.</w:t>
      </w:r>
      <w:r>
        <w:rPr>
          <w:i/>
        </w:rPr>
        <w:t xml:space="preserve"> Pacific Science</w:t>
      </w:r>
      <w:r>
        <w:t xml:space="preserve"> 56: 377–387.</w:t>
      </w:r>
    </w:p>
    <w:p>
      <w:pPr>
        <w:spacing w:before="120" w:after="120" w:line="300" w:lineRule="atLeast"/>
        <w:jc w:val="left"/>
      </w:pPr>
      <w:r>
        <w:t xml:space="preserve">Brown DJF, </w:t>
      </w:r>
      <w:r>
        <w:rPr>
          <w:bCs/>
          <w:lang w:eastAsia="en-AU"/>
        </w:rPr>
        <w:t>Kyriakopoulou</w:t>
      </w:r>
      <w:r>
        <w:t xml:space="preserve"> PE, Roberston WM (1997) Frequency of transmission of </w:t>
      </w:r>
      <w:r>
        <w:rPr>
          <w:i/>
        </w:rPr>
        <w:t>Artichoke Italian latent nepovirus</w:t>
      </w:r>
      <w:r>
        <w:t xml:space="preserve"> by </w:t>
      </w:r>
      <w:r>
        <w:rPr>
          <w:i/>
        </w:rPr>
        <w:t>Longidorus fasciatus</w:t>
      </w:r>
      <w:r>
        <w:t xml:space="preserve"> (Nematoda: Longidoridae) from artichoke fields in Iria and Kandia areas of Argolis in northeast Peloponnesus, Greece. </w:t>
      </w:r>
      <w:r>
        <w:rPr>
          <w:i/>
        </w:rPr>
        <w:t>European Journal of Plant Pathology</w:t>
      </w:r>
      <w:r>
        <w:t xml:space="preserve"> 103: 501–506.</w:t>
      </w:r>
    </w:p>
    <w:p>
      <w:pPr>
        <w:spacing w:before="120" w:after="120" w:line="300" w:lineRule="atLeast"/>
        <w:jc w:val="left"/>
        <w:rPr>
          <w:lang w:eastAsia="en-AU"/>
        </w:rPr>
      </w:pPr>
      <w:r>
        <w:rPr>
          <w:lang w:eastAsia="en-AU"/>
        </w:rPr>
        <w:t xml:space="preserve">Brown JW (1999) A new genus of tortricid moths (Tortricidae: Euliini) injurious to grapes and stone fruits in </w:t>
      </w:r>
      <w:smartTag w:uri="urn:schemas-microsoft-com:office:smarttags" w:element="country-region">
        <w:smartTag w:uri="urn:schemas-microsoft-com:office:smarttags" w:element="place">
          <w:r>
            <w:rPr>
              <w:lang w:eastAsia="en-AU"/>
            </w:rPr>
            <w:t>Chile</w:t>
          </w:r>
        </w:smartTag>
      </w:smartTag>
      <w:r>
        <w:rPr>
          <w:lang w:eastAsia="en-AU"/>
        </w:rPr>
        <w:t xml:space="preserve">. </w:t>
      </w:r>
      <w:r>
        <w:rPr>
          <w:i/>
          <w:lang w:eastAsia="en-AU"/>
        </w:rPr>
        <w:t>Journal of the Lepidopterists Society</w:t>
      </w:r>
      <w:r>
        <w:rPr>
          <w:lang w:eastAsia="en-AU"/>
        </w:rPr>
        <w:t xml:space="preserve"> 53: 60–64. </w:t>
      </w:r>
    </w:p>
    <w:p>
      <w:pPr>
        <w:spacing w:before="120" w:after="120" w:line="300" w:lineRule="atLeast"/>
        <w:jc w:val="left"/>
        <w:rPr>
          <w:lang w:eastAsia="en-AU"/>
        </w:rPr>
      </w:pPr>
      <w:r>
        <w:rPr>
          <w:lang w:eastAsia="en-AU"/>
        </w:rPr>
        <w:t xml:space="preserve">Brown JW, Passoa S (1998) Larval food plants of Euliini (Lepidoptera: Tortricidae): from </w:t>
      </w:r>
      <w:r>
        <w:rPr>
          <w:i/>
          <w:lang w:eastAsia="en-AU"/>
        </w:rPr>
        <w:t>Abies</w:t>
      </w:r>
      <w:r>
        <w:rPr>
          <w:lang w:eastAsia="en-AU"/>
        </w:rPr>
        <w:t xml:space="preserve"> to </w:t>
      </w:r>
      <w:r>
        <w:rPr>
          <w:i/>
          <w:lang w:eastAsia="en-AU"/>
        </w:rPr>
        <w:t>Vitis</w:t>
      </w:r>
      <w:r>
        <w:rPr>
          <w:lang w:eastAsia="en-AU"/>
        </w:rPr>
        <w:t xml:space="preserve">. </w:t>
      </w:r>
      <w:r>
        <w:rPr>
          <w:i/>
          <w:lang w:eastAsia="en-AU"/>
        </w:rPr>
        <w:t>Pan Pacific Entomologist</w:t>
      </w:r>
      <w:r>
        <w:rPr>
          <w:lang w:eastAsia="en-AU"/>
        </w:rPr>
        <w:t xml:space="preserve"> 74: 1–11. </w:t>
      </w:r>
    </w:p>
    <w:p>
      <w:pPr>
        <w:spacing w:before="120" w:after="120" w:line="300" w:lineRule="atLeast"/>
        <w:jc w:val="left"/>
      </w:pPr>
      <w:r>
        <w:t xml:space="preserve">Brown SL, Hudson W (2005) </w:t>
      </w:r>
      <w:r>
        <w:rPr>
          <w:lang w:eastAsia="en-AU"/>
        </w:rPr>
        <w:t>Green</w:t>
      </w:r>
      <w:r>
        <w:rPr>
          <w:rStyle w:val="Strong"/>
          <w:b w:val="0"/>
        </w:rPr>
        <w:t xml:space="preserve"> June Beetle – </w:t>
      </w:r>
      <w:r>
        <w:rPr>
          <w:rStyle w:val="Emphasis"/>
        </w:rPr>
        <w:t>Cotinis nitida</w:t>
      </w:r>
      <w:r>
        <w:rPr>
          <w:rStyle w:val="Strong"/>
          <w:b w:val="0"/>
        </w:rPr>
        <w:t xml:space="preserve"> (Linnaeus). </w:t>
      </w:r>
      <w:r>
        <w:t xml:space="preserve">The Bugwood Network. </w:t>
      </w:r>
      <w:r>
        <w:rPr>
          <w:u w:val="single"/>
        </w:rPr>
        <w:t>http://www.gaipm.org/top50/gjb.html</w:t>
      </w:r>
      <w:r>
        <w:t xml:space="preserve"> Accessed May 2008.</w:t>
      </w:r>
    </w:p>
    <w:p>
      <w:pPr>
        <w:spacing w:before="120" w:after="120" w:line="300" w:lineRule="atLeast"/>
        <w:jc w:val="left"/>
      </w:pPr>
      <w:r>
        <w:t xml:space="preserve">Brunt AA, Teakle DS (1996) </w:t>
      </w:r>
      <w:r>
        <w:rPr>
          <w:i/>
        </w:rPr>
        <w:t>Tobacco necrosis necrovirus.</w:t>
      </w:r>
      <w:r>
        <w:t xml:space="preserve"> In Brunt AA, Crabtree K, Dallwitz MJ, Gibbs A, Watson L (eds)</w:t>
      </w:r>
      <w:r>
        <w:rPr>
          <w:i/>
        </w:rPr>
        <w:t xml:space="preserve"> Viruses of plants: descriptions and lists from the VIDE database</w:t>
      </w:r>
      <w:r>
        <w:t xml:space="preserve"> 1256–1259. CAB International, </w:t>
      </w:r>
      <w:smartTag w:uri="urn:schemas-microsoft-com:office:smarttags" w:element="City">
        <w:smartTag w:uri="urn:schemas-microsoft-com:office:smarttags" w:element="place">
          <w:r>
            <w:t>Wallingford</w:t>
          </w:r>
        </w:smartTag>
      </w:smartTag>
      <w:r>
        <w:t>.</w:t>
      </w:r>
    </w:p>
    <w:p>
      <w:pPr>
        <w:spacing w:before="120" w:after="120" w:line="300" w:lineRule="atLeast"/>
        <w:jc w:val="left"/>
        <w:rPr>
          <w:rFonts w:ascii="Helvetica" w:hAnsi="Helvetica"/>
          <w:szCs w:val="22"/>
        </w:rPr>
      </w:pPr>
      <w:r>
        <w:t xml:space="preserve">Brunt AA, Crabtree K, Dallwitz MJ, Gibbs AJ, Watson L, Zurcher EJ (1966) `Plant Viruses Online: Descriptions and Lists from the VIDE Database. </w:t>
      </w:r>
      <w:hyperlink r:id="rId144" w:history="1">
        <w:r>
          <w:rPr>
            <w:rStyle w:val="Hyperlink"/>
            <w:szCs w:val="22"/>
          </w:rPr>
          <w:t xml:space="preserve">http://biology.anu.edu.au/Groups/MES/vide/. </w:t>
        </w:r>
      </w:hyperlink>
      <w:r>
        <w:t>Accessed June 2012</w:t>
      </w:r>
    </w:p>
    <w:p>
      <w:pPr>
        <w:spacing w:before="120" w:after="120" w:line="300" w:lineRule="atLeast"/>
        <w:jc w:val="left"/>
        <w:rPr>
          <w:bCs/>
        </w:rPr>
      </w:pPr>
      <w:r>
        <w:rPr>
          <w:bCs/>
        </w:rPr>
        <w:t xml:space="preserve">Burdsall HH, Jr. (1985) A contribution to the taxonomy of the genus </w:t>
      </w:r>
      <w:r>
        <w:rPr>
          <w:bCs/>
          <w:i/>
        </w:rPr>
        <w:t xml:space="preserve">Phanerochaete </w:t>
      </w:r>
      <w:r>
        <w:rPr>
          <w:bCs/>
        </w:rPr>
        <w:t xml:space="preserve">(Corticiaceae, Aphyllophorales). </w:t>
      </w:r>
      <w:r>
        <w:rPr>
          <w:bCs/>
          <w:i/>
        </w:rPr>
        <w:t>Mycological Memories</w:t>
      </w:r>
      <w:r>
        <w:rPr>
          <w:bCs/>
        </w:rPr>
        <w:t xml:space="preserve"> 10: 1–165.</w:t>
      </w:r>
    </w:p>
    <w:p>
      <w:pPr>
        <w:spacing w:before="120" w:after="120" w:line="300" w:lineRule="atLeast"/>
        <w:jc w:val="left"/>
      </w:pPr>
      <w:r>
        <w:t xml:space="preserve">Burgess TI, Barber PA, Hardy GE St J (2005) </w:t>
      </w:r>
      <w:r>
        <w:rPr>
          <w:i/>
        </w:rPr>
        <w:t>Botryosphaeria</w:t>
      </w:r>
      <w:r>
        <w:t xml:space="preserve"> spp. associated with eucalypts in Western Australia, including the description of </w:t>
      </w:r>
      <w:r>
        <w:rPr>
          <w:i/>
        </w:rPr>
        <w:t>Fusicoccum</w:t>
      </w:r>
      <w:r>
        <w:t xml:space="preserve"> </w:t>
      </w:r>
      <w:r>
        <w:rPr>
          <w:i/>
        </w:rPr>
        <w:t>macroclavatum</w:t>
      </w:r>
      <w:r>
        <w:t xml:space="preserve"> sp. nov. </w:t>
      </w:r>
      <w:r>
        <w:rPr>
          <w:i/>
        </w:rPr>
        <w:t>Australasian Plant Pathology</w:t>
      </w:r>
      <w:r>
        <w:t xml:space="preserve"> 34: 557–567.</w:t>
      </w:r>
    </w:p>
    <w:p>
      <w:pPr>
        <w:spacing w:before="120" w:after="120" w:line="300" w:lineRule="atLeast"/>
        <w:jc w:val="left"/>
      </w:pPr>
      <w:r>
        <w:t xml:space="preserve">Burgess TI, Barber PA, Mohali S, Pegg G, de Beer W, Wingfield MJ (2006) Three new </w:t>
      </w:r>
      <w:r>
        <w:rPr>
          <w:i/>
        </w:rPr>
        <w:t>Lasiodiplodia</w:t>
      </w:r>
      <w:r>
        <w:t xml:space="preserve"> spp. from the tropics, recognized based on DNA sequence comparisons and morphology. </w:t>
      </w:r>
      <w:r>
        <w:rPr>
          <w:i/>
        </w:rPr>
        <w:t xml:space="preserve">Mycologia </w:t>
      </w:r>
      <w:r>
        <w:t>98: 423–435.</w:t>
      </w:r>
    </w:p>
    <w:p>
      <w:pPr>
        <w:spacing w:before="120" w:after="120" w:line="300" w:lineRule="atLeast"/>
        <w:jc w:val="left"/>
      </w:pPr>
      <w:r>
        <w:t xml:space="preserve">CABI (2012a) Crop Protection Compendium, CABI International, Wallingford, UK. </w:t>
      </w:r>
      <w:r>
        <w:rPr>
          <w:u w:val="single"/>
        </w:rPr>
        <w:t>http://www.cabi.org/cpc/</w:t>
      </w:r>
      <w:r>
        <w:t xml:space="preserve"> Accessed 12 March 2012. </w:t>
      </w:r>
    </w:p>
    <w:p>
      <w:pPr>
        <w:spacing w:before="120" w:after="120" w:line="300" w:lineRule="atLeast"/>
        <w:jc w:val="left"/>
      </w:pPr>
      <w:r>
        <w:t xml:space="preserve">CABI (2012b) Species Fungorum. CABI International, Wallingford, UK.  </w:t>
      </w:r>
      <w:hyperlink r:id="rId145" w:history="1">
        <w:r>
          <w:rPr>
            <w:rStyle w:val="Hyperlink"/>
            <w:color w:val="auto"/>
          </w:rPr>
          <w:t>http://www.speciesfungorum.org/</w:t>
        </w:r>
      </w:hyperlink>
      <w:r>
        <w:t xml:space="preserve"> Accessed 1 August 2012.</w:t>
      </w:r>
    </w:p>
    <w:p>
      <w:pPr>
        <w:spacing w:before="120" w:after="120" w:line="300" w:lineRule="atLeast"/>
        <w:jc w:val="left"/>
        <w:rPr>
          <w:bCs/>
        </w:rPr>
      </w:pPr>
      <w:r>
        <w:t xml:space="preserve">CABI/EPPO (1990) </w:t>
      </w:r>
      <w:r>
        <w:rPr>
          <w:i/>
        </w:rPr>
        <w:t>Xylella fastidiosa</w:t>
      </w:r>
      <w:r>
        <w:t>. Data sheets on quarantine pests. Wallingford, UK, CAB International.</w:t>
      </w:r>
    </w:p>
    <w:p>
      <w:pPr>
        <w:autoSpaceDE w:val="0"/>
        <w:autoSpaceDN w:val="0"/>
        <w:spacing w:before="120" w:after="120" w:line="300" w:lineRule="atLeast"/>
        <w:jc w:val="left"/>
      </w:pPr>
      <w:r>
        <w:t xml:space="preserve">CABI/EPPO (1999) </w:t>
      </w:r>
      <w:r>
        <w:rPr>
          <w:i/>
        </w:rPr>
        <w:t>Xylophilus ampelinus</w:t>
      </w:r>
      <w:r>
        <w:t xml:space="preserve">. Distribution Maps of Plant Diseases, Map No. 531. CAB International, </w:t>
      </w:r>
      <w:smartTag w:uri="urn:schemas-microsoft-com:office:smarttags" w:element="place">
        <w:smartTag w:uri="urn:schemas-microsoft-com:office:smarttags" w:element="City">
          <w:r>
            <w:t>Wallingford</w:t>
          </w:r>
        </w:smartTag>
        <w:r>
          <w:t xml:space="preserve">, </w:t>
        </w:r>
        <w:smartTag w:uri="urn:schemas-microsoft-com:office:smarttags" w:element="country-region">
          <w:r>
            <w:t>UK</w:t>
          </w:r>
        </w:smartTag>
      </w:smartTag>
      <w:r>
        <w:t>.</w:t>
      </w:r>
    </w:p>
    <w:p>
      <w:pPr>
        <w:autoSpaceDE w:val="0"/>
        <w:autoSpaceDN w:val="0"/>
        <w:spacing w:before="120" w:after="120" w:line="300" w:lineRule="atLeast"/>
        <w:jc w:val="left"/>
      </w:pPr>
      <w:r>
        <w:t xml:space="preserve">Cabrera BJ, Scheffrahn RH (2005) Western drywood termite – </w:t>
      </w:r>
      <w:r>
        <w:rPr>
          <w:i/>
        </w:rPr>
        <w:t>Incisitermes minor</w:t>
      </w:r>
      <w:r>
        <w:t xml:space="preserve"> (Hagen) (Insecta: Isoptera: Kalotermitidae) EENY-248 Featured Creatures, Department of Entomology and Nematology, Division of Plant Industry University of Florida. </w:t>
      </w:r>
      <w:r>
        <w:rPr>
          <w:u w:val="single"/>
        </w:rPr>
        <w:t>http://entnemdept.ufl.edu/creatures/urban/termites/western_drywood_termite.htm</w:t>
      </w:r>
      <w:r>
        <w:t xml:space="preserve"> Accessed August 2011.</w:t>
      </w:r>
    </w:p>
    <w:p>
      <w:pPr>
        <w:spacing w:before="120" w:after="120" w:line="300" w:lineRule="atLeast"/>
        <w:jc w:val="left"/>
      </w:pPr>
      <w:r>
        <w:t xml:space="preserve">Cadman CH, Dias HF, Harrison BD (1960) Sap transmissible viruses associated with diseases of grapevine in Europe and North America. </w:t>
      </w:r>
      <w:r>
        <w:rPr>
          <w:i/>
        </w:rPr>
        <w:t>Nature</w:t>
      </w:r>
      <w:r>
        <w:t xml:space="preserve"> 187: 577–579.</w:t>
      </w:r>
    </w:p>
    <w:p>
      <w:pPr>
        <w:spacing w:before="120" w:after="120" w:line="300" w:lineRule="atLeast"/>
        <w:jc w:val="left"/>
      </w:pPr>
      <w:r>
        <w:t xml:space="preserve">CAES (2008) </w:t>
      </w:r>
      <w:r>
        <w:rPr>
          <w:i/>
          <w:iCs/>
        </w:rPr>
        <w:t>Pestalotia</w:t>
      </w:r>
      <w:r>
        <w:t xml:space="preserve">. College of Agricultural and Environmental Sciences, University of Georgia. </w:t>
      </w:r>
      <w:r>
        <w:rPr>
          <w:u w:val="single"/>
        </w:rPr>
        <w:t>http://plantpath.caes.uga.edu/extension/Fungi/pestalotia.html</w:t>
      </w:r>
      <w:r>
        <w:t xml:space="preserve"> Accessed May 2011.</w:t>
      </w:r>
    </w:p>
    <w:p>
      <w:pPr>
        <w:spacing w:before="120" w:after="120" w:line="300" w:lineRule="atLeast"/>
        <w:jc w:val="left"/>
      </w:pPr>
      <w:r>
        <w:t xml:space="preserve">Cahill DM, Rookes JE, Wilson BA, Gibson L, McDougall KL (2008) </w:t>
      </w:r>
      <w:r>
        <w:rPr>
          <w:i/>
        </w:rPr>
        <w:t>Phytophthora cinnamomi</w:t>
      </w:r>
      <w:r>
        <w:t xml:space="preserve"> and Australia’s biodiversity: impacts, predictions and progress towards control. </w:t>
      </w:r>
      <w:r>
        <w:rPr>
          <w:i/>
        </w:rPr>
        <w:t>Australian Journal of Botany</w:t>
      </w:r>
      <w:r>
        <w:t xml:space="preserve"> 56: 279–310.</w:t>
      </w:r>
    </w:p>
    <w:p>
      <w:pPr>
        <w:spacing w:before="120" w:after="120" w:line="300" w:lineRule="atLeast"/>
        <w:jc w:val="left"/>
      </w:pPr>
      <w:r>
        <w:t xml:space="preserve">Cammell ME (1981) The black bean aphid, </w:t>
      </w:r>
      <w:r>
        <w:rPr>
          <w:i/>
        </w:rPr>
        <w:t xml:space="preserve">Aphis </w:t>
      </w:r>
      <w:r>
        <w:rPr>
          <w:rStyle w:val="gsa1"/>
          <w:i/>
          <w:color w:val="auto"/>
        </w:rPr>
        <w:t>fabae</w:t>
      </w:r>
      <w:r>
        <w:t xml:space="preserve">. </w:t>
      </w:r>
      <w:r>
        <w:rPr>
          <w:i/>
        </w:rPr>
        <w:t>Biologist</w:t>
      </w:r>
      <w:r>
        <w:t xml:space="preserve"> 28: 247–258.</w:t>
      </w:r>
    </w:p>
    <w:p>
      <w:pPr>
        <w:spacing w:before="120" w:after="120" w:line="300" w:lineRule="atLeast"/>
        <w:jc w:val="left"/>
      </w:pPr>
      <w:r>
        <w:t>Campos SL, Faccin MA, Echeverría MN, Sazo RL (1981) Distribución y ciclo evolutivo del tortrícido enrollador de la vid Pro</w:t>
      </w:r>
      <w:smartTag w:uri="urn:schemas-microsoft-com:office:smarttags" w:element="PersonName">
        <w:r>
          <w:t>eu</w:t>
        </w:r>
      </w:smartTag>
      <w:r>
        <w:t xml:space="preserve">lia auraria (Clarke). </w:t>
      </w:r>
      <w:r>
        <w:rPr>
          <w:i/>
        </w:rPr>
        <w:t>Agricultura</w:t>
      </w:r>
      <w:r>
        <w:t xml:space="preserve"> </w:t>
      </w:r>
      <w:r>
        <w:rPr>
          <w:i/>
        </w:rPr>
        <w:t>Técnica</w:t>
      </w:r>
      <w:r>
        <w:t xml:space="preserve"> 41: 246–256.</w:t>
      </w:r>
    </w:p>
    <w:p>
      <w:pPr>
        <w:spacing w:before="120" w:after="120" w:line="300" w:lineRule="atLeast"/>
        <w:jc w:val="left"/>
      </w:pPr>
      <w:r>
        <w:t xml:space="preserve">Canik D, Ertunc F, Paltrinieri S, Contaldo N, Bertaccini A (2011) Identification of different phytoplasmas infecting grapevine in Turkey. </w:t>
      </w:r>
      <w:r>
        <w:rPr>
          <w:i/>
        </w:rPr>
        <w:t>Bulletin of Insectology</w:t>
      </w:r>
      <w:r>
        <w:t xml:space="preserve"> 64: S225–S226.</w:t>
      </w:r>
    </w:p>
    <w:p>
      <w:pPr>
        <w:spacing w:before="120" w:after="120" w:line="300" w:lineRule="atLeast"/>
        <w:jc w:val="left"/>
      </w:pPr>
      <w:r>
        <w:t xml:space="preserve">Cannizzaro G, Rosciglione B, Castellano MA (1990) The presence of phytopathogenic viruses in waterways of western </w:t>
      </w:r>
      <w:smartTag w:uri="urn:schemas-microsoft-com:office:smarttags" w:element="State">
        <w:smartTag w:uri="urn:schemas-microsoft-com:office:smarttags" w:element="place">
          <w:r>
            <w:t>Sicily</w:t>
          </w:r>
        </w:smartTag>
      </w:smartTag>
      <w:r>
        <w:t xml:space="preserve">. </w:t>
      </w:r>
      <w:r>
        <w:rPr>
          <w:i/>
          <w:iCs/>
        </w:rPr>
        <w:t xml:space="preserve">Informatore Fitopatologico. </w:t>
      </w:r>
      <w:r>
        <w:t>40: 55–56.</w:t>
      </w:r>
    </w:p>
    <w:p>
      <w:pPr>
        <w:autoSpaceDE w:val="0"/>
        <w:autoSpaceDN w:val="0"/>
        <w:spacing w:before="120" w:after="120" w:line="300" w:lineRule="atLeast"/>
        <w:jc w:val="left"/>
        <w:rPr>
          <w:bCs/>
          <w:lang w:eastAsia="en-AU"/>
        </w:rPr>
      </w:pPr>
      <w:r>
        <w:rPr>
          <w:bCs/>
          <w:lang w:eastAsia="en-AU"/>
        </w:rPr>
        <w:t xml:space="preserve">Capinera JL (2008) </w:t>
      </w:r>
      <w:r>
        <w:rPr>
          <w:lang w:eastAsia="en-AU"/>
        </w:rPr>
        <w:t>Yellowstriped</w:t>
      </w:r>
      <w:r>
        <w:rPr>
          <w:bCs/>
          <w:lang w:eastAsia="en-AU"/>
        </w:rPr>
        <w:t xml:space="preserve"> armyworm, </w:t>
      </w:r>
      <w:r>
        <w:rPr>
          <w:bCs/>
          <w:i/>
          <w:iCs/>
          <w:lang w:eastAsia="en-AU"/>
        </w:rPr>
        <w:t xml:space="preserve">Spodoptera ornithogalli </w:t>
      </w:r>
      <w:r>
        <w:rPr>
          <w:bCs/>
          <w:lang w:eastAsia="en-AU"/>
        </w:rPr>
        <w:t xml:space="preserve">(Guenee) (Insecta: Lepidoptera: Noctuidae). IFAS Extension, University of Florida, EENY 216. </w:t>
      </w:r>
      <w:r>
        <w:rPr>
          <w:bCs/>
          <w:u w:val="single"/>
          <w:lang w:eastAsia="en-AU"/>
        </w:rPr>
        <w:t xml:space="preserve">http://edis.ifas.ufl.edu/pdffiles/IN/IN37300.pdf </w:t>
      </w:r>
      <w:r>
        <w:rPr>
          <w:bCs/>
          <w:lang w:eastAsia="en-AU"/>
        </w:rPr>
        <w:t>Accessed April 2010.</w:t>
      </w:r>
    </w:p>
    <w:p>
      <w:pPr>
        <w:autoSpaceDE w:val="0"/>
        <w:autoSpaceDN w:val="0"/>
        <w:spacing w:before="120" w:after="120" w:line="300" w:lineRule="atLeast"/>
        <w:jc w:val="left"/>
        <w:rPr>
          <w:rStyle w:val="gsa1"/>
          <w:color w:val="auto"/>
        </w:rPr>
      </w:pPr>
      <w:r>
        <w:t xml:space="preserve">Capinera JL, FasuloTR (2006) </w:t>
      </w:r>
      <w:r>
        <w:rPr>
          <w:i/>
        </w:rPr>
        <w:t>Spodoptera exigua</w:t>
      </w:r>
      <w:r>
        <w:t xml:space="preserve"> (Hübner) (Insecta: Lepidoptera: Noctuidae). </w:t>
      </w:r>
      <w:r>
        <w:rPr>
          <w:bCs/>
          <w:lang w:eastAsia="en-AU"/>
        </w:rPr>
        <w:t>IFAS Extension, University of Florida, EENY 105</w:t>
      </w:r>
      <w:r>
        <w:rPr>
          <w:rStyle w:val="gsa1"/>
          <w:color w:val="auto"/>
        </w:rPr>
        <w:t xml:space="preserve"> </w:t>
      </w:r>
      <w:hyperlink r:id="rId146" w:history="1">
        <w:r>
          <w:rPr>
            <w:rStyle w:val="Hyperlink"/>
            <w:color w:val="auto"/>
          </w:rPr>
          <w:t>http://entnemdept.ufl.edu/creatures/veg/leaf/beet_armyworm.htm</w:t>
        </w:r>
      </w:hyperlink>
      <w:r>
        <w:t xml:space="preserve"> </w:t>
      </w:r>
      <w:r>
        <w:rPr>
          <w:rStyle w:val="gsa1"/>
          <w:color w:val="auto"/>
        </w:rPr>
        <w:t>Accessed March 2012.</w:t>
      </w:r>
    </w:p>
    <w:p>
      <w:pPr>
        <w:autoSpaceDE w:val="0"/>
        <w:autoSpaceDN w:val="0"/>
        <w:spacing w:before="120" w:after="120" w:line="300" w:lineRule="atLeast"/>
        <w:jc w:val="left"/>
      </w:pPr>
      <w:r>
        <w:t xml:space="preserve">Cardoso JMS, Félix MR, Clara MIE, Oliveira S </w:t>
      </w:r>
      <w:r>
        <w:rPr>
          <w:bCs/>
        </w:rPr>
        <w:t>(2005)</w:t>
      </w:r>
      <w:r>
        <w:rPr>
          <w:i/>
          <w:iCs/>
        </w:rPr>
        <w:t xml:space="preserve"> </w:t>
      </w:r>
      <w:r>
        <w:t xml:space="preserve">The complete genome sequence of a new necrovirus isolated from </w:t>
      </w:r>
      <w:r>
        <w:rPr>
          <w:i/>
          <w:iCs/>
        </w:rPr>
        <w:t xml:space="preserve">Olea </w:t>
      </w:r>
      <w:smartTag w:uri="urn:schemas-microsoft-com:office:smarttags" w:element="PersonName">
        <w:r>
          <w:rPr>
            <w:i/>
            <w:iCs/>
          </w:rPr>
          <w:t>eu</w:t>
        </w:r>
      </w:smartTag>
      <w:r>
        <w:rPr>
          <w:i/>
          <w:iCs/>
        </w:rPr>
        <w:t>ropaea</w:t>
      </w:r>
      <w:r>
        <w:t xml:space="preserve"> L</w:t>
      </w:r>
      <w:r>
        <w:rPr>
          <w:i/>
          <w:iCs/>
        </w:rPr>
        <w:t xml:space="preserve">. Archives of Virology </w:t>
      </w:r>
      <w:r>
        <w:t>150:</w:t>
      </w:r>
      <w:r>
        <w:rPr>
          <w:i/>
          <w:iCs/>
        </w:rPr>
        <w:t xml:space="preserve"> </w:t>
      </w:r>
      <w:r>
        <w:t>815</w:t>
      </w:r>
      <w:r>
        <w:rPr>
          <w:i/>
          <w:iCs/>
        </w:rPr>
        <w:t>–</w:t>
      </w:r>
      <w:r>
        <w:t>823.</w:t>
      </w:r>
    </w:p>
    <w:p>
      <w:pPr>
        <w:autoSpaceDE w:val="0"/>
        <w:autoSpaceDN w:val="0"/>
        <w:spacing w:before="120" w:after="120" w:line="300" w:lineRule="atLeast"/>
        <w:jc w:val="left"/>
        <w:rPr>
          <w:snapToGrid w:val="0"/>
        </w:rPr>
      </w:pPr>
      <w:r>
        <w:rPr>
          <w:snapToGrid w:val="0"/>
        </w:rPr>
        <w:t xml:space="preserve">Carew ME, Goodisman MAD, Hoffmann AA (2004) Species status and population structure of grapevine eriophyoid mites (Acari: Eriophyoidae). </w:t>
      </w:r>
      <w:r>
        <w:rPr>
          <w:i/>
          <w:snapToGrid w:val="0"/>
        </w:rPr>
        <w:t>Entomologia experimentalis et applicata</w:t>
      </w:r>
      <w:r>
        <w:rPr>
          <w:snapToGrid w:val="0"/>
        </w:rPr>
        <w:t xml:space="preserve"> 111: 87–96.</w:t>
      </w:r>
    </w:p>
    <w:p>
      <w:pPr>
        <w:spacing w:before="120" w:after="120" w:line="300" w:lineRule="atLeast"/>
        <w:jc w:val="left"/>
        <w:rPr>
          <w:bCs/>
        </w:rPr>
      </w:pPr>
      <w:r>
        <w:rPr>
          <w:bCs/>
        </w:rPr>
        <w:t xml:space="preserve">Carlucci A, Frisullo S (2009) First report of </w:t>
      </w:r>
      <w:r>
        <w:rPr>
          <w:bCs/>
          <w:i/>
          <w:iCs/>
        </w:rPr>
        <w:t xml:space="preserve">Diplodia corticola </w:t>
      </w:r>
      <w:r>
        <w:rPr>
          <w:bCs/>
        </w:rPr>
        <w:t xml:space="preserve">on grapevine in </w:t>
      </w:r>
      <w:smartTag w:uri="urn:schemas-microsoft-com:office:smarttags" w:element="country-region">
        <w:smartTag w:uri="urn:schemas-microsoft-com:office:smarttags" w:element="place">
          <w:r>
            <w:rPr>
              <w:bCs/>
            </w:rPr>
            <w:t>Italy</w:t>
          </w:r>
        </w:smartTag>
      </w:smartTag>
      <w:r>
        <w:rPr>
          <w:bCs/>
        </w:rPr>
        <w:t xml:space="preserve">. </w:t>
      </w:r>
      <w:r>
        <w:rPr>
          <w:bCs/>
          <w:i/>
        </w:rPr>
        <w:t>Journal of Plant Pathology</w:t>
      </w:r>
      <w:r>
        <w:rPr>
          <w:bCs/>
        </w:rPr>
        <w:t xml:space="preserve"> 91: 233.</w:t>
      </w:r>
    </w:p>
    <w:p>
      <w:pPr>
        <w:autoSpaceDE w:val="0"/>
        <w:autoSpaceDN w:val="0"/>
        <w:spacing w:before="120" w:after="120" w:line="300" w:lineRule="atLeast"/>
        <w:jc w:val="left"/>
      </w:pPr>
      <w:r>
        <w:t xml:space="preserve">Carpenter D, Luckett D (2003) </w:t>
      </w:r>
      <w:r>
        <w:rPr>
          <w:i/>
        </w:rPr>
        <w:t xml:space="preserve">Cucumber mosaic virus </w:t>
      </w:r>
      <w:r>
        <w:t xml:space="preserve">in lupins. </w:t>
      </w:r>
      <w:r>
        <w:rPr>
          <w:u w:val="single"/>
        </w:rPr>
        <w:t>http://www.dpi.nsw.gov.au/_data/assets/pdf_file/0005/157433/pulse-point-18.pdf</w:t>
      </w:r>
      <w:r>
        <w:t xml:space="preserve"> Accessed September 2011.</w:t>
      </w:r>
    </w:p>
    <w:p>
      <w:pPr>
        <w:autoSpaceDE w:val="0"/>
        <w:autoSpaceDN w:val="0"/>
        <w:spacing w:before="120" w:after="120" w:line="300" w:lineRule="atLeast"/>
        <w:jc w:val="left"/>
        <w:rPr>
          <w:snapToGrid w:val="0"/>
        </w:rPr>
      </w:pPr>
      <w:r>
        <w:rPr>
          <w:snapToGrid w:val="0"/>
        </w:rPr>
        <w:t xml:space="preserve">Carter DJ (1984) </w:t>
      </w:r>
      <w:r>
        <w:rPr>
          <w:i/>
          <w:snapToGrid w:val="0"/>
        </w:rPr>
        <w:t xml:space="preserve">Pest </w:t>
      </w:r>
      <w:r>
        <w:rPr>
          <w:i/>
          <w:lang w:eastAsia="en-AU"/>
        </w:rPr>
        <w:t>Lepidoptera</w:t>
      </w:r>
      <w:r>
        <w:rPr>
          <w:i/>
          <w:snapToGrid w:val="0"/>
        </w:rPr>
        <w:t xml:space="preserve"> of Europe: with special references to the </w:t>
      </w:r>
      <w:smartTag w:uri="urn:schemas-microsoft-com:office:smarttags" w:element="place">
        <w:r>
          <w:rPr>
            <w:i/>
            <w:snapToGrid w:val="0"/>
          </w:rPr>
          <w:t>British Isles</w:t>
        </w:r>
      </w:smartTag>
      <w:r>
        <w:rPr>
          <w:snapToGrid w:val="0"/>
        </w:rPr>
        <w:t>. Dr W Junk Publishers, London.</w:t>
      </w:r>
    </w:p>
    <w:p>
      <w:pPr>
        <w:autoSpaceDE w:val="0"/>
        <w:autoSpaceDN w:val="0"/>
        <w:spacing w:before="120" w:after="120" w:line="300" w:lineRule="atLeast"/>
        <w:jc w:val="left"/>
        <w:rPr>
          <w:snapToGrid w:val="0"/>
        </w:rPr>
      </w:pPr>
      <w:r>
        <w:rPr>
          <w:snapToGrid w:val="0"/>
        </w:rPr>
        <w:t xml:space="preserve">Cartwright D (2009) </w:t>
      </w:r>
      <w:r>
        <w:rPr>
          <w:i/>
          <w:snapToGrid w:val="0"/>
        </w:rPr>
        <w:t>Tomato ring spot virus, 29th September 2009 (personal communication)</w:t>
      </w:r>
      <w:r>
        <w:rPr>
          <w:snapToGrid w:val="0"/>
        </w:rPr>
        <w:t>. Primary Industries and Resources, South Australia.</w:t>
      </w:r>
    </w:p>
    <w:p>
      <w:pPr>
        <w:autoSpaceDE w:val="0"/>
        <w:autoSpaceDN w:val="0"/>
        <w:spacing w:before="120" w:after="120" w:line="300" w:lineRule="atLeast"/>
        <w:jc w:val="left"/>
        <w:rPr>
          <w:bCs/>
        </w:rPr>
      </w:pPr>
      <w:r>
        <w:rPr>
          <w:bCs/>
        </w:rPr>
        <w:t xml:space="preserve">Castillo-Pando M, Somers A, Green CD, Priest M, Sriskanthades M ( 2001) Fungi associated with dieback of Semillon grapevines in the Hunter Valley of New South Wales. </w:t>
      </w:r>
      <w:r>
        <w:rPr>
          <w:bCs/>
          <w:i/>
        </w:rPr>
        <w:t>Australasian Plant Pathology</w:t>
      </w:r>
      <w:r>
        <w:rPr>
          <w:bCs/>
        </w:rPr>
        <w:t xml:space="preserve"> 30: 59–63.</w:t>
      </w:r>
    </w:p>
    <w:p>
      <w:pPr>
        <w:autoSpaceDE w:val="0"/>
        <w:autoSpaceDN w:val="0"/>
        <w:spacing w:before="120" w:after="120" w:line="300" w:lineRule="atLeast"/>
        <w:jc w:val="left"/>
      </w:pPr>
      <w:r>
        <w:t xml:space="preserve">Castillo-Pando M, Steel C, Somers T (1999) Fungal bunch rots of grapes in the Hunter and Hastings Valleys. </w:t>
      </w:r>
      <w:r>
        <w:rPr>
          <w:i/>
        </w:rPr>
        <w:t>The Australian Grapegrower and Winemaker</w:t>
      </w:r>
      <w:r>
        <w:t xml:space="preserve"> September: 33–36.</w:t>
      </w:r>
    </w:p>
    <w:p>
      <w:pPr>
        <w:autoSpaceDE w:val="0"/>
        <w:autoSpaceDN w:val="0"/>
        <w:spacing w:before="120" w:after="120" w:line="300" w:lineRule="atLeast"/>
        <w:jc w:val="left"/>
        <w:rPr>
          <w:bCs/>
        </w:rPr>
      </w:pPr>
      <w:r>
        <w:rPr>
          <w:bCs/>
        </w:rPr>
        <w:t xml:space="preserve">Catal M, Jordan SA, Butterworth SC, Schilder AMC (2007) Detection of </w:t>
      </w:r>
      <w:r>
        <w:rPr>
          <w:bCs/>
          <w:i/>
        </w:rPr>
        <w:t>Eutypa lata</w:t>
      </w:r>
      <w:r>
        <w:rPr>
          <w:bCs/>
        </w:rPr>
        <w:t xml:space="preserve"> and </w:t>
      </w:r>
      <w:r>
        <w:rPr>
          <w:bCs/>
          <w:i/>
        </w:rPr>
        <w:t>Eutypella vitis</w:t>
      </w:r>
      <w:r>
        <w:rPr>
          <w:bCs/>
        </w:rPr>
        <w:t xml:space="preserve"> in grapevine by nested multiplex polymerase chain reaction. </w:t>
      </w:r>
      <w:r>
        <w:rPr>
          <w:bCs/>
          <w:i/>
        </w:rPr>
        <w:t xml:space="preserve">Phytopathology </w:t>
      </w:r>
      <w:r>
        <w:rPr>
          <w:bCs/>
        </w:rPr>
        <w:t>97: 737–747.</w:t>
      </w:r>
    </w:p>
    <w:p>
      <w:pPr>
        <w:autoSpaceDE w:val="0"/>
        <w:autoSpaceDN w:val="0"/>
        <w:spacing w:before="120" w:after="120" w:line="300" w:lineRule="atLeast"/>
        <w:jc w:val="left"/>
        <w:rPr>
          <w:bCs/>
        </w:rPr>
      </w:pPr>
      <w:r>
        <w:rPr>
          <w:bCs/>
        </w:rPr>
        <w:t xml:space="preserve">Caudwell A (1961) Les phénomènes de rétablissement chez la Flavescence dorée de la vigne. </w:t>
      </w:r>
      <w:r>
        <w:rPr>
          <w:bCs/>
          <w:i/>
        </w:rPr>
        <w:t>Annales des Epiphyties</w:t>
      </w:r>
      <w:r>
        <w:rPr>
          <w:bCs/>
        </w:rPr>
        <w:t xml:space="preserve"> 12: 347–354.</w:t>
      </w:r>
    </w:p>
    <w:p>
      <w:pPr>
        <w:autoSpaceDE w:val="0"/>
        <w:autoSpaceDN w:val="0"/>
        <w:spacing w:before="120" w:after="120" w:line="300" w:lineRule="atLeast"/>
        <w:jc w:val="left"/>
        <w:rPr>
          <w:bCs/>
        </w:rPr>
      </w:pPr>
      <w:r>
        <w:rPr>
          <w:bCs/>
        </w:rPr>
        <w:t>Caudwell A, Larrue J, Boudon-Padi</w:t>
      </w:r>
      <w:smartTag w:uri="urn:schemas-microsoft-com:office:smarttags" w:element="PersonName">
        <w:r>
          <w:rPr>
            <w:bCs/>
          </w:rPr>
          <w:t>eu</w:t>
        </w:r>
      </w:smartTag>
      <w:r>
        <w:rPr>
          <w:bCs/>
        </w:rPr>
        <w:t xml:space="preserve"> E, McLean GD (1997) Flavescence dorée elimination from dormant wood of grapevines by hot-water treatment. </w:t>
      </w:r>
      <w:r>
        <w:rPr>
          <w:bCs/>
          <w:i/>
        </w:rPr>
        <w:t xml:space="preserve">Australian Journal of Grape and Wine Research </w:t>
      </w:r>
      <w:r>
        <w:rPr>
          <w:bCs/>
        </w:rPr>
        <w:t>3: 21–25.</w:t>
      </w:r>
    </w:p>
    <w:p>
      <w:pPr>
        <w:autoSpaceDE w:val="0"/>
        <w:autoSpaceDN w:val="0"/>
        <w:spacing w:before="120" w:after="120" w:line="300" w:lineRule="atLeast"/>
        <w:jc w:val="left"/>
        <w:rPr>
          <w:bCs/>
        </w:rPr>
      </w:pPr>
      <w:r>
        <w:rPr>
          <w:bCs/>
        </w:rPr>
        <w:t xml:space="preserve">Caudwell A, Larrue J, Tassart V, Boidron R, Grenan S, Leguay M, Bernard P (1994) Ability of grapevine rootstock varieties to transmit flavescence dorée. Study of the case of 3309 C and Fercal. </w:t>
      </w:r>
      <w:r>
        <w:rPr>
          <w:bCs/>
          <w:i/>
        </w:rPr>
        <w:t xml:space="preserve">Agronomie </w:t>
      </w:r>
      <w:r>
        <w:rPr>
          <w:bCs/>
        </w:rPr>
        <w:t>14: 83–94.</w:t>
      </w:r>
    </w:p>
    <w:p>
      <w:pPr>
        <w:autoSpaceDE w:val="0"/>
        <w:autoSpaceDN w:val="0"/>
        <w:spacing w:before="120" w:after="120" w:line="300" w:lineRule="atLeast"/>
        <w:jc w:val="left"/>
      </w:pPr>
      <w:r>
        <w:t xml:space="preserve">Cesati RR, Van Regenmortel MHV (1969) Serological detection of a strain of </w:t>
      </w:r>
      <w:r>
        <w:rPr>
          <w:i/>
        </w:rPr>
        <w:t xml:space="preserve">Tobacco necrosis virus </w:t>
      </w:r>
      <w:r>
        <w:t xml:space="preserve">in grapevine leaves. </w:t>
      </w:r>
      <w:r>
        <w:rPr>
          <w:i/>
        </w:rPr>
        <w:t>Journal of Phytopathology</w:t>
      </w:r>
      <w:r>
        <w:t xml:space="preserve"> 64: 362–366.</w:t>
      </w:r>
    </w:p>
    <w:p>
      <w:pPr>
        <w:autoSpaceDE w:val="0"/>
        <w:autoSpaceDN w:val="0"/>
        <w:spacing w:before="120" w:after="120" w:line="300" w:lineRule="atLeast"/>
        <w:jc w:val="left"/>
      </w:pPr>
      <w:r>
        <w:t xml:space="preserve">Chalkley D (2011) Grape leaf rust: </w:t>
      </w:r>
      <w:r>
        <w:rPr>
          <w:i/>
          <w:iCs/>
        </w:rPr>
        <w:t xml:space="preserve">Phakopsora </w:t>
      </w:r>
      <w:smartTag w:uri="urn:schemas-microsoft-com:office:smarttags" w:element="PersonName">
        <w:r>
          <w:rPr>
            <w:i/>
            <w:iCs/>
          </w:rPr>
          <w:t>eu</w:t>
        </w:r>
      </w:smartTag>
      <w:r>
        <w:rPr>
          <w:i/>
          <w:iCs/>
        </w:rPr>
        <w:t>vitis</w:t>
      </w:r>
      <w:r>
        <w:t xml:space="preserve">. Invasive Fungi. Systematic Mycology and Microbiology Laboratory, ARS, USDA. </w:t>
      </w:r>
      <w:hyperlink r:id="rId147" w:history="1">
        <w:r>
          <w:rPr>
            <w:rStyle w:val="Hyperlink"/>
            <w:color w:val="auto"/>
          </w:rPr>
          <w:t>http://nt.ars-grin.gov/taxadescriptions/factsheets/pdfPrintFile.cfm?thisApp=Phakopsoraeuvitis</w:t>
        </w:r>
      </w:hyperlink>
      <w:r>
        <w:t xml:space="preserve"> Accessed January 2012. </w:t>
      </w:r>
    </w:p>
    <w:p>
      <w:pPr>
        <w:autoSpaceDE w:val="0"/>
        <w:autoSpaceDN w:val="0"/>
        <w:spacing w:before="120" w:after="120" w:line="300" w:lineRule="atLeast"/>
        <w:jc w:val="left"/>
      </w:pPr>
      <w:r>
        <w:t xml:space="preserve">Chang CP (1988) The ecology and control of insects and other animal pests on grapevine. </w:t>
      </w:r>
      <w:r>
        <w:rPr>
          <w:i/>
        </w:rPr>
        <w:t>Chinese Journal of Entomology</w:t>
      </w:r>
      <w:r>
        <w:t xml:space="preserve"> 2: 11</w:t>
      </w:r>
      <w:r>
        <w:rPr>
          <w:bCs/>
        </w:rPr>
        <w:t>–</w:t>
      </w:r>
      <w:r>
        <w:t>31.</w:t>
      </w:r>
    </w:p>
    <w:p>
      <w:pPr>
        <w:autoSpaceDE w:val="0"/>
        <w:autoSpaceDN w:val="0"/>
        <w:spacing w:before="120" w:after="120" w:line="300" w:lineRule="atLeast"/>
        <w:jc w:val="left"/>
      </w:pPr>
      <w:r>
        <w:t xml:space="preserve">Chatasiri S, Ono Y (2008) Phylogeny and taxonomy of the Asian grapevine leaf rust fungus, </w:t>
      </w:r>
      <w:r>
        <w:rPr>
          <w:i/>
        </w:rPr>
        <w:t xml:space="preserve">Phakopsora </w:t>
      </w:r>
      <w:smartTag w:uri="urn:schemas-microsoft-com:office:smarttags" w:element="PersonName">
        <w:r>
          <w:rPr>
            <w:i/>
          </w:rPr>
          <w:t>eu</w:t>
        </w:r>
      </w:smartTag>
      <w:r>
        <w:rPr>
          <w:i/>
        </w:rPr>
        <w:t>vitis</w:t>
      </w:r>
      <w:r>
        <w:t xml:space="preserve">, and its allies (Uredinales). </w:t>
      </w:r>
      <w:r>
        <w:rPr>
          <w:i/>
        </w:rPr>
        <w:t>Mycoscience</w:t>
      </w:r>
      <w:r>
        <w:t xml:space="preserve"> 49: 66–74.</w:t>
      </w:r>
    </w:p>
    <w:p>
      <w:pPr>
        <w:autoSpaceDE w:val="0"/>
        <w:autoSpaceDN w:val="0"/>
        <w:spacing w:before="120" w:after="120" w:line="300" w:lineRule="atLeast"/>
        <w:jc w:val="left"/>
      </w:pPr>
      <w:r>
        <w:t xml:space="preserve">Chee KH (1976) Assessing susceptibility of </w:t>
      </w:r>
      <w:r>
        <w:rPr>
          <w:i/>
        </w:rPr>
        <w:t>Hevea</w:t>
      </w:r>
      <w:r>
        <w:t xml:space="preserve"> clones to </w:t>
      </w:r>
      <w:r>
        <w:rPr>
          <w:i/>
        </w:rPr>
        <w:t>Microcyclus ulei</w:t>
      </w:r>
      <w:r>
        <w:t xml:space="preserve">. </w:t>
      </w:r>
      <w:r>
        <w:rPr>
          <w:i/>
        </w:rPr>
        <w:t xml:space="preserve">Annals of Applied Biology </w:t>
      </w:r>
      <w:r>
        <w:t>84: 135–145.</w:t>
      </w:r>
    </w:p>
    <w:p>
      <w:pPr>
        <w:autoSpaceDE w:val="0"/>
        <w:autoSpaceDN w:val="0"/>
        <w:spacing w:before="120" w:after="120" w:line="300" w:lineRule="atLeast"/>
        <w:jc w:val="left"/>
      </w:pPr>
      <w:r>
        <w:rPr>
          <w:lang w:eastAsia="en-AU"/>
        </w:rPr>
        <w:t>Cheng CP (1984)</w:t>
      </w:r>
      <w:r>
        <w:t xml:space="preserve"> The </w:t>
      </w:r>
      <w:r>
        <w:rPr>
          <w:bCs/>
        </w:rPr>
        <w:t>morphology</w:t>
      </w:r>
      <w:r>
        <w:t xml:space="preserve"> and life history of the Coffee borer (</w:t>
      </w:r>
      <w:r>
        <w:rPr>
          <w:bCs/>
          <w:i/>
        </w:rPr>
        <w:t>Z</w:t>
      </w:r>
      <w:smartTag w:uri="urn:schemas-microsoft-com:office:smarttags" w:element="PersonName">
        <w:r>
          <w:rPr>
            <w:bCs/>
            <w:i/>
          </w:rPr>
          <w:t>eu</w:t>
        </w:r>
      </w:smartTag>
      <w:r>
        <w:rPr>
          <w:bCs/>
          <w:i/>
        </w:rPr>
        <w:t>zera</w:t>
      </w:r>
      <w:r>
        <w:rPr>
          <w:i/>
        </w:rPr>
        <w:t xml:space="preserve"> </w:t>
      </w:r>
      <w:r>
        <w:rPr>
          <w:bCs/>
          <w:i/>
        </w:rPr>
        <w:t>coffeae</w:t>
      </w:r>
      <w:r>
        <w:t xml:space="preserve"> Nietner) on </w:t>
      </w:r>
      <w:r>
        <w:rPr>
          <w:bCs/>
        </w:rPr>
        <w:t>grapevine</w:t>
      </w:r>
      <w:r>
        <w:t xml:space="preserve"> in </w:t>
      </w:r>
      <w:smartTag w:uri="urn:schemas-microsoft-com:office:smarttags" w:element="country-region">
        <w:smartTag w:uri="urn:schemas-microsoft-com:office:smarttags" w:element="place">
          <w:r>
            <w:t>Taiwan</w:t>
          </w:r>
        </w:smartTag>
      </w:smartTag>
      <w:r>
        <w:t xml:space="preserve">. </w:t>
      </w:r>
      <w:r>
        <w:rPr>
          <w:i/>
        </w:rPr>
        <w:t xml:space="preserve">Plant Protection </w:t>
      </w:r>
      <w:smartTag w:uri="urn:schemas-microsoft-com:office:smarttags" w:element="place">
        <w:smartTag w:uri="urn:schemas-microsoft-com:office:smarttags" w:element="City">
          <w:r>
            <w:rPr>
              <w:i/>
            </w:rPr>
            <w:t>Bulletin</w:t>
          </w:r>
        </w:smartTag>
        <w:r>
          <w:rPr>
            <w:i/>
          </w:rPr>
          <w:t xml:space="preserve">, </w:t>
        </w:r>
        <w:smartTag w:uri="urn:schemas-microsoft-com:office:smarttags" w:element="country-region">
          <w:r>
            <w:rPr>
              <w:i/>
            </w:rPr>
            <w:t>Taiwan</w:t>
          </w:r>
        </w:smartTag>
      </w:smartTag>
      <w:r>
        <w:t xml:space="preserve"> 26: 145–153.</w:t>
      </w:r>
    </w:p>
    <w:p>
      <w:pPr>
        <w:autoSpaceDE w:val="0"/>
        <w:autoSpaceDN w:val="0"/>
        <w:spacing w:before="120" w:after="120" w:line="300" w:lineRule="atLeast"/>
        <w:jc w:val="left"/>
      </w:pPr>
      <w:r>
        <w:t xml:space="preserve">Cherepanov AI (1991) </w:t>
      </w:r>
      <w:r>
        <w:rPr>
          <w:i/>
        </w:rPr>
        <w:t>Cerambidae of northern Asia: Laminae</w:t>
      </w:r>
      <w:r>
        <w:t>. Nauka Publishers, New Delhi.</w:t>
      </w:r>
    </w:p>
    <w:p>
      <w:pPr>
        <w:spacing w:before="120" w:after="120" w:line="300" w:lineRule="atLeast"/>
        <w:jc w:val="left"/>
      </w:pPr>
      <w:r>
        <w:t xml:space="preserve">Chicau G, Aboim-Inglez M, Cabral S, Cabral JPS (2000) </w:t>
      </w:r>
      <w:r>
        <w:rPr>
          <w:i/>
        </w:rPr>
        <w:t>Phaeoacremonium chlamydosporum</w:t>
      </w:r>
      <w:r>
        <w:t xml:space="preserve"> and </w:t>
      </w:r>
      <w:r>
        <w:rPr>
          <w:i/>
        </w:rPr>
        <w:t>Phaeoacremonium angustius</w:t>
      </w:r>
      <w:r>
        <w:t xml:space="preserve"> associated with esca and grapevine decline in Vinho Verde grapevines in northwest </w:t>
      </w:r>
      <w:smartTag w:uri="urn:schemas-microsoft-com:office:smarttags" w:element="country-region">
        <w:smartTag w:uri="urn:schemas-microsoft-com:office:smarttags" w:element="place">
          <w:r>
            <w:t>Portugal</w:t>
          </w:r>
        </w:smartTag>
      </w:smartTag>
      <w:r>
        <w:t xml:space="preserve">. </w:t>
      </w:r>
      <w:r>
        <w:rPr>
          <w:i/>
        </w:rPr>
        <w:t>Phytopathologia Mediterranea</w:t>
      </w:r>
      <w:r>
        <w:t xml:space="preserve"> 39: 80–86.</w:t>
      </w:r>
    </w:p>
    <w:p>
      <w:pPr>
        <w:autoSpaceDE w:val="0"/>
        <w:autoSpaceDN w:val="0"/>
        <w:spacing w:before="120" w:after="120" w:line="300" w:lineRule="atLeast"/>
        <w:jc w:val="left"/>
      </w:pPr>
      <w:r>
        <w:t xml:space="preserve">Chu PWG, Francki RIB, Hatta T (1983) Some properties of </w:t>
      </w:r>
      <w:r>
        <w:rPr>
          <w:i/>
        </w:rPr>
        <w:t>Tomato ringspot virus</w:t>
      </w:r>
      <w:r>
        <w:t xml:space="preserve"> isolated from </w:t>
      </w:r>
      <w:r>
        <w:rPr>
          <w:rStyle w:val="Emphasis"/>
        </w:rPr>
        <w:t>Pentas lanceolata</w:t>
      </w:r>
      <w:r>
        <w:t xml:space="preserve"> in </w:t>
      </w:r>
      <w:smartTag w:uri="urn:schemas-microsoft-com:office:smarttags" w:element="State">
        <w:smartTag w:uri="urn:schemas-microsoft-com:office:smarttags" w:element="place">
          <w:r>
            <w:t>South Australia</w:t>
          </w:r>
        </w:smartTag>
      </w:smartTag>
      <w:r>
        <w:t xml:space="preserve">. </w:t>
      </w:r>
      <w:r>
        <w:rPr>
          <w:i/>
        </w:rPr>
        <w:t>Plant Pathology</w:t>
      </w:r>
      <w:r>
        <w:t xml:space="preserve"> 32: 353–356.</w:t>
      </w:r>
    </w:p>
    <w:p>
      <w:pPr>
        <w:autoSpaceDE w:val="0"/>
        <w:autoSpaceDN w:val="0"/>
        <w:spacing w:before="120" w:after="120" w:line="300" w:lineRule="atLeast"/>
        <w:jc w:val="left"/>
      </w:pPr>
      <w:r>
        <w:t xml:space="preserve">Ciccarone C, Graniti A, Schiaffino A, Marras F (2004) Molecular analysis of </w:t>
      </w:r>
      <w:r>
        <w:rPr>
          <w:i/>
        </w:rPr>
        <w:t>Fomitiporia mediterranea</w:t>
      </w:r>
      <w:r>
        <w:t xml:space="preserve"> isolates from esca-affected grapevines in southern </w:t>
      </w:r>
      <w:smartTag w:uri="urn:schemas-microsoft-com:office:smarttags" w:element="country-region">
        <w:smartTag w:uri="urn:schemas-microsoft-com:office:smarttags" w:element="place">
          <w:r>
            <w:t>Italy</w:t>
          </w:r>
        </w:smartTag>
      </w:smartTag>
      <w:r>
        <w:t xml:space="preserve">. </w:t>
      </w:r>
      <w:r>
        <w:rPr>
          <w:i/>
          <w:iCs/>
        </w:rPr>
        <w:t xml:space="preserve">Phytopathologia Mediterranea </w:t>
      </w:r>
      <w:r>
        <w:rPr>
          <w:iCs/>
        </w:rPr>
        <w:t>43: 268–272.</w:t>
      </w:r>
    </w:p>
    <w:p>
      <w:pPr>
        <w:spacing w:before="120" w:after="120" w:line="300" w:lineRule="atLeast"/>
        <w:jc w:val="left"/>
      </w:pPr>
      <w:r>
        <w:t xml:space="preserve">Cigsar I, Digiaro M, Gokalp K, Ghanem-Sabanadzovic NA, de Strandis A, Boscia D, Martelli GP (2003) </w:t>
      </w:r>
      <w:r>
        <w:rPr>
          <w:i/>
        </w:rPr>
        <w:t>Grapevine deformation virus</w:t>
      </w:r>
      <w:r>
        <w:t xml:space="preserve">, a novel Nepovirus from Turkey. </w:t>
      </w:r>
      <w:r>
        <w:rPr>
          <w:i/>
        </w:rPr>
        <w:t>Journal of Plant Pathology</w:t>
      </w:r>
      <w:r>
        <w:t xml:space="preserve"> 85: 183–191.</w:t>
      </w:r>
    </w:p>
    <w:p>
      <w:pPr>
        <w:spacing w:before="120" w:after="120" w:line="300" w:lineRule="atLeast"/>
        <w:jc w:val="left"/>
      </w:pPr>
      <w:r>
        <w:t>Cigsar I, Digiaro M, Martelli GP (2002) Sanitary status of grapevines in South-Eastern and Central Anatolia (</w:t>
      </w:r>
      <w:smartTag w:uri="urn:schemas-microsoft-com:office:smarttags" w:element="country-region">
        <w:smartTag w:uri="urn:schemas-microsoft-com:office:smarttags" w:element="place">
          <w:r>
            <w:t>Turkey</w:t>
          </w:r>
        </w:smartTag>
      </w:smartTag>
      <w:r>
        <w:t xml:space="preserve">). </w:t>
      </w:r>
      <w:r>
        <w:rPr>
          <w:i/>
          <w:iCs/>
        </w:rPr>
        <w:t>Bulletin OEPP/EPPO Bulletin</w:t>
      </w:r>
      <w:r>
        <w:t xml:space="preserve"> 32: 471–475.</w:t>
      </w:r>
    </w:p>
    <w:p>
      <w:pPr>
        <w:spacing w:before="120" w:after="120" w:line="300" w:lineRule="atLeast"/>
        <w:jc w:val="left"/>
      </w:pPr>
      <w:r>
        <w:t xml:space="preserve">Cirami RM, van Velsen RJ, Niejalke J (1988) Grapevine virus indexing in the South Australian Vine Improvement Scheme, 1974-1987. </w:t>
      </w:r>
      <w:r>
        <w:rPr>
          <w:i/>
          <w:iCs/>
        </w:rPr>
        <w:t xml:space="preserve">Australian Journal of Experimental Agriculture </w:t>
      </w:r>
      <w:r>
        <w:t>28: 645–649.</w:t>
      </w:r>
    </w:p>
    <w:p>
      <w:pPr>
        <w:spacing w:before="120" w:after="120" w:line="300" w:lineRule="atLeast"/>
        <w:jc w:val="left"/>
        <w:rPr>
          <w:i/>
          <w:u w:val="single"/>
        </w:rPr>
      </w:pPr>
      <w:r>
        <w:t xml:space="preserve">Cleveland TC (1982) Hibernation and host plant sequence studies of Tarnished plant bugs, </w:t>
      </w:r>
      <w:r>
        <w:rPr>
          <w:i/>
        </w:rPr>
        <w:t>Lygus lineolaris</w:t>
      </w:r>
      <w:r>
        <w:t xml:space="preserve">, in the Mississippi Delta. </w:t>
      </w:r>
      <w:r>
        <w:rPr>
          <w:i/>
        </w:rPr>
        <w:t xml:space="preserve">Environmental Entomology </w:t>
      </w:r>
      <w:r>
        <w:t>11: 1049–1052.</w:t>
      </w:r>
      <w:r>
        <w:rPr>
          <w:i/>
        </w:rPr>
        <w:t xml:space="preserve"> </w:t>
      </w:r>
    </w:p>
    <w:p>
      <w:pPr>
        <w:spacing w:before="120" w:after="120" w:line="300" w:lineRule="atLeast"/>
        <w:jc w:val="left"/>
      </w:pPr>
      <w:r>
        <w:t xml:space="preserve">Cline ET, Farr DF (2006) Synopsis of fungi listed as regulated plant pests by the USDA Animal and Plant Health Inspection Service: notes on the nomenclature, disease, plant hosts, and geographic distribution. </w:t>
      </w:r>
      <w:r>
        <w:rPr>
          <w:i/>
        </w:rPr>
        <w:t>Plant Health Progress</w:t>
      </w:r>
      <w:r>
        <w:t xml:space="preserve">. </w:t>
      </w:r>
      <w:r>
        <w:rPr>
          <w:u w:val="single"/>
        </w:rPr>
        <w:t>http://ddr.nal.usda.gov/bitstream/10113/11908/1/IND43838170.pdf</w:t>
      </w:r>
      <w:r>
        <w:t xml:space="preserve"> Accessed May 2012.</w:t>
      </w:r>
    </w:p>
    <w:p>
      <w:pPr>
        <w:autoSpaceDE w:val="0"/>
        <w:autoSpaceDN w:val="0"/>
        <w:spacing w:before="120" w:after="120" w:line="300" w:lineRule="atLeast"/>
        <w:jc w:val="left"/>
      </w:pPr>
      <w:r>
        <w:t xml:space="preserve">Coetzee B, </w:t>
      </w:r>
      <w:hyperlink r:id="rId148" w:history="1">
        <w:r>
          <w:t>Maree</w:t>
        </w:r>
      </w:hyperlink>
      <w:r>
        <w:t xml:space="preserve"> HJ, Stephan D, Freeborough M-J, Burger JT (2010) The first complete nucleotide sequence of a </w:t>
      </w:r>
      <w:r>
        <w:rPr>
          <w:i/>
        </w:rPr>
        <w:t>Grapevine virus E</w:t>
      </w:r>
      <w:r>
        <w:t xml:space="preserve"> variant. </w:t>
      </w:r>
      <w:r>
        <w:rPr>
          <w:i/>
        </w:rPr>
        <w:t>Archives of Virology</w:t>
      </w:r>
      <w:r>
        <w:t xml:space="preserve"> 155: 1357–1360.</w:t>
      </w:r>
    </w:p>
    <w:p>
      <w:pPr>
        <w:spacing w:before="120" w:after="120" w:line="300" w:lineRule="atLeast"/>
        <w:jc w:val="left"/>
      </w:pPr>
      <w:r>
        <w:t xml:space="preserve">Coller GJ Van, Denman S, Groenewald JZ, Lamprecht SC, Crous PW (2005) Characterisation and pathogenicity of </w:t>
      </w:r>
      <w:r>
        <w:rPr>
          <w:i/>
        </w:rPr>
        <w:t>Cylindrocladiella</w:t>
      </w:r>
      <w:r>
        <w:t xml:space="preserve"> spp. associated with root and cutting rot symptoms of grapevines in nurseries. </w:t>
      </w:r>
      <w:r>
        <w:rPr>
          <w:i/>
        </w:rPr>
        <w:t>Australasian Plant Pathology</w:t>
      </w:r>
      <w:r>
        <w:t xml:space="preserve"> 34: 489–498.</w:t>
      </w:r>
    </w:p>
    <w:p>
      <w:pPr>
        <w:autoSpaceDE w:val="0"/>
        <w:autoSpaceDN w:val="0"/>
        <w:spacing w:before="120" w:after="120" w:line="300" w:lineRule="atLeast"/>
        <w:jc w:val="left"/>
      </w:pPr>
      <w:r>
        <w:rPr>
          <w:snapToGrid w:val="0"/>
        </w:rPr>
        <w:t>Common IFB (</w:t>
      </w:r>
      <w:r>
        <w:t>1990</w:t>
      </w:r>
      <w:r>
        <w:rPr>
          <w:snapToGrid w:val="0"/>
        </w:rPr>
        <w:t xml:space="preserve">) </w:t>
      </w:r>
      <w:r>
        <w:rPr>
          <w:i/>
          <w:snapToGrid w:val="0"/>
        </w:rPr>
        <w:t>Moths of Australia</w:t>
      </w:r>
      <w:r>
        <w:rPr>
          <w:snapToGrid w:val="0"/>
        </w:rPr>
        <w:t xml:space="preserve">. </w:t>
      </w:r>
      <w:smartTag w:uri="urn:schemas-microsoft-com:office:smarttags" w:element="place">
        <w:smartTag w:uri="urn:schemas-microsoft-com:office:smarttags" w:element="PlaceName">
          <w:r>
            <w:rPr>
              <w:snapToGrid w:val="0"/>
            </w:rPr>
            <w:t>Melbourne</w:t>
          </w:r>
        </w:smartTag>
        <w:r>
          <w:rPr>
            <w:snapToGrid w:val="0"/>
          </w:rPr>
          <w:t xml:space="preserve"> </w:t>
        </w:r>
        <w:smartTag w:uri="urn:schemas-microsoft-com:office:smarttags" w:element="PlaceType">
          <w:r>
            <w:rPr>
              <w:snapToGrid w:val="0"/>
            </w:rPr>
            <w:t>University</w:t>
          </w:r>
        </w:smartTag>
      </w:smartTag>
      <w:r>
        <w:rPr>
          <w:snapToGrid w:val="0"/>
        </w:rPr>
        <w:t xml:space="preserve"> Press, Melbourne.</w:t>
      </w:r>
    </w:p>
    <w:p>
      <w:pPr>
        <w:spacing w:before="120" w:after="120" w:line="300" w:lineRule="atLeast"/>
        <w:jc w:val="left"/>
      </w:pPr>
      <w:r>
        <w:t xml:space="preserve">Constable F, Rodoni B (2011a) Fact Sheet: </w:t>
      </w:r>
      <w:r>
        <w:rPr>
          <w:i/>
        </w:rPr>
        <w:t>Grapevine fleck</w:t>
      </w:r>
      <w:r>
        <w:t xml:space="preserve"> and associated viruses. Grape and Wine Research and Development Corporation. </w:t>
      </w:r>
      <w:r>
        <w:rPr>
          <w:u w:val="single"/>
        </w:rPr>
        <w:t>http://www.gwrdc.com.au/webdata/resources/files/GWR_081_Fleck_and_Associated_Viruses_Fact_Sheet_FINAL.pdf</w:t>
      </w:r>
      <w:r>
        <w:t xml:space="preserve"> Accessed November 2011.</w:t>
      </w:r>
    </w:p>
    <w:p>
      <w:pPr>
        <w:autoSpaceDE w:val="0"/>
        <w:autoSpaceDN w:val="0"/>
        <w:spacing w:before="120" w:after="120" w:line="300" w:lineRule="atLeast"/>
        <w:jc w:val="left"/>
        <w:rPr>
          <w:lang w:eastAsia="en-AU"/>
        </w:rPr>
      </w:pPr>
      <w:r>
        <w:rPr>
          <w:lang w:eastAsia="en-AU"/>
        </w:rPr>
        <w:t xml:space="preserve">Constable F, Rodoni B (2011b) Rugose wood – associated viruses. </w:t>
      </w:r>
      <w:r>
        <w:rPr>
          <w:u w:val="single"/>
          <w:lang w:eastAsia="en-AU"/>
        </w:rPr>
        <w:t>http://www.gwrdc.com.au/webdata/resources/files/GWR_080_Rugose_Wood_Disease_Fact_Sheet_PAGES_FINAL.pdf</w:t>
      </w:r>
      <w:r>
        <w:rPr>
          <w:lang w:eastAsia="en-AU"/>
        </w:rPr>
        <w:t xml:space="preserve"> Accessed September 2011.</w:t>
      </w:r>
    </w:p>
    <w:p>
      <w:pPr>
        <w:spacing w:before="120" w:after="120" w:line="300" w:lineRule="atLeast"/>
        <w:jc w:val="left"/>
        <w:rPr>
          <w:snapToGrid w:val="0"/>
        </w:rPr>
      </w:pPr>
      <w:r>
        <w:rPr>
          <w:snapToGrid w:val="0"/>
        </w:rPr>
        <w:t xml:space="preserve">Constable FE (2010) Phytoplasma Epidemiology: Grapevines as a model. In Weintraub PG, Jones P (eds) </w:t>
      </w:r>
      <w:r>
        <w:rPr>
          <w:i/>
          <w:snapToGrid w:val="0"/>
        </w:rPr>
        <w:t>Phytoplasmas: Genomes, Plant Hosts and vectors</w:t>
      </w:r>
      <w:r>
        <w:rPr>
          <w:snapToGrid w:val="0"/>
        </w:rPr>
        <w:t xml:space="preserve">. CAB International, </w:t>
      </w:r>
      <w:smartTag w:uri="urn:schemas-microsoft-com:office:smarttags" w:element="place">
        <w:smartTag w:uri="urn:schemas-microsoft-com:office:smarttags" w:element="City">
          <w:r>
            <w:rPr>
              <w:snapToGrid w:val="0"/>
            </w:rPr>
            <w:t>Wallingford</w:t>
          </w:r>
        </w:smartTag>
        <w:r>
          <w:rPr>
            <w:snapToGrid w:val="0"/>
          </w:rPr>
          <w:t xml:space="preserve">, </w:t>
        </w:r>
        <w:smartTag w:uri="urn:schemas-microsoft-com:office:smarttags" w:element="country-region">
          <w:r>
            <w:rPr>
              <w:snapToGrid w:val="0"/>
            </w:rPr>
            <w:t>UK</w:t>
          </w:r>
        </w:smartTag>
      </w:smartTag>
      <w:r>
        <w:rPr>
          <w:snapToGrid w:val="0"/>
        </w:rPr>
        <w:t>.</w:t>
      </w:r>
    </w:p>
    <w:p>
      <w:pPr>
        <w:spacing w:before="120" w:after="120" w:line="300" w:lineRule="atLeast"/>
        <w:jc w:val="left"/>
        <w:rPr>
          <w:snapToGrid w:val="0"/>
        </w:rPr>
      </w:pPr>
      <w:r>
        <w:rPr>
          <w:snapToGrid w:val="0"/>
        </w:rPr>
        <w:t>Constable FE, Drew C (2004) Review</w:t>
      </w:r>
      <w:r>
        <w:t xml:space="preserve"> </w:t>
      </w:r>
      <w:r>
        <w:rPr>
          <w:snapToGrid w:val="0"/>
        </w:rPr>
        <w:t xml:space="preserve">of vine health parameters, implementation priorities and capabilities for vine improvement groups and accredited nurseries. Grape and Wine Research and Development Corporation, Australian Government. </w:t>
      </w:r>
      <w:hyperlink r:id="rId149" w:history="1">
        <w:r>
          <w:rPr>
            <w:rStyle w:val="Hyperlink"/>
            <w:snapToGrid w:val="0"/>
            <w:color w:val="auto"/>
          </w:rPr>
          <w:t>http://www.gwrdc.com.au/webdata/resources/project/NVH0301.pdf</w:t>
        </w:r>
      </w:hyperlink>
      <w:r>
        <w:rPr>
          <w:snapToGrid w:val="0"/>
        </w:rPr>
        <w:t xml:space="preserve"> Accessed March 2011.</w:t>
      </w:r>
    </w:p>
    <w:p>
      <w:pPr>
        <w:spacing w:before="120" w:after="120" w:line="300" w:lineRule="atLeast"/>
        <w:jc w:val="left"/>
      </w:pPr>
      <w:r>
        <w:t xml:space="preserve">Constable FE, Nicholas P, </w:t>
      </w:r>
      <w:smartTag w:uri="urn:schemas-microsoft-com:office:smarttags" w:element="place">
        <w:smartTag w:uri="urn:schemas-microsoft-com:office:smarttags" w:element="City">
          <w:r>
            <w:t>Rodoni</w:t>
          </w:r>
        </w:smartTag>
        <w:r>
          <w:t xml:space="preserve"> </w:t>
        </w:r>
        <w:smartTag w:uri="urn:schemas-microsoft-com:office:smarttags" w:element="State">
          <w:r>
            <w:t>BC</w:t>
          </w:r>
        </w:smartTag>
      </w:smartTag>
      <w:r>
        <w:t xml:space="preserve"> (2010) </w:t>
      </w:r>
      <w:r>
        <w:rPr>
          <w:i/>
        </w:rPr>
        <w:t>Development and validation of diagnostic protocols for the detection of endemic and exotic pathogens of grapevines</w:t>
      </w:r>
      <w:r>
        <w:t>. Department of Primary Industries, Victoria.</w:t>
      </w:r>
    </w:p>
    <w:p>
      <w:pPr>
        <w:spacing w:before="120" w:after="120" w:line="300" w:lineRule="atLeast"/>
        <w:jc w:val="left"/>
      </w:pPr>
      <w:r>
        <w:t xml:space="preserve">Contaldo N, Soufi Z, Bertaccini A (2011) Preliminary identification of phytoplasmas associated with grapevine yellows in </w:t>
      </w:r>
      <w:smartTag w:uri="urn:schemas-microsoft-com:office:smarttags" w:element="country-region">
        <w:smartTag w:uri="urn:schemas-microsoft-com:office:smarttags" w:element="place">
          <w:r>
            <w:t>Syria</w:t>
          </w:r>
        </w:smartTag>
      </w:smartTag>
      <w:r>
        <w:t xml:space="preserve">. </w:t>
      </w:r>
      <w:r>
        <w:rPr>
          <w:i/>
        </w:rPr>
        <w:t>Bulletin of Insectology</w:t>
      </w:r>
      <w:r>
        <w:t xml:space="preserve"> 64: 217–218.</w:t>
      </w:r>
    </w:p>
    <w:p>
      <w:pPr>
        <w:autoSpaceDE w:val="0"/>
        <w:autoSpaceDN w:val="0"/>
        <w:spacing w:before="120" w:after="120" w:line="300" w:lineRule="atLeast"/>
        <w:jc w:val="left"/>
      </w:pPr>
      <w:r>
        <w:t xml:space="preserve">Cook RP, Dubé AJ (1989) </w:t>
      </w:r>
      <w:r>
        <w:rPr>
          <w:i/>
        </w:rPr>
        <w:t xml:space="preserve">Host-pathogen index of plant disease in </w:t>
      </w:r>
      <w:smartTag w:uri="urn:schemas-microsoft-com:office:smarttags" w:element="State">
        <w:smartTag w:uri="urn:schemas-microsoft-com:office:smarttags" w:element="place">
          <w:r>
            <w:rPr>
              <w:i/>
            </w:rPr>
            <w:t>South Australia</w:t>
          </w:r>
        </w:smartTag>
      </w:smartTag>
      <w:r>
        <w:t>. Field Crops Pathology Group, South Australian Department of Agriculture, South Australia.</w:t>
      </w:r>
    </w:p>
    <w:p>
      <w:pPr>
        <w:autoSpaceDE w:val="0"/>
        <w:autoSpaceDN w:val="0"/>
        <w:spacing w:before="120" w:after="120" w:line="300" w:lineRule="atLeast"/>
        <w:jc w:val="left"/>
      </w:pPr>
      <w:r>
        <w:t xml:space="preserve">Coombe BG, Dry PR (1992) </w:t>
      </w:r>
      <w:r>
        <w:rPr>
          <w:i/>
        </w:rPr>
        <w:t>Viticulture</w:t>
      </w:r>
      <w:r>
        <w:t xml:space="preserve"> Volume 2: Practices. Winetitles, </w:t>
      </w:r>
      <w:smartTag w:uri="urn:schemas-microsoft-com:office:smarttags" w:element="City">
        <w:smartTag w:uri="urn:schemas-microsoft-com:office:smarttags" w:element="place">
          <w:r>
            <w:t>Adelaide</w:t>
          </w:r>
        </w:smartTag>
      </w:smartTag>
      <w:r>
        <w:t>.</w:t>
      </w:r>
    </w:p>
    <w:p>
      <w:pPr>
        <w:autoSpaceDE w:val="0"/>
        <w:autoSpaceDN w:val="0"/>
        <w:spacing w:before="120" w:after="120" w:line="300" w:lineRule="atLeast"/>
        <w:jc w:val="left"/>
      </w:pPr>
      <w:r>
        <w:t xml:space="preserve">Coombs M, Khan SA (1998) Population levels and natural enemies of </w:t>
      </w:r>
      <w:r>
        <w:rPr>
          <w:i/>
        </w:rPr>
        <w:t>Plautia affinis</w:t>
      </w:r>
      <w:r>
        <w:t xml:space="preserve"> </w:t>
      </w:r>
      <w:smartTag w:uri="urn:schemas-microsoft-com:office:smarttags" w:element="City">
        <w:r>
          <w:t>Dallas</w:t>
        </w:r>
      </w:smartTag>
      <w:r>
        <w:t xml:space="preserve"> (Hemiptera: Pentatomidae) on raspberry, </w:t>
      </w:r>
      <w:r>
        <w:rPr>
          <w:i/>
        </w:rPr>
        <w:t>Rubus idaeus</w:t>
      </w:r>
      <w:r>
        <w:t xml:space="preserve"> L., in south-eastern </w:t>
      </w:r>
      <w:smartTag w:uri="urn:schemas-microsoft-com:office:smarttags" w:element="State">
        <w:smartTag w:uri="urn:schemas-microsoft-com:office:smarttags" w:element="place">
          <w:r>
            <w:t>Queensland</w:t>
          </w:r>
        </w:smartTag>
      </w:smartTag>
      <w:r>
        <w:t xml:space="preserve">. </w:t>
      </w:r>
      <w:r>
        <w:rPr>
          <w:i/>
        </w:rPr>
        <w:t>Australian Journal of Entomology</w:t>
      </w:r>
      <w:r>
        <w:t xml:space="preserve"> 37: 125–129.</w:t>
      </w:r>
    </w:p>
    <w:p>
      <w:pPr>
        <w:autoSpaceDE w:val="0"/>
        <w:autoSpaceDN w:val="0"/>
        <w:spacing w:before="120" w:after="120" w:line="300" w:lineRule="atLeast"/>
        <w:jc w:val="left"/>
      </w:pPr>
      <w:r>
        <w:t xml:space="preserve">Cortesi P, Fischer M, Milgroom MG (2000) Identification and spread of </w:t>
      </w:r>
      <w:r>
        <w:rPr>
          <w:i/>
        </w:rPr>
        <w:t>Fomitiporia punctata</w:t>
      </w:r>
      <w:r>
        <w:t xml:space="preserve"> associated with wood decay of grapevine showing symptoms of esca. </w:t>
      </w:r>
      <w:r>
        <w:rPr>
          <w:i/>
        </w:rPr>
        <w:t>Phytopathology</w:t>
      </w:r>
      <w:r>
        <w:t xml:space="preserve"> 90: 967–972.</w:t>
      </w:r>
    </w:p>
    <w:p>
      <w:pPr>
        <w:autoSpaceDE w:val="0"/>
        <w:autoSpaceDN w:val="0"/>
        <w:spacing w:before="120" w:after="120" w:line="300" w:lineRule="atLeast"/>
        <w:jc w:val="left"/>
      </w:pPr>
      <w:r>
        <w:t xml:space="preserve">Coutts RH, Rigden JE, Slabas AR, Lomonossoff GP and Wise PJ (1991) The complete nucleotide sequence of </w:t>
      </w:r>
      <w:r>
        <w:rPr>
          <w:i/>
        </w:rPr>
        <w:t>Tobacco necrosis virus strain D</w:t>
      </w:r>
      <w:r>
        <w:t xml:space="preserve">. </w:t>
      </w:r>
      <w:r>
        <w:rPr>
          <w:i/>
        </w:rPr>
        <w:t>Journal of General Virology</w:t>
      </w:r>
      <w:r>
        <w:t xml:space="preserve"> 72: 1521–1529.</w:t>
      </w:r>
    </w:p>
    <w:p>
      <w:pPr>
        <w:autoSpaceDE w:val="0"/>
        <w:autoSpaceDN w:val="0"/>
        <w:spacing w:before="120" w:after="120" w:line="300" w:lineRule="atLeast"/>
        <w:jc w:val="left"/>
        <w:rPr>
          <w:bCs/>
          <w:lang w:eastAsia="en-AU"/>
        </w:rPr>
      </w:pPr>
      <w:r>
        <w:rPr>
          <w:bCs/>
          <w:lang w:eastAsia="en-AU"/>
        </w:rPr>
        <w:t xml:space="preserve">Cox JM (1989) The mealybug genus </w:t>
      </w:r>
      <w:r>
        <w:rPr>
          <w:bCs/>
          <w:i/>
          <w:lang w:eastAsia="en-AU"/>
        </w:rPr>
        <w:t xml:space="preserve">Planococcus </w:t>
      </w:r>
      <w:r>
        <w:rPr>
          <w:bCs/>
          <w:lang w:eastAsia="en-AU"/>
        </w:rPr>
        <w:t>(Homoptera: Ps</w:t>
      </w:r>
      <w:smartTag w:uri="urn:schemas-microsoft-com:office:smarttags" w:element="PersonName">
        <w:r>
          <w:rPr>
            <w:bCs/>
            <w:lang w:eastAsia="en-AU"/>
          </w:rPr>
          <w:t>eu</w:t>
        </w:r>
      </w:smartTag>
      <w:r>
        <w:rPr>
          <w:bCs/>
          <w:lang w:eastAsia="en-AU"/>
        </w:rPr>
        <w:t xml:space="preserve">dococcidae). </w:t>
      </w:r>
      <w:r>
        <w:rPr>
          <w:bCs/>
          <w:i/>
          <w:lang w:eastAsia="en-AU"/>
        </w:rPr>
        <w:t xml:space="preserve">Bulletin of the </w:t>
      </w:r>
      <w:smartTag w:uri="urn:schemas-microsoft-com:office:smarttags" w:element="place">
        <w:smartTag w:uri="urn:schemas-microsoft-com:office:smarttags" w:element="PlaceName">
          <w:r>
            <w:rPr>
              <w:bCs/>
              <w:i/>
              <w:lang w:eastAsia="en-AU"/>
            </w:rPr>
            <w:t>British</w:t>
          </w:r>
        </w:smartTag>
        <w:r>
          <w:rPr>
            <w:bCs/>
            <w:i/>
            <w:lang w:eastAsia="en-AU"/>
          </w:rPr>
          <w:t xml:space="preserve"> </w:t>
        </w:r>
        <w:smartTag w:uri="urn:schemas-microsoft-com:office:smarttags" w:element="PlaceType">
          <w:r>
            <w:rPr>
              <w:bCs/>
              <w:i/>
              <w:lang w:eastAsia="en-AU"/>
            </w:rPr>
            <w:t>Mus</w:t>
          </w:r>
          <w:smartTag w:uri="urn:schemas-microsoft-com:office:smarttags" w:element="PersonName">
            <w:r>
              <w:rPr>
                <w:bCs/>
                <w:i/>
                <w:lang w:eastAsia="en-AU"/>
              </w:rPr>
              <w:t>eu</w:t>
            </w:r>
          </w:smartTag>
          <w:r>
            <w:rPr>
              <w:bCs/>
              <w:i/>
              <w:lang w:eastAsia="en-AU"/>
            </w:rPr>
            <w:t>m</w:t>
          </w:r>
        </w:smartTag>
      </w:smartTag>
      <w:r>
        <w:rPr>
          <w:bCs/>
          <w:i/>
          <w:lang w:eastAsia="en-AU"/>
        </w:rPr>
        <w:t xml:space="preserve"> Natural History Entomology</w:t>
      </w:r>
      <w:r>
        <w:rPr>
          <w:bCs/>
          <w:lang w:eastAsia="en-AU"/>
        </w:rPr>
        <w:t xml:space="preserve"> 58: 1–78.</w:t>
      </w:r>
    </w:p>
    <w:p>
      <w:pPr>
        <w:autoSpaceDE w:val="0"/>
        <w:autoSpaceDN w:val="0"/>
        <w:spacing w:before="120" w:after="120" w:line="300" w:lineRule="atLeast"/>
        <w:jc w:val="left"/>
      </w:pPr>
      <w:r>
        <w:t xml:space="preserve">CPPDR (1994) </w:t>
      </w:r>
      <w:r>
        <w:rPr>
          <w:i/>
        </w:rPr>
        <w:t>Black vine thrips, Retithrips syriacus</w:t>
      </w:r>
      <w:r>
        <w:t xml:space="preserve">. The California Plant Pest and Disease Report (CPPDR) Volume 13 (3–4). CFDA, </w:t>
      </w:r>
      <w:smartTag w:uri="urn:schemas-microsoft-com:office:smarttags" w:element="State">
        <w:smartTag w:uri="urn:schemas-microsoft-com:office:smarttags" w:element="place">
          <w:r>
            <w:t>California</w:t>
          </w:r>
        </w:smartTag>
      </w:smartTag>
      <w:r>
        <w:t>.</w:t>
      </w:r>
    </w:p>
    <w:p>
      <w:pPr>
        <w:autoSpaceDE w:val="0"/>
        <w:autoSpaceDN w:val="0"/>
        <w:spacing w:before="120" w:after="120" w:line="300" w:lineRule="atLeast"/>
        <w:jc w:val="left"/>
      </w:pPr>
      <w:r>
        <w:t xml:space="preserve">Crous P, Gams W, Wingfield MJ, van Wyk PS (1996) </w:t>
      </w:r>
      <w:r>
        <w:rPr>
          <w:i/>
        </w:rPr>
        <w:t>Phaeoacremonium</w:t>
      </w:r>
      <w:r>
        <w:t xml:space="preserve"> gen. nov. associated with wilt and decline diseases of woody hosts and human infections. </w:t>
      </w:r>
      <w:r>
        <w:rPr>
          <w:i/>
        </w:rPr>
        <w:t>Mycologia</w:t>
      </w:r>
      <w:r>
        <w:t xml:space="preserve"> 88: 786–796.</w:t>
      </w:r>
    </w:p>
    <w:p>
      <w:pPr>
        <w:autoSpaceDE w:val="0"/>
        <w:autoSpaceDN w:val="0"/>
        <w:spacing w:before="120" w:after="120" w:line="300" w:lineRule="atLeast"/>
        <w:jc w:val="left"/>
      </w:pPr>
      <w:r>
        <w:t xml:space="preserve">Crous PW, Swart L, Coertze S (2001) The effect of hot water treatment on fungi occurring in apparently healthy grapevine cuttings. </w:t>
      </w:r>
      <w:r>
        <w:rPr>
          <w:i/>
        </w:rPr>
        <w:t>Phytopathologia Mediterranea</w:t>
      </w:r>
      <w:r>
        <w:t xml:space="preserve"> 40: S464–S466.</w:t>
      </w:r>
    </w:p>
    <w:p>
      <w:pPr>
        <w:spacing w:before="120" w:after="120" w:line="300" w:lineRule="atLeast"/>
        <w:jc w:val="left"/>
      </w:pPr>
      <w:r>
        <w:t>CSIRO (1991)</w:t>
      </w:r>
      <w:r>
        <w:rPr>
          <w:i/>
        </w:rPr>
        <w:t xml:space="preserve"> Insects of Australia </w:t>
      </w:r>
      <w:r>
        <w:t xml:space="preserve"> Volume 1, 2</w:t>
      </w:r>
      <w:r>
        <w:rPr>
          <w:vertAlign w:val="superscript"/>
        </w:rPr>
        <w:t>nd</w:t>
      </w:r>
      <w:r>
        <w:t xml:space="preserve"> edn. Melbourne University Press, Carlton, Australia.</w:t>
      </w:r>
    </w:p>
    <w:p>
      <w:pPr>
        <w:autoSpaceDE w:val="0"/>
        <w:autoSpaceDN w:val="0"/>
        <w:spacing w:before="120" w:after="120" w:line="300" w:lineRule="atLeast"/>
        <w:jc w:val="left"/>
        <w:rPr>
          <w:bCs/>
        </w:rPr>
      </w:pPr>
      <w:r>
        <w:rPr>
          <w:bCs/>
        </w:rPr>
        <w:t xml:space="preserve">CSIRO (2005) Australian </w:t>
      </w:r>
      <w:r>
        <w:t>Insect</w:t>
      </w:r>
      <w:r>
        <w:rPr>
          <w:bCs/>
        </w:rPr>
        <w:t xml:space="preserve"> Common Name. Commonwealth Scientific and Industrial Research Organisation. </w:t>
      </w:r>
      <w:hyperlink r:id="rId150" w:history="1">
        <w:r>
          <w:rPr>
            <w:rStyle w:val="Hyperlink"/>
            <w:bCs/>
            <w:color w:val="auto"/>
          </w:rPr>
          <w:t>http://www.ento.csiro.au/aicn/index.htm</w:t>
        </w:r>
      </w:hyperlink>
      <w:r>
        <w:rPr>
          <w:bCs/>
        </w:rPr>
        <w:t xml:space="preserve"> </w:t>
      </w:r>
      <w:r>
        <w:t>Accessed April 2011.</w:t>
      </w:r>
    </w:p>
    <w:p>
      <w:pPr>
        <w:autoSpaceDE w:val="0"/>
        <w:autoSpaceDN w:val="0"/>
        <w:spacing w:before="120" w:after="120" w:line="300" w:lineRule="atLeast"/>
        <w:jc w:val="left"/>
      </w:pPr>
      <w:r>
        <w:t xml:space="preserve">Dahiya KK, Lakra RK (2001) Seasonal occurrence and succession of thrips, </w:t>
      </w:r>
      <w:r>
        <w:rPr>
          <w:i/>
          <w:iCs/>
        </w:rPr>
        <w:t>Rhipiphorothrips cruentatus</w:t>
      </w:r>
      <w:r>
        <w:t xml:space="preserve"> Hood in important horticultural crops of Haryana. </w:t>
      </w:r>
      <w:r>
        <w:rPr>
          <w:i/>
          <w:iCs/>
        </w:rPr>
        <w:t>Crop Research Hisar</w:t>
      </w:r>
      <w:r>
        <w:t xml:space="preserve"> </w:t>
      </w:r>
      <w:r>
        <w:rPr>
          <w:rStyle w:val="Strong"/>
          <w:b w:val="0"/>
        </w:rPr>
        <w:t xml:space="preserve">21: </w:t>
      </w:r>
      <w:r>
        <w:t>112–114.</w:t>
      </w:r>
    </w:p>
    <w:p>
      <w:pPr>
        <w:spacing w:before="120" w:after="120" w:line="300" w:lineRule="atLeast"/>
        <w:jc w:val="left"/>
      </w:pPr>
      <w:r>
        <w:t>Daire X, Clair D, Reinert W, Boudon-Padi</w:t>
      </w:r>
      <w:smartTag w:uri="urn:schemas-microsoft-com:office:smarttags" w:element="PersonName">
        <w:r>
          <w:t>eu</w:t>
        </w:r>
      </w:smartTag>
      <w:r>
        <w:t xml:space="preserve"> E (1997) Detection and differentiation of grapevine yellows phytoplasmas belonging to Elm yellows group and to the Stolbur subgroup by PCR amplification of non-ribosomal DNA. </w:t>
      </w:r>
      <w:r>
        <w:rPr>
          <w:i/>
        </w:rPr>
        <w:t>European Journal of Plant Pathology</w:t>
      </w:r>
      <w:r>
        <w:t xml:space="preserve"> 103: 507–514.</w:t>
      </w:r>
    </w:p>
    <w:p>
      <w:pPr>
        <w:spacing w:before="120" w:after="120" w:line="300" w:lineRule="atLeast"/>
        <w:jc w:val="left"/>
      </w:pPr>
      <w:r>
        <w:t xml:space="preserve">Damm U, Fourie PH, Crous PW (2007) </w:t>
      </w:r>
      <w:r>
        <w:rPr>
          <w:i/>
          <w:iCs/>
        </w:rPr>
        <w:t>Aplosporella prunicola</w:t>
      </w:r>
      <w:r>
        <w:t xml:space="preserve">, a novel species of anamorphic Botryosphaeriaceae. </w:t>
      </w:r>
      <w:r>
        <w:rPr>
          <w:i/>
          <w:iCs/>
        </w:rPr>
        <w:t>Fungal Diversity</w:t>
      </w:r>
      <w:r>
        <w:t xml:space="preserve"> </w:t>
      </w:r>
      <w:r>
        <w:rPr>
          <w:bCs/>
        </w:rPr>
        <w:t>27</w:t>
      </w:r>
      <w:r>
        <w:t>: 35–43.</w:t>
      </w:r>
    </w:p>
    <w:p>
      <w:pPr>
        <w:spacing w:before="120" w:after="120" w:line="300" w:lineRule="atLeast"/>
        <w:jc w:val="left"/>
      </w:pPr>
      <w:r>
        <w:t xml:space="preserve">Davis RE, Dally EL (2001) Revised subgroup classification of group 16SrV phytoplasmas and placement of Flavescence dorée-associated phytoplasmas in two distinct subgroups. </w:t>
      </w:r>
      <w:r>
        <w:rPr>
          <w:i/>
        </w:rPr>
        <w:t>Plant Disease</w:t>
      </w:r>
      <w:r>
        <w:t xml:space="preserve"> 85:790–797.</w:t>
      </w:r>
    </w:p>
    <w:p>
      <w:pPr>
        <w:spacing w:before="120" w:after="120" w:line="300" w:lineRule="atLeast"/>
        <w:jc w:val="left"/>
      </w:pPr>
      <w:r>
        <w:t xml:space="preserve">Davis RE, Jomantiene R, Dally EL, Wolf TK (1998) Phytoplasmas associated with Grapevine yellows in Virginia belong to group 16SrI, subgroup A (Tomato big bud phytoplasma subgroup), and group 16SrIII, new subgroup I. </w:t>
      </w:r>
      <w:r>
        <w:rPr>
          <w:i/>
        </w:rPr>
        <w:t xml:space="preserve">Vitis </w:t>
      </w:r>
      <w:r>
        <w:t>37: 131–137.</w:t>
      </w:r>
    </w:p>
    <w:p>
      <w:pPr>
        <w:spacing w:before="120" w:after="120" w:line="300" w:lineRule="atLeast"/>
        <w:jc w:val="left"/>
      </w:pPr>
      <w:r>
        <w:t>De Andrade ER, Dalbó MA, Schuck E, Gallotti GJM (1995) Evaluation of grapevine (</w:t>
      </w:r>
      <w:r>
        <w:rPr>
          <w:i/>
        </w:rPr>
        <w:t xml:space="preserve">Vitis </w:t>
      </w:r>
      <w:r>
        <w:t xml:space="preserve">spp.) resistance to </w:t>
      </w:r>
      <w:r>
        <w:rPr>
          <w:i/>
        </w:rPr>
        <w:t>Fusarium oxysporum</w:t>
      </w:r>
      <w:r>
        <w:t xml:space="preserve"> f.sp. </w:t>
      </w:r>
      <w:r>
        <w:rPr>
          <w:i/>
        </w:rPr>
        <w:t xml:space="preserve">herbemontisin </w:t>
      </w:r>
      <w:r>
        <w:t xml:space="preserve">rio do peixe valley, Santa Catarina state, </w:t>
      </w:r>
      <w:smartTag w:uri="urn:schemas-microsoft-com:office:smarttags" w:element="country-region">
        <w:smartTag w:uri="urn:schemas-microsoft-com:office:smarttags" w:element="place">
          <w:r>
            <w:t>Brazil</w:t>
          </w:r>
        </w:smartTag>
      </w:smartTag>
      <w:r>
        <w:t xml:space="preserve">. </w:t>
      </w:r>
      <w:r>
        <w:rPr>
          <w:i/>
        </w:rPr>
        <w:t>Acta Hortculturae</w:t>
      </w:r>
      <w:r>
        <w:t xml:space="preserve"> 388: 65–70.</w:t>
      </w:r>
    </w:p>
    <w:p>
      <w:pPr>
        <w:autoSpaceDE w:val="0"/>
        <w:autoSpaceDN w:val="0"/>
        <w:spacing w:before="120" w:after="120" w:line="300" w:lineRule="atLeast"/>
        <w:jc w:val="left"/>
        <w:rPr>
          <w:bCs/>
          <w:lang w:eastAsia="en-AU"/>
        </w:rPr>
      </w:pPr>
      <w:r>
        <w:rPr>
          <w:bCs/>
          <w:lang w:eastAsia="en-AU"/>
        </w:rPr>
        <w:t xml:space="preserve">De Klerk CA (1987) Chemical control of </w:t>
      </w:r>
      <w:r>
        <w:rPr>
          <w:bCs/>
          <w:i/>
          <w:lang w:eastAsia="en-AU"/>
        </w:rPr>
        <w:t xml:space="preserve">Margarodes prieskaensis </w:t>
      </w:r>
      <w:r>
        <w:rPr>
          <w:bCs/>
          <w:lang w:eastAsia="en-AU"/>
        </w:rPr>
        <w:t xml:space="preserve">(Jakubski) (Coccoidae: Margarodidae) on grape vines. </w:t>
      </w:r>
      <w:r>
        <w:rPr>
          <w:bCs/>
          <w:i/>
          <w:lang w:eastAsia="en-AU"/>
        </w:rPr>
        <w:t>South African Journal for Enology and Viticulture</w:t>
      </w:r>
      <w:r>
        <w:rPr>
          <w:bCs/>
          <w:lang w:eastAsia="en-AU"/>
        </w:rPr>
        <w:t xml:space="preserve"> 8: 11–15.</w:t>
      </w:r>
    </w:p>
    <w:p>
      <w:pPr>
        <w:autoSpaceDE w:val="0"/>
        <w:autoSpaceDN w:val="0"/>
        <w:spacing w:before="120" w:after="120" w:line="300" w:lineRule="atLeast"/>
        <w:jc w:val="left"/>
        <w:rPr>
          <w:bCs/>
          <w:lang w:eastAsia="en-AU"/>
        </w:rPr>
      </w:pPr>
      <w:r>
        <w:rPr>
          <w:bCs/>
          <w:lang w:eastAsia="en-AU"/>
        </w:rPr>
        <w:t xml:space="preserve">De Klerk CA (2010) Chemical control of male pre-pupae and adult females of </w:t>
      </w:r>
      <w:r>
        <w:rPr>
          <w:bCs/>
          <w:i/>
          <w:lang w:eastAsia="en-AU"/>
        </w:rPr>
        <w:t xml:space="preserve">Margarodes prieskaensis </w:t>
      </w:r>
      <w:r>
        <w:rPr>
          <w:bCs/>
          <w:lang w:eastAsia="en-AU"/>
        </w:rPr>
        <w:t xml:space="preserve">(Jakubski) (Coccoidae: Margarodidae) on grape vines. </w:t>
      </w:r>
      <w:r>
        <w:rPr>
          <w:bCs/>
          <w:i/>
          <w:lang w:eastAsia="en-AU"/>
        </w:rPr>
        <w:t>South African Journal for Enology and Viticulture</w:t>
      </w:r>
      <w:r>
        <w:rPr>
          <w:bCs/>
          <w:lang w:eastAsia="en-AU"/>
        </w:rPr>
        <w:t xml:space="preserve"> 31: 160–164.</w:t>
      </w:r>
    </w:p>
    <w:p>
      <w:pPr>
        <w:spacing w:before="120" w:after="120" w:line="300" w:lineRule="atLeast"/>
        <w:jc w:val="left"/>
      </w:pPr>
      <w:r>
        <w:t xml:space="preserve">Deighton FC (1976) Three fungi on leaves of </w:t>
      </w:r>
      <w:r>
        <w:rPr>
          <w:i/>
          <w:iCs/>
        </w:rPr>
        <w:t>Vitis</w:t>
      </w:r>
      <w:r>
        <w:t xml:space="preserve">. </w:t>
      </w:r>
      <w:r>
        <w:rPr>
          <w:i/>
          <w:iCs/>
        </w:rPr>
        <w:t>Transactions British Mycological Society</w:t>
      </w:r>
      <w:r>
        <w:t xml:space="preserve"> </w:t>
      </w:r>
      <w:r>
        <w:rPr>
          <w:bCs/>
        </w:rPr>
        <w:t xml:space="preserve">67: </w:t>
      </w:r>
      <w:r>
        <w:t>223–232.</w:t>
      </w:r>
    </w:p>
    <w:p>
      <w:pPr>
        <w:spacing w:before="120" w:after="120" w:line="300" w:lineRule="atLeast"/>
        <w:jc w:val="left"/>
      </w:pPr>
      <w:r>
        <w:t xml:space="preserve">Delibašić G, Babović M, Jakovljević D (2000) The appearance and distribution of </w:t>
      </w:r>
      <w:r>
        <w:rPr>
          <w:i/>
        </w:rPr>
        <w:t xml:space="preserve">Grapevine fanleaf virus </w:t>
      </w:r>
      <w:r>
        <w:t xml:space="preserve">and </w:t>
      </w:r>
      <w:r>
        <w:rPr>
          <w:i/>
        </w:rPr>
        <w:t xml:space="preserve">Arabis mosaic virus </w:t>
      </w:r>
      <w:r>
        <w:t xml:space="preserve">in </w:t>
      </w:r>
      <w:smartTag w:uri="urn:schemas-microsoft-com:office:smarttags" w:element="country-region">
        <w:smartTag w:uri="urn:schemas-microsoft-com:office:smarttags" w:element="place">
          <w:r>
            <w:t>Yugoslavia</w:t>
          </w:r>
        </w:smartTag>
      </w:smartTag>
      <w:r>
        <w:t xml:space="preserve">. </w:t>
      </w:r>
      <w:r>
        <w:rPr>
          <w:i/>
        </w:rPr>
        <w:t>Extended abstracts International Council for the study of viruses and virus-like diseases of the grapevine</w:t>
      </w:r>
      <w:r>
        <w:t xml:space="preserve"> 72</w:t>
      </w:r>
      <w:r>
        <w:rPr>
          <w:bCs/>
        </w:rPr>
        <w:t>–</w:t>
      </w:r>
      <w:r>
        <w:t>73 Adelaide, Australia.</w:t>
      </w:r>
    </w:p>
    <w:p>
      <w:pPr>
        <w:pStyle w:val="AQISText"/>
        <w:spacing w:before="120" w:after="120" w:line="300" w:lineRule="atLeast"/>
        <w:jc w:val="left"/>
        <w:rPr>
          <w:sz w:val="24"/>
          <w:szCs w:val="24"/>
        </w:rPr>
      </w:pPr>
      <w:r>
        <w:rPr>
          <w:sz w:val="24"/>
          <w:szCs w:val="24"/>
        </w:rPr>
        <w:t xml:space="preserve">Deng S and Hiruki D (1991) Amplification of 16S rRNA genes from culturable and nonculturable mollicutes. </w:t>
      </w:r>
      <w:r>
        <w:rPr>
          <w:i/>
          <w:sz w:val="24"/>
          <w:szCs w:val="24"/>
        </w:rPr>
        <w:t>Journal of Microbiological Methods</w:t>
      </w:r>
      <w:r>
        <w:rPr>
          <w:sz w:val="24"/>
          <w:szCs w:val="24"/>
        </w:rPr>
        <w:t xml:space="preserve"> 14: 53</w:t>
      </w:r>
      <w:r>
        <w:rPr>
          <w:sz w:val="24"/>
          <w:szCs w:val="24"/>
          <w:lang w:eastAsia="en-AU"/>
        </w:rPr>
        <w:t>–</w:t>
      </w:r>
      <w:r>
        <w:rPr>
          <w:sz w:val="24"/>
          <w:szCs w:val="24"/>
        </w:rPr>
        <w:t>61.</w:t>
      </w:r>
    </w:p>
    <w:p>
      <w:pPr>
        <w:spacing w:before="120" w:after="120" w:line="300" w:lineRule="atLeast"/>
        <w:jc w:val="left"/>
      </w:pPr>
      <w:r>
        <w:t xml:space="preserve">Dennehy TJ, Clark LG (2008) Integrated Pest Management: Grape rootworm. </w:t>
      </w:r>
      <w:smartTag w:uri="urn:schemas-microsoft-com:office:smarttags" w:element="City">
        <w:r>
          <w:t>Cornell University</w:t>
        </w:r>
      </w:smartTag>
      <w:r>
        <w:t xml:space="preserve">, </w:t>
      </w:r>
      <w:smartTag w:uri="urn:schemas-microsoft-com:office:smarttags" w:element="State">
        <w:r>
          <w:t>New York</w:t>
        </w:r>
      </w:smartTag>
      <w:r>
        <w:t xml:space="preserve"> State Agricultural </w:t>
      </w:r>
      <w:smartTag w:uri="urn:schemas-microsoft-com:office:smarttags" w:element="place">
        <w:smartTag w:uri="urn:schemas-microsoft-com:office:smarttags" w:element="City">
          <w:r>
            <w:t>Experiment Station</w:t>
          </w:r>
        </w:smartTag>
        <w:r>
          <w:t xml:space="preserve">, </w:t>
        </w:r>
        <w:smartTag w:uri="urn:schemas-microsoft-com:office:smarttags" w:element="country-region">
          <w:r>
            <w:t>USA</w:t>
          </w:r>
        </w:smartTag>
      </w:smartTag>
      <w:r>
        <w:t xml:space="preserve">. </w:t>
      </w:r>
      <w:r>
        <w:rPr>
          <w:u w:val="single"/>
        </w:rPr>
        <w:t>http://www.nysipm.cornell.edu/factsheets/grapes/pests/grw/grw.asp</w:t>
      </w:r>
      <w:r>
        <w:t xml:space="preserve"> Accessed February 2010.</w:t>
      </w:r>
    </w:p>
    <w:p>
      <w:pPr>
        <w:autoSpaceDE w:val="0"/>
        <w:autoSpaceDN w:val="0"/>
        <w:spacing w:before="120" w:after="120" w:line="300" w:lineRule="atLeast"/>
        <w:jc w:val="left"/>
      </w:pPr>
      <w:r>
        <w:t xml:space="preserve">Dennill GB (1991) A pruning technique for saving vineyards severely infested by the Grape vine bud mite </w:t>
      </w:r>
      <w:r>
        <w:rPr>
          <w:i/>
        </w:rPr>
        <w:t>Colomerus vitis</w:t>
      </w:r>
      <w:r>
        <w:t xml:space="preserve"> (Pagenstecher) (Eriophyidae). </w:t>
      </w:r>
      <w:r>
        <w:rPr>
          <w:i/>
          <w:iCs/>
        </w:rPr>
        <w:t>Crop Protection</w:t>
      </w:r>
      <w:r>
        <w:t xml:space="preserve"> 10: 310–314.</w:t>
      </w:r>
    </w:p>
    <w:p>
      <w:pPr>
        <w:autoSpaceDE w:val="0"/>
        <w:autoSpaceDN w:val="0"/>
        <w:spacing w:before="120" w:after="120" w:line="300" w:lineRule="atLeast"/>
        <w:jc w:val="left"/>
      </w:pPr>
      <w:r>
        <w:t xml:space="preserve">DeSousa E, Cardoso F, Casati P Bianco PA, Guimaraes M and Pereira V (2003) Detection and identification of phytoplasmas belonging to 16SrV-D in </w:t>
      </w:r>
      <w:r>
        <w:rPr>
          <w:i/>
        </w:rPr>
        <w:t>Scaphoid</w:t>
      </w:r>
      <w:smartTag w:uri="urn:schemas-microsoft-com:office:smarttags" w:element="PersonName">
        <w:r>
          <w:rPr>
            <w:i/>
          </w:rPr>
          <w:t>eu</w:t>
        </w:r>
      </w:smartTag>
      <w:r>
        <w:rPr>
          <w:i/>
        </w:rPr>
        <w:t>s titanus</w:t>
      </w:r>
      <w:r>
        <w:t xml:space="preserve"> adults. In </w:t>
      </w:r>
      <w:r>
        <w:rPr>
          <w:i/>
        </w:rPr>
        <w:t>Extended Abstracts of the</w:t>
      </w:r>
      <w:r>
        <w:t xml:space="preserve"> </w:t>
      </w:r>
      <w:r>
        <w:rPr>
          <w:i/>
        </w:rPr>
        <w:t>14th ICVG Conference Locorotondo, 12–17</w:t>
      </w:r>
      <w:r>
        <w:rPr>
          <w:bCs/>
        </w:rPr>
        <w:t xml:space="preserve"> </w:t>
      </w:r>
      <w:r>
        <w:rPr>
          <w:i/>
        </w:rPr>
        <w:t xml:space="preserve">September 2003, Portugal </w:t>
      </w:r>
      <w:r>
        <w:t xml:space="preserve">78. ICVG, </w:t>
      </w:r>
      <w:smartTag w:uri="urn:schemas-microsoft-com:office:smarttags" w:element="country-region">
        <w:smartTag w:uri="urn:schemas-microsoft-com:office:smarttags" w:element="place">
          <w:r>
            <w:t>Switzerland</w:t>
          </w:r>
        </w:smartTag>
      </w:smartTag>
      <w:r>
        <w:t>.</w:t>
      </w:r>
    </w:p>
    <w:p>
      <w:pPr>
        <w:autoSpaceDE w:val="0"/>
        <w:autoSpaceDN w:val="0"/>
        <w:spacing w:before="120" w:after="120" w:line="300" w:lineRule="atLeast"/>
        <w:jc w:val="left"/>
      </w:pPr>
      <w:r>
        <w:t xml:space="preserve">Diaz </w:t>
      </w:r>
      <w:smartTag w:uri="urn:schemas-microsoft-com:office:smarttags" w:element="State">
        <w:r>
          <w:t>GA</w:t>
        </w:r>
      </w:smartTag>
      <w:r>
        <w:t xml:space="preserve">, Prehn D, Latorre BA (2011) First report of </w:t>
      </w:r>
      <w:r>
        <w:rPr>
          <w:i/>
        </w:rPr>
        <w:t>Cryptovalsa ampelina</w:t>
      </w:r>
      <w:r>
        <w:t xml:space="preserve"> and </w:t>
      </w:r>
      <w:r>
        <w:rPr>
          <w:i/>
        </w:rPr>
        <w:t>Eutypella leprosa</w:t>
      </w:r>
      <w:r>
        <w:t xml:space="preserve"> associated with grapevine trunk diseases in </w:t>
      </w:r>
      <w:smartTag w:uri="urn:schemas-microsoft-com:office:smarttags" w:element="country-region">
        <w:smartTag w:uri="urn:schemas-microsoft-com:office:smarttags" w:element="place">
          <w:r>
            <w:t>Chile</w:t>
          </w:r>
        </w:smartTag>
      </w:smartTag>
      <w:r>
        <w:t xml:space="preserve">. </w:t>
      </w:r>
      <w:r>
        <w:rPr>
          <w:i/>
        </w:rPr>
        <w:t>Plant Disease</w:t>
      </w:r>
      <w:r>
        <w:t xml:space="preserve"> 95: 490–491.</w:t>
      </w:r>
    </w:p>
    <w:p>
      <w:pPr>
        <w:autoSpaceDE w:val="0"/>
        <w:autoSpaceDN w:val="0"/>
        <w:spacing w:before="120" w:after="120" w:line="300" w:lineRule="atLeast"/>
        <w:jc w:val="left"/>
      </w:pPr>
      <w:r>
        <w:t xml:space="preserve">Dibble JE, Joose J, LaVine P, Haire S and Bearden BE (1979) Climbing cutworms; early-season pests of grapes. </w:t>
      </w:r>
      <w:smartTag w:uri="urn:schemas-microsoft-com:office:smarttags" w:element="State">
        <w:smartTag w:uri="urn:schemas-microsoft-com:office:smarttags" w:element="place">
          <w:r>
            <w:rPr>
              <w:i/>
            </w:rPr>
            <w:t>California</w:t>
          </w:r>
        </w:smartTag>
      </w:smartTag>
      <w:r>
        <w:rPr>
          <w:i/>
        </w:rPr>
        <w:t xml:space="preserve"> Agriculture</w:t>
      </w:r>
      <w:r>
        <w:t xml:space="preserve"> 33: 14–15.</w:t>
      </w:r>
    </w:p>
    <w:p>
      <w:pPr>
        <w:spacing w:before="120" w:after="120" w:line="300" w:lineRule="atLeast"/>
        <w:jc w:val="left"/>
      </w:pPr>
      <w:r>
        <w:t xml:space="preserve">Digiaro M, Elbeaino T, Martelli GP (2007) Development of degenerate and species-specific primers for the differential and simultaneous RT-PCR detection of grapevine-infecting nepoviruses of subgroups A, B and C. </w:t>
      </w:r>
      <w:r>
        <w:rPr>
          <w:i/>
        </w:rPr>
        <w:t>Journal of Virological Methods</w:t>
      </w:r>
      <w:r>
        <w:t xml:space="preserve"> 141: 34–40.</w:t>
      </w:r>
    </w:p>
    <w:p>
      <w:pPr>
        <w:spacing w:before="120" w:after="120" w:line="300" w:lineRule="atLeast"/>
        <w:jc w:val="left"/>
      </w:pPr>
      <w:r>
        <w:t xml:space="preserve">Digiaro M, Ghanem-Sabanadzovic NA, Cigsar I, Gokalp K, de Strandis A, Boscia D, Martelli GP (2003) Two hitherto undescribed nepoviruses from Turkish grapevines. In </w:t>
      </w:r>
      <w:r>
        <w:rPr>
          <w:i/>
        </w:rPr>
        <w:t>Extended Abstracts of the 14th ICVG Conference, Locorotondo, 12–17th September, 2003</w:t>
      </w:r>
      <w:r>
        <w:t>, North American Plant Protection Organization (NAPPO), Ottawa.</w:t>
      </w:r>
    </w:p>
    <w:p>
      <w:pPr>
        <w:spacing w:before="120" w:after="120" w:line="300" w:lineRule="atLeast"/>
        <w:jc w:val="left"/>
      </w:pPr>
      <w:r>
        <w:t xml:space="preserve">Digiaro M, Martelli GP, Savino V (2000) Phloem-limited viruses in the Mediterranean and </w:t>
      </w:r>
      <w:smartTag w:uri="urn:schemas-microsoft-com:office:smarttags" w:element="place">
        <w:r>
          <w:t>Near East</w:t>
        </w:r>
      </w:smartTag>
      <w:r>
        <w:t xml:space="preserve">. In </w:t>
      </w:r>
      <w:r>
        <w:rPr>
          <w:i/>
        </w:rPr>
        <w:t>Extended Abstracts of the 13th Meeting of ICVG, March 12–18, 2000 Adelaide, Australia</w:t>
      </w:r>
      <w:r>
        <w:t xml:space="preserve">. ICVG, </w:t>
      </w:r>
      <w:smartTag w:uri="urn:schemas-microsoft-com:office:smarttags" w:element="country-region">
        <w:smartTag w:uri="urn:schemas-microsoft-com:office:smarttags" w:element="place">
          <w:r>
            <w:t>Switzerland</w:t>
          </w:r>
        </w:smartTag>
      </w:smartTag>
      <w:r>
        <w:t xml:space="preserve">. </w:t>
      </w:r>
    </w:p>
    <w:p>
      <w:pPr>
        <w:tabs>
          <w:tab w:val="left" w:pos="0"/>
        </w:tabs>
        <w:spacing w:before="120" w:after="120" w:line="300" w:lineRule="atLeast"/>
        <w:jc w:val="left"/>
      </w:pPr>
      <w:r>
        <w:t xml:space="preserve">Dimou D, D'Onghia AM, da Camara Machado ML, Savino V (1994) Occurrence of </w:t>
      </w:r>
      <w:r>
        <w:rPr>
          <w:i/>
        </w:rPr>
        <w:t>Grapevine chrome mosaic nepovirus</w:t>
      </w:r>
      <w:r>
        <w:t xml:space="preserve"> in </w:t>
      </w:r>
      <w:smartTag w:uri="urn:schemas-microsoft-com:office:smarttags" w:element="country-region">
        <w:smartTag w:uri="urn:schemas-microsoft-com:office:smarttags" w:element="place">
          <w:r>
            <w:t>Austria</w:t>
          </w:r>
        </w:smartTag>
      </w:smartTag>
      <w:r>
        <w:t xml:space="preserve">. </w:t>
      </w:r>
      <w:r>
        <w:rPr>
          <w:i/>
        </w:rPr>
        <w:t>Journal of Phytopathology</w:t>
      </w:r>
      <w:r>
        <w:t xml:space="preserve"> 142: 258–262.</w:t>
      </w:r>
    </w:p>
    <w:p>
      <w:pPr>
        <w:tabs>
          <w:tab w:val="left" w:pos="0"/>
        </w:tabs>
        <w:spacing w:before="120" w:after="120" w:line="300" w:lineRule="atLeast"/>
        <w:jc w:val="left"/>
      </w:pPr>
      <w:r>
        <w:t xml:space="preserve">Doganlar M, Yigit A (2002) A new potential pest for orchards and vineyards: Black vine thrips, </w:t>
      </w:r>
      <w:r>
        <w:rPr>
          <w:i/>
        </w:rPr>
        <w:t>Retithrips syriacus</w:t>
      </w:r>
      <w:r>
        <w:t xml:space="preserve"> (Mayet) (Thysanoptera: Thripidae) in Hatay. </w:t>
      </w:r>
      <w:r>
        <w:rPr>
          <w:i/>
        </w:rPr>
        <w:t>Turkiye Entomoloji Dergisi</w:t>
      </w:r>
      <w:r>
        <w:t xml:space="preserve"> 26: 283–94.</w:t>
      </w:r>
    </w:p>
    <w:p>
      <w:pPr>
        <w:autoSpaceDE w:val="0"/>
        <w:autoSpaceDN w:val="0"/>
        <w:spacing w:before="120" w:after="120" w:line="300" w:lineRule="atLeast"/>
        <w:jc w:val="left"/>
        <w:rPr>
          <w:bCs/>
          <w:lang w:eastAsia="en-AU"/>
        </w:rPr>
      </w:pPr>
      <w:r>
        <w:rPr>
          <w:lang w:eastAsia="en-AU"/>
        </w:rPr>
        <w:t xml:space="preserve">Dovas CI, Katis NI (2003) A spot nested RT-PCR method for the simultaneous detection of members of the </w:t>
      </w:r>
      <w:r>
        <w:rPr>
          <w:i/>
          <w:iCs/>
          <w:lang w:eastAsia="en-AU"/>
        </w:rPr>
        <w:t xml:space="preserve">Vitivirus </w:t>
      </w:r>
      <w:r>
        <w:rPr>
          <w:lang w:eastAsia="en-AU"/>
        </w:rPr>
        <w:t xml:space="preserve">and </w:t>
      </w:r>
      <w:r>
        <w:rPr>
          <w:i/>
          <w:iCs/>
          <w:lang w:eastAsia="en-AU"/>
        </w:rPr>
        <w:t xml:space="preserve">Foveavirus </w:t>
      </w:r>
      <w:r>
        <w:rPr>
          <w:lang w:eastAsia="en-AU"/>
        </w:rPr>
        <w:t xml:space="preserve">genera in grapevine. </w:t>
      </w:r>
      <w:r>
        <w:rPr>
          <w:i/>
          <w:iCs/>
          <w:lang w:eastAsia="en-AU"/>
        </w:rPr>
        <w:t>Journal of Virological Methods</w:t>
      </w:r>
      <w:r>
        <w:rPr>
          <w:lang w:eastAsia="en-AU"/>
        </w:rPr>
        <w:t xml:space="preserve"> </w:t>
      </w:r>
      <w:r>
        <w:rPr>
          <w:bCs/>
          <w:lang w:eastAsia="en-AU"/>
        </w:rPr>
        <w:t>107</w:t>
      </w:r>
      <w:r>
        <w:rPr>
          <w:lang w:eastAsia="en-AU"/>
        </w:rPr>
        <w:t>: 99–106.</w:t>
      </w:r>
    </w:p>
    <w:p>
      <w:pPr>
        <w:autoSpaceDE w:val="0"/>
        <w:autoSpaceDN w:val="0"/>
        <w:spacing w:before="120" w:after="120" w:line="300" w:lineRule="atLeast"/>
        <w:jc w:val="left"/>
      </w:pPr>
      <w:r>
        <w:t xml:space="preserve">Dreaden TJ, Shin K, Smith JA (2011) First report of </w:t>
      </w:r>
      <w:r>
        <w:rPr>
          <w:i/>
        </w:rPr>
        <w:t xml:space="preserve">Diplodia corticola </w:t>
      </w:r>
      <w:r>
        <w:t>causing branch cankers on live oak (</w:t>
      </w:r>
      <w:r>
        <w:rPr>
          <w:i/>
        </w:rPr>
        <w:t>Quercus virginiana</w:t>
      </w:r>
      <w:r>
        <w:t xml:space="preserve">) in </w:t>
      </w:r>
      <w:smartTag w:uri="urn:schemas-microsoft-com:office:smarttags" w:element="State">
        <w:smartTag w:uri="urn:schemas-microsoft-com:office:smarttags" w:element="place">
          <w:r>
            <w:t>Florida</w:t>
          </w:r>
        </w:smartTag>
      </w:smartTag>
      <w:r>
        <w:t xml:space="preserve">. </w:t>
      </w:r>
      <w:r>
        <w:rPr>
          <w:i/>
        </w:rPr>
        <w:t xml:space="preserve">Plant Disease </w:t>
      </w:r>
      <w:r>
        <w:t>95: 1027.</w:t>
      </w:r>
    </w:p>
    <w:p>
      <w:pPr>
        <w:autoSpaceDE w:val="0"/>
        <w:autoSpaceDN w:val="0"/>
        <w:spacing w:before="120" w:after="120" w:line="300" w:lineRule="atLeast"/>
        <w:jc w:val="left"/>
      </w:pPr>
      <w:r>
        <w:t xml:space="preserve">Dreo T, Seljak G, Janse JD, Beld Ivan der, Tjou-Tam-Sin L, Gorkink-Smits P, Ravnikar M, (2005) First laboratory confirmation of </w:t>
      </w:r>
      <w:r>
        <w:rPr>
          <w:i/>
        </w:rPr>
        <w:t>Xylophilus ampelinus</w:t>
      </w:r>
      <w:r>
        <w:t xml:space="preserve"> in Slovenia. </w:t>
      </w:r>
      <w:r>
        <w:rPr>
          <w:i/>
        </w:rPr>
        <w:t>Bulletin OEPP</w:t>
      </w:r>
      <w:r>
        <w:t xml:space="preserve"> 35: 149–155.</w:t>
      </w:r>
    </w:p>
    <w:p>
      <w:pPr>
        <w:autoSpaceDE w:val="0"/>
        <w:autoSpaceDN w:val="0"/>
        <w:spacing w:before="120" w:after="120" w:line="300" w:lineRule="atLeast"/>
        <w:jc w:val="left"/>
      </w:pPr>
      <w:r>
        <w:t xml:space="preserve">Duduk B, Ivanovic M, Dukic N, Botti S, Bertaccini A (2003) First report of an Elm yellows subgroup 16SrV-C Phytoplasma infecting grapevine in </w:t>
      </w:r>
      <w:smartTag w:uri="urn:schemas-microsoft-com:office:smarttags" w:element="country-region">
        <w:smartTag w:uri="urn:schemas-microsoft-com:office:smarttags" w:element="place">
          <w:r>
            <w:t>Serbia</w:t>
          </w:r>
        </w:smartTag>
      </w:smartTag>
      <w:r>
        <w:t xml:space="preserve">. </w:t>
      </w:r>
      <w:r>
        <w:rPr>
          <w:i/>
        </w:rPr>
        <w:t>Plant Disease</w:t>
      </w:r>
      <w:r>
        <w:t xml:space="preserve"> 87: 599.</w:t>
      </w:r>
    </w:p>
    <w:p>
      <w:pPr>
        <w:autoSpaceDE w:val="0"/>
        <w:autoSpaceDN w:val="0"/>
        <w:spacing w:before="120" w:after="120" w:line="300" w:lineRule="atLeast"/>
        <w:jc w:val="left"/>
      </w:pPr>
      <w:r>
        <w:t>Duduk B, Tian JB, Contaldo N, Fan XP, Paltrinieri S, Chen QF, Zhao QF, Bertaccini A (2010) Occurrence of phytoplasmas related to Stolbur and to ‘</w:t>
      </w:r>
      <w:r>
        <w:rPr>
          <w:i/>
        </w:rPr>
        <w:t xml:space="preserve">Candidatus </w:t>
      </w:r>
      <w:r>
        <w:t xml:space="preserve">Phytoplasma japonicum’ in woody host plants in China. </w:t>
      </w:r>
      <w:r>
        <w:rPr>
          <w:i/>
        </w:rPr>
        <w:t>Journal of Phytopathology</w:t>
      </w:r>
      <w:r>
        <w:t xml:space="preserve"> 158: 100–104.</w:t>
      </w:r>
    </w:p>
    <w:p>
      <w:pPr>
        <w:autoSpaceDE w:val="0"/>
        <w:autoSpaceDN w:val="0"/>
        <w:spacing w:before="120" w:after="120" w:line="300" w:lineRule="atLeast"/>
        <w:jc w:val="left"/>
      </w:pPr>
      <w:r>
        <w:t xml:space="preserve">Dugan FM, Schubert K, Braun U (2004) Check-list of </w:t>
      </w:r>
      <w:r>
        <w:rPr>
          <w:i/>
        </w:rPr>
        <w:t>Cladosporium</w:t>
      </w:r>
      <w:r>
        <w:t xml:space="preserve"> names. </w:t>
      </w:r>
      <w:r>
        <w:rPr>
          <w:i/>
        </w:rPr>
        <w:t>Schelechtendalia</w:t>
      </w:r>
      <w:r>
        <w:t xml:space="preserve"> 11: 1-119.</w:t>
      </w:r>
    </w:p>
    <w:p>
      <w:pPr>
        <w:autoSpaceDE w:val="0"/>
        <w:autoSpaceDN w:val="0"/>
        <w:spacing w:before="120" w:after="120" w:line="300" w:lineRule="atLeast"/>
        <w:jc w:val="left"/>
      </w:pPr>
      <w:r>
        <w:t xml:space="preserve">Dupont J, Laloui W, Magnin S, Larignon P, Roquebert MF (2000) </w:t>
      </w:r>
      <w:r>
        <w:rPr>
          <w:i/>
        </w:rPr>
        <w:t>Phaeoacremonium viticola</w:t>
      </w:r>
      <w:r>
        <w:t xml:space="preserve">, a new species associated with esca disease of grapevine in </w:t>
      </w:r>
      <w:smartTag w:uri="urn:schemas-microsoft-com:office:smarttags" w:element="country-region">
        <w:smartTag w:uri="urn:schemas-microsoft-com:office:smarttags" w:element="place">
          <w:r>
            <w:t>France</w:t>
          </w:r>
        </w:smartTag>
      </w:smartTag>
      <w:r>
        <w:t xml:space="preserve">. </w:t>
      </w:r>
      <w:r>
        <w:rPr>
          <w:i/>
        </w:rPr>
        <w:t>Mycologia</w:t>
      </w:r>
      <w:r>
        <w:t xml:space="preserve"> 92: 499–504.</w:t>
      </w:r>
    </w:p>
    <w:p>
      <w:pPr>
        <w:spacing w:before="120" w:after="120" w:line="300" w:lineRule="atLeast"/>
        <w:jc w:val="left"/>
      </w:pPr>
      <w:r>
        <w:t xml:space="preserve">Eaton AT (1978) Studies on distribution patterns, ovipositional preference, and egg and larval survival of </w:t>
      </w:r>
      <w:r>
        <w:rPr>
          <w:i/>
        </w:rPr>
        <w:t>Colaspis brunnea</w:t>
      </w:r>
      <w:r>
        <w:t xml:space="preserve"> (Fab.) in North Carolina Coastal Plain soybean fields. Thesis, North Carolina State University. </w:t>
      </w:r>
      <w:hyperlink r:id="rId151" w:history="1">
        <w:r>
          <w:rPr>
            <w:rStyle w:val="Hyperlink"/>
            <w:color w:val="auto"/>
          </w:rPr>
          <w:t>http://www.ent.iastate.edu/soybeaninsects/Eaton 1978</w:t>
        </w:r>
      </w:hyperlink>
      <w:r>
        <w:t xml:space="preserve"> Accessed March 2011.</w:t>
      </w:r>
    </w:p>
    <w:p>
      <w:pPr>
        <w:spacing w:before="120" w:after="120" w:line="300" w:lineRule="atLeast"/>
        <w:jc w:val="left"/>
      </w:pPr>
      <w:r>
        <w:t xml:space="preserve">Ebel R, Schnabel A, Reustle GM, Krczal G, Wetzel T (2003) Molecular characterization of two German </w:t>
      </w:r>
      <w:r>
        <w:rPr>
          <w:i/>
        </w:rPr>
        <w:t xml:space="preserve">Raspberry ringspot virus </w:t>
      </w:r>
      <w:r>
        <w:t>isolates infecting grapevines and construction of full length infectious clones</w:t>
      </w:r>
      <w:r>
        <w:rPr>
          <w:i/>
        </w:rPr>
        <w:t xml:space="preserve">. </w:t>
      </w:r>
      <w:r>
        <w:t xml:space="preserve">In </w:t>
      </w:r>
      <w:r>
        <w:rPr>
          <w:i/>
        </w:rPr>
        <w:t xml:space="preserve">Extended Abstracts of the 13th Meeting of ICVG, March 12–18, 2000 Adelaide, Australia </w:t>
      </w:r>
      <w:r>
        <w:t xml:space="preserve">16. ICVG, </w:t>
      </w:r>
      <w:smartTag w:uri="urn:schemas-microsoft-com:office:smarttags" w:element="country-region">
        <w:smartTag w:uri="urn:schemas-microsoft-com:office:smarttags" w:element="place">
          <w:r>
            <w:t>Switzerland</w:t>
          </w:r>
        </w:smartTag>
      </w:smartTag>
      <w:r>
        <w:t xml:space="preserve">. </w:t>
      </w:r>
    </w:p>
    <w:p>
      <w:pPr>
        <w:spacing w:before="120" w:after="120" w:line="300" w:lineRule="atLeast"/>
        <w:jc w:val="left"/>
        <w:rPr>
          <w:lang w:eastAsia="en-AU"/>
        </w:rPr>
      </w:pPr>
      <w:r>
        <w:rPr>
          <w:lang w:eastAsia="en-AU"/>
        </w:rPr>
        <w:t xml:space="preserve">Ebeling W (2002) Urban </w:t>
      </w:r>
      <w:r>
        <w:t>Entomology</w:t>
      </w:r>
      <w:r>
        <w:rPr>
          <w:lang w:eastAsia="en-AU"/>
        </w:rPr>
        <w:t xml:space="preserve">: Wood-destroying insects and fungi. Department of Entomology. University of California, Riverside. </w:t>
      </w:r>
      <w:r>
        <w:rPr>
          <w:u w:val="single"/>
          <w:lang w:eastAsia="en-AU"/>
        </w:rPr>
        <w:t>http://entomology.ucr.edu/ebeling/ebel51.html#termite%20pest%20species%20list</w:t>
      </w:r>
      <w:r>
        <w:rPr>
          <w:lang w:eastAsia="en-AU"/>
        </w:rPr>
        <w:t xml:space="preserve"> Accessed April 2010.</w:t>
      </w:r>
    </w:p>
    <w:p>
      <w:pPr>
        <w:autoSpaceDE w:val="0"/>
        <w:autoSpaceDN w:val="0"/>
        <w:spacing w:before="120" w:after="120" w:line="300" w:lineRule="atLeast"/>
        <w:jc w:val="left"/>
        <w:outlineLvl w:val="3"/>
      </w:pPr>
      <w:r>
        <w:t xml:space="preserve">Eddin G, Al-Chaabi MS, Khadam A (2008) Investigation on some </w:t>
      </w:r>
      <w:r>
        <w:rPr>
          <w:i/>
        </w:rPr>
        <w:t>Grapevine leafroll-associated viruses</w:t>
      </w:r>
      <w:r>
        <w:t xml:space="preserve"> (GLRaVs) in south of Syria. </w:t>
      </w:r>
      <w:r>
        <w:rPr>
          <w:i/>
        </w:rPr>
        <w:t xml:space="preserve">Arab Journal of Plant Protection </w:t>
      </w:r>
      <w:r>
        <w:t>26: 102</w:t>
      </w:r>
      <w:r>
        <w:rPr>
          <w:lang w:eastAsia="en-AU"/>
        </w:rPr>
        <w:t>–</w:t>
      </w:r>
      <w:r>
        <w:t>109.</w:t>
      </w:r>
    </w:p>
    <w:p>
      <w:pPr>
        <w:autoSpaceDE w:val="0"/>
        <w:autoSpaceDN w:val="0"/>
        <w:spacing w:before="120" w:after="120" w:line="300" w:lineRule="atLeast"/>
        <w:jc w:val="left"/>
        <w:rPr>
          <w:lang w:eastAsia="en-AU"/>
        </w:rPr>
      </w:pPr>
      <w:r>
        <w:rPr>
          <w:lang w:eastAsia="en-AU"/>
        </w:rPr>
        <w:t xml:space="preserve">Edwards J, Pascoe IG (2004) </w:t>
      </w:r>
      <w:r>
        <w:rPr>
          <w:bCs/>
          <w:lang w:eastAsia="en-AU"/>
        </w:rPr>
        <w:t xml:space="preserve">Occurrence of </w:t>
      </w:r>
      <w:r>
        <w:rPr>
          <w:bCs/>
          <w:i/>
          <w:lang w:eastAsia="en-AU"/>
        </w:rPr>
        <w:t>Phaeomoniella</w:t>
      </w:r>
      <w:r>
        <w:rPr>
          <w:bCs/>
          <w:lang w:eastAsia="en-AU"/>
        </w:rPr>
        <w:t xml:space="preserve"> </w:t>
      </w:r>
      <w:r>
        <w:rPr>
          <w:bCs/>
          <w:i/>
          <w:lang w:eastAsia="en-AU"/>
        </w:rPr>
        <w:t>chlamydospora</w:t>
      </w:r>
      <w:r>
        <w:rPr>
          <w:bCs/>
          <w:lang w:eastAsia="en-AU"/>
        </w:rPr>
        <w:t xml:space="preserve"> and </w:t>
      </w:r>
      <w:r>
        <w:rPr>
          <w:bCs/>
          <w:i/>
          <w:lang w:eastAsia="en-AU"/>
        </w:rPr>
        <w:t>Phaeoacremonium aleophilum</w:t>
      </w:r>
      <w:r>
        <w:rPr>
          <w:bCs/>
          <w:lang w:eastAsia="en-AU"/>
        </w:rPr>
        <w:t xml:space="preserve"> associated with Petri disease and esca in Australian </w:t>
      </w:r>
      <w:r>
        <w:rPr>
          <w:lang w:eastAsia="en-AU"/>
        </w:rPr>
        <w:t xml:space="preserve">grapevines. </w:t>
      </w:r>
      <w:r>
        <w:rPr>
          <w:i/>
          <w:lang w:eastAsia="en-AU"/>
        </w:rPr>
        <w:t>Australasian Plant Pathology</w:t>
      </w:r>
      <w:r>
        <w:rPr>
          <w:lang w:eastAsia="en-AU"/>
        </w:rPr>
        <w:t xml:space="preserve"> 33: 273–279.</w:t>
      </w:r>
    </w:p>
    <w:p>
      <w:pPr>
        <w:spacing w:before="120" w:after="120" w:line="300" w:lineRule="atLeast"/>
        <w:jc w:val="left"/>
      </w:pPr>
      <w:r>
        <w:t xml:space="preserve">Eicker A (1973) The mycoflora of </w:t>
      </w:r>
      <w:r>
        <w:rPr>
          <w:i/>
        </w:rPr>
        <w:t xml:space="preserve">Eucalyptus maculata </w:t>
      </w:r>
      <w:r>
        <w:t xml:space="preserve">leaf litter. </w:t>
      </w:r>
      <w:r>
        <w:rPr>
          <w:i/>
        </w:rPr>
        <w:t xml:space="preserve">Soil Biology and Biochemistry </w:t>
      </w:r>
      <w:r>
        <w:t>5: 441–448.</w:t>
      </w:r>
    </w:p>
    <w:p>
      <w:pPr>
        <w:spacing w:before="120" w:after="120" w:line="300" w:lineRule="atLeast"/>
        <w:jc w:val="left"/>
      </w:pPr>
      <w:r>
        <w:t xml:space="preserve">Ellis JB, Everhart BM (1897) New species of fungi from various localities. </w:t>
      </w:r>
      <w:r>
        <w:rPr>
          <w:i/>
        </w:rPr>
        <w:t xml:space="preserve">Bulletin of the Torrey Botanical Club </w:t>
      </w:r>
      <w:r>
        <w:t>24: 457–477.</w:t>
      </w:r>
    </w:p>
    <w:p>
      <w:pPr>
        <w:spacing w:before="120" w:after="120" w:line="300" w:lineRule="atLeast"/>
        <w:jc w:val="left"/>
      </w:pPr>
      <w:r>
        <w:t xml:space="preserve">Ellis MA (2008) Grape black rot. The Ohio State University Extension Factsheet. </w:t>
      </w:r>
      <w:r>
        <w:rPr>
          <w:u w:val="single"/>
        </w:rPr>
        <w:t>ohioline.osu.edu/hyg-fact/3000/pdf/HYG_3004_08.pdf</w:t>
      </w:r>
      <w:r>
        <w:t xml:space="preserve"> Accessed November 2010.</w:t>
      </w:r>
    </w:p>
    <w:p>
      <w:pPr>
        <w:spacing w:before="120" w:after="120" w:line="300" w:lineRule="atLeast"/>
        <w:jc w:val="left"/>
      </w:pPr>
      <w:r>
        <w:t>Ellis MB, Ellis JP (1997)</w:t>
      </w:r>
      <w:r>
        <w:rPr>
          <w:i/>
        </w:rPr>
        <w:t xml:space="preserve"> Microfungi on land plants: an identification handbook</w:t>
      </w:r>
      <w:r>
        <w:t xml:space="preserve"> 2</w:t>
      </w:r>
      <w:r>
        <w:rPr>
          <w:vertAlign w:val="superscript"/>
        </w:rPr>
        <w:t>nd</w:t>
      </w:r>
      <w:r>
        <w:t xml:space="preserve"> edn. The Richmond Publishing Co. Ltd., UK. </w:t>
      </w:r>
    </w:p>
    <w:p>
      <w:pPr>
        <w:spacing w:before="120" w:after="120" w:line="300" w:lineRule="atLeast"/>
        <w:jc w:val="left"/>
      </w:pPr>
      <w:r>
        <w:t xml:space="preserve">Engel EA, Escobar P, Montt C, Gomez-Talquenca S, Valenzuela PDT (2008) First report on the occurrence of </w:t>
      </w:r>
      <w:r>
        <w:rPr>
          <w:i/>
          <w:iCs/>
        </w:rPr>
        <w:t xml:space="preserve">Grapevine leafroll-associated virus 7 </w:t>
      </w:r>
      <w:r>
        <w:t xml:space="preserve">and </w:t>
      </w:r>
      <w:r>
        <w:rPr>
          <w:i/>
          <w:iCs/>
        </w:rPr>
        <w:t xml:space="preserve">9 </w:t>
      </w:r>
      <w:r>
        <w:t xml:space="preserve">in Chilean grapevines. </w:t>
      </w:r>
      <w:r>
        <w:rPr>
          <w:i/>
          <w:iCs/>
        </w:rPr>
        <w:t xml:space="preserve">Plant Disease </w:t>
      </w:r>
      <w:r>
        <w:t>92: 1252.</w:t>
      </w:r>
    </w:p>
    <w:p>
      <w:pPr>
        <w:autoSpaceDE w:val="0"/>
        <w:autoSpaceDN w:val="0"/>
        <w:spacing w:before="120" w:after="120" w:line="300" w:lineRule="atLeast"/>
        <w:jc w:val="left"/>
      </w:pPr>
      <w:hyperlink r:id="rId152" w:tooltip="Esteban A. Engel" w:history="1">
        <w:r>
          <w:t>Engel</w:t>
        </w:r>
      </w:hyperlink>
      <w:r>
        <w:t xml:space="preserve"> EA, Rivera PA, Valenzuela PDT (2010) First report of </w:t>
      </w:r>
      <w:hyperlink r:id="rId153" w:tooltip="Grapevine Syrah virus-1 (page does not exist)" w:history="1">
        <w:r>
          <w:rPr>
            <w:i/>
          </w:rPr>
          <w:t>Grapevine Syrah virus-1</w:t>
        </w:r>
      </w:hyperlink>
      <w:r>
        <w:t xml:space="preserve"> in Chilean grapevines. </w:t>
      </w:r>
      <w:r>
        <w:rPr>
          <w:i/>
        </w:rPr>
        <w:t xml:space="preserve">Plant Disease </w:t>
      </w:r>
      <w:r>
        <w:t>94: 63–633.</w:t>
      </w:r>
    </w:p>
    <w:p>
      <w:pPr>
        <w:spacing w:before="120" w:after="120" w:line="300" w:lineRule="atLeast"/>
        <w:jc w:val="left"/>
      </w:pPr>
      <w:r>
        <w:t xml:space="preserve">Engelbrecht M, Joubert J, Burger JT (2010) First report of Aster yellows Phytoplasma in grapevines in </w:t>
      </w:r>
      <w:smartTag w:uri="urn:schemas-microsoft-com:office:smarttags" w:element="country-region">
        <w:smartTag w:uri="urn:schemas-microsoft-com:office:smarttags" w:element="place">
          <w:r>
            <w:t>South Africa</w:t>
          </w:r>
        </w:smartTag>
      </w:smartTag>
      <w:r>
        <w:t xml:space="preserve">. </w:t>
      </w:r>
      <w:r>
        <w:rPr>
          <w:i/>
        </w:rPr>
        <w:t>Plant Disease</w:t>
      </w:r>
      <w:r>
        <w:t xml:space="preserve"> 94: 373.</w:t>
      </w:r>
    </w:p>
    <w:p>
      <w:pPr>
        <w:autoSpaceDE w:val="0"/>
        <w:autoSpaceDN w:val="0"/>
        <w:spacing w:before="120" w:after="120" w:line="300" w:lineRule="atLeast"/>
        <w:jc w:val="left"/>
        <w:rPr>
          <w:rStyle w:val="gsa1"/>
          <w:color w:val="auto"/>
        </w:rPr>
      </w:pPr>
      <w:r>
        <w:rPr>
          <w:rStyle w:val="gsa1"/>
          <w:color w:val="auto"/>
        </w:rPr>
        <w:t xml:space="preserve">Eppler A, Lesan V, Lazar A (1989) Viruses and virus diseases in some vineyards in </w:t>
      </w:r>
      <w:smartTag w:uri="urn:schemas-microsoft-com:office:smarttags" w:element="country-region">
        <w:smartTag w:uri="urn:schemas-microsoft-com:office:smarttags" w:element="place">
          <w:r>
            <w:rPr>
              <w:rStyle w:val="gsa1"/>
              <w:color w:val="auto"/>
            </w:rPr>
            <w:t>Romania</w:t>
          </w:r>
        </w:smartTag>
      </w:smartTag>
      <w:r>
        <w:rPr>
          <w:rStyle w:val="gsa1"/>
          <w:color w:val="auto"/>
        </w:rPr>
        <w:t xml:space="preserve">. </w:t>
      </w:r>
      <w:r>
        <w:rPr>
          <w:rStyle w:val="gsa1"/>
          <w:i/>
          <w:color w:val="auto"/>
        </w:rPr>
        <w:t xml:space="preserve">Mededelingen van de Faculteit </w:t>
      </w:r>
      <w:r>
        <w:rPr>
          <w:i/>
        </w:rPr>
        <w:t>Landbouwwetenschappen</w:t>
      </w:r>
      <w:r>
        <w:rPr>
          <w:rStyle w:val="gsa1"/>
          <w:i/>
          <w:color w:val="auto"/>
        </w:rPr>
        <w:t>, Rijksuniversiteit Gent.</w:t>
      </w:r>
      <w:r>
        <w:rPr>
          <w:rStyle w:val="gsa1"/>
          <w:color w:val="auto"/>
        </w:rPr>
        <w:t xml:space="preserve"> 54: 491</w:t>
      </w:r>
      <w:r>
        <w:t>–</w:t>
      </w:r>
      <w:r>
        <w:rPr>
          <w:rStyle w:val="gsa1"/>
          <w:color w:val="auto"/>
        </w:rPr>
        <w:t xml:space="preserve">497. </w:t>
      </w:r>
    </w:p>
    <w:p>
      <w:pPr>
        <w:spacing w:before="120" w:after="120" w:line="300" w:lineRule="atLeast"/>
        <w:jc w:val="left"/>
      </w:pPr>
      <w:r>
        <w:t xml:space="preserve">EPPO (2002a) Alert list: </w:t>
      </w:r>
      <w:r>
        <w:rPr>
          <w:i/>
        </w:rPr>
        <w:t xml:space="preserve">Phakopsora </w:t>
      </w:r>
      <w:smartTag w:uri="urn:schemas-microsoft-com:office:smarttags" w:element="PersonName">
        <w:r>
          <w:rPr>
            <w:i/>
          </w:rPr>
          <w:t>eu</w:t>
        </w:r>
      </w:smartTag>
      <w:r>
        <w:rPr>
          <w:i/>
        </w:rPr>
        <w:t>vitis</w:t>
      </w:r>
      <w:r>
        <w:t xml:space="preserve">. </w:t>
      </w:r>
      <w:r>
        <w:rPr>
          <w:lang w:val="en-US"/>
        </w:rPr>
        <w:t xml:space="preserve">European and Mediterranean Plant Protection Organisation. </w:t>
      </w:r>
      <w:r>
        <w:rPr>
          <w:u w:val="single"/>
          <w:lang w:val="en-US"/>
        </w:rPr>
        <w:t>http://www.eppo.org/QUARANTINE/Alert_List/fungi/PHLLAM.htm</w:t>
      </w:r>
      <w:r>
        <w:rPr>
          <w:lang w:val="en-US"/>
        </w:rPr>
        <w:t xml:space="preserve"> Accessed December 2010.</w:t>
      </w:r>
    </w:p>
    <w:p>
      <w:pPr>
        <w:spacing w:before="120" w:after="120" w:line="300" w:lineRule="atLeast"/>
        <w:jc w:val="left"/>
      </w:pPr>
      <w:r>
        <w:t xml:space="preserve">EPPO (2002b) Guideline on good plant protection practice for grapevine. </w:t>
      </w:r>
      <w:r>
        <w:rPr>
          <w:i/>
          <w:iCs/>
          <w:lang w:eastAsia="en-AU"/>
        </w:rPr>
        <w:t>OEPP/EPPO Bulletin</w:t>
      </w:r>
      <w:r>
        <w:rPr>
          <w:i/>
        </w:rPr>
        <w:t xml:space="preserve"> </w:t>
      </w:r>
      <w:r>
        <w:t>32: 371–392.</w:t>
      </w:r>
    </w:p>
    <w:p>
      <w:pPr>
        <w:spacing w:before="120" w:after="120" w:line="300" w:lineRule="atLeast"/>
        <w:jc w:val="left"/>
        <w:rPr>
          <w:lang w:eastAsia="en-AU"/>
        </w:rPr>
      </w:pPr>
      <w:r>
        <w:rPr>
          <w:lang w:eastAsia="en-AU"/>
        </w:rPr>
        <w:t>EPPO (</w:t>
      </w:r>
      <w:r>
        <w:t>2005</w:t>
      </w:r>
      <w:r>
        <w:rPr>
          <w:lang w:eastAsia="en-AU"/>
        </w:rPr>
        <w:t>)</w:t>
      </w:r>
      <w:r>
        <w:rPr>
          <w:bCs/>
          <w:i/>
          <w:iCs/>
          <w:lang w:eastAsia="en-AU"/>
        </w:rPr>
        <w:t xml:space="preserve"> Scirtothrips aurantii, Scirtothrips citri</w:t>
      </w:r>
      <w:r>
        <w:rPr>
          <w:bCs/>
          <w:lang w:eastAsia="en-AU"/>
        </w:rPr>
        <w:t>,</w:t>
      </w:r>
      <w:r>
        <w:rPr>
          <w:bCs/>
          <w:i/>
          <w:iCs/>
          <w:lang w:eastAsia="en-AU"/>
        </w:rPr>
        <w:t xml:space="preserve"> Scirtothrips dorsalis. </w:t>
      </w:r>
      <w:r>
        <w:rPr>
          <w:i/>
          <w:iCs/>
          <w:lang w:eastAsia="en-AU"/>
        </w:rPr>
        <w:t xml:space="preserve">OEPP/EPPO Bulletin </w:t>
      </w:r>
      <w:r>
        <w:rPr>
          <w:bCs/>
          <w:lang w:eastAsia="en-AU"/>
        </w:rPr>
        <w:t>35:</w:t>
      </w:r>
      <w:r>
        <w:rPr>
          <w:lang w:eastAsia="en-AU"/>
        </w:rPr>
        <w:t xml:space="preserve"> 353–356.</w:t>
      </w:r>
    </w:p>
    <w:p>
      <w:pPr>
        <w:spacing w:before="120" w:after="120" w:line="300" w:lineRule="atLeast"/>
        <w:ind w:left="142" w:hanging="142"/>
        <w:jc w:val="left"/>
        <w:rPr>
          <w:lang w:eastAsia="en-AU"/>
        </w:rPr>
      </w:pPr>
      <w:r>
        <w:rPr>
          <w:lang w:eastAsia="en-AU"/>
        </w:rPr>
        <w:t xml:space="preserve">EPPO (2006) </w:t>
      </w:r>
      <w:r>
        <w:rPr>
          <w:bCs/>
          <w:i/>
          <w:iCs/>
          <w:lang w:eastAsia="en-AU"/>
        </w:rPr>
        <w:t>Popillia japonica</w:t>
      </w:r>
      <w:r>
        <w:rPr>
          <w:bCs/>
          <w:iCs/>
          <w:lang w:eastAsia="en-AU"/>
        </w:rPr>
        <w:t>.</w:t>
      </w:r>
      <w:r>
        <w:rPr>
          <w:i/>
          <w:iCs/>
          <w:lang w:eastAsia="en-AU"/>
        </w:rPr>
        <w:t xml:space="preserve"> OEPP/</w:t>
      </w:r>
      <w:r>
        <w:t>EPPO</w:t>
      </w:r>
      <w:r>
        <w:rPr>
          <w:i/>
          <w:iCs/>
          <w:lang w:eastAsia="en-AU"/>
        </w:rPr>
        <w:t xml:space="preserve"> Bulletin </w:t>
      </w:r>
      <w:r>
        <w:rPr>
          <w:bCs/>
          <w:lang w:eastAsia="en-AU"/>
        </w:rPr>
        <w:t>36:</w:t>
      </w:r>
      <w:r>
        <w:rPr>
          <w:lang w:eastAsia="en-AU"/>
        </w:rPr>
        <w:t xml:space="preserve"> 447–450. </w:t>
      </w:r>
    </w:p>
    <w:p>
      <w:pPr>
        <w:spacing w:before="120" w:after="120" w:line="300" w:lineRule="atLeast"/>
        <w:jc w:val="left"/>
      </w:pPr>
      <w:r>
        <w:t xml:space="preserve">EPPO (2009) PQR database. </w:t>
      </w:r>
      <w:smartTag w:uri="urn:schemas-microsoft-com:office:smarttags" w:element="place">
        <w:smartTag w:uri="urn:schemas-microsoft-com:office:smarttags" w:element="City">
          <w:r>
            <w:t>Paris</w:t>
          </w:r>
        </w:smartTag>
        <w:r>
          <w:t xml:space="preserve">, </w:t>
        </w:r>
        <w:smartTag w:uri="urn:schemas-microsoft-com:office:smarttags" w:element="country-region">
          <w:r>
            <w:t>France</w:t>
          </w:r>
        </w:smartTag>
      </w:smartTag>
      <w:r>
        <w:t xml:space="preserve">: European and Mediterranean Plant Protection Organization. </w:t>
      </w:r>
      <w:r>
        <w:rPr>
          <w:u w:val="single"/>
        </w:rPr>
        <w:t>http://</w:t>
      </w:r>
      <w:hyperlink r:id="rId154" w:history="1">
        <w:r>
          <w:rPr>
            <w:rStyle w:val="Hyperlink"/>
            <w:color w:val="auto"/>
          </w:rPr>
          <w:t>www.eppo.org</w:t>
        </w:r>
      </w:hyperlink>
      <w:r>
        <w:t xml:space="preserve"> Accessed March 2011.</w:t>
      </w:r>
    </w:p>
    <w:p>
      <w:pPr>
        <w:spacing w:before="120" w:after="120" w:line="300" w:lineRule="atLeast"/>
        <w:jc w:val="left"/>
      </w:pPr>
      <w:r>
        <w:t xml:space="preserve">EPPO (2010a) </w:t>
      </w:r>
      <w:r>
        <w:rPr>
          <w:i/>
        </w:rPr>
        <w:t>Strawberry latent ringspot nepovirus</w:t>
      </w:r>
      <w:r>
        <w:t xml:space="preserve">. EPPO A2 List of pests recommended for regulation as quarantine pests. </w:t>
      </w:r>
      <w:r>
        <w:rPr>
          <w:u w:val="single"/>
        </w:rPr>
        <w:t>http://www.eppo.org/QUARANTINE/listA2.htm</w:t>
      </w:r>
      <w:r>
        <w:t xml:space="preserve"> Accessed September 2010.</w:t>
      </w:r>
    </w:p>
    <w:p>
      <w:pPr>
        <w:autoSpaceDE w:val="0"/>
        <w:autoSpaceDN w:val="0"/>
        <w:spacing w:before="120" w:after="120" w:line="300" w:lineRule="atLeast"/>
        <w:jc w:val="left"/>
        <w:rPr>
          <w:rStyle w:val="Strong"/>
          <w:b w:val="0"/>
          <w:bCs w:val="0"/>
        </w:rPr>
      </w:pPr>
      <w:r>
        <w:rPr>
          <w:rStyle w:val="Strong"/>
          <w:b w:val="0"/>
        </w:rPr>
        <w:t xml:space="preserve">EPPO (2010b) Data Sheets on </w:t>
      </w:r>
      <w:r>
        <w:t>Quarantine</w:t>
      </w:r>
      <w:r>
        <w:rPr>
          <w:rStyle w:val="Strong"/>
          <w:b w:val="0"/>
        </w:rPr>
        <w:t xml:space="preserve"> Pests: </w:t>
      </w:r>
      <w:r>
        <w:rPr>
          <w:rStyle w:val="Strong"/>
          <w:b w:val="0"/>
          <w:i/>
        </w:rPr>
        <w:t>Tomato ringspot nepovirus.</w:t>
      </w:r>
      <w:r>
        <w:rPr>
          <w:rStyle w:val="Strong"/>
          <w:b w:val="0"/>
        </w:rPr>
        <w:t xml:space="preserve"> </w:t>
      </w:r>
      <w:r>
        <w:rPr>
          <w:rStyle w:val="Strong"/>
          <w:b w:val="0"/>
          <w:u w:val="single"/>
        </w:rPr>
        <w:t xml:space="preserve">http://www.eppo.org/QUARANTINE/virus/Tomato_ringspot_virus/TORSV0_ds.pdf </w:t>
      </w:r>
      <w:r>
        <w:rPr>
          <w:rStyle w:val="Strong"/>
          <w:b w:val="0"/>
        </w:rPr>
        <w:t>Accessed January 2010.</w:t>
      </w:r>
    </w:p>
    <w:p>
      <w:pPr>
        <w:autoSpaceDE w:val="0"/>
        <w:autoSpaceDN w:val="0"/>
        <w:spacing w:before="120" w:after="120" w:line="300" w:lineRule="atLeast"/>
        <w:jc w:val="left"/>
      </w:pPr>
      <w:r>
        <w:t xml:space="preserve">Eskalen A, Rooney-Latham S, Gubler WD (2005) First report of perithecia of </w:t>
      </w:r>
      <w:hyperlink r:id="rId155" w:tooltip="Togninia viticola/Phaeoacremonium viticola (page does not exist)" w:history="1">
        <w:r>
          <w:rPr>
            <w:i/>
          </w:rPr>
          <w:t>Phaeoacremonium viticola</w:t>
        </w:r>
      </w:hyperlink>
      <w:r>
        <w:t xml:space="preserve"> on grapevine (</w:t>
      </w:r>
      <w:r>
        <w:rPr>
          <w:i/>
        </w:rPr>
        <w:t>Vitis vinifera</w:t>
      </w:r>
      <w:r>
        <w:t>) and ash tree (</w:t>
      </w:r>
      <w:r>
        <w:rPr>
          <w:i/>
        </w:rPr>
        <w:t>Fraxinus latifolia</w:t>
      </w:r>
      <w:r>
        <w:t xml:space="preserve">) in California. </w:t>
      </w:r>
      <w:r>
        <w:rPr>
          <w:i/>
        </w:rPr>
        <w:t>Plant Disease</w:t>
      </w:r>
      <w:r>
        <w:t xml:space="preserve"> 89:686–686.</w:t>
      </w:r>
    </w:p>
    <w:p>
      <w:pPr>
        <w:autoSpaceDE w:val="0"/>
        <w:autoSpaceDN w:val="0"/>
        <w:spacing w:before="120" w:after="120" w:line="300" w:lineRule="atLeast"/>
        <w:jc w:val="left"/>
      </w:pPr>
      <w:r>
        <w:t xml:space="preserve">Essakhi S, Mugnai L, Crous PW, Groenewald JZ, Surico G (2008) Molecular and phenotypic characterization of novel </w:t>
      </w:r>
      <w:r>
        <w:rPr>
          <w:i/>
        </w:rPr>
        <w:t>Phaeoacremonium</w:t>
      </w:r>
      <w:r>
        <w:t xml:space="preserve"> species associated with Petri disease and esca of grapevine. </w:t>
      </w:r>
      <w:r>
        <w:rPr>
          <w:i/>
        </w:rPr>
        <w:t>Persoonia</w:t>
      </w:r>
      <w:r>
        <w:t xml:space="preserve"> 21: 119–134.</w:t>
      </w:r>
    </w:p>
    <w:p>
      <w:pPr>
        <w:autoSpaceDE w:val="0"/>
        <w:autoSpaceDN w:val="0"/>
        <w:spacing w:before="120" w:after="120" w:line="300" w:lineRule="atLeast"/>
        <w:jc w:val="left"/>
      </w:pPr>
      <w:r>
        <w:t>Evans AV, Hogue JN (2006) Field</w:t>
      </w:r>
      <w:r>
        <w:rPr>
          <w:bCs/>
        </w:rPr>
        <w:t xml:space="preserve"> guide to beetles of California</w:t>
      </w:r>
      <w:r>
        <w:t>. California Natural History Guides, 88. University of California Press. Los Angeles, USA.</w:t>
      </w:r>
    </w:p>
    <w:p>
      <w:pPr>
        <w:autoSpaceDE w:val="0"/>
        <w:autoSpaceDN w:val="0"/>
        <w:spacing w:before="120" w:after="120" w:line="300" w:lineRule="atLeast"/>
        <w:jc w:val="left"/>
      </w:pPr>
      <w:r>
        <w:t xml:space="preserve">Eyres N, Wood C, Taylor A (2006) Black rot </w:t>
      </w:r>
      <w:r>
        <w:rPr>
          <w:i/>
        </w:rPr>
        <w:t>Guignardia bidwellii</w:t>
      </w:r>
      <w:r>
        <w:t xml:space="preserve">. Western Australia Department of Agriculture Factsheet Note 167. </w:t>
      </w:r>
      <w:hyperlink r:id="rId156" w:history="1">
        <w:r>
          <w:rPr>
            <w:rStyle w:val="Hyperlink"/>
            <w:color w:val="auto"/>
          </w:rPr>
          <w:t>http://www.agric.wa.gov.au/objtwr/imported_assets/content/pw/ph/dis/vit/fs2006_blackrot_neyres.pdf</w:t>
        </w:r>
      </w:hyperlink>
      <w:r>
        <w:t xml:space="preserve"> Accessed March 2012. </w:t>
      </w:r>
    </w:p>
    <w:p>
      <w:pPr>
        <w:autoSpaceDE w:val="0"/>
        <w:autoSpaceDN w:val="0"/>
        <w:spacing w:before="120" w:after="120" w:line="300" w:lineRule="atLeast"/>
        <w:jc w:val="left"/>
      </w:pPr>
      <w:r>
        <w:t xml:space="preserve">Ezzat YM, McConnell HS (1956) The mealybug tribe </w:t>
      </w:r>
      <w:r>
        <w:rPr>
          <w:i/>
        </w:rPr>
        <w:t xml:space="preserve">Planococcini </w:t>
      </w:r>
      <w:r>
        <w:t>(Ps</w:t>
      </w:r>
      <w:smartTag w:uri="urn:schemas-microsoft-com:office:smarttags" w:element="PersonName">
        <w:r>
          <w:t>eu</w:t>
        </w:r>
      </w:smartTag>
      <w:r>
        <w:t xml:space="preserve">dococcidae: Homoptera). </w:t>
      </w:r>
      <w:r>
        <w:rPr>
          <w:i/>
        </w:rPr>
        <w:t xml:space="preserve">Bulletin of the </w:t>
      </w:r>
      <w:smartTag w:uri="urn:schemas-microsoft-com:office:smarttags" w:element="State">
        <w:smartTag w:uri="urn:schemas-microsoft-com:office:smarttags" w:element="place">
          <w:r>
            <w:rPr>
              <w:i/>
            </w:rPr>
            <w:t>Maryland</w:t>
          </w:r>
        </w:smartTag>
      </w:smartTag>
      <w:r>
        <w:rPr>
          <w:i/>
        </w:rPr>
        <w:t xml:space="preserve"> Agriculture Experiment Station</w:t>
      </w:r>
      <w:r>
        <w:t xml:space="preserve"> A84: 1</w:t>
      </w:r>
      <w:r>
        <w:rPr>
          <w:lang w:eastAsia="en-AU"/>
        </w:rPr>
        <w:t>–</w:t>
      </w:r>
      <w:r>
        <w:t>108.</w:t>
      </w:r>
    </w:p>
    <w:p>
      <w:pPr>
        <w:pStyle w:val="AQISText"/>
        <w:spacing w:before="120" w:after="120" w:line="300" w:lineRule="atLeast"/>
        <w:jc w:val="left"/>
        <w:rPr>
          <w:sz w:val="24"/>
          <w:szCs w:val="24"/>
          <w:lang w:eastAsia="en-AU"/>
        </w:rPr>
      </w:pPr>
      <w:r>
        <w:rPr>
          <w:sz w:val="24"/>
          <w:szCs w:val="24"/>
          <w:lang w:eastAsia="en-AU"/>
        </w:rPr>
        <w:t xml:space="preserve">Faggioli F, Ferretti L, Pasquini G, Barba M (2002) Detection of </w:t>
      </w:r>
      <w:r>
        <w:rPr>
          <w:i/>
          <w:iCs/>
          <w:sz w:val="24"/>
          <w:szCs w:val="24"/>
          <w:lang w:eastAsia="en-AU"/>
        </w:rPr>
        <w:t xml:space="preserve">Strawberry latent ring spot virus </w:t>
      </w:r>
      <w:r>
        <w:rPr>
          <w:sz w:val="24"/>
          <w:szCs w:val="24"/>
          <w:lang w:eastAsia="en-AU"/>
        </w:rPr>
        <w:t xml:space="preserve">in leaves of olive trees in Italy using a one-step RT-PCR. </w:t>
      </w:r>
      <w:r>
        <w:rPr>
          <w:i/>
          <w:iCs/>
          <w:sz w:val="24"/>
          <w:szCs w:val="24"/>
          <w:lang w:eastAsia="en-AU"/>
        </w:rPr>
        <w:t xml:space="preserve">Journal of Phytopathology </w:t>
      </w:r>
      <w:r>
        <w:rPr>
          <w:sz w:val="24"/>
          <w:szCs w:val="24"/>
          <w:lang w:eastAsia="en-AU"/>
        </w:rPr>
        <w:t>150: 636–639.</w:t>
      </w:r>
    </w:p>
    <w:p>
      <w:pPr>
        <w:spacing w:before="120" w:after="120" w:line="280" w:lineRule="atLeast"/>
        <w:jc w:val="left"/>
      </w:pPr>
      <w:r>
        <w:t xml:space="preserve">FAO (Food and </w:t>
      </w:r>
      <w:r>
        <w:rPr>
          <w:lang w:eastAsia="en-AU"/>
        </w:rPr>
        <w:t>Agricultural</w:t>
      </w:r>
      <w:r>
        <w:t xml:space="preserve"> Organization of the United Nations) (2004) International Standards for Phytosanitary Measures (ISPM) No. 11: </w:t>
      </w:r>
      <w:r>
        <w:rPr>
          <w:i/>
        </w:rPr>
        <w:t>Pest risk analysis for quarantine pests including analysis of environmental risks and living modified organisms.</w:t>
      </w:r>
      <w:r>
        <w:t xml:space="preserve"> Secretariat of the International Plant Protection Convention, Rome, Italy.</w:t>
      </w:r>
    </w:p>
    <w:p>
      <w:pPr>
        <w:spacing w:after="120" w:line="300" w:lineRule="atLeast"/>
        <w:jc w:val="left"/>
      </w:pPr>
      <w:r>
        <w:t xml:space="preserve">FAO (Food and Agricultural Organization of the United Nations) (2006) International Standards for Phytosanitary Measures (ISPM) No. 1: </w:t>
      </w:r>
      <w:r>
        <w:rPr>
          <w:i/>
        </w:rPr>
        <w:t>Phytosanitary principles for the protection of plants and the application of phytosanitary measures in international trade.</w:t>
      </w:r>
      <w:r>
        <w:t xml:space="preserve"> Secretariat of the International Plant Protection Convention, Rome, Italy. </w:t>
      </w:r>
    </w:p>
    <w:p>
      <w:pPr>
        <w:spacing w:before="120" w:after="120" w:line="280" w:lineRule="atLeast"/>
        <w:jc w:val="left"/>
      </w:pPr>
      <w:r>
        <w:t xml:space="preserve">FAO (Food and Agricultural Organization of the United Nations) (2007) International Standards for Phytosanitary Measures (ISPM) No. 2: </w:t>
      </w:r>
      <w:r>
        <w:rPr>
          <w:i/>
        </w:rPr>
        <w:t xml:space="preserve">Framework for pest risk analysis. </w:t>
      </w:r>
      <w:r>
        <w:t xml:space="preserve">Secretariat of the International Plant Protection Convention, Rome, Italy. </w:t>
      </w:r>
    </w:p>
    <w:p>
      <w:pPr>
        <w:spacing w:before="120" w:after="120" w:line="300" w:lineRule="atLeast"/>
        <w:jc w:val="left"/>
      </w:pPr>
      <w:r>
        <w:t>FAO (Food and Agricultural Organization of the United Nations) (2009) International Standards for Phytosanitary Measures (ISPM) No. 5: Glossary of phytosanitary terms. Secretariat of the International Plant Protection Convention, Rome, Italy.</w:t>
      </w:r>
    </w:p>
    <w:p>
      <w:pPr>
        <w:autoSpaceDE w:val="0"/>
        <w:autoSpaceDN w:val="0"/>
        <w:spacing w:before="120" w:after="120" w:line="300" w:lineRule="atLeast"/>
        <w:jc w:val="left"/>
      </w:pPr>
      <w:r>
        <w:t xml:space="preserve">Farquhar D, Williams M (2000) Borers and weevils. Department of Primary Industries, Parks, Water and Environment, </w:t>
      </w:r>
      <w:smartTag w:uri="urn:schemas-microsoft-com:office:smarttags" w:element="State">
        <w:r>
          <w:t>Tasmania</w:t>
        </w:r>
      </w:smartTag>
      <w:r>
        <w:t xml:space="preserve">, </w:t>
      </w:r>
      <w:smartTag w:uri="urn:schemas-microsoft-com:office:smarttags" w:element="country-region">
        <w:smartTag w:uri="urn:schemas-microsoft-com:office:smarttags" w:element="place">
          <w:r>
            <w:t>Australia</w:t>
          </w:r>
        </w:smartTag>
      </w:smartTag>
      <w:r>
        <w:t xml:space="preserve">. </w:t>
      </w:r>
      <w:r>
        <w:rPr>
          <w:u w:val="single"/>
        </w:rPr>
        <w:t xml:space="preserve">http://www.dpiw.tas.gov.au/inter.nsf/webpages/ljem-5se3es?open#BorersinAustralianVi </w:t>
      </w:r>
      <w:r>
        <w:t>Accessed October 2011.</w:t>
      </w:r>
    </w:p>
    <w:p>
      <w:pPr>
        <w:autoSpaceDE w:val="0"/>
        <w:autoSpaceDN w:val="0"/>
        <w:spacing w:before="120" w:after="120" w:line="300" w:lineRule="atLeast"/>
        <w:jc w:val="left"/>
      </w:pPr>
      <w:r>
        <w:t xml:space="preserve">Farr DF, Bills GF, Chamuris GP, Rossman AY (1989) </w:t>
      </w:r>
      <w:r>
        <w:rPr>
          <w:i/>
        </w:rPr>
        <w:t>Fungi on plants and plant products in the United States.</w:t>
      </w:r>
      <w:r>
        <w:t xml:space="preserve"> APS Press, St. Paul, Minnesota USA.</w:t>
      </w:r>
    </w:p>
    <w:p>
      <w:pPr>
        <w:autoSpaceDE w:val="0"/>
        <w:autoSpaceDN w:val="0"/>
        <w:spacing w:before="120" w:after="120" w:line="300" w:lineRule="atLeast"/>
        <w:jc w:val="left"/>
      </w:pPr>
      <w:r>
        <w:t xml:space="preserve">Farr DF, Rossman AY (2011) Fungal Database, Systematic Mycology and Microbiology Laboratory, ARS, USDA. </w:t>
      </w:r>
      <w:hyperlink r:id="rId157" w:history="1">
        <w:r>
          <w:rPr>
            <w:rStyle w:val="Hyperlink"/>
            <w:color w:val="auto"/>
          </w:rPr>
          <w:t>http://nt.ars-grin.gov/fungaldatabases/fungushost/fungushost.cfm</w:t>
        </w:r>
      </w:hyperlink>
      <w:r>
        <w:t xml:space="preserve"> Accessed June 2010.</w:t>
      </w:r>
    </w:p>
    <w:p>
      <w:pPr>
        <w:autoSpaceDE w:val="0"/>
        <w:autoSpaceDN w:val="0"/>
        <w:spacing w:before="120" w:after="120" w:line="300" w:lineRule="atLeast"/>
        <w:jc w:val="left"/>
      </w:pPr>
      <w:r>
        <w:t xml:space="preserve">Fasulo TR, Brooks RF (2010) Scale pests of </w:t>
      </w:r>
      <w:smartTag w:uri="urn:schemas-microsoft-com:office:smarttags" w:element="State">
        <w:smartTag w:uri="urn:schemas-microsoft-com:office:smarttags" w:element="place">
          <w:r>
            <w:t>Florida</w:t>
          </w:r>
        </w:smartTag>
      </w:smartTag>
      <w:r>
        <w:t xml:space="preserve"> citrus. Entomology and Nematology Department, Florida Cooperative Extension Service, Institute of Food and Agricultural Sciences, University of Florida ENY-814 </w:t>
      </w:r>
      <w:r>
        <w:rPr>
          <w:u w:val="single"/>
        </w:rPr>
        <w:t>http://edis.ifas.ufl.edu</w:t>
      </w:r>
      <w:r>
        <w:t xml:space="preserve"> Accessed July 2011.</w:t>
      </w:r>
    </w:p>
    <w:p>
      <w:pPr>
        <w:autoSpaceDE w:val="0"/>
        <w:autoSpaceDN w:val="0"/>
        <w:spacing w:before="120" w:after="120" w:line="300" w:lineRule="atLeast"/>
        <w:jc w:val="left"/>
      </w:pPr>
      <w:r>
        <w:t xml:space="preserve">Fayek MA, Jomaa AH, Shalaby ABA, Al-Dhaher MMA (2009) Meristem tip culture for in vitro eradication of </w:t>
      </w:r>
      <w:r>
        <w:rPr>
          <w:i/>
        </w:rPr>
        <w:t>Grapevine leaf rollassociated virus-1</w:t>
      </w:r>
      <w:r>
        <w:t xml:space="preserve"> (GLRaV-1) and </w:t>
      </w:r>
      <w:r>
        <w:rPr>
          <w:i/>
        </w:rPr>
        <w:t xml:space="preserve">Grapevine fan leaf virus </w:t>
      </w:r>
      <w:r>
        <w:t xml:space="preserve">(GFLV) from infected flame seedless grapevine plantlets. </w:t>
      </w:r>
      <w:r>
        <w:rPr>
          <w:i/>
        </w:rPr>
        <w:t>Iniciacion A La Investigacion, Revista Electronica, Universidad de Jaen</w:t>
      </w:r>
      <w:r>
        <w:t xml:space="preserve"> 4: 1–11.</w:t>
      </w:r>
    </w:p>
    <w:p>
      <w:pPr>
        <w:autoSpaceDE w:val="0"/>
        <w:autoSpaceDN w:val="0"/>
        <w:spacing w:before="120" w:after="120" w:line="300" w:lineRule="atLeast"/>
        <w:jc w:val="left"/>
      </w:pPr>
      <w:r>
        <w:t xml:space="preserve">Feil H, Feil WS, Purcell AH (2000) </w:t>
      </w:r>
      <w:r>
        <w:rPr>
          <w:rStyle w:val="title3"/>
        </w:rPr>
        <w:t xml:space="preserve">Effects of </w:t>
      </w:r>
      <w:r>
        <w:t>temperature</w:t>
      </w:r>
      <w:r>
        <w:rPr>
          <w:rStyle w:val="title3"/>
        </w:rPr>
        <w:t xml:space="preserve"> on the flight activity of </w:t>
      </w:r>
      <w:r>
        <w:rPr>
          <w:rStyle w:val="Emphasis"/>
        </w:rPr>
        <w:t>Graphocephala atropunctata</w:t>
      </w:r>
      <w:r>
        <w:rPr>
          <w:rStyle w:val="title3"/>
        </w:rPr>
        <w:t xml:space="preserve"> (Hemiptera: Cicadellidae).</w:t>
      </w:r>
      <w:r>
        <w:t xml:space="preserve"> </w:t>
      </w:r>
      <w:r>
        <w:rPr>
          <w:rStyle w:val="journal2"/>
          <w:i/>
        </w:rPr>
        <w:t>Journal of Economic Entomology</w:t>
      </w:r>
      <w:r>
        <w:t xml:space="preserve"> 93: 88–92.</w:t>
      </w:r>
    </w:p>
    <w:p>
      <w:pPr>
        <w:spacing w:before="120" w:after="120" w:line="300" w:lineRule="atLeast"/>
        <w:jc w:val="left"/>
      </w:pPr>
      <w:r>
        <w:t xml:space="preserve">Ferreira FA, Barrreto RW, Almada RW (2005) Spots on eucalyptus wood planks caused by </w:t>
      </w:r>
      <w:r>
        <w:rPr>
          <w:i/>
        </w:rPr>
        <w:t>Arxiomyces vitis</w:t>
      </w:r>
      <w:r>
        <w:t xml:space="preserve">. </w:t>
      </w:r>
      <w:r>
        <w:rPr>
          <w:i/>
        </w:rPr>
        <w:t>Fitopatologia Brasileira</w:t>
      </w:r>
      <w:r>
        <w:t xml:space="preserve"> 30: 92</w:t>
      </w:r>
    </w:p>
    <w:p>
      <w:pPr>
        <w:autoSpaceDE w:val="0"/>
        <w:autoSpaceDN w:val="0"/>
        <w:spacing w:before="120" w:after="120" w:line="300" w:lineRule="atLeast"/>
        <w:jc w:val="left"/>
        <w:rPr>
          <w:rStyle w:val="Strong"/>
          <w:b w:val="0"/>
        </w:rPr>
      </w:pPr>
      <w:r>
        <w:t>Fettig</w:t>
      </w:r>
      <w:r>
        <w:rPr>
          <w:lang w:eastAsia="en-AU"/>
        </w:rPr>
        <w:t xml:space="preserve"> CJ (2005) </w:t>
      </w:r>
      <w:r>
        <w:rPr>
          <w:i/>
          <w:lang w:eastAsia="en-AU"/>
        </w:rPr>
        <w:t>Sinoxylon perforans</w:t>
      </w:r>
      <w:r>
        <w:rPr>
          <w:lang w:eastAsia="en-AU"/>
        </w:rPr>
        <w:t xml:space="preserve">. </w:t>
      </w:r>
      <w:r>
        <w:rPr>
          <w:rStyle w:val="Strong"/>
          <w:b w:val="0"/>
        </w:rPr>
        <w:t xml:space="preserve">North American Forest Commission Exotic Forest Pest Information System. </w:t>
      </w:r>
      <w:r>
        <w:rPr>
          <w:u w:val="single"/>
        </w:rPr>
        <w:t>http://spfnic.fs.fed.us/exfor/data/pestreports.cfm?pestidval=96&amp;langdisplay=english</w:t>
      </w:r>
      <w:r>
        <w:rPr>
          <w:rStyle w:val="Strong"/>
          <w:b w:val="0"/>
        </w:rPr>
        <w:t xml:space="preserve"> Accessed February 2008.</w:t>
      </w:r>
    </w:p>
    <w:p>
      <w:pPr>
        <w:autoSpaceDE w:val="0"/>
        <w:autoSpaceDN w:val="0"/>
        <w:spacing w:before="120" w:after="120" w:line="300" w:lineRule="atLeast"/>
        <w:jc w:val="left"/>
      </w:pPr>
      <w:r>
        <w:t>Filip I (1986) The vine borer (</w:t>
      </w:r>
      <w:r>
        <w:rPr>
          <w:i/>
        </w:rPr>
        <w:t>Sinoxylon perforans</w:t>
      </w:r>
      <w:r>
        <w:t xml:space="preserve"> Schrank) a new pest of grapevine plantations in Dobrudja. </w:t>
      </w:r>
      <w:r>
        <w:rPr>
          <w:i/>
        </w:rPr>
        <w:t>Probleme de Protectia Plantelor</w:t>
      </w:r>
      <w:r>
        <w:t xml:space="preserve"> 14: 205–208.</w:t>
      </w:r>
    </w:p>
    <w:p>
      <w:pPr>
        <w:spacing w:before="120" w:after="120" w:line="300" w:lineRule="atLeast"/>
        <w:jc w:val="left"/>
      </w:pPr>
      <w:r>
        <w:t>Filippin L, Jovic J, Cvrkovic T, Forte V, Clair D, Tosevski I, Boudon-Padi</w:t>
      </w:r>
      <w:smartTag w:uri="urn:schemas-microsoft-com:office:smarttags" w:element="PersonName">
        <w:r>
          <w:t>eu</w:t>
        </w:r>
      </w:smartTag>
      <w:r>
        <w:t xml:space="preserve"> E, Borgo M, Angelini E (2009) Molecular characteristics of phytoplasmas associated with Flavescence dorée in clematis and grapevine and preliminary results on the role of </w:t>
      </w:r>
      <w:r>
        <w:rPr>
          <w:i/>
        </w:rPr>
        <w:t xml:space="preserve">Dictyophara </w:t>
      </w:r>
      <w:smartTag w:uri="urn:schemas-microsoft-com:office:smarttags" w:element="PersonName">
        <w:r>
          <w:rPr>
            <w:i/>
          </w:rPr>
          <w:t>eu</w:t>
        </w:r>
      </w:smartTag>
      <w:r>
        <w:rPr>
          <w:i/>
        </w:rPr>
        <w:t>ropaea</w:t>
      </w:r>
      <w:r>
        <w:t xml:space="preserve"> as a vector. </w:t>
      </w:r>
      <w:r>
        <w:rPr>
          <w:i/>
        </w:rPr>
        <w:t>Plant Pathology</w:t>
      </w:r>
      <w:r>
        <w:t xml:space="preserve"> 58: 826–837.</w:t>
      </w:r>
    </w:p>
    <w:p>
      <w:pPr>
        <w:autoSpaceDE w:val="0"/>
        <w:autoSpaceDN w:val="0"/>
        <w:spacing w:before="120" w:after="120" w:line="300" w:lineRule="atLeast"/>
        <w:jc w:val="left"/>
      </w:pPr>
      <w:r>
        <w:t xml:space="preserve">Finlay JR, Teakle DS (1969) The effect of pH on the particle stability of a Phosphotungstate stained </w:t>
      </w:r>
      <w:r>
        <w:rPr>
          <w:i/>
        </w:rPr>
        <w:t>Tobacco necrosis virus.</w:t>
      </w:r>
      <w:r>
        <w:t xml:space="preserve"> </w:t>
      </w:r>
      <w:r>
        <w:rPr>
          <w:i/>
        </w:rPr>
        <w:t>Journal of General Virology</w:t>
      </w:r>
      <w:r>
        <w:t xml:space="preserve"> 5: 93–96.</w:t>
      </w:r>
    </w:p>
    <w:p>
      <w:pPr>
        <w:autoSpaceDE w:val="0"/>
        <w:autoSpaceDN w:val="0"/>
        <w:spacing w:before="120" w:after="120" w:line="300" w:lineRule="atLeast"/>
        <w:jc w:val="left"/>
      </w:pPr>
      <w:r>
        <w:t xml:space="preserve">Firrao G (2004) </w:t>
      </w:r>
      <w:r>
        <w:rPr>
          <w:i/>
        </w:rPr>
        <w:t>Candidatus</w:t>
      </w:r>
      <w:r>
        <w:t xml:space="preserve"> Phytoplasma, a taxon for the wall-less, non-helical prokaryotes that colonize plant phloem and insects. </w:t>
      </w:r>
      <w:r>
        <w:rPr>
          <w:i/>
        </w:rPr>
        <w:t xml:space="preserve">International Journal of Systematic and Evolutionary Microbiology </w:t>
      </w:r>
      <w:r>
        <w:t>54: 1243–1255.</w:t>
      </w:r>
    </w:p>
    <w:p>
      <w:pPr>
        <w:autoSpaceDE w:val="0"/>
        <w:autoSpaceDN w:val="0"/>
        <w:spacing w:before="120" w:after="120" w:line="300" w:lineRule="atLeast"/>
        <w:jc w:val="left"/>
      </w:pPr>
      <w:r>
        <w:t>Firrao G, Gibbs K, Streten C (2005) Short taxonomic guide to the genus ‘</w:t>
      </w:r>
      <w:r>
        <w:rPr>
          <w:i/>
        </w:rPr>
        <w:t xml:space="preserve">Candidatus </w:t>
      </w:r>
      <w:r>
        <w:t xml:space="preserve">Phytoplasma’. </w:t>
      </w:r>
      <w:r>
        <w:rPr>
          <w:i/>
        </w:rPr>
        <w:t>Journal of Plant Pathology</w:t>
      </w:r>
      <w:r>
        <w:t xml:space="preserve"> 87: 249–264.</w:t>
      </w:r>
    </w:p>
    <w:p>
      <w:pPr>
        <w:autoSpaceDE w:val="0"/>
        <w:autoSpaceDN w:val="0"/>
        <w:spacing w:before="120" w:after="120" w:line="300" w:lineRule="atLeast"/>
        <w:jc w:val="left"/>
      </w:pPr>
      <w:r>
        <w:t xml:space="preserve">Fischer M (2002) A new wood-decaying basidiomycete species associated with esca of grapevine: </w:t>
      </w:r>
      <w:r>
        <w:rPr>
          <w:i/>
        </w:rPr>
        <w:t>Fomitiporia mediterranea</w:t>
      </w:r>
      <w:r>
        <w:t xml:space="preserve"> (Hymenochaetales). </w:t>
      </w:r>
      <w:r>
        <w:rPr>
          <w:i/>
        </w:rPr>
        <w:t>Mycological Progress</w:t>
      </w:r>
      <w:r>
        <w:t xml:space="preserve"> 1: 315</w:t>
      </w:r>
      <w:r>
        <w:rPr>
          <w:lang w:eastAsia="en-AU"/>
        </w:rPr>
        <w:t>–</w:t>
      </w:r>
      <w:r>
        <w:t>324.</w:t>
      </w:r>
    </w:p>
    <w:p>
      <w:pPr>
        <w:autoSpaceDE w:val="0"/>
        <w:autoSpaceDN w:val="0"/>
        <w:spacing w:before="120" w:after="120" w:line="300" w:lineRule="atLeast"/>
        <w:jc w:val="left"/>
      </w:pPr>
      <w:r>
        <w:t xml:space="preserve">Fischer M (2006) Biodiversity and geographic distribution of basidiomycetes causing esca-associated white rot in grapevine: a worldwide perspective. </w:t>
      </w:r>
      <w:r>
        <w:rPr>
          <w:i/>
        </w:rPr>
        <w:t>Phytopathologia Mediterranea</w:t>
      </w:r>
      <w:r>
        <w:t xml:space="preserve"> 45: S30</w:t>
      </w:r>
      <w:r>
        <w:rPr>
          <w:lang w:eastAsia="en-AU"/>
        </w:rPr>
        <w:t>–</w:t>
      </w:r>
      <w:r>
        <w:t>S42.</w:t>
      </w:r>
    </w:p>
    <w:p>
      <w:pPr>
        <w:autoSpaceDE w:val="0"/>
        <w:autoSpaceDN w:val="0"/>
        <w:spacing w:before="120" w:after="120" w:line="300" w:lineRule="atLeast"/>
        <w:jc w:val="left"/>
      </w:pPr>
      <w:r>
        <w:t xml:space="preserve">Fisher M, Binder M (2004) Species recognition, geographic distribution and host-pathogen relationships: a case study in a group of lignicolous basidiomycetes, </w:t>
      </w:r>
      <w:r>
        <w:rPr>
          <w:i/>
        </w:rPr>
        <w:t>Phellinus</w:t>
      </w:r>
      <w:r>
        <w:t xml:space="preserve">. </w:t>
      </w:r>
      <w:r>
        <w:rPr>
          <w:i/>
        </w:rPr>
        <w:t>Mycologia</w:t>
      </w:r>
      <w:r>
        <w:t xml:space="preserve"> 96: 799–811.</w:t>
      </w:r>
    </w:p>
    <w:p>
      <w:pPr>
        <w:spacing w:before="120" w:after="120" w:line="300" w:lineRule="atLeast"/>
        <w:jc w:val="left"/>
      </w:pPr>
      <w:r>
        <w:t>Flaherty DL, Wilson LT, Welter S, Lynn CD, Hanna R (1992) Spider mites. In Flaherty DL, Christensen PL, Lannini T, Marois J, Wilson LT (eds)</w:t>
      </w:r>
      <w:r>
        <w:rPr>
          <w:i/>
        </w:rPr>
        <w:t xml:space="preserve"> Grape Pest Management</w:t>
      </w:r>
      <w:r>
        <w:t>. Publication 3343: 181–192. University of California Division of Agriculture and Natural Resources Publication, California.</w:t>
      </w:r>
    </w:p>
    <w:p>
      <w:pPr>
        <w:spacing w:before="120" w:after="120" w:line="300" w:lineRule="atLeast"/>
        <w:jc w:val="left"/>
      </w:pPr>
      <w:r>
        <w:t>Fl</w:t>
      </w:r>
      <w:smartTag w:uri="urn:schemas-microsoft-com:office:smarttags" w:element="PersonName">
        <w:r>
          <w:t>eu</w:t>
        </w:r>
      </w:smartTag>
      <w:r>
        <w:t xml:space="preserve">ry D, Paré J, Vincent C, Maufette Y (2006) Feeding impact of </w:t>
      </w:r>
      <w:r>
        <w:rPr>
          <w:i/>
        </w:rPr>
        <w:t xml:space="preserve">Lygus lineolaris </w:t>
      </w:r>
      <w:r>
        <w:t xml:space="preserve">(Heteroptera: Miridae) on </w:t>
      </w:r>
      <w:r>
        <w:rPr>
          <w:i/>
        </w:rPr>
        <w:t>Vitis vinifera</w:t>
      </w:r>
      <w:r>
        <w:t xml:space="preserve">: a behavioural and histological study. </w:t>
      </w:r>
      <w:r>
        <w:rPr>
          <w:i/>
        </w:rPr>
        <w:t xml:space="preserve">Canadian Journal of Botany </w:t>
      </w:r>
      <w:r>
        <w:t>84: 493–500.</w:t>
      </w:r>
    </w:p>
    <w:p>
      <w:pPr>
        <w:spacing w:before="120" w:after="120" w:line="300" w:lineRule="atLeast"/>
        <w:jc w:val="left"/>
        <w:rPr>
          <w:lang w:eastAsia="en-AU"/>
        </w:rPr>
      </w:pPr>
      <w:r>
        <w:rPr>
          <w:bCs/>
        </w:rPr>
        <w:t>Flint MR</w:t>
      </w:r>
      <w:r>
        <w:rPr>
          <w:snapToGrid w:val="0"/>
        </w:rPr>
        <w:t xml:space="preserve"> (2006) </w:t>
      </w:r>
      <w:r>
        <w:t>The</w:t>
      </w:r>
      <w:r>
        <w:rPr>
          <w:bCs/>
          <w:lang w:eastAsia="en-AU"/>
        </w:rPr>
        <w:t xml:space="preserve"> UC IPM pest management guidelines: Grapevines. (Agriculture and Natural Resources. University of California. </w:t>
      </w:r>
      <w:smartTag w:uri="urn:schemas-microsoft-com:office:smarttags" w:element="City">
        <w:smartTag w:uri="urn:schemas-microsoft-com:office:smarttags" w:element="place">
          <w:r>
            <w:rPr>
              <w:bCs/>
              <w:lang w:eastAsia="en-AU"/>
            </w:rPr>
            <w:t>Davis</w:t>
          </w:r>
        </w:smartTag>
      </w:smartTag>
      <w:r>
        <w:rPr>
          <w:bCs/>
          <w:lang w:eastAsia="en-AU"/>
        </w:rPr>
        <w:t xml:space="preserve">). </w:t>
      </w:r>
      <w:r>
        <w:rPr>
          <w:u w:val="single"/>
          <w:lang w:eastAsia="en-AU"/>
        </w:rPr>
        <w:t>http://www.ipm.ucdavis.edu/PMG/selectnewpest.grapes.html</w:t>
      </w:r>
      <w:r>
        <w:rPr>
          <w:lang w:eastAsia="en-AU"/>
        </w:rPr>
        <w:t xml:space="preserve"> Accessed March 2010.</w:t>
      </w:r>
    </w:p>
    <w:p>
      <w:pPr>
        <w:spacing w:before="120" w:after="120" w:line="300" w:lineRule="atLeast"/>
        <w:jc w:val="left"/>
      </w:pPr>
      <w:r>
        <w:t xml:space="preserve">Forte V, Angelini E, Maixner M, Borgo M (2010) Preliminary results on population dynamics and host plants of </w:t>
      </w:r>
      <w:r>
        <w:rPr>
          <w:i/>
        </w:rPr>
        <w:t>Hyalesthes obsoletus</w:t>
      </w:r>
      <w:r>
        <w:t xml:space="preserve"> in North-Eastern Italy. </w:t>
      </w:r>
      <w:r>
        <w:rPr>
          <w:i/>
        </w:rPr>
        <w:t xml:space="preserve">Vitis </w:t>
      </w:r>
      <w:r>
        <w:t>49: 39–42.</w:t>
      </w:r>
    </w:p>
    <w:p>
      <w:pPr>
        <w:spacing w:before="120" w:after="120" w:line="300" w:lineRule="atLeast"/>
        <w:jc w:val="left"/>
      </w:pPr>
      <w:r>
        <w:t xml:space="preserve">Fortusini A, Tolentino D, Belli G (1983) Symptomatology of herbaceous test plants of a strain of </w:t>
      </w:r>
      <w:r>
        <w:rPr>
          <w:i/>
        </w:rPr>
        <w:t>Arabis mosaic virus</w:t>
      </w:r>
      <w:r>
        <w:t xml:space="preserve"> isolated from grapevine. </w:t>
      </w:r>
      <w:r>
        <w:rPr>
          <w:i/>
        </w:rPr>
        <w:t>Informatore Fitopatologico</w:t>
      </w:r>
      <w:r>
        <w:t xml:space="preserve"> 33: 43–46.</w:t>
      </w:r>
    </w:p>
    <w:p>
      <w:pPr>
        <w:autoSpaceDE w:val="0"/>
        <w:autoSpaceDN w:val="0"/>
        <w:spacing w:before="120" w:after="120" w:line="300" w:lineRule="atLeast"/>
        <w:jc w:val="left"/>
      </w:pPr>
      <w:r>
        <w:t xml:space="preserve">Frazier NW (1970) </w:t>
      </w:r>
      <w:r>
        <w:rPr>
          <w:i/>
        </w:rPr>
        <w:t>Virus Diseases of Small Fruits and Grapevines.</w:t>
      </w:r>
      <w:r>
        <w:t xml:space="preserve"> University of California, Division of Agricultural Science, Berkeley.</w:t>
      </w:r>
    </w:p>
    <w:p>
      <w:pPr>
        <w:autoSpaceDE w:val="0"/>
        <w:autoSpaceDN w:val="0"/>
        <w:spacing w:before="120" w:after="120" w:line="300" w:lineRule="atLeast"/>
        <w:jc w:val="left"/>
      </w:pPr>
      <w:r>
        <w:t xml:space="preserve">Frison EA, Ikin R (1991) </w:t>
      </w:r>
      <w:r>
        <w:rPr>
          <w:i/>
        </w:rPr>
        <w:t>FAO/IBPGR Technical guidelines for the safe movement of grapevine germplasm</w:t>
      </w:r>
      <w:r>
        <w:t>. Food and Agriculture Organisation, Rome, Italy.</w:t>
      </w:r>
    </w:p>
    <w:p>
      <w:pPr>
        <w:autoSpaceDE w:val="0"/>
        <w:autoSpaceDN w:val="0"/>
        <w:spacing w:before="120" w:after="120" w:line="300" w:lineRule="atLeast"/>
        <w:jc w:val="left"/>
      </w:pPr>
      <w:r>
        <w:t xml:space="preserve">Frolov AN (2009) </w:t>
      </w:r>
      <w:r>
        <w:rPr>
          <w:i/>
        </w:rPr>
        <w:t xml:space="preserve">Eupoecilia ambiguella </w:t>
      </w:r>
      <w:r>
        <w:t xml:space="preserve">(Hubner): European grape berry moth, Grape berry moth, Grape bud moth, Vine moth, Grape moth. Interactive agricultural ecological atlas of Russia and neighbouring countries: Economic plants and their diseases, pests and weeds. </w:t>
      </w:r>
      <w:hyperlink r:id="rId158" w:history="1">
        <w:r>
          <w:rPr>
            <w:rStyle w:val="Hyperlink"/>
            <w:color w:val="auto"/>
          </w:rPr>
          <w:t>http://www.agroatlas.ru/pests/Eupoecilia_ambiguella_en.htm</w:t>
        </w:r>
      </w:hyperlink>
      <w:r>
        <w:t xml:space="preserve"> Accessed September</w:t>
      </w:r>
      <w:r>
        <w:rPr>
          <w:rFonts w:ascii="Arial" w:hAnsi="Arial" w:cs="Arial"/>
        </w:rPr>
        <w:t xml:space="preserve"> </w:t>
      </w:r>
      <w:r>
        <w:t>2010.</w:t>
      </w:r>
    </w:p>
    <w:p>
      <w:pPr>
        <w:spacing w:before="120" w:after="120" w:line="300" w:lineRule="atLeast"/>
        <w:jc w:val="left"/>
      </w:pPr>
      <w:r>
        <w:t xml:space="preserve">Fuchs E, Gruntzig M, Auerbach I, Einecke I, Muller C, Kragenow M (1994) On the occurrence of plant pathogenic viruses in waters in the region of Halle/Saale (German Federal State of Saxony-Anhalt). </w:t>
      </w:r>
      <w:r>
        <w:rPr>
          <w:i/>
        </w:rPr>
        <w:t>Archives of Phytopathology and Plant Protection</w:t>
      </w:r>
      <w:r>
        <w:t xml:space="preserve"> 29: 133–141.</w:t>
      </w:r>
    </w:p>
    <w:p>
      <w:pPr>
        <w:spacing w:before="120" w:after="120" w:line="300" w:lineRule="atLeast"/>
        <w:jc w:val="left"/>
      </w:pPr>
      <w:r>
        <w:t xml:space="preserve">Fuchs M (2007) </w:t>
      </w:r>
      <w:r>
        <w:rPr>
          <w:lang w:eastAsia="en-AU"/>
        </w:rPr>
        <w:t>Grapevine</w:t>
      </w:r>
      <w:r>
        <w:t xml:space="preserve"> Leafroll Disease. NY IPM Program factsheet, Cornell University. </w:t>
      </w:r>
      <w:r>
        <w:rPr>
          <w:u w:val="single"/>
        </w:rPr>
        <w:t>www.nysipm.cornell.edu/factsheets/grapes/diseases/grape_leafroll.pdf</w:t>
      </w:r>
      <w:r>
        <w:t xml:space="preserve"> Accessed September 2011. </w:t>
      </w:r>
    </w:p>
    <w:p>
      <w:pPr>
        <w:spacing w:before="120" w:after="120" w:line="300" w:lineRule="atLeast"/>
        <w:jc w:val="left"/>
      </w:pPr>
      <w:r>
        <w:t xml:space="preserve">Fujinaga M, Ogiso H, Wakabayashi H, Morikawa T, Natsuaki T (2009) First report of a </w:t>
      </w:r>
      <w:r>
        <w:rPr>
          <w:i/>
        </w:rPr>
        <w:t>Grapevine Algerian latent virus</w:t>
      </w:r>
      <w:r>
        <w:t xml:space="preserve"> disease on statice plants (</w:t>
      </w:r>
      <w:r>
        <w:rPr>
          <w:i/>
        </w:rPr>
        <w:t>Limonium sinuatum</w:t>
      </w:r>
      <w:r>
        <w:t xml:space="preserve">) in Japan. </w:t>
      </w:r>
      <w:r>
        <w:rPr>
          <w:i/>
        </w:rPr>
        <w:t>Journal of General Plant Pathology</w:t>
      </w:r>
      <w:r>
        <w:t xml:space="preserve"> 75: 157–159.</w:t>
      </w:r>
    </w:p>
    <w:p>
      <w:pPr>
        <w:autoSpaceDE w:val="0"/>
        <w:autoSpaceDN w:val="0"/>
        <w:spacing w:before="120" w:after="120" w:line="300" w:lineRule="atLeast"/>
        <w:jc w:val="left"/>
      </w:pPr>
      <w:r>
        <w:t xml:space="preserve">Gajardo A, Fiore N, Prodan S, Paltrinieri S, Botti S, Pino AM, Zamorano A, Montealegre J, Bertaccini A (2009) Phytoplasmas associated with Grapevine yellows disease in Chile. </w:t>
      </w:r>
      <w:r>
        <w:rPr>
          <w:i/>
        </w:rPr>
        <w:t>Plant Disease</w:t>
      </w:r>
      <w:r>
        <w:t xml:space="preserve"> 93:789–796.</w:t>
      </w:r>
    </w:p>
    <w:p>
      <w:pPr>
        <w:spacing w:before="120" w:after="120" w:line="300" w:lineRule="atLeast"/>
        <w:jc w:val="left"/>
      </w:pPr>
      <w:r>
        <w:t xml:space="preserve">Gallitelli D, Martelli GP, Di Franco A (1989) </w:t>
      </w:r>
      <w:r>
        <w:rPr>
          <w:i/>
        </w:rPr>
        <w:t>Grapevine Algerian latent virus</w:t>
      </w:r>
      <w:r>
        <w:t xml:space="preserve">, a newly recognized tombusvirus. </w:t>
      </w:r>
      <w:r>
        <w:rPr>
          <w:i/>
        </w:rPr>
        <w:t>Phytoparasitica</w:t>
      </w:r>
      <w:r>
        <w:t xml:space="preserve"> 17: 61–62.</w:t>
      </w:r>
    </w:p>
    <w:p>
      <w:pPr>
        <w:spacing w:before="120" w:after="120" w:line="300" w:lineRule="atLeast"/>
        <w:jc w:val="left"/>
      </w:pPr>
      <w:r>
        <w:t xml:space="preserve">Gallitelli D, Rana GL, Volvas C, Martelli GP (2004) Viruses of globe artichoke: An overview. </w:t>
      </w:r>
      <w:r>
        <w:rPr>
          <w:i/>
        </w:rPr>
        <w:t>Journal of Plant Pathology</w:t>
      </w:r>
      <w:r>
        <w:t xml:space="preserve"> 86: 267–281. </w:t>
      </w:r>
    </w:p>
    <w:p>
      <w:pPr>
        <w:spacing w:before="120" w:after="120" w:line="300" w:lineRule="atLeast"/>
        <w:jc w:val="left"/>
      </w:pPr>
      <w:r>
        <w:t xml:space="preserve">Gallotti GJM (1991). Resistance of </w:t>
      </w:r>
      <w:r>
        <w:rPr>
          <w:i/>
        </w:rPr>
        <w:t>Vitis</w:t>
      </w:r>
      <w:r>
        <w:t xml:space="preserve"> spp. to </w:t>
      </w:r>
      <w:r>
        <w:rPr>
          <w:i/>
        </w:rPr>
        <w:t>Fusarium oxysporum</w:t>
      </w:r>
      <w:r>
        <w:t xml:space="preserve"> f. sp. </w:t>
      </w:r>
      <w:r>
        <w:rPr>
          <w:i/>
        </w:rPr>
        <w:t>herbemontis</w:t>
      </w:r>
      <w:r>
        <w:t xml:space="preserve">. </w:t>
      </w:r>
      <w:r>
        <w:rPr>
          <w:i/>
        </w:rPr>
        <w:t>Fitopatologia Brasileira</w:t>
      </w:r>
      <w:r>
        <w:t xml:space="preserve"> 16: 74–77. </w:t>
      </w:r>
    </w:p>
    <w:p>
      <w:pPr>
        <w:spacing w:before="120" w:after="120" w:line="300" w:lineRule="atLeast"/>
        <w:jc w:val="left"/>
      </w:pPr>
      <w:r>
        <w:t xml:space="preserve">Galvan TL, Burkness EC, Hutchison WD (2007) Grape flea beetle. </w:t>
      </w:r>
      <w:hyperlink r:id="rId159" w:history="1">
        <w:r>
          <w:rPr>
            <w:rStyle w:val="Hyperlink"/>
            <w:color w:val="auto"/>
          </w:rPr>
          <w:t>http://www.vegedge.umn.edu/vegpest/grapes/FleaBeetle.htm</w:t>
        </w:r>
      </w:hyperlink>
      <w:r>
        <w:t xml:space="preserve"> Accessed March 2011.</w:t>
      </w:r>
    </w:p>
    <w:p>
      <w:pPr>
        <w:spacing w:before="120" w:after="120" w:line="300" w:lineRule="atLeast"/>
        <w:jc w:val="left"/>
      </w:pPr>
      <w:r>
        <w:t xml:space="preserve">Garran J, Gibbs A (1982) Studies on </w:t>
      </w:r>
      <w:r>
        <w:rPr>
          <w:i/>
        </w:rPr>
        <w:t>Alfalfa mosaic virus</w:t>
      </w:r>
      <w:r>
        <w:t xml:space="preserve"> and alfalfa aphids. </w:t>
      </w:r>
      <w:r>
        <w:rPr>
          <w:i/>
        </w:rPr>
        <w:t>Australian Journal of Agricultural Research</w:t>
      </w:r>
      <w:r>
        <w:t xml:space="preserve"> 33: 657–64.</w:t>
      </w:r>
    </w:p>
    <w:p>
      <w:pPr>
        <w:autoSpaceDE w:val="0"/>
        <w:autoSpaceDN w:val="0"/>
        <w:spacing w:before="120" w:after="120" w:line="300" w:lineRule="atLeast"/>
        <w:jc w:val="left"/>
      </w:pPr>
      <w:r>
        <w:t xml:space="preserve">GBIF (2012) </w:t>
      </w:r>
      <w:r>
        <w:rPr>
          <w:i/>
        </w:rPr>
        <w:t>Trametes ochracea</w:t>
      </w:r>
      <w:r>
        <w:t xml:space="preserve">. Global Biodiversity Information Facility. </w:t>
      </w:r>
      <w:hyperlink r:id="rId160" w:history="1">
        <w:r>
          <w:rPr>
            <w:rStyle w:val="Hyperlink"/>
            <w:color w:val="auto"/>
          </w:rPr>
          <w:t>http://data.gbif.org/species/Trametes%20ochracea</w:t>
        </w:r>
      </w:hyperlink>
      <w:r>
        <w:t xml:space="preserve"> Accessed March 2012.</w:t>
      </w:r>
    </w:p>
    <w:p>
      <w:pPr>
        <w:autoSpaceDE w:val="0"/>
        <w:autoSpaceDN w:val="0"/>
        <w:spacing w:before="120" w:after="120" w:line="300" w:lineRule="atLeast"/>
        <w:jc w:val="left"/>
      </w:pPr>
      <w:r>
        <w:t xml:space="preserve">Gilbertson RL, Bigelow DM (1998) Annotated checklist of wood rotting Basidiomycetes of the </w:t>
      </w:r>
      <w:smartTag w:uri="urn:schemas-microsoft-com:office:smarttags" w:element="PlaceName">
        <w:r>
          <w:t>Sky</w:t>
        </w:r>
      </w:smartTag>
      <w:r>
        <w:t xml:space="preserve"> </w:t>
      </w:r>
      <w:smartTag w:uri="urn:schemas-microsoft-com:office:smarttags" w:element="PlaceType">
        <w:r>
          <w:t>Islands</w:t>
        </w:r>
      </w:smartTag>
      <w:r>
        <w:t xml:space="preserve"> in southeastern </w:t>
      </w:r>
      <w:smartTag w:uri="urn:schemas-microsoft-com:office:smarttags" w:element="State">
        <w:smartTag w:uri="urn:schemas-microsoft-com:office:smarttags" w:element="place">
          <w:r>
            <w:t>Arizona</w:t>
          </w:r>
        </w:smartTag>
      </w:smartTag>
      <w:r>
        <w:t xml:space="preserve">. </w:t>
      </w:r>
      <w:r>
        <w:rPr>
          <w:i/>
        </w:rPr>
        <w:t>Journal of the Arizona–Nevada Academy of Science</w:t>
      </w:r>
      <w:r>
        <w:t xml:space="preserve"> 31: 13–36.</w:t>
      </w:r>
    </w:p>
    <w:p>
      <w:pPr>
        <w:pStyle w:val="AQISText"/>
        <w:spacing w:before="120" w:after="120" w:line="300" w:lineRule="atLeast"/>
        <w:jc w:val="left"/>
        <w:rPr>
          <w:sz w:val="24"/>
          <w:szCs w:val="24"/>
        </w:rPr>
      </w:pPr>
      <w:r>
        <w:rPr>
          <w:sz w:val="24"/>
          <w:szCs w:val="24"/>
        </w:rPr>
        <w:t xml:space="preserve">Gillings M, Ophel-Keller K (1995) Comparison of strains of </w:t>
      </w:r>
      <w:r>
        <w:rPr>
          <w:i/>
          <w:sz w:val="24"/>
          <w:szCs w:val="24"/>
        </w:rPr>
        <w:t>Agrobacterium vitis</w:t>
      </w:r>
      <w:r>
        <w:rPr>
          <w:sz w:val="24"/>
          <w:szCs w:val="24"/>
        </w:rPr>
        <w:t xml:space="preserve"> from grapevine source areas in </w:t>
      </w:r>
      <w:smartTag w:uri="urn:schemas-microsoft-com:office:smarttags" w:element="country-region">
        <w:smartTag w:uri="urn:schemas-microsoft-com:office:smarttags" w:element="place">
          <w:r>
            <w:rPr>
              <w:sz w:val="24"/>
              <w:szCs w:val="24"/>
            </w:rPr>
            <w:t>Australia</w:t>
          </w:r>
        </w:smartTag>
      </w:smartTag>
      <w:r>
        <w:rPr>
          <w:sz w:val="24"/>
          <w:szCs w:val="24"/>
        </w:rPr>
        <w:t xml:space="preserve">. </w:t>
      </w:r>
      <w:r>
        <w:rPr>
          <w:i/>
          <w:sz w:val="24"/>
          <w:szCs w:val="24"/>
        </w:rPr>
        <w:t>Australasian Plant Pathology</w:t>
      </w:r>
      <w:r>
        <w:rPr>
          <w:sz w:val="24"/>
          <w:szCs w:val="24"/>
        </w:rPr>
        <w:t xml:space="preserve"> 24: 29–37</w:t>
      </w:r>
    </w:p>
    <w:p>
      <w:pPr>
        <w:autoSpaceDE w:val="0"/>
        <w:autoSpaceDN w:val="0"/>
        <w:spacing w:before="120" w:after="120" w:line="300" w:lineRule="atLeast"/>
        <w:jc w:val="left"/>
        <w:rPr>
          <w:bCs/>
        </w:rPr>
      </w:pPr>
      <w:r>
        <w:rPr>
          <w:bCs/>
        </w:rPr>
        <w:t xml:space="preserve">Giménez-Jaime A, Aroca A, Raposo R, García-Jiménez J, Armengol J (2006) Occurrence of fungal pathogens associated with grapevine nurseries and the decline of young vines in Spain. </w:t>
      </w:r>
      <w:r>
        <w:rPr>
          <w:bCs/>
          <w:i/>
        </w:rPr>
        <w:t>Journal of Phytopathology</w:t>
      </w:r>
      <w:r>
        <w:rPr>
          <w:bCs/>
        </w:rPr>
        <w:t xml:space="preserve"> 154: 598–602.</w:t>
      </w:r>
    </w:p>
    <w:p>
      <w:pPr>
        <w:autoSpaceDE w:val="0"/>
        <w:autoSpaceDN w:val="0"/>
        <w:spacing w:before="120" w:after="120" w:line="300" w:lineRule="atLeast"/>
        <w:jc w:val="left"/>
        <w:rPr>
          <w:bCs/>
        </w:rPr>
      </w:pPr>
      <w:r>
        <w:rPr>
          <w:bCs/>
        </w:rPr>
        <w:t xml:space="preserve">Girgis SM, Bem FP, Dovas Ch, Sclavounos A, Avgelis A, Tsagris M, Katis N, Kyriakopoulou P (2009) Characterization of a novel ilarvirus causing Grapevine angular mosaic disease. </w:t>
      </w:r>
      <w:r>
        <w:rPr>
          <w:bCs/>
          <w:i/>
        </w:rPr>
        <w:t xml:space="preserve">European Journal of Plant Pathology </w:t>
      </w:r>
      <w:r>
        <w:rPr>
          <w:bCs/>
        </w:rPr>
        <w:t xml:space="preserve">125: 203–211. </w:t>
      </w:r>
    </w:p>
    <w:p>
      <w:pPr>
        <w:autoSpaceDE w:val="0"/>
        <w:autoSpaceDN w:val="0"/>
        <w:spacing w:before="120" w:after="120" w:line="300" w:lineRule="atLeast"/>
        <w:jc w:val="left"/>
        <w:rPr>
          <w:bCs/>
        </w:rPr>
      </w:pPr>
      <w:r>
        <w:rPr>
          <w:bCs/>
        </w:rPr>
        <w:t xml:space="preserve">Girgis SM, Bem F, </w:t>
      </w:r>
      <w:smartTag w:uri="urn:schemas-microsoft-com:office:smarttags" w:element="City">
        <w:r>
          <w:rPr>
            <w:bCs/>
          </w:rPr>
          <w:t>Kyriakopoulou</w:t>
        </w:r>
      </w:smartTag>
      <w:r>
        <w:rPr>
          <w:bCs/>
        </w:rPr>
        <w:t xml:space="preserve"> </w:t>
      </w:r>
      <w:smartTag w:uri="urn:schemas-microsoft-com:office:smarttags" w:element="State">
        <w:r>
          <w:rPr>
            <w:bCs/>
          </w:rPr>
          <w:t>PE</w:t>
        </w:r>
      </w:smartTag>
      <w:r>
        <w:rPr>
          <w:bCs/>
        </w:rPr>
        <w:t xml:space="preserve">, Dovas CI, Sklavounos AP, Avgelis A, Katis N, Tzortzakaki S, Tsagris M (2000) A new ilarvirus isolated from grapevine in </w:t>
      </w:r>
      <w:smartTag w:uri="urn:schemas-microsoft-com:office:smarttags" w:element="country-region">
        <w:smartTag w:uri="urn:schemas-microsoft-com:office:smarttags" w:element="place">
          <w:r>
            <w:rPr>
              <w:bCs/>
            </w:rPr>
            <w:t>Greece</w:t>
          </w:r>
        </w:smartTag>
      </w:smartTag>
      <w:r>
        <w:rPr>
          <w:bCs/>
        </w:rPr>
        <w:t xml:space="preserve">. </w:t>
      </w:r>
      <w:r>
        <w:rPr>
          <w:bCs/>
          <w:i/>
        </w:rPr>
        <w:t>Plant Disease</w:t>
      </w:r>
      <w:r>
        <w:rPr>
          <w:bCs/>
        </w:rPr>
        <w:t xml:space="preserve"> 84: 1345.</w:t>
      </w:r>
    </w:p>
    <w:p>
      <w:pPr>
        <w:autoSpaceDE w:val="0"/>
        <w:autoSpaceDN w:val="0"/>
        <w:spacing w:before="120" w:after="120" w:line="300" w:lineRule="atLeast"/>
        <w:jc w:val="left"/>
        <w:rPr>
          <w:bCs/>
        </w:rPr>
      </w:pPr>
      <w:r>
        <w:rPr>
          <w:bCs/>
        </w:rPr>
        <w:t xml:space="preserve">Giri RY, Chaudhary V, Bhanja M R, Reddy SM (1996) Fungal diseases of </w:t>
      </w:r>
      <w:r>
        <w:rPr>
          <w:bCs/>
          <w:i/>
        </w:rPr>
        <w:t>Eucalyptus</w:t>
      </w:r>
      <w:r>
        <w:rPr>
          <w:bCs/>
        </w:rPr>
        <w:t xml:space="preserve"> from Warangal-II. </w:t>
      </w:r>
      <w:r>
        <w:rPr>
          <w:bCs/>
          <w:i/>
        </w:rPr>
        <w:t>Indian Forester</w:t>
      </w:r>
      <w:r>
        <w:rPr>
          <w:bCs/>
        </w:rPr>
        <w:t xml:space="preserve"> 122: 817–822.</w:t>
      </w:r>
    </w:p>
    <w:p>
      <w:pPr>
        <w:spacing w:before="120" w:after="120" w:line="300" w:lineRule="atLeast"/>
        <w:jc w:val="left"/>
      </w:pPr>
      <w:r>
        <w:t xml:space="preserve">Glawe DA, Rogers JD (1984) Diatrypaceae in the </w:t>
      </w:r>
      <w:smartTag w:uri="urn:schemas-microsoft-com:office:smarttags" w:element="place">
        <w:r>
          <w:t>Pacific Northwest</w:t>
        </w:r>
      </w:smartTag>
      <w:r>
        <w:t xml:space="preserve">. </w:t>
      </w:r>
      <w:r>
        <w:rPr>
          <w:i/>
        </w:rPr>
        <w:t>Mycotaxon</w:t>
      </w:r>
      <w:r>
        <w:t xml:space="preserve"> 20: 401–460.</w:t>
      </w:r>
    </w:p>
    <w:p>
      <w:pPr>
        <w:spacing w:before="120" w:after="120" w:line="300" w:lineRule="atLeast"/>
        <w:jc w:val="left"/>
      </w:pPr>
      <w:r>
        <w:t>Gokalp K, Digiaro M, Cigsar I, Ghanem-</w:t>
      </w:r>
      <w:r>
        <w:rPr>
          <w:bCs/>
          <w:lang w:eastAsia="en-AU"/>
        </w:rPr>
        <w:t>Sabanadzovic</w:t>
      </w:r>
      <w:r>
        <w:t xml:space="preserve"> NA, de Strandis A, Boscia D, Martelli GP (2003) Properties of a previously undescribed nepovirus from South-East Anatolia. </w:t>
      </w:r>
      <w:r>
        <w:rPr>
          <w:i/>
          <w:iCs/>
        </w:rPr>
        <w:t>Journal of Plant Pathology</w:t>
      </w:r>
      <w:r>
        <w:t xml:space="preserve"> 85: 35–41.</w:t>
      </w:r>
    </w:p>
    <w:p>
      <w:pPr>
        <w:autoSpaceDE w:val="0"/>
        <w:autoSpaceDN w:val="0"/>
        <w:spacing w:before="120" w:after="120" w:line="300" w:lineRule="atLeast"/>
        <w:jc w:val="left"/>
        <w:rPr>
          <w:lang w:eastAsia="en-AU"/>
        </w:rPr>
      </w:pPr>
      <w:r>
        <w:rPr>
          <w:lang w:eastAsia="en-AU"/>
        </w:rPr>
        <w:t xml:space="preserve">Golino DA (1993) Potential interactions between rootstocks and grapevine latent viruses. </w:t>
      </w:r>
      <w:r>
        <w:rPr>
          <w:i/>
          <w:lang w:eastAsia="en-AU"/>
        </w:rPr>
        <w:t>American Journal of Enol. Viticulture</w:t>
      </w:r>
      <w:r>
        <w:rPr>
          <w:lang w:eastAsia="en-AU"/>
        </w:rPr>
        <w:t xml:space="preserve"> 44: 148–152.</w:t>
      </w:r>
    </w:p>
    <w:p>
      <w:pPr>
        <w:spacing w:before="120" w:after="120" w:line="300" w:lineRule="atLeast"/>
        <w:jc w:val="left"/>
      </w:pPr>
      <w:r>
        <w:t xml:space="preserve">Golino DA, Sim S, Rowhani A (2003) The role of rootstock genotype in the effects of single and mixed infections of grapevine viruses. </w:t>
      </w:r>
      <w:r>
        <w:rPr>
          <w:i/>
        </w:rPr>
        <w:t>Extended abstracts of the 14th Meeting of the ICVG, Locorotondo, Italy, 2003</w:t>
      </w:r>
      <w:r>
        <w:t xml:space="preserve"> 136–137. ICVG, </w:t>
      </w:r>
      <w:smartTag w:uri="urn:schemas-microsoft-com:office:smarttags" w:element="country-region">
        <w:smartTag w:uri="urn:schemas-microsoft-com:office:smarttags" w:element="place">
          <w:r>
            <w:t>Switzerland</w:t>
          </w:r>
        </w:smartTag>
      </w:smartTag>
      <w:r>
        <w:t>.</w:t>
      </w:r>
    </w:p>
    <w:p>
      <w:pPr>
        <w:spacing w:before="120" w:after="120" w:line="300" w:lineRule="atLeast"/>
        <w:jc w:val="left"/>
        <w:rPr>
          <w:rStyle w:val="Strong"/>
          <w:b w:val="0"/>
        </w:rPr>
      </w:pPr>
      <w:r>
        <w:rPr>
          <w:rStyle w:val="Strong"/>
          <w:b w:val="0"/>
        </w:rPr>
        <w:t xml:space="preserve">Golzar H, Phillips D, Mack S (2007) Occurrence of Strawberry root and Crown rot in Western Australia. </w:t>
      </w:r>
      <w:r>
        <w:rPr>
          <w:rStyle w:val="Strong"/>
          <w:b w:val="0"/>
          <w:i/>
        </w:rPr>
        <w:t>Australasian Plant Disease Notes</w:t>
      </w:r>
      <w:r>
        <w:rPr>
          <w:rStyle w:val="Strong"/>
          <w:b w:val="0"/>
        </w:rPr>
        <w:t xml:space="preserve"> 2: 145–147.</w:t>
      </w:r>
    </w:p>
    <w:p>
      <w:pPr>
        <w:autoSpaceDE w:val="0"/>
        <w:autoSpaceDN w:val="0"/>
        <w:spacing w:before="120" w:after="120" w:line="300" w:lineRule="atLeast"/>
        <w:jc w:val="left"/>
      </w:pPr>
      <w:r>
        <w:t xml:space="preserve">Gonzalez RH (1968) </w:t>
      </w:r>
      <w:r>
        <w:rPr>
          <w:i/>
        </w:rPr>
        <w:t xml:space="preserve">Biologia y control de la falsa aranita de la vid </w:t>
      </w:r>
      <w:r>
        <w:rPr>
          <w:i/>
          <w:iCs/>
        </w:rPr>
        <w:t>Brevipalpus chilensis</w:t>
      </w:r>
      <w:r>
        <w:rPr>
          <w:i/>
        </w:rPr>
        <w:t xml:space="preserve"> Baker (Acaria: Phytoptipaplidae)</w:t>
      </w:r>
      <w:r>
        <w:t>. Boletín Técnico No 1 Experimental Agronómica, Universidad de Chile, Santiago, Chile.</w:t>
      </w:r>
    </w:p>
    <w:p>
      <w:pPr>
        <w:autoSpaceDE w:val="0"/>
        <w:autoSpaceDN w:val="0"/>
        <w:spacing w:before="120" w:after="120" w:line="300" w:lineRule="atLeast"/>
        <w:jc w:val="left"/>
      </w:pPr>
      <w:r>
        <w:t xml:space="preserve">Gonzalez RH (1983) </w:t>
      </w:r>
      <w:r>
        <w:rPr>
          <w:i/>
        </w:rPr>
        <w:t>Manejo de plagas de la vid</w:t>
      </w:r>
      <w:r>
        <w:t xml:space="preserve">. Publicacions en Ciencias Agricolas No. 13. Facultad de Ciencias Agrarias, Veterinarias y Forestales, Universidad de Chile, Santiago, Chile. </w:t>
      </w:r>
    </w:p>
    <w:p>
      <w:pPr>
        <w:tabs>
          <w:tab w:val="left" w:pos="0"/>
        </w:tabs>
        <w:spacing w:before="120" w:after="120" w:line="300" w:lineRule="atLeast"/>
        <w:jc w:val="left"/>
      </w:pPr>
      <w:r>
        <w:rPr>
          <w:lang w:eastAsia="en-AU"/>
        </w:rPr>
        <w:t xml:space="preserve">Gonzalez-Andujar JL, Ramirez-Davila JF, Lopez MA, Ocete R (2006) R </w:t>
      </w:r>
      <w:r>
        <w:rPr>
          <w:bCs/>
          <w:lang w:eastAsia="en-AU"/>
        </w:rPr>
        <w:t xml:space="preserve">Spatial Distribution of </w:t>
      </w:r>
      <w:r>
        <w:rPr>
          <w:bCs/>
          <w:i/>
          <w:iCs/>
          <w:lang w:eastAsia="en-AU"/>
        </w:rPr>
        <w:t xml:space="preserve">Jacobiasca lybica </w:t>
      </w:r>
      <w:r>
        <w:rPr>
          <w:bCs/>
          <w:lang w:eastAsia="en-AU"/>
        </w:rPr>
        <w:t xml:space="preserve">(Bergenin &amp; Zanon) (Homoptera: Cicadellidae) Egg populations in an irrigated sherry vineyard. </w:t>
      </w:r>
      <w:r>
        <w:rPr>
          <w:bCs/>
          <w:i/>
          <w:lang w:eastAsia="en-AU"/>
        </w:rPr>
        <w:t>Journal of Agricultural and Urban Entomology</w:t>
      </w:r>
      <w:r>
        <w:rPr>
          <w:bCs/>
          <w:lang w:eastAsia="en-AU"/>
        </w:rPr>
        <w:t xml:space="preserve"> 23: 51–55.</w:t>
      </w:r>
    </w:p>
    <w:p>
      <w:pPr>
        <w:tabs>
          <w:tab w:val="left" w:pos="0"/>
        </w:tabs>
        <w:spacing w:before="120" w:after="120" w:line="300" w:lineRule="atLeast"/>
        <w:jc w:val="left"/>
        <w:rPr>
          <w:lang w:eastAsia="en-AU"/>
        </w:rPr>
      </w:pPr>
      <w:r>
        <w:rPr>
          <w:lang w:eastAsia="en-AU"/>
        </w:rPr>
        <w:t xml:space="preserve">Gooding GV Jr, Téliv D (1970) </w:t>
      </w:r>
      <w:r>
        <w:rPr>
          <w:i/>
          <w:lang w:eastAsia="en-AU"/>
        </w:rPr>
        <w:t>Grapevine yellow vein.</w:t>
      </w:r>
      <w:r>
        <w:rPr>
          <w:lang w:eastAsia="en-AU"/>
        </w:rPr>
        <w:t xml:space="preserve"> In Frazier NW, Fulton JP, Thresh JM, Converse RH, Varney EH, Hewitt WB (eds) </w:t>
      </w:r>
      <w:r>
        <w:rPr>
          <w:i/>
          <w:lang w:eastAsia="en-AU"/>
        </w:rPr>
        <w:t xml:space="preserve">Virus diseases of small fruits and grapevines </w:t>
      </w:r>
      <w:r>
        <w:rPr>
          <w:lang w:eastAsia="en-AU"/>
        </w:rPr>
        <w:t>238–241. University of California, Berkeley.</w:t>
      </w:r>
    </w:p>
    <w:p>
      <w:pPr>
        <w:autoSpaceDE w:val="0"/>
        <w:autoSpaceDN w:val="0"/>
        <w:spacing w:before="120" w:after="120" w:line="300" w:lineRule="atLeast"/>
        <w:jc w:val="left"/>
      </w:pPr>
      <w:r>
        <w:t xml:space="preserve">Goodwin S (2005) Chemical control of fig longicorn, </w:t>
      </w:r>
      <w:r>
        <w:rPr>
          <w:i/>
        </w:rPr>
        <w:t>Acalolepta vastator</w:t>
      </w:r>
      <w:r>
        <w:t xml:space="preserve"> (Newman) (Coleoptera: Cerambycidae), infesting grapevines. </w:t>
      </w:r>
      <w:r>
        <w:rPr>
          <w:i/>
        </w:rPr>
        <w:t>Australian Journal of Entomology</w:t>
      </w:r>
      <w:r>
        <w:t xml:space="preserve"> 44: 71–76.</w:t>
      </w:r>
    </w:p>
    <w:p>
      <w:pPr>
        <w:autoSpaceDE w:val="0"/>
        <w:autoSpaceDN w:val="0"/>
        <w:spacing w:before="120" w:after="120" w:line="300" w:lineRule="atLeast"/>
        <w:jc w:val="left"/>
      </w:pPr>
      <w:r>
        <w:t xml:space="preserve">Graham R (2007) Black Bean </w:t>
      </w:r>
      <w:r>
        <w:rPr>
          <w:lang w:eastAsia="en-AU"/>
        </w:rPr>
        <w:t>Aphid</w:t>
      </w:r>
      <w:r>
        <w:t xml:space="preserve"> </w:t>
      </w:r>
      <w:r>
        <w:rPr>
          <w:rStyle w:val="Emphasis"/>
        </w:rPr>
        <w:t>(Aphis fabae).</w:t>
      </w:r>
      <w:r>
        <w:t xml:space="preserve"> Pest and Diseases Image Library. </w:t>
      </w:r>
      <w:hyperlink r:id="rId161" w:history="1">
        <w:r>
          <w:rPr>
            <w:rStyle w:val="Hyperlink"/>
            <w:color w:val="auto"/>
          </w:rPr>
          <w:t>http://www.padil.gov.au</w:t>
        </w:r>
      </w:hyperlink>
      <w:r>
        <w:t xml:space="preserve"> Accessed March 2010. </w:t>
      </w:r>
    </w:p>
    <w:p>
      <w:pPr>
        <w:spacing w:before="120" w:after="120" w:line="300" w:lineRule="atLeast"/>
        <w:jc w:val="left"/>
        <w:rPr>
          <w:i/>
        </w:rPr>
      </w:pPr>
      <w:r>
        <w:rPr>
          <w:lang w:eastAsia="en-AU"/>
        </w:rPr>
        <w:t xml:space="preserve">Grall S, </w:t>
      </w:r>
      <w:r>
        <w:t xml:space="preserve">Manceau C (2003) Colonization of </w:t>
      </w:r>
      <w:r>
        <w:rPr>
          <w:i/>
        </w:rPr>
        <w:t>Vitis vinifera</w:t>
      </w:r>
      <w:r>
        <w:t xml:space="preserve"> by a green fluorescence protein-labelled, gfp-marked strain of </w:t>
      </w:r>
      <w:r>
        <w:rPr>
          <w:i/>
        </w:rPr>
        <w:t>Xylophilus ampelinus</w:t>
      </w:r>
      <w:r>
        <w:t xml:space="preserve">, the causal agent of bacterial necrosis of grapevine. </w:t>
      </w:r>
      <w:r>
        <w:rPr>
          <w:i/>
        </w:rPr>
        <w:t xml:space="preserve">Applied and Environmental Microbiology </w:t>
      </w:r>
      <w:r>
        <w:t>69: 1904–1912.</w:t>
      </w:r>
    </w:p>
    <w:p>
      <w:pPr>
        <w:autoSpaceDE w:val="0"/>
        <w:autoSpaceDN w:val="0"/>
        <w:spacing w:before="120" w:after="120" w:line="300" w:lineRule="atLeast"/>
        <w:jc w:val="left"/>
      </w:pPr>
      <w:r>
        <w:t xml:space="preserve">Gramaje D, Agustí-Brisach C, Pérez-Sierra A, Moralejo E, Olmo D, Mostert L, Damm U, Armengol J (2012) Fungal trunk pathogens associated with wood decay of almond trees on Mallorca (Spain). </w:t>
      </w:r>
      <w:r>
        <w:rPr>
          <w:i/>
        </w:rPr>
        <w:t xml:space="preserve">Persoonia </w:t>
      </w:r>
      <w:r>
        <w:t>28: 1–13.</w:t>
      </w:r>
    </w:p>
    <w:p>
      <w:pPr>
        <w:autoSpaceDE w:val="0"/>
        <w:autoSpaceDN w:val="0"/>
        <w:spacing w:before="120" w:after="120" w:line="300" w:lineRule="atLeast"/>
        <w:jc w:val="left"/>
      </w:pPr>
      <w:r>
        <w:t xml:space="preserve">Gramaje D, Alaniz S, Pérez-Sierra A, Abad-Campos P, García-Jiménez J, Armengol J (2007) First report of </w:t>
      </w:r>
      <w:r>
        <w:rPr>
          <w:i/>
        </w:rPr>
        <w:t>Phaeoacremonium mortoniae</w:t>
      </w:r>
      <w:r>
        <w:t xml:space="preserve"> causing Petri disease of grapevine in Spain. </w:t>
      </w:r>
      <w:r>
        <w:rPr>
          <w:i/>
        </w:rPr>
        <w:t>Plant Disease</w:t>
      </w:r>
      <w:r>
        <w:t xml:space="preserve"> 91: 1206.</w:t>
      </w:r>
    </w:p>
    <w:p>
      <w:pPr>
        <w:autoSpaceDE w:val="0"/>
        <w:autoSpaceDN w:val="0"/>
        <w:spacing w:before="120" w:after="120" w:line="300" w:lineRule="atLeast"/>
        <w:jc w:val="left"/>
      </w:pPr>
      <w:r>
        <w:t xml:space="preserve">Gramaje D, Armengol J (2011) Fungal trunk pathogens in the grapevine propagation process: potential inoculum sources, detection, identification, and management systems. </w:t>
      </w:r>
      <w:r>
        <w:rPr>
          <w:i/>
        </w:rPr>
        <w:t xml:space="preserve">Plant Disease </w:t>
      </w:r>
      <w:r>
        <w:t>95: 1040–1055.</w:t>
      </w:r>
    </w:p>
    <w:p>
      <w:pPr>
        <w:spacing w:before="120" w:after="120" w:line="300" w:lineRule="atLeast"/>
        <w:jc w:val="left"/>
      </w:pPr>
      <w:r>
        <w:t xml:space="preserve">Gramaje D, Armengol J, Mohammadi H, Banihashemi Z, Mostert L (2009a) Novel </w:t>
      </w:r>
      <w:r>
        <w:rPr>
          <w:i/>
          <w:iCs/>
        </w:rPr>
        <w:t>Phaeoacremonium</w:t>
      </w:r>
      <w:r>
        <w:t xml:space="preserve"> species associated with Petri disease and esca of grapevine in Iran and Spain. </w:t>
      </w:r>
      <w:r>
        <w:rPr>
          <w:i/>
          <w:iCs/>
        </w:rPr>
        <w:t>Mycologia</w:t>
      </w:r>
      <w:r>
        <w:t xml:space="preserve"> </w:t>
      </w:r>
      <w:r>
        <w:rPr>
          <w:bCs/>
        </w:rPr>
        <w:t>101</w:t>
      </w:r>
      <w:r>
        <w:t>: 920–929.</w:t>
      </w:r>
    </w:p>
    <w:p>
      <w:pPr>
        <w:spacing w:before="120" w:after="120" w:line="300" w:lineRule="atLeast"/>
        <w:jc w:val="left"/>
        <w:rPr>
          <w:rStyle w:val="journalabstracttitle1"/>
          <w:rFonts w:ascii="Times New Roman" w:hAnsi="Times New Roman" w:cs="Times New Roman"/>
          <w:b w:val="0"/>
          <w:sz w:val="24"/>
          <w:szCs w:val="24"/>
        </w:rPr>
      </w:pPr>
      <w:r>
        <w:t xml:space="preserve">Gramaje D, Mostert L, Amengol J (2010) Characterization of </w:t>
      </w:r>
      <w:r>
        <w:rPr>
          <w:i/>
        </w:rPr>
        <w:t xml:space="preserve">Cadophora luteo-olivacea </w:t>
      </w:r>
      <w:r>
        <w:t xml:space="preserve">and </w:t>
      </w:r>
      <w:r>
        <w:rPr>
          <w:i/>
        </w:rPr>
        <w:t xml:space="preserve">Cadophora melinii </w:t>
      </w:r>
      <w:r>
        <w:t xml:space="preserve">isolates obtained from grapevine nurseries and plants in Spain. </w:t>
      </w:r>
      <w:r>
        <w:rPr>
          <w:rStyle w:val="journalabstracttitle1"/>
          <w:rFonts w:ascii="Times New Roman" w:hAnsi="Times New Roman" w:cs="Times New Roman"/>
          <w:b w:val="0"/>
          <w:sz w:val="24"/>
          <w:szCs w:val="24"/>
        </w:rPr>
        <w:t>In Abstracts of oral and poster presentations given at the 7</w:t>
      </w:r>
      <w:r>
        <w:rPr>
          <w:rStyle w:val="journalabstracttitle1"/>
          <w:rFonts w:ascii="Times New Roman" w:hAnsi="Times New Roman" w:cs="Times New Roman"/>
          <w:b w:val="0"/>
          <w:sz w:val="24"/>
          <w:szCs w:val="24"/>
          <w:vertAlign w:val="superscript"/>
        </w:rPr>
        <w:t>th</w:t>
      </w:r>
      <w:r>
        <w:rPr>
          <w:rStyle w:val="journalabstracttitle1"/>
          <w:rFonts w:ascii="Times New Roman" w:hAnsi="Times New Roman" w:cs="Times New Roman"/>
          <w:b w:val="0"/>
          <w:sz w:val="24"/>
          <w:szCs w:val="24"/>
        </w:rPr>
        <w:t xml:space="preserve"> International Workshop on Grapevine Trunk Diseases, Santa Cruz, Chile, 17–21 January 2010. </w:t>
      </w:r>
      <w:r>
        <w:rPr>
          <w:rStyle w:val="journalabstracttitle1"/>
          <w:rFonts w:ascii="Times New Roman" w:hAnsi="Times New Roman" w:cs="Times New Roman"/>
          <w:b w:val="0"/>
          <w:i/>
          <w:sz w:val="24"/>
          <w:szCs w:val="24"/>
        </w:rPr>
        <w:t xml:space="preserve">Phytopathologia Mediterranea </w:t>
      </w:r>
      <w:r>
        <w:rPr>
          <w:rStyle w:val="journalabstracttitle1"/>
          <w:rFonts w:ascii="Times New Roman" w:hAnsi="Times New Roman" w:cs="Times New Roman"/>
          <w:b w:val="0"/>
          <w:sz w:val="24"/>
          <w:szCs w:val="24"/>
        </w:rPr>
        <w:t>49: 104.</w:t>
      </w:r>
    </w:p>
    <w:p>
      <w:pPr>
        <w:spacing w:before="120" w:after="120" w:line="300" w:lineRule="atLeast"/>
        <w:jc w:val="left"/>
        <w:rPr>
          <w:rStyle w:val="journalabstracttitle1"/>
          <w:rFonts w:ascii="Times New Roman" w:hAnsi="Times New Roman" w:cs="Times New Roman"/>
          <w:b w:val="0"/>
          <w:sz w:val="24"/>
          <w:szCs w:val="24"/>
        </w:rPr>
      </w:pPr>
      <w:r>
        <w:rPr>
          <w:rStyle w:val="journalabstracttitle1"/>
          <w:rFonts w:ascii="Times New Roman" w:hAnsi="Times New Roman" w:cs="Times New Roman"/>
          <w:b w:val="0"/>
          <w:sz w:val="24"/>
          <w:szCs w:val="24"/>
        </w:rPr>
        <w:t xml:space="preserve">Gramaje D, Mostert L, Armengol J (2011) Characterization of </w:t>
      </w:r>
      <w:r>
        <w:rPr>
          <w:rStyle w:val="journalabstracttitle1"/>
          <w:rFonts w:ascii="Times New Roman" w:hAnsi="Times New Roman" w:cs="Times New Roman"/>
          <w:b w:val="0"/>
          <w:i/>
          <w:sz w:val="24"/>
          <w:szCs w:val="24"/>
        </w:rPr>
        <w:t xml:space="preserve">Cadophora luteo-olivacea </w:t>
      </w:r>
      <w:r>
        <w:rPr>
          <w:rStyle w:val="journalabstracttitle1"/>
          <w:rFonts w:ascii="Times New Roman" w:hAnsi="Times New Roman" w:cs="Times New Roman"/>
          <w:b w:val="0"/>
          <w:sz w:val="24"/>
          <w:szCs w:val="24"/>
        </w:rPr>
        <w:t xml:space="preserve">and </w:t>
      </w:r>
      <w:r>
        <w:rPr>
          <w:rStyle w:val="journalabstracttitle1"/>
          <w:rFonts w:ascii="Times New Roman" w:hAnsi="Times New Roman" w:cs="Times New Roman"/>
          <w:b w:val="0"/>
          <w:i/>
          <w:sz w:val="24"/>
          <w:szCs w:val="24"/>
        </w:rPr>
        <w:t xml:space="preserve">C. melinii </w:t>
      </w:r>
      <w:r>
        <w:rPr>
          <w:rStyle w:val="journalabstracttitle1"/>
          <w:rFonts w:ascii="Times New Roman" w:hAnsi="Times New Roman" w:cs="Times New Roman"/>
          <w:b w:val="0"/>
          <w:sz w:val="24"/>
          <w:szCs w:val="24"/>
        </w:rPr>
        <w:t xml:space="preserve">isolates obtained from grapevines and environmental samples from grapevine nurseries in </w:t>
      </w:r>
      <w:smartTag w:uri="urn:schemas-microsoft-com:office:smarttags" w:element="country-region">
        <w:smartTag w:uri="urn:schemas-microsoft-com:office:smarttags" w:element="place">
          <w:r>
            <w:rPr>
              <w:rStyle w:val="journalabstracttitle1"/>
              <w:rFonts w:ascii="Times New Roman" w:hAnsi="Times New Roman" w:cs="Times New Roman"/>
              <w:b w:val="0"/>
              <w:sz w:val="24"/>
              <w:szCs w:val="24"/>
            </w:rPr>
            <w:t>Spain</w:t>
          </w:r>
        </w:smartTag>
      </w:smartTag>
      <w:r>
        <w:rPr>
          <w:rStyle w:val="journalabstracttitle1"/>
          <w:rFonts w:ascii="Times New Roman" w:hAnsi="Times New Roman" w:cs="Times New Roman"/>
          <w:b w:val="0"/>
          <w:sz w:val="24"/>
          <w:szCs w:val="24"/>
        </w:rPr>
        <w:t xml:space="preserve">. </w:t>
      </w:r>
      <w:r>
        <w:rPr>
          <w:rStyle w:val="journalabstracttitle1"/>
          <w:rFonts w:ascii="Times New Roman" w:hAnsi="Times New Roman" w:cs="Times New Roman"/>
          <w:b w:val="0"/>
          <w:i/>
          <w:sz w:val="24"/>
          <w:szCs w:val="24"/>
        </w:rPr>
        <w:t xml:space="preserve">Phytopathologia Mediterranea </w:t>
      </w:r>
      <w:r>
        <w:rPr>
          <w:rStyle w:val="journalabstracttitle1"/>
          <w:rFonts w:ascii="Times New Roman" w:hAnsi="Times New Roman" w:cs="Times New Roman"/>
          <w:b w:val="0"/>
          <w:sz w:val="24"/>
          <w:szCs w:val="24"/>
        </w:rPr>
        <w:t>50 (Supplement): S112–S126.</w:t>
      </w:r>
    </w:p>
    <w:p>
      <w:pPr>
        <w:spacing w:before="120" w:after="120" w:line="300" w:lineRule="atLeast"/>
        <w:jc w:val="left"/>
      </w:pPr>
      <w:r>
        <w:rPr>
          <w:rStyle w:val="journalabstracttitle1"/>
          <w:rFonts w:ascii="Times New Roman" w:hAnsi="Times New Roman" w:cs="Times New Roman"/>
          <w:b w:val="0"/>
          <w:sz w:val="24"/>
          <w:szCs w:val="24"/>
        </w:rPr>
        <w:t xml:space="preserve">Gramaje D, Muñoz RM, Lerma ML, García-Jiménez J, Armengol J (2009b) Fungal grapevine trunk pathogens associated with Syrah decline in Spain. </w:t>
      </w:r>
      <w:r>
        <w:rPr>
          <w:rStyle w:val="journalabstracttitle1"/>
          <w:rFonts w:ascii="Times New Roman" w:hAnsi="Times New Roman" w:cs="Times New Roman"/>
          <w:b w:val="0"/>
          <w:i/>
          <w:sz w:val="24"/>
          <w:szCs w:val="24"/>
        </w:rPr>
        <w:t xml:space="preserve">Phytopathologia Meditteranea </w:t>
      </w:r>
      <w:r>
        <w:rPr>
          <w:rStyle w:val="journalabstracttitle1"/>
          <w:rFonts w:ascii="Times New Roman" w:hAnsi="Times New Roman" w:cs="Times New Roman"/>
          <w:b w:val="0"/>
          <w:sz w:val="24"/>
          <w:szCs w:val="24"/>
        </w:rPr>
        <w:t>48: 396–402.</w:t>
      </w:r>
    </w:p>
    <w:p>
      <w:pPr>
        <w:spacing w:before="120" w:after="120" w:line="300" w:lineRule="atLeast"/>
        <w:jc w:val="left"/>
      </w:pPr>
      <w:r>
        <w:t xml:space="preserve">Grand LF, Vernia CS (2004) Fungi on plants in North Carolina. North Carolina State University. </w:t>
      </w:r>
      <w:r>
        <w:rPr>
          <w:u w:val="single"/>
        </w:rPr>
        <w:t>http://www.cals.ncsu.edu/course/pp318/host.pdf</w:t>
      </w:r>
      <w:r>
        <w:t xml:space="preserve"> Accessed June 2010.</w:t>
      </w:r>
    </w:p>
    <w:p>
      <w:pPr>
        <w:spacing w:before="120" w:after="120" w:line="300" w:lineRule="atLeast"/>
        <w:jc w:val="left"/>
      </w:pPr>
      <w:r>
        <w:t xml:space="preserve">Graniti A, Surico G, Mugnai L (1994) Considerazioni sul mal dell’esca e sulle venature brune del legno della vite. </w:t>
      </w:r>
      <w:r>
        <w:rPr>
          <w:i/>
        </w:rPr>
        <w:t>Informatore Fitopatologico</w:t>
      </w:r>
      <w:r>
        <w:t xml:space="preserve"> 49: 6–12.</w:t>
      </w:r>
    </w:p>
    <w:p>
      <w:pPr>
        <w:autoSpaceDE w:val="0"/>
        <w:autoSpaceDN w:val="0"/>
        <w:spacing w:before="120" w:after="120" w:line="300" w:lineRule="atLeast"/>
        <w:jc w:val="left"/>
        <w:rPr>
          <w:bCs/>
        </w:rPr>
      </w:pPr>
      <w:r>
        <w:rPr>
          <w:bCs/>
        </w:rPr>
        <w:t xml:space="preserve">Grebennikov VV, Gill BD, Vigneault R (2010) </w:t>
      </w:r>
      <w:r>
        <w:rPr>
          <w:bCs/>
          <w:i/>
        </w:rPr>
        <w:t>Trichoferus campestris</w:t>
      </w:r>
      <w:r>
        <w:rPr>
          <w:bCs/>
        </w:rPr>
        <w:t xml:space="preserve"> (Faldermann) (Coleoptera: Cerambycidae), an Asia wood-boring beetle recorded in </w:t>
      </w:r>
      <w:smartTag w:uri="urn:schemas-microsoft-com:office:smarttags" w:element="place">
        <w:r>
          <w:rPr>
            <w:bCs/>
          </w:rPr>
          <w:t>North America</w:t>
        </w:r>
      </w:smartTag>
      <w:r>
        <w:rPr>
          <w:bCs/>
        </w:rPr>
        <w:t xml:space="preserve">. </w:t>
      </w:r>
      <w:r>
        <w:rPr>
          <w:i/>
        </w:rPr>
        <w:t>The Coleopterists Bulletin</w:t>
      </w:r>
      <w:r>
        <w:rPr>
          <w:bCs/>
        </w:rPr>
        <w:t xml:space="preserve"> 64: 13–20.</w:t>
      </w:r>
    </w:p>
    <w:p>
      <w:pPr>
        <w:autoSpaceDE w:val="0"/>
        <w:autoSpaceDN w:val="0"/>
        <w:spacing w:before="120" w:after="120" w:line="300" w:lineRule="atLeast"/>
        <w:jc w:val="left"/>
      </w:pPr>
      <w:r>
        <w:t xml:space="preserve">Greenwood SR (1988) </w:t>
      </w:r>
      <w:r>
        <w:rPr>
          <w:bCs/>
        </w:rPr>
        <w:t xml:space="preserve">Habitat stability and wing length in two species of arboreal Psocoptera. </w:t>
      </w:r>
      <w:r>
        <w:rPr>
          <w:rStyle w:val="HTMLCite"/>
        </w:rPr>
        <w:t>Oikos</w:t>
      </w:r>
      <w:r>
        <w:t xml:space="preserve"> 52: 235–238.</w:t>
      </w:r>
    </w:p>
    <w:p>
      <w:pPr>
        <w:autoSpaceDE w:val="0"/>
        <w:autoSpaceDN w:val="0"/>
        <w:spacing w:before="120" w:after="120" w:line="300" w:lineRule="atLeast"/>
        <w:jc w:val="left"/>
      </w:pPr>
      <w:r>
        <w:t xml:space="preserve">Grichanov IY, Ovsyannikova EI (2009) </w:t>
      </w:r>
      <w:r>
        <w:rPr>
          <w:i/>
        </w:rPr>
        <w:t xml:space="preserve">Aporia crataegi </w:t>
      </w:r>
      <w:r>
        <w:t xml:space="preserve">Linnaeus: Black-veined white. Interactive agricultural ecological atlas of Russia and neighbouring countries: Economic plants and their diseases, pests and weeds. </w:t>
      </w:r>
      <w:hyperlink r:id="rId162" w:history="1">
        <w:r>
          <w:rPr>
            <w:rStyle w:val="Hyperlink"/>
            <w:color w:val="auto"/>
          </w:rPr>
          <w:t>http://www.agroatlas.ru/en/content/pests/Aporia_crataegi/</w:t>
        </w:r>
      </w:hyperlink>
      <w:r>
        <w:t xml:space="preserve"> Accessed December</w:t>
      </w:r>
      <w:r>
        <w:rPr>
          <w:rFonts w:ascii="Arial" w:hAnsi="Arial" w:cs="Arial"/>
        </w:rPr>
        <w:t xml:space="preserve"> </w:t>
      </w:r>
      <w:r>
        <w:t>2010.</w:t>
      </w:r>
    </w:p>
    <w:p>
      <w:pPr>
        <w:tabs>
          <w:tab w:val="left" w:pos="0"/>
        </w:tabs>
        <w:spacing w:before="120" w:after="120" w:line="300" w:lineRule="atLeast"/>
        <w:jc w:val="left"/>
      </w:pPr>
      <w:r>
        <w:t xml:space="preserve">Griesbach JA (1995) Detection of </w:t>
      </w:r>
      <w:r>
        <w:rPr>
          <w:i/>
        </w:rPr>
        <w:t>Tomato ringspot virus</w:t>
      </w:r>
      <w:r>
        <w:t xml:space="preserve"> by polymerase chain reaction. </w:t>
      </w:r>
      <w:r>
        <w:rPr>
          <w:i/>
        </w:rPr>
        <w:t>Plant Disease</w:t>
      </w:r>
      <w:r>
        <w:t xml:space="preserve"> 79: 1054–1056.</w:t>
      </w:r>
    </w:p>
    <w:p>
      <w:pPr>
        <w:pStyle w:val="AQISText"/>
        <w:spacing w:before="120" w:after="120" w:line="300" w:lineRule="atLeast"/>
        <w:jc w:val="left"/>
        <w:rPr>
          <w:sz w:val="24"/>
          <w:szCs w:val="24"/>
          <w:lang w:eastAsia="en-AU"/>
        </w:rPr>
      </w:pPr>
      <w:r>
        <w:rPr>
          <w:sz w:val="24"/>
          <w:szCs w:val="24"/>
          <w:lang w:eastAsia="en-AU"/>
        </w:rPr>
        <w:t>Griffiths HM, Sinclair WA, Smart CD, Davis RE (1999) The phytoplasma associated with Ash yellows and Lilac witches’-broom: ‘</w:t>
      </w:r>
      <w:r>
        <w:rPr>
          <w:i/>
          <w:sz w:val="24"/>
          <w:szCs w:val="24"/>
          <w:lang w:eastAsia="en-AU"/>
        </w:rPr>
        <w:t>Candidatus</w:t>
      </w:r>
      <w:r>
        <w:rPr>
          <w:sz w:val="24"/>
          <w:szCs w:val="24"/>
          <w:lang w:eastAsia="en-AU"/>
        </w:rPr>
        <w:t xml:space="preserve"> Phytoplasma fraxini’. </w:t>
      </w:r>
      <w:r>
        <w:rPr>
          <w:i/>
          <w:sz w:val="24"/>
          <w:szCs w:val="24"/>
          <w:lang w:eastAsia="en-AU"/>
        </w:rPr>
        <w:t xml:space="preserve">International Journal of Systematic Bacteriology </w:t>
      </w:r>
      <w:r>
        <w:rPr>
          <w:sz w:val="24"/>
          <w:szCs w:val="24"/>
          <w:lang w:eastAsia="en-AU"/>
        </w:rPr>
        <w:t>49: 1605–1614.</w:t>
      </w:r>
    </w:p>
    <w:p>
      <w:pPr>
        <w:autoSpaceDE w:val="0"/>
        <w:autoSpaceDN w:val="0"/>
        <w:spacing w:before="120" w:after="120" w:line="300" w:lineRule="atLeast"/>
        <w:jc w:val="left"/>
        <w:rPr>
          <w:lang w:eastAsia="en-AU"/>
        </w:rPr>
      </w:pPr>
      <w:r>
        <w:rPr>
          <w:lang w:eastAsia="en-AU"/>
        </w:rPr>
        <w:t xml:space="preserve">Griffiths M, Wylie R, Lawson S, Pegg G, McDonald J (2004) Known or potential threats from pests and diseases to prospective tree species for high value timber in northern Australia. </w:t>
      </w:r>
      <w:hyperlink r:id="rId163" w:history="1">
        <w:r>
          <w:rPr>
            <w:rStyle w:val="Hyperlink"/>
            <w:color w:val="auto"/>
            <w:lang w:eastAsia="en-AU"/>
          </w:rPr>
          <w:t>http://www.plantations2020.com.au/reports/pfnq/acrobat/2-4_griffiths_et_al.pdf</w:t>
        </w:r>
      </w:hyperlink>
      <w:r>
        <w:rPr>
          <w:lang w:eastAsia="en-AU"/>
        </w:rPr>
        <w:t xml:space="preserve"> Accessed March 2012. </w:t>
      </w:r>
    </w:p>
    <w:p>
      <w:pPr>
        <w:autoSpaceDE w:val="0"/>
        <w:autoSpaceDN w:val="0"/>
        <w:spacing w:before="120" w:after="120" w:line="300" w:lineRule="atLeast"/>
        <w:jc w:val="left"/>
      </w:pPr>
      <w:r>
        <w:t xml:space="preserve">Groenewald M, Kang JC, Crous PW, Gams W (2001) ITS and beta-tubulin phylogeny of </w:t>
      </w:r>
      <w:r>
        <w:rPr>
          <w:i/>
        </w:rPr>
        <w:t xml:space="preserve">Phaeoacremonium </w:t>
      </w:r>
      <w:r>
        <w:t xml:space="preserve">and </w:t>
      </w:r>
      <w:r>
        <w:rPr>
          <w:i/>
        </w:rPr>
        <w:t>Phaeomoniella</w:t>
      </w:r>
      <w:r>
        <w:t xml:space="preserve"> species. </w:t>
      </w:r>
      <w:r>
        <w:rPr>
          <w:i/>
        </w:rPr>
        <w:t>Mycological Research</w:t>
      </w:r>
      <w:r>
        <w:t xml:space="preserve"> 105: 651–657.</w:t>
      </w:r>
    </w:p>
    <w:p>
      <w:pPr>
        <w:autoSpaceDE w:val="0"/>
        <w:autoSpaceDN w:val="0"/>
        <w:spacing w:before="120" w:after="120" w:line="300" w:lineRule="atLeast"/>
        <w:jc w:val="left"/>
        <w:rPr>
          <w:lang w:eastAsia="en-AU"/>
        </w:rPr>
      </w:pPr>
      <w:r>
        <w:rPr>
          <w:lang w:eastAsia="en-AU"/>
        </w:rPr>
        <w:t xml:space="preserve">Grové T, Steyn WP, De Beer MS (1999) </w:t>
      </w:r>
      <w:r>
        <w:t xml:space="preserve">The False codling moth, </w:t>
      </w:r>
      <w:r>
        <w:rPr>
          <w:i/>
        </w:rPr>
        <w:t xml:space="preserve">Cryptophlebia leucotreta </w:t>
      </w:r>
      <w:r>
        <w:t>(Meyrick) (Lepidoptera: Tortricidae) on avocado—literature review</w:t>
      </w:r>
      <w:r>
        <w:rPr>
          <w:lang w:eastAsia="en-AU"/>
        </w:rPr>
        <w:t xml:space="preserve">. </w:t>
      </w:r>
      <w:r>
        <w:rPr>
          <w:i/>
          <w:lang w:eastAsia="en-AU"/>
        </w:rPr>
        <w:t xml:space="preserve">South African Avocado Growers’ Association Yearbook </w:t>
      </w:r>
      <w:r>
        <w:rPr>
          <w:lang w:eastAsia="en-AU"/>
        </w:rPr>
        <w:t>22: 31–33.</w:t>
      </w:r>
    </w:p>
    <w:p>
      <w:pPr>
        <w:autoSpaceDE w:val="0"/>
        <w:autoSpaceDN w:val="0"/>
        <w:spacing w:before="120" w:after="120" w:line="300" w:lineRule="atLeast"/>
        <w:jc w:val="left"/>
      </w:pPr>
      <w:r>
        <w:t xml:space="preserve">Guario A, Laccone G (1996) The defence of table grapes from pests. (La difesa dell'uva da tavola dai fitofagi). </w:t>
      </w:r>
      <w:r>
        <w:rPr>
          <w:i/>
        </w:rPr>
        <w:t>Informatore Agrario Suppl</w:t>
      </w:r>
      <w:r>
        <w:t xml:space="preserve">. 52: 31–40. </w:t>
      </w:r>
    </w:p>
    <w:p>
      <w:pPr>
        <w:autoSpaceDE w:val="0"/>
        <w:autoSpaceDN w:val="0"/>
        <w:spacing w:before="120" w:after="120" w:line="300" w:lineRule="atLeast"/>
        <w:jc w:val="left"/>
      </w:pPr>
      <w:r>
        <w:t xml:space="preserve">Gubler D, Urbez-Torres JR, Trouillas FP, Herche R, Striegler RK, Cartright RD, Kreiddy J, Rupe JC (2010) Grapevine trunk diseases: etiology, epidemiology and control. In </w:t>
      </w:r>
      <w:r>
        <w:rPr>
          <w:i/>
        </w:rPr>
        <w:t>Proceedings of the symposium on advances in vineyard pest management, 6–8 February 2010, Missouri</w:t>
      </w:r>
      <w:r>
        <w:t xml:space="preserve"> 7–21. </w:t>
      </w:r>
      <w:smartTag w:uri="urn:schemas-microsoft-com:office:smarttags" w:element="PlaceType">
        <w:r>
          <w:t>University</w:t>
        </w:r>
      </w:smartTag>
      <w:r>
        <w:t xml:space="preserve"> of </w:t>
      </w:r>
      <w:smartTag w:uri="urn:schemas-microsoft-com:office:smarttags" w:element="PlaceName">
        <w:r>
          <w:t>Missouri</w:t>
        </w:r>
      </w:smartTag>
      <w:r>
        <w:t xml:space="preserve"> Extension, </w:t>
      </w:r>
      <w:smartTag w:uri="urn:schemas-microsoft-com:office:smarttags" w:element="State">
        <w:smartTag w:uri="urn:schemas-microsoft-com:office:smarttags" w:element="place">
          <w:r>
            <w:t>Missouri</w:t>
          </w:r>
        </w:smartTag>
      </w:smartTag>
      <w:r>
        <w:t>.</w:t>
      </w:r>
    </w:p>
    <w:p>
      <w:pPr>
        <w:autoSpaceDE w:val="0"/>
        <w:autoSpaceDN w:val="0"/>
        <w:spacing w:before="120" w:after="120" w:line="300" w:lineRule="atLeast"/>
        <w:jc w:val="left"/>
      </w:pPr>
      <w:r>
        <w:t xml:space="preserve">Gugerli P, Ramel MR (1993) </w:t>
      </w:r>
      <w:r>
        <w:rPr>
          <w:i/>
        </w:rPr>
        <w:t xml:space="preserve">Grapevine leafroll associated virus II </w:t>
      </w:r>
      <w:r>
        <w:t xml:space="preserve">analyzed by monoclonal antibodies. Extended Abstracts </w:t>
      </w:r>
      <w:r>
        <w:rPr>
          <w:i/>
        </w:rPr>
        <w:t>11th Meeting of ICVG, Montreux 1993</w:t>
      </w:r>
      <w:r>
        <w:t xml:space="preserve"> 23</w:t>
      </w:r>
      <w:r>
        <w:rPr>
          <w:lang w:eastAsia="en-AU"/>
        </w:rPr>
        <w:t>–</w:t>
      </w:r>
      <w:r>
        <w:t xml:space="preserve">24. ICVG, </w:t>
      </w:r>
      <w:smartTag w:uri="urn:schemas-microsoft-com:office:smarttags" w:element="country-region">
        <w:smartTag w:uri="urn:schemas-microsoft-com:office:smarttags" w:element="place">
          <w:r>
            <w:t>Switzerland</w:t>
          </w:r>
        </w:smartTag>
      </w:smartTag>
      <w:r>
        <w:t>.</w:t>
      </w:r>
    </w:p>
    <w:p>
      <w:pPr>
        <w:spacing w:before="120" w:after="120" w:line="300" w:lineRule="atLeast"/>
        <w:jc w:val="left"/>
      </w:pPr>
      <w:r>
        <w:t xml:space="preserve">Guidoni S, Mannini F, Ferrandino A, Argamante N, di Stefano R (2000) Effect of virus status on leaf and berry phenolic compounds in two wine grapevine </w:t>
      </w:r>
      <w:r>
        <w:rPr>
          <w:i/>
          <w:iCs/>
        </w:rPr>
        <w:t xml:space="preserve">Vitis vinifera </w:t>
      </w:r>
      <w:r>
        <w:t xml:space="preserve">cultivars. </w:t>
      </w:r>
      <w:r>
        <w:rPr>
          <w:i/>
          <w:iCs/>
        </w:rPr>
        <w:t xml:space="preserve">Acta Horticulturae </w:t>
      </w:r>
      <w:r>
        <w:t>526: 445–452.</w:t>
      </w:r>
    </w:p>
    <w:p>
      <w:pPr>
        <w:autoSpaceDE w:val="0"/>
        <w:autoSpaceDN w:val="0"/>
        <w:spacing w:before="120" w:after="120" w:line="300" w:lineRule="atLeast"/>
        <w:jc w:val="left"/>
      </w:pPr>
      <w:r>
        <w:t>Gullan PJ (2000) Identification of the immature instars of mealybugs (Hemiptera: Ps</w:t>
      </w:r>
      <w:smartTag w:uri="urn:schemas-microsoft-com:office:smarttags" w:element="PersonName">
        <w:r>
          <w:t>eu</w:t>
        </w:r>
      </w:smartTag>
      <w:r>
        <w:t xml:space="preserve">dococcidae) found on citrus in </w:t>
      </w:r>
      <w:smartTag w:uri="urn:schemas-microsoft-com:office:smarttags" w:element="country-region">
        <w:smartTag w:uri="urn:schemas-microsoft-com:office:smarttags" w:element="place">
          <w:r>
            <w:t>Australia</w:t>
          </w:r>
        </w:smartTag>
      </w:smartTag>
      <w:r>
        <w:t xml:space="preserve">. </w:t>
      </w:r>
      <w:r>
        <w:rPr>
          <w:i/>
        </w:rPr>
        <w:t xml:space="preserve">Australian Journal of Entomology </w:t>
      </w:r>
      <w:r>
        <w:t>39: 160–166.</w:t>
      </w:r>
    </w:p>
    <w:p>
      <w:pPr>
        <w:spacing w:before="120" w:after="120" w:line="300" w:lineRule="atLeast"/>
        <w:jc w:val="left"/>
      </w:pPr>
      <w:r>
        <w:t xml:space="preserve">Gundersen DE, Lee IM, Schaff DA, Harrison NA, Chang CJ, Davis RE, Kingsbury DT (1996) Genomic diversity and differentiation among phytoplasma strains in 16S rRNA groups I (aster yellows and related phytoplasmas) and III (X-disease and related phytoplasmas). </w:t>
      </w:r>
      <w:r>
        <w:rPr>
          <w:i/>
        </w:rPr>
        <w:t>International Journal of Systematic Bacteriology</w:t>
      </w:r>
      <w:r>
        <w:t xml:space="preserve"> 46: 64–75.</w:t>
      </w:r>
    </w:p>
    <w:p>
      <w:pPr>
        <w:autoSpaceDE w:val="0"/>
        <w:autoSpaceDN w:val="0"/>
        <w:spacing w:before="120" w:after="120" w:line="300" w:lineRule="atLeast"/>
        <w:jc w:val="left"/>
      </w:pPr>
      <w:r>
        <w:t xml:space="preserve">Guo JY, Zhou HX, Wan FH, Liu XJ, Han ZJ (2005) Population dynamics and damage of </w:t>
      </w:r>
      <w:r>
        <w:rPr>
          <w:i/>
        </w:rPr>
        <w:t>Lygus lucorum</w:t>
      </w:r>
      <w:r>
        <w:t xml:space="preserve"> Mayr in Bt cotton fields under two control measures. </w:t>
      </w:r>
      <w:r>
        <w:rPr>
          <w:i/>
        </w:rPr>
        <w:t>Chinese Bulletin of Entomologie</w:t>
      </w:r>
      <w:r>
        <w:t xml:space="preserve"> 42: 4.</w:t>
      </w:r>
    </w:p>
    <w:p>
      <w:pPr>
        <w:autoSpaceDE w:val="0"/>
        <w:autoSpaceDN w:val="0"/>
        <w:spacing w:before="120" w:after="120" w:line="300" w:lineRule="atLeast"/>
        <w:jc w:val="left"/>
        <w:rPr>
          <w:lang w:eastAsia="en-AU"/>
        </w:rPr>
      </w:pPr>
      <w:r>
        <w:rPr>
          <w:lang w:eastAsia="en-AU"/>
        </w:rPr>
        <w:t xml:space="preserve">Gutierrez J, Schicha E (1983) The spider mite </w:t>
      </w:r>
      <w:r>
        <w:t>family</w:t>
      </w:r>
      <w:r>
        <w:rPr>
          <w:lang w:eastAsia="en-AU"/>
        </w:rPr>
        <w:t xml:space="preserve"> Tetranychidae (Acari) in </w:t>
      </w:r>
      <w:smartTag w:uri="urn:schemas-microsoft-com:office:smarttags" w:element="State">
        <w:smartTag w:uri="urn:schemas-microsoft-com:office:smarttags" w:element="place">
          <w:r>
            <w:rPr>
              <w:lang w:eastAsia="en-AU"/>
            </w:rPr>
            <w:t>New South Wales</w:t>
          </w:r>
        </w:smartTag>
      </w:smartTag>
      <w:r>
        <w:rPr>
          <w:lang w:eastAsia="en-AU"/>
        </w:rPr>
        <w:t xml:space="preserve">. </w:t>
      </w:r>
      <w:r>
        <w:rPr>
          <w:i/>
          <w:lang w:eastAsia="en-AU"/>
        </w:rPr>
        <w:t>Acarology</w:t>
      </w:r>
      <w:r>
        <w:rPr>
          <w:lang w:eastAsia="en-AU"/>
        </w:rPr>
        <w:t xml:space="preserve"> 9: 107–108.</w:t>
      </w:r>
    </w:p>
    <w:p>
      <w:pPr>
        <w:spacing w:before="120" w:after="120" w:line="300" w:lineRule="atLeast"/>
        <w:jc w:val="left"/>
      </w:pPr>
      <w:r>
        <w:t xml:space="preserve">Guy P (1982) A disease of </w:t>
      </w:r>
      <w:r>
        <w:rPr>
          <w:i/>
        </w:rPr>
        <w:t>Atriplex</w:t>
      </w:r>
      <w:r>
        <w:t xml:space="preserve"> caused by </w:t>
      </w:r>
      <w:r>
        <w:rPr>
          <w:i/>
        </w:rPr>
        <w:t>Sowbane mosaic virus</w:t>
      </w:r>
      <w:r>
        <w:t xml:space="preserve">. </w:t>
      </w:r>
      <w:r>
        <w:rPr>
          <w:i/>
          <w:iCs/>
        </w:rPr>
        <w:t>Australasian Plant Pathology</w:t>
      </w:r>
      <w:r>
        <w:t xml:space="preserve"> 11: 51–52. </w:t>
      </w:r>
    </w:p>
    <w:p>
      <w:pPr>
        <w:autoSpaceDE w:val="0"/>
        <w:autoSpaceDN w:val="0"/>
        <w:spacing w:before="120" w:after="120" w:line="300" w:lineRule="atLeast"/>
        <w:jc w:val="left"/>
      </w:pPr>
      <w:r>
        <w:t xml:space="preserve">Habili N (2009) </w:t>
      </w:r>
      <w:r>
        <w:rPr>
          <w:i/>
        </w:rPr>
        <w:t xml:space="preserve">Grapevine viruses in Australian </w:t>
      </w:r>
      <w:r>
        <w:rPr>
          <w:i/>
          <w:lang w:eastAsia="en-AU"/>
        </w:rPr>
        <w:t>states</w:t>
      </w:r>
      <w:r>
        <w:rPr>
          <w:i/>
        </w:rPr>
        <w:t xml:space="preserve">, 16th June, 2009 </w:t>
      </w:r>
      <w:r>
        <w:t>(</w:t>
      </w:r>
      <w:r>
        <w:rPr>
          <w:i/>
        </w:rPr>
        <w:t>personal communication</w:t>
      </w:r>
      <w:r>
        <w:t>). Commonwealth Scientific and Industrial Research Organisation, Adelaide.</w:t>
      </w:r>
    </w:p>
    <w:p>
      <w:pPr>
        <w:spacing w:before="120" w:after="120" w:line="300" w:lineRule="atLeast"/>
        <w:jc w:val="left"/>
      </w:pPr>
      <w:r>
        <w:t xml:space="preserve">Habili N, Afsharifar A, Symons RH (2003) First detection of an Ampelovirus, a Maculavirus and two Vitiviruses in Iranian table grapes. </w:t>
      </w:r>
      <w:r>
        <w:rPr>
          <w:i/>
        </w:rPr>
        <w:t>Extended abstracts 14th ICVG meeting September 12–17, 2003, Locorotondo (Bari), Italy</w:t>
      </w:r>
      <w:r>
        <w:t xml:space="preserve"> 162–163. ICVG, </w:t>
      </w:r>
      <w:smartTag w:uri="urn:schemas-microsoft-com:office:smarttags" w:element="country-region">
        <w:smartTag w:uri="urn:schemas-microsoft-com:office:smarttags" w:element="place">
          <w:r>
            <w:t>Switzerland</w:t>
          </w:r>
        </w:smartTag>
      </w:smartTag>
      <w:r>
        <w:t>.</w:t>
      </w:r>
    </w:p>
    <w:p>
      <w:pPr>
        <w:spacing w:before="120" w:after="120" w:line="300" w:lineRule="atLeast"/>
        <w:jc w:val="left"/>
      </w:pPr>
      <w:r>
        <w:t xml:space="preserve">Habili N, Komínek P, Little A (2007) </w:t>
      </w:r>
      <w:r>
        <w:rPr>
          <w:i/>
        </w:rPr>
        <w:t>Grapevine leafroll-associated virus 1</w:t>
      </w:r>
      <w:r>
        <w:t xml:space="preserve"> as a common grapevine pathogen. </w:t>
      </w:r>
      <w:r>
        <w:rPr>
          <w:i/>
        </w:rPr>
        <w:t>Plant Viruses</w:t>
      </w:r>
      <w:r>
        <w:t xml:space="preserve"> 1: 63</w:t>
      </w:r>
      <w:r>
        <w:rPr>
          <w:lang w:eastAsia="en-AU"/>
        </w:rPr>
        <w:t>–</w:t>
      </w:r>
      <w:r>
        <w:t>68.</w:t>
      </w:r>
    </w:p>
    <w:p>
      <w:pPr>
        <w:spacing w:before="120" w:after="120" w:line="300" w:lineRule="atLeast"/>
        <w:jc w:val="left"/>
      </w:pPr>
      <w:r>
        <w:t xml:space="preserve">Habili N, Symons RH (2000) Grapevine viruses detected by Waite diagnostics in Australia. In </w:t>
      </w:r>
      <w:r>
        <w:rPr>
          <w:i/>
        </w:rPr>
        <w:t xml:space="preserve">13th ICVG Conference </w:t>
      </w:r>
      <w:r>
        <w:t>124–126, University of Adelaide, Adelaide.</w:t>
      </w:r>
    </w:p>
    <w:p>
      <w:pPr>
        <w:spacing w:before="120" w:after="120" w:line="300" w:lineRule="atLeast"/>
        <w:jc w:val="left"/>
      </w:pPr>
      <w:r>
        <w:t xml:space="preserve">Halleen F, Crous PW, Petrini O (2003) Fungi associated with healthy grapevine cuttings in nurseries, with special reference to pathogens involved in the decline of young vines. </w:t>
      </w:r>
      <w:r>
        <w:rPr>
          <w:i/>
        </w:rPr>
        <w:t>Australasian Plant Pathology</w:t>
      </w:r>
      <w:r>
        <w:t xml:space="preserve"> 32: 47–52.</w:t>
      </w:r>
    </w:p>
    <w:p>
      <w:pPr>
        <w:spacing w:before="120" w:after="120" w:line="300" w:lineRule="atLeast"/>
        <w:jc w:val="left"/>
      </w:pPr>
      <w:r>
        <w:t xml:space="preserve">Halleen F, Fourie PH, Crous PW (2006a) A review of Black foot disease of grapevine. </w:t>
      </w:r>
      <w:r>
        <w:rPr>
          <w:i/>
        </w:rPr>
        <w:t>Phytopathologia Mediterranea</w:t>
      </w:r>
      <w:r>
        <w:t xml:space="preserve"> 45: 55–67.</w:t>
      </w:r>
    </w:p>
    <w:p>
      <w:pPr>
        <w:spacing w:before="120" w:after="120" w:line="300" w:lineRule="atLeast"/>
        <w:jc w:val="left"/>
      </w:pPr>
      <w:r>
        <w:t xml:space="preserve">Halleen F, Mostert L, Crous PW (2005) Pathogenicity testing of </w:t>
      </w:r>
      <w:r>
        <w:rPr>
          <w:i/>
        </w:rPr>
        <w:t>Phialophora</w:t>
      </w:r>
      <w:r>
        <w:t xml:space="preserve">, </w:t>
      </w:r>
      <w:r>
        <w:rPr>
          <w:i/>
        </w:rPr>
        <w:t>Phialophora</w:t>
      </w:r>
      <w:r>
        <w:t xml:space="preserve">–like, </w:t>
      </w:r>
      <w:r>
        <w:rPr>
          <w:i/>
        </w:rPr>
        <w:t>Phaeoacremonium</w:t>
      </w:r>
      <w:r>
        <w:t xml:space="preserve"> and </w:t>
      </w:r>
      <w:r>
        <w:rPr>
          <w:i/>
        </w:rPr>
        <w:t>Acremonium</w:t>
      </w:r>
      <w:r>
        <w:t xml:space="preserve"> species isolated from vascular tissues of grapevines. </w:t>
      </w:r>
      <w:r>
        <w:rPr>
          <w:i/>
        </w:rPr>
        <w:t>Phytopathologia Mediterranea</w:t>
      </w:r>
      <w:r>
        <w:t xml:space="preserve"> 44: 103.</w:t>
      </w:r>
    </w:p>
    <w:p>
      <w:pPr>
        <w:spacing w:before="120" w:after="120" w:line="300" w:lineRule="atLeast"/>
        <w:jc w:val="left"/>
      </w:pPr>
      <w:r>
        <w:t xml:space="preserve">Halleen F, Mostert L, Crous PW (2007) Pathogenicity testing of lesser-known vascular fungi of grapevines. </w:t>
      </w:r>
      <w:r>
        <w:rPr>
          <w:i/>
        </w:rPr>
        <w:t xml:space="preserve">Australasian Plant Pathology </w:t>
      </w:r>
      <w:r>
        <w:t>36: 277–285.</w:t>
      </w:r>
    </w:p>
    <w:p>
      <w:pPr>
        <w:spacing w:before="120" w:after="120" w:line="300" w:lineRule="atLeast"/>
        <w:jc w:val="left"/>
      </w:pPr>
      <w:r>
        <w:t xml:space="preserve">Halleen F, Schroers H-J, Groenewald JZ, Rego C, Oliveira H, Crous PW (2006b) </w:t>
      </w:r>
      <w:r>
        <w:rPr>
          <w:i/>
          <w:iCs/>
        </w:rPr>
        <w:t>Neonectria liriodendri</w:t>
      </w:r>
      <w:r>
        <w:t xml:space="preserve"> sp. nov., the main causal agent of black foot disease of grapevines. </w:t>
      </w:r>
      <w:r>
        <w:rPr>
          <w:i/>
          <w:iCs/>
        </w:rPr>
        <w:t>Studies in Mycology</w:t>
      </w:r>
      <w:r>
        <w:t xml:space="preserve"> </w:t>
      </w:r>
      <w:r>
        <w:rPr>
          <w:bCs/>
        </w:rPr>
        <w:t>55</w:t>
      </w:r>
      <w:r>
        <w:t>: 227–234.</w:t>
      </w:r>
    </w:p>
    <w:p>
      <w:pPr>
        <w:spacing w:before="120" w:after="120" w:line="300" w:lineRule="atLeast"/>
        <w:jc w:val="left"/>
      </w:pPr>
      <w:r>
        <w:t xml:space="preserve">Hamon </w:t>
      </w:r>
      <w:smartTag w:uri="urn:schemas-microsoft-com:office:smarttags" w:element="State">
        <w:r>
          <w:t>AB</w:t>
        </w:r>
      </w:smartTag>
      <w:r>
        <w:t xml:space="preserve"> (1977) Oleander Pit Scale, </w:t>
      </w:r>
      <w:r>
        <w:rPr>
          <w:i/>
        </w:rPr>
        <w:t>Asterolecanium pustulans</w:t>
      </w:r>
      <w:r>
        <w:t xml:space="preserve"> (Cockerell) (Homoptera: Coccoidea: </w:t>
      </w:r>
      <w:r>
        <w:rPr>
          <w:lang w:eastAsia="en-AU"/>
        </w:rPr>
        <w:t>Asterolecantidae</w:t>
      </w:r>
      <w:r>
        <w:t>). Entomology Circular No. 184. Florida Department of Agriculture and Consumer Service. Division of Plant Industry.</w:t>
      </w:r>
    </w:p>
    <w:p>
      <w:pPr>
        <w:autoSpaceDE w:val="0"/>
        <w:autoSpaceDN w:val="0"/>
        <w:spacing w:before="120" w:after="120" w:line="300" w:lineRule="atLeast"/>
        <w:jc w:val="left"/>
        <w:rPr>
          <w:lang w:eastAsia="en-AU"/>
        </w:rPr>
      </w:pPr>
      <w:r>
        <w:rPr>
          <w:lang w:eastAsia="en-AU"/>
        </w:rPr>
        <w:t xml:space="preserve">Hanken DA (2002) </w:t>
      </w:r>
      <w:r>
        <w:rPr>
          <w:iCs/>
          <w:lang w:eastAsia="en-AU"/>
        </w:rPr>
        <w:t>Importation of Grapes (</w:t>
      </w:r>
      <w:r>
        <w:rPr>
          <w:i/>
          <w:iCs/>
          <w:lang w:eastAsia="en-AU"/>
        </w:rPr>
        <w:t xml:space="preserve">Vitis </w:t>
      </w:r>
      <w:r>
        <w:rPr>
          <w:iCs/>
          <w:lang w:eastAsia="en-AU"/>
        </w:rPr>
        <w:t>spp.) from Korea into the United States. A qualitative, pathway-initiated pest risk assessment</w:t>
      </w:r>
      <w:r>
        <w:rPr>
          <w:i/>
          <w:iCs/>
          <w:lang w:eastAsia="en-AU"/>
        </w:rPr>
        <w:t xml:space="preserve">. </w:t>
      </w:r>
      <w:r>
        <w:rPr>
          <w:lang w:eastAsia="en-AU"/>
        </w:rPr>
        <w:t>Animal and Plant Health Inspection Service, United States Department of Agriculture; Riverdale, MD, USA.</w:t>
      </w:r>
    </w:p>
    <w:p>
      <w:pPr>
        <w:autoSpaceDE w:val="0"/>
        <w:autoSpaceDN w:val="0"/>
        <w:spacing w:before="120" w:after="120" w:line="300" w:lineRule="atLeast"/>
        <w:jc w:val="left"/>
        <w:rPr>
          <w:lang w:eastAsia="en-AU"/>
        </w:rPr>
      </w:pPr>
      <w:r>
        <w:rPr>
          <w:lang w:eastAsia="en-AU"/>
        </w:rPr>
        <w:t xml:space="preserve">Harding RB, Wicks TJ (2007) </w:t>
      </w:r>
      <w:r>
        <w:rPr>
          <w:i/>
          <w:lang w:eastAsia="en-AU"/>
        </w:rPr>
        <w:t xml:space="preserve">Verticillium dahliae </w:t>
      </w:r>
      <w:r>
        <w:rPr>
          <w:lang w:eastAsia="en-AU"/>
        </w:rPr>
        <w:t xml:space="preserve">and </w:t>
      </w:r>
      <w:r>
        <w:rPr>
          <w:i/>
          <w:lang w:eastAsia="en-AU"/>
        </w:rPr>
        <w:t xml:space="preserve">Pratylenchus </w:t>
      </w:r>
      <w:r>
        <w:rPr>
          <w:lang w:eastAsia="en-AU"/>
        </w:rPr>
        <w:t xml:space="preserve">spp: populations in potato soils and plants in Australia. </w:t>
      </w:r>
      <w:r>
        <w:rPr>
          <w:i/>
          <w:lang w:eastAsia="en-AU"/>
        </w:rPr>
        <w:t xml:space="preserve">Australasian Plant Pathology </w:t>
      </w:r>
      <w:r>
        <w:rPr>
          <w:lang w:eastAsia="en-AU"/>
        </w:rPr>
        <w:t>36: 62–67.</w:t>
      </w:r>
    </w:p>
    <w:p>
      <w:pPr>
        <w:spacing w:before="120" w:after="120" w:line="300" w:lineRule="atLeast"/>
        <w:jc w:val="left"/>
        <w:rPr>
          <w:lang w:eastAsia="en-AU"/>
        </w:rPr>
      </w:pPr>
      <w:r>
        <w:rPr>
          <w:lang w:eastAsia="en-AU"/>
        </w:rPr>
        <w:t xml:space="preserve">Hardy S, Donovan N, Barkley PB (2008) </w:t>
      </w:r>
      <w:r>
        <w:rPr>
          <w:i/>
          <w:lang w:eastAsia="en-AU"/>
        </w:rPr>
        <w:t>Citrus exocortis</w:t>
      </w:r>
      <w:r>
        <w:rPr>
          <w:lang w:eastAsia="en-AU"/>
        </w:rPr>
        <w:t>. Primefact 772. NSW Department of Primary Industries, NSW.</w:t>
      </w:r>
    </w:p>
    <w:p>
      <w:pPr>
        <w:spacing w:before="120" w:after="120" w:line="300" w:lineRule="atLeast"/>
        <w:jc w:val="left"/>
        <w:rPr>
          <w:lang w:eastAsia="en-AU"/>
        </w:rPr>
      </w:pPr>
      <w:r>
        <w:rPr>
          <w:lang w:eastAsia="en-AU"/>
        </w:rPr>
        <w:t xml:space="preserve">Harju </w:t>
      </w:r>
      <w:smartTag w:uri="urn:schemas-microsoft-com:office:smarttags" w:element="State">
        <w:r>
          <w:rPr>
            <w:lang w:eastAsia="en-AU"/>
          </w:rPr>
          <w:t>VA</w:t>
        </w:r>
      </w:smartTag>
      <w:r>
        <w:rPr>
          <w:lang w:eastAsia="en-AU"/>
        </w:rPr>
        <w:t xml:space="preserve">, Skelton AL, </w:t>
      </w:r>
      <w:smartTag w:uri="urn:schemas-microsoft-com:office:smarttags" w:element="City">
        <w:r>
          <w:rPr>
            <w:lang w:eastAsia="en-AU"/>
          </w:rPr>
          <w:t>Monger</w:t>
        </w:r>
      </w:smartTag>
      <w:r>
        <w:rPr>
          <w:lang w:eastAsia="en-AU"/>
        </w:rPr>
        <w:t xml:space="preserve"> </w:t>
      </w:r>
      <w:smartTag w:uri="urn:schemas-microsoft-com:office:smarttags" w:element="State">
        <w:r>
          <w:rPr>
            <w:lang w:eastAsia="en-AU"/>
          </w:rPr>
          <w:t>WA</w:t>
        </w:r>
      </w:smartTag>
      <w:r>
        <w:rPr>
          <w:lang w:eastAsia="en-AU"/>
        </w:rPr>
        <w:t>, Jarvis B, Mumford RA (2008) Identification of an X-disease (16SrIII) group phytoplasma (‘</w:t>
      </w:r>
      <w:r>
        <w:rPr>
          <w:i/>
          <w:lang w:eastAsia="en-AU"/>
        </w:rPr>
        <w:t xml:space="preserve">Candidatus </w:t>
      </w:r>
      <w:r>
        <w:rPr>
          <w:lang w:eastAsia="en-AU"/>
        </w:rPr>
        <w:t xml:space="preserve">Phytoplasma pruni’) infecting delphiniums in the </w:t>
      </w:r>
      <w:smartTag w:uri="urn:schemas-microsoft-com:office:smarttags" w:element="country-region">
        <w:smartTag w:uri="urn:schemas-microsoft-com:office:smarttags" w:element="place">
          <w:r>
            <w:rPr>
              <w:lang w:eastAsia="en-AU"/>
            </w:rPr>
            <w:t>UK</w:t>
          </w:r>
        </w:smartTag>
      </w:smartTag>
      <w:r>
        <w:rPr>
          <w:lang w:eastAsia="en-AU"/>
        </w:rPr>
        <w:t xml:space="preserve">. </w:t>
      </w:r>
      <w:r>
        <w:rPr>
          <w:i/>
          <w:lang w:eastAsia="en-AU"/>
        </w:rPr>
        <w:t xml:space="preserve">Plant Pathology </w:t>
      </w:r>
      <w:r>
        <w:rPr>
          <w:lang w:eastAsia="en-AU"/>
        </w:rPr>
        <w:t>57: 769.</w:t>
      </w:r>
    </w:p>
    <w:p>
      <w:pPr>
        <w:spacing w:before="120" w:after="120" w:line="300" w:lineRule="atLeast"/>
        <w:jc w:val="left"/>
      </w:pPr>
      <w:r>
        <w:t xml:space="preserve">Harman JA, Mao CX, Morse JG (2007) Selection of colour of sticky trap for monitoring adult bean thrips, </w:t>
      </w:r>
      <w:r>
        <w:rPr>
          <w:i/>
        </w:rPr>
        <w:t>Caliothrips fasciatus</w:t>
      </w:r>
      <w:r>
        <w:t xml:space="preserve"> (Thysanoptera: Thripidae).</w:t>
      </w:r>
      <w:r>
        <w:rPr>
          <w:i/>
          <w:iCs/>
          <w:lang w:eastAsia="en-AU"/>
        </w:rPr>
        <w:t xml:space="preserve"> </w:t>
      </w:r>
      <w:r>
        <w:rPr>
          <w:i/>
        </w:rPr>
        <w:t xml:space="preserve">Pest Management Science </w:t>
      </w:r>
      <w:r>
        <w:t>63: 210–216.</w:t>
      </w:r>
    </w:p>
    <w:p>
      <w:pPr>
        <w:spacing w:before="120" w:after="120" w:line="300" w:lineRule="atLeast"/>
        <w:jc w:val="left"/>
      </w:pPr>
      <w:r>
        <w:t xml:space="preserve">Harper SJ, Delmiglio C, Ward LI, Clover GRG (2010) Detection of </w:t>
      </w:r>
      <w:r>
        <w:rPr>
          <w:i/>
        </w:rPr>
        <w:t xml:space="preserve">Tomato black ring virus </w:t>
      </w:r>
      <w:r>
        <w:t xml:space="preserve">by real-time one-step RT-PCR. </w:t>
      </w:r>
      <w:r>
        <w:rPr>
          <w:i/>
        </w:rPr>
        <w:t>Journal of Virological Methods</w:t>
      </w:r>
      <w:r>
        <w:t xml:space="preserve"> 171: 190–194.</w:t>
      </w:r>
    </w:p>
    <w:p>
      <w:pPr>
        <w:spacing w:before="120" w:after="120" w:line="300" w:lineRule="atLeast"/>
        <w:jc w:val="left"/>
      </w:pPr>
      <w:r>
        <w:t xml:space="preserve">Harris R, Ochoa-Corona R, Lebas B, Timudo O, Stewart F, Alexander B (2006) Broad detection and diagnosis of viruses of the genus </w:t>
      </w:r>
      <w:r>
        <w:rPr>
          <w:iCs/>
        </w:rPr>
        <w:t>Tombusvirus</w:t>
      </w:r>
      <w:r>
        <w:rPr>
          <w:i/>
          <w:iCs/>
        </w:rPr>
        <w:t xml:space="preserve"> </w:t>
      </w:r>
      <w:r>
        <w:t xml:space="preserve">by RT-PCR coupled to single strand conformation polymorphism analysis. </w:t>
      </w:r>
      <w:r>
        <w:rPr>
          <w:i/>
          <w:iCs/>
          <w:sz w:val="23"/>
          <w:szCs w:val="23"/>
        </w:rPr>
        <w:t xml:space="preserve">Phytopathology </w:t>
      </w:r>
      <w:r>
        <w:rPr>
          <w:sz w:val="23"/>
          <w:szCs w:val="23"/>
        </w:rPr>
        <w:t>97: S45.</w:t>
      </w:r>
    </w:p>
    <w:p>
      <w:pPr>
        <w:spacing w:before="120" w:after="120" w:line="300" w:lineRule="atLeast"/>
        <w:jc w:val="left"/>
      </w:pPr>
      <w:r>
        <w:t>Harrison BD (1957) Studies of the host range, properties and mode of transmission of</w:t>
      </w:r>
      <w:r>
        <w:rPr>
          <w:i/>
        </w:rPr>
        <w:t xml:space="preserve"> Beet ringspot virus</w:t>
      </w:r>
      <w:r>
        <w:t xml:space="preserve">. </w:t>
      </w:r>
      <w:r>
        <w:rPr>
          <w:i/>
        </w:rPr>
        <w:t>Annals of Applied Biology</w:t>
      </w:r>
      <w:r>
        <w:t xml:space="preserve"> 45: 462–472.</w:t>
      </w:r>
    </w:p>
    <w:p>
      <w:pPr>
        <w:spacing w:before="120" w:after="120" w:line="300" w:lineRule="atLeast"/>
        <w:jc w:val="left"/>
      </w:pPr>
      <w:r>
        <w:t xml:space="preserve">Harrison BD (1958) Relationship between </w:t>
      </w:r>
      <w:r>
        <w:rPr>
          <w:i/>
        </w:rPr>
        <w:t xml:space="preserve">Beet ringspot, Potato bouquet </w:t>
      </w:r>
      <w:r>
        <w:t xml:space="preserve">and </w:t>
      </w:r>
      <w:r>
        <w:rPr>
          <w:i/>
        </w:rPr>
        <w:t>Tomato black ring viruses.</w:t>
      </w:r>
      <w:r>
        <w:t xml:space="preserve"> </w:t>
      </w:r>
      <w:r>
        <w:rPr>
          <w:i/>
        </w:rPr>
        <w:t>Journal of General Microbiology</w:t>
      </w:r>
      <w:r>
        <w:t xml:space="preserve"> 18: 450–460.</w:t>
      </w:r>
    </w:p>
    <w:p>
      <w:pPr>
        <w:spacing w:before="120" w:after="120" w:line="300" w:lineRule="atLeast"/>
        <w:jc w:val="left"/>
      </w:pPr>
      <w:r>
        <w:rPr>
          <w:bCs/>
        </w:rPr>
        <w:t xml:space="preserve">Haviland DR, Bentley WJ, Daane KM (2005) Hot-water treatments for control of </w:t>
      </w:r>
      <w:r>
        <w:rPr>
          <w:bCs/>
          <w:i/>
          <w:iCs/>
        </w:rPr>
        <w:t xml:space="preserve">Planococcus ficus </w:t>
      </w:r>
      <w:r>
        <w:rPr>
          <w:bCs/>
        </w:rPr>
        <w:t>(Homoptera: Ps</w:t>
      </w:r>
      <w:smartTag w:uri="urn:schemas-microsoft-com:office:smarttags" w:element="PersonName">
        <w:r>
          <w:rPr>
            <w:bCs/>
          </w:rPr>
          <w:t>eu</w:t>
        </w:r>
      </w:smartTag>
      <w:r>
        <w:rPr>
          <w:bCs/>
        </w:rPr>
        <w:t xml:space="preserve">dococcidae) on dormant grape cuttings. </w:t>
      </w:r>
      <w:r>
        <w:rPr>
          <w:i/>
        </w:rPr>
        <w:t>Journal of Economic Entomology</w:t>
      </w:r>
      <w:r>
        <w:t xml:space="preserve"> 98: 1109–1115 </w:t>
      </w:r>
    </w:p>
    <w:p>
      <w:pPr>
        <w:spacing w:before="120" w:after="120" w:line="300" w:lineRule="atLeast"/>
        <w:jc w:val="left"/>
      </w:pPr>
      <w:r>
        <w:t xml:space="preserve">Hayova VP, Minter DW (2009) </w:t>
      </w:r>
      <w:r>
        <w:rPr>
          <w:i/>
          <w:iCs/>
        </w:rPr>
        <w:t>Amerosporium concinnum</w:t>
      </w:r>
      <w:r>
        <w:t xml:space="preserve">. IMI Descriptions of Fungi and Bacteria No. 1791. CAB International, </w:t>
      </w:r>
      <w:smartTag w:uri="urn:schemas-microsoft-com:office:smarttags" w:element="place">
        <w:smartTag w:uri="urn:schemas-microsoft-com:office:smarttags" w:element="City">
          <w:r>
            <w:t>Surrey</w:t>
          </w:r>
        </w:smartTag>
        <w:r>
          <w:t xml:space="preserve">, </w:t>
        </w:r>
        <w:smartTag w:uri="urn:schemas-microsoft-com:office:smarttags" w:element="country-region">
          <w:r>
            <w:t>UK</w:t>
          </w:r>
        </w:smartTag>
      </w:smartTag>
      <w:r>
        <w:t>.</w:t>
      </w:r>
    </w:p>
    <w:p>
      <w:pPr>
        <w:spacing w:before="120" w:after="120" w:line="300" w:lineRule="atLeast"/>
        <w:jc w:val="left"/>
      </w:pPr>
      <w:r>
        <w:t xml:space="preserve">Hennen JF, Figueiredo MB, de Carvalho Jr., Hennen PG (2005) Catalogue of the species of plant rust fungi (Uredinales) in Brazil. </w:t>
      </w:r>
      <w:hyperlink r:id="rId164" w:history="1">
        <w:r>
          <w:rPr>
            <w:rStyle w:val="Hyperlink"/>
            <w:color w:val="auto"/>
          </w:rPr>
          <w:t>http://200.20.168.5/publica/livros_pdf/catalogue.pdf</w:t>
        </w:r>
      </w:hyperlink>
      <w:r>
        <w:t xml:space="preserve"> Accessed March 2012.</w:t>
      </w:r>
    </w:p>
    <w:p>
      <w:pPr>
        <w:spacing w:before="120" w:after="120" w:line="300" w:lineRule="atLeast"/>
        <w:jc w:val="left"/>
      </w:pPr>
      <w:r>
        <w:t xml:space="preserve">Hennessy CR, Daly AM, </w:t>
      </w:r>
      <w:smartTag w:uri="urn:schemas-microsoft-com:office:smarttags" w:element="place">
        <w:smartTag w:uri="urn:schemas-microsoft-com:office:smarttags" w:element="City">
          <w:r>
            <w:t>Hearnden</w:t>
          </w:r>
        </w:smartTag>
        <w:r>
          <w:t xml:space="preserve"> </w:t>
        </w:r>
        <w:smartTag w:uri="urn:schemas-microsoft-com:office:smarttags" w:element="State">
          <w:r>
            <w:t>MN</w:t>
          </w:r>
        </w:smartTag>
      </w:smartTag>
      <w:r>
        <w:t xml:space="preserve"> (2007) Assessment of grapevine cultivars for resistance to </w:t>
      </w:r>
      <w:r>
        <w:rPr>
          <w:i/>
          <w:iCs/>
        </w:rPr>
        <w:t xml:space="preserve">Phakopsora </w:t>
      </w:r>
      <w:smartTag w:uri="urn:schemas-microsoft-com:office:smarttags" w:element="PersonName">
        <w:r>
          <w:rPr>
            <w:i/>
            <w:iCs/>
          </w:rPr>
          <w:t>eu</w:t>
        </w:r>
      </w:smartTag>
      <w:r>
        <w:rPr>
          <w:i/>
          <w:iCs/>
        </w:rPr>
        <w:t>vitis</w:t>
      </w:r>
      <w:r>
        <w:t xml:space="preserve">. </w:t>
      </w:r>
      <w:r>
        <w:rPr>
          <w:i/>
          <w:iCs/>
        </w:rPr>
        <w:t>Australasian Plant Pathology</w:t>
      </w:r>
      <w:r>
        <w:t xml:space="preserve"> </w:t>
      </w:r>
      <w:r>
        <w:rPr>
          <w:bCs/>
        </w:rPr>
        <w:t>36</w:t>
      </w:r>
      <w:r>
        <w:t>: 313–317.</w:t>
      </w:r>
    </w:p>
    <w:p>
      <w:pPr>
        <w:spacing w:before="120" w:after="120" w:line="300" w:lineRule="atLeast"/>
        <w:jc w:val="left"/>
      </w:pPr>
      <w:r>
        <w:t xml:space="preserve">Herrera GM, Madariaga MV (2001) Presence and incidence of grapevine viruses in the central zone of Chile. </w:t>
      </w:r>
      <w:r>
        <w:rPr>
          <w:i/>
        </w:rPr>
        <w:t>Agric. Téc</w:t>
      </w:r>
      <w:r>
        <w:t xml:space="preserve">. </w:t>
      </w:r>
      <w:r>
        <w:rPr>
          <w:i/>
        </w:rPr>
        <w:t>Chile</w:t>
      </w:r>
      <w:r>
        <w:t xml:space="preserve"> 61: 393</w:t>
      </w:r>
      <w:r>
        <w:rPr>
          <w:lang w:eastAsia="en-AU"/>
        </w:rPr>
        <w:t>–</w:t>
      </w:r>
      <w:r>
        <w:t>400.</w:t>
      </w:r>
    </w:p>
    <w:p>
      <w:pPr>
        <w:spacing w:before="120" w:after="120" w:line="300" w:lineRule="atLeast"/>
        <w:jc w:val="left"/>
      </w:pPr>
      <w:r>
        <w:t xml:space="preserve">Hewitt WB, Martelli G, Dias HF, Taylor RH (1970) </w:t>
      </w:r>
      <w:r>
        <w:rPr>
          <w:i/>
        </w:rPr>
        <w:t>Grapevine fanleaf virus.</w:t>
      </w:r>
      <w:r>
        <w:t xml:space="preserve"> </w:t>
      </w:r>
      <w:hyperlink r:id="rId165" w:history="1">
        <w:r>
          <w:rPr>
            <w:rStyle w:val="Hyperlink"/>
            <w:color w:val="auto"/>
          </w:rPr>
          <w:t>http://www.dpvweb.net/dpv/showdpv.php?dpvno=28</w:t>
        </w:r>
      </w:hyperlink>
      <w:r>
        <w:t xml:space="preserve"> Accessed March 2011.</w:t>
      </w:r>
    </w:p>
    <w:p>
      <w:pPr>
        <w:spacing w:before="120" w:after="120" w:line="300" w:lineRule="atLeast"/>
        <w:jc w:val="left"/>
      </w:pPr>
      <w:r>
        <w:t xml:space="preserve">Hill BL, Purcell AH (1997) Populations of </w:t>
      </w:r>
      <w:r>
        <w:rPr>
          <w:i/>
        </w:rPr>
        <w:t>Xylella fastidiosa</w:t>
      </w:r>
      <w:r>
        <w:t xml:space="preserve"> in plants required for transmission by efficient vector. </w:t>
      </w:r>
      <w:r>
        <w:rPr>
          <w:i/>
        </w:rPr>
        <w:t>Ecology and Population Biology</w:t>
      </w:r>
      <w:r>
        <w:t xml:space="preserve"> 87: 1197–1201. </w:t>
      </w:r>
    </w:p>
    <w:p>
      <w:pPr>
        <w:autoSpaceDE w:val="0"/>
        <w:autoSpaceDN w:val="0"/>
        <w:spacing w:before="120" w:after="120" w:line="300" w:lineRule="atLeast"/>
        <w:ind w:left="540" w:hanging="540"/>
        <w:jc w:val="left"/>
      </w:pPr>
      <w:r>
        <w:t xml:space="preserve">Hiratsuka N (1935) </w:t>
      </w:r>
      <w:r>
        <w:rPr>
          <w:i/>
        </w:rPr>
        <w:t>Phakopsora</w:t>
      </w:r>
      <w:r>
        <w:t xml:space="preserve"> of Japan II. </w:t>
      </w:r>
      <w:r>
        <w:rPr>
          <w:i/>
        </w:rPr>
        <w:t xml:space="preserve">Botanical Magazine, </w:t>
      </w:r>
      <w:smartTag w:uri="urn:schemas-microsoft-com:office:smarttags" w:element="City">
        <w:smartTag w:uri="urn:schemas-microsoft-com:office:smarttags" w:element="place">
          <w:r>
            <w:rPr>
              <w:i/>
            </w:rPr>
            <w:t>Tokyo</w:t>
          </w:r>
        </w:smartTag>
      </w:smartTag>
      <w:r>
        <w:t xml:space="preserve"> 49: 853–860. </w:t>
      </w:r>
    </w:p>
    <w:p>
      <w:pPr>
        <w:spacing w:before="120" w:after="120" w:line="300" w:lineRule="atLeast"/>
        <w:jc w:val="left"/>
      </w:pPr>
      <w:r>
        <w:t xml:space="preserve">Hoddle MS (2004) The potential adventive geographic range of glassy-winged sharpshooter, </w:t>
      </w:r>
      <w:r>
        <w:rPr>
          <w:i/>
          <w:iCs/>
        </w:rPr>
        <w:t>Homalodisca coagulata</w:t>
      </w:r>
      <w:r>
        <w:t xml:space="preserve"> and the grape pathogen </w:t>
      </w:r>
      <w:r>
        <w:rPr>
          <w:i/>
          <w:iCs/>
        </w:rPr>
        <w:t>Xylella fastidiosa</w:t>
      </w:r>
      <w:r>
        <w:t xml:space="preserve">: implications for </w:t>
      </w:r>
      <w:smartTag w:uri="urn:schemas-microsoft-com:office:smarttags" w:element="State">
        <w:smartTag w:uri="urn:schemas-microsoft-com:office:smarttags" w:element="place">
          <w:r>
            <w:t>California</w:t>
          </w:r>
        </w:smartTag>
      </w:smartTag>
      <w:r>
        <w:t xml:space="preserve"> and other grape growing regions of the world. </w:t>
      </w:r>
      <w:r>
        <w:rPr>
          <w:i/>
          <w:iCs/>
        </w:rPr>
        <w:t>Crop Protection</w:t>
      </w:r>
      <w:r>
        <w:t xml:space="preserve"> </w:t>
      </w:r>
      <w:r>
        <w:rPr>
          <w:bCs/>
        </w:rPr>
        <w:t>23</w:t>
      </w:r>
      <w:r>
        <w:t>: 691–699.</w:t>
      </w:r>
    </w:p>
    <w:p>
      <w:pPr>
        <w:spacing w:before="120" w:after="120" w:line="300" w:lineRule="atLeast"/>
        <w:jc w:val="left"/>
      </w:pPr>
      <w:r>
        <w:t xml:space="preserve">Hoegger PJ, Rigling D, Holdenrieder O, Heiniger U (2002) </w:t>
      </w:r>
      <w:r>
        <w:rPr>
          <w:i/>
          <w:iCs/>
        </w:rPr>
        <w:t>Crytonectria radicalis</w:t>
      </w:r>
      <w:r>
        <w:t xml:space="preserve">: rediscovery of a lost fungus. </w:t>
      </w:r>
      <w:r>
        <w:rPr>
          <w:i/>
          <w:iCs/>
        </w:rPr>
        <w:t>Mycologia</w:t>
      </w:r>
      <w:r>
        <w:t xml:space="preserve"> </w:t>
      </w:r>
      <w:r>
        <w:rPr>
          <w:bCs/>
        </w:rPr>
        <w:t>94:</w:t>
      </w:r>
      <w:r>
        <w:t xml:space="preserve"> 105–115.</w:t>
      </w:r>
    </w:p>
    <w:p>
      <w:pPr>
        <w:spacing w:before="120" w:after="120" w:line="300" w:lineRule="atLeast"/>
        <w:jc w:val="left"/>
      </w:pPr>
      <w:r>
        <w:t xml:space="preserve">Holleinovà V, Blàhovà L, Barànkovà (2009) The occurrence of viruses in the clonal selection vineyards in the </w:t>
      </w:r>
      <w:smartTag w:uri="urn:schemas-microsoft-com:office:smarttags" w:element="place">
        <w:smartTag w:uri="urn:schemas-microsoft-com:office:smarttags" w:element="PlaceName">
          <w:r>
            <w:t>Czech</w:t>
          </w:r>
        </w:smartTag>
        <w:r>
          <w:t xml:space="preserve"> </w:t>
        </w:r>
        <w:smartTag w:uri="urn:schemas-microsoft-com:office:smarttags" w:element="PlaceType">
          <w:r>
            <w:t>Republic</w:t>
          </w:r>
        </w:smartTag>
      </w:smartTag>
      <w:r>
        <w:t xml:space="preserve">. </w:t>
      </w:r>
      <w:r>
        <w:rPr>
          <w:i/>
        </w:rPr>
        <w:t>Extended abstracts of the 16th meeting of ICVG in Dijon, 31 August–4 September 2009</w:t>
      </w:r>
      <w:r>
        <w:t xml:space="preserve">. ICVG, </w:t>
      </w:r>
      <w:smartTag w:uri="urn:schemas-microsoft-com:office:smarttags" w:element="country-region">
        <w:smartTag w:uri="urn:schemas-microsoft-com:office:smarttags" w:element="place">
          <w:r>
            <w:t>Switzerland</w:t>
          </w:r>
        </w:smartTag>
      </w:smartTag>
      <w:r>
        <w:t>.</w:t>
      </w:r>
    </w:p>
    <w:p>
      <w:pPr>
        <w:spacing w:before="120" w:after="120" w:line="300" w:lineRule="atLeast"/>
        <w:jc w:val="left"/>
      </w:pPr>
      <w:r>
        <w:t xml:space="preserve">Hosagoudar VB, Archana GR (2009) Host range of meliolaceous fungi in </w:t>
      </w:r>
      <w:smartTag w:uri="urn:schemas-microsoft-com:office:smarttags" w:element="country-region">
        <w:smartTag w:uri="urn:schemas-microsoft-com:office:smarttags" w:element="place">
          <w:r>
            <w:t>India</w:t>
          </w:r>
        </w:smartTag>
      </w:smartTag>
      <w:r>
        <w:t xml:space="preserve">. </w:t>
      </w:r>
      <w:r>
        <w:rPr>
          <w:i/>
        </w:rPr>
        <w:t>Journal of Threatened Taxa</w:t>
      </w:r>
      <w:r>
        <w:t xml:space="preserve"> 1: 269–282.</w:t>
      </w:r>
    </w:p>
    <w:p>
      <w:pPr>
        <w:spacing w:before="120" w:after="120" w:line="300" w:lineRule="atLeast"/>
        <w:jc w:val="left"/>
      </w:pPr>
      <w:r>
        <w:t xml:space="preserve">Hosagoudar VB, Riju MC, Agarwal DK (2010) Three new Meliolaceae members from Silent Valley National Park. </w:t>
      </w:r>
      <w:r>
        <w:rPr>
          <w:i/>
        </w:rPr>
        <w:t>Indian Phytopathology</w:t>
      </w:r>
      <w:r>
        <w:t xml:space="preserve"> 63: 76–78.</w:t>
      </w:r>
    </w:p>
    <w:p>
      <w:pPr>
        <w:autoSpaceDE w:val="0"/>
        <w:autoSpaceDN w:val="0"/>
        <w:spacing w:before="120" w:after="120" w:line="300" w:lineRule="atLeast"/>
        <w:jc w:val="left"/>
        <w:rPr>
          <w:lang w:eastAsia="en-AU"/>
        </w:rPr>
      </w:pPr>
      <w:r>
        <w:t>Hosagoudar VB (2003) Asteraceae of India.</w:t>
      </w:r>
      <w:r>
        <w:rPr>
          <w:lang w:eastAsia="en-AU"/>
        </w:rPr>
        <w:t xml:space="preserve"> </w:t>
      </w:r>
      <w:r>
        <w:rPr>
          <w:i/>
          <w:lang w:eastAsia="en-AU"/>
        </w:rPr>
        <w:t>Zoos Print Journal</w:t>
      </w:r>
      <w:r>
        <w:rPr>
          <w:lang w:eastAsia="en-AU"/>
        </w:rPr>
        <w:t xml:space="preserve"> 18: 1280–1285.</w:t>
      </w:r>
    </w:p>
    <w:p>
      <w:pPr>
        <w:autoSpaceDE w:val="0"/>
        <w:autoSpaceDN w:val="0"/>
        <w:spacing w:before="120" w:after="120" w:line="300" w:lineRule="atLeast"/>
        <w:jc w:val="left"/>
        <w:rPr>
          <w:lang w:eastAsia="en-AU"/>
        </w:rPr>
      </w:pPr>
      <w:r>
        <w:t xml:space="preserve">Hossain MS, </w:t>
      </w:r>
      <w:r>
        <w:rPr>
          <w:lang w:eastAsia="en-AU"/>
        </w:rPr>
        <w:t>Williams</w:t>
      </w:r>
      <w:r>
        <w:t xml:space="preserve"> DG (2003) Phenology of carpophilus beetle populations (Coleoptera: Nitidulidae, </w:t>
      </w:r>
      <w:r>
        <w:rPr>
          <w:bCs/>
          <w:i/>
        </w:rPr>
        <w:t>Carpophilus</w:t>
      </w:r>
      <w:r>
        <w:rPr>
          <w:i/>
        </w:rPr>
        <w:t xml:space="preserve"> spp.</w:t>
      </w:r>
      <w:r>
        <w:t xml:space="preserve">) in a fruit dump in northern </w:t>
      </w:r>
      <w:smartTag w:uri="urn:schemas-microsoft-com:office:smarttags" w:element="State">
        <w:smartTag w:uri="urn:schemas-microsoft-com:office:smarttags" w:element="place">
          <w:r>
            <w:t>Victoria</w:t>
          </w:r>
        </w:smartTag>
      </w:smartTag>
      <w:r>
        <w:t xml:space="preserve">. </w:t>
      </w:r>
      <w:r>
        <w:rPr>
          <w:i/>
        </w:rPr>
        <w:t>Australian Journal of Experimental Agriculture</w:t>
      </w:r>
      <w:r>
        <w:t xml:space="preserve"> 43: 1275–1279.</w:t>
      </w:r>
    </w:p>
    <w:p>
      <w:pPr>
        <w:autoSpaceDE w:val="0"/>
        <w:autoSpaceDN w:val="0"/>
        <w:spacing w:before="120" w:after="120" w:line="300" w:lineRule="atLeast"/>
        <w:jc w:val="left"/>
      </w:pPr>
      <w:r>
        <w:rPr>
          <w:lang w:eastAsia="en-AU"/>
        </w:rPr>
        <w:t xml:space="preserve">Hovore FT (1983) Taxonomic and biological observations on southwestern Cerambycidae (Coleoptera). </w:t>
      </w:r>
      <w:r>
        <w:rPr>
          <w:i/>
          <w:lang w:eastAsia="en-AU"/>
        </w:rPr>
        <w:t>The Coleopterists Bulletin</w:t>
      </w:r>
      <w:r>
        <w:rPr>
          <w:lang w:eastAsia="en-AU"/>
        </w:rPr>
        <w:t xml:space="preserve"> 37: 379–387.</w:t>
      </w:r>
    </w:p>
    <w:p>
      <w:pPr>
        <w:autoSpaceDE w:val="0"/>
        <w:autoSpaceDN w:val="0"/>
        <w:spacing w:before="120" w:after="120" w:line="300" w:lineRule="atLeast"/>
        <w:jc w:val="left"/>
        <w:rPr>
          <w:lang w:eastAsia="en-AU"/>
        </w:rPr>
      </w:pPr>
      <w:r>
        <w:rPr>
          <w:lang w:eastAsia="en-AU"/>
        </w:rPr>
        <w:t xml:space="preserve">Hren M, Nikolić P, Rotter A, Blejec A, Terrier N, Ravnikar M, Dermastia M, Gruden K(2009) 'Bois noir' Phytoplasma induces significant reprogramming of the leaf transcriptome in the field grown grapevine. </w:t>
      </w:r>
      <w:r>
        <w:rPr>
          <w:i/>
          <w:lang w:eastAsia="en-AU"/>
        </w:rPr>
        <w:t>BMC Genomics</w:t>
      </w:r>
      <w:r>
        <w:rPr>
          <w:lang w:eastAsia="en-AU"/>
        </w:rPr>
        <w:t xml:space="preserve"> 10: 460.</w:t>
      </w:r>
    </w:p>
    <w:p>
      <w:pPr>
        <w:spacing w:before="120" w:after="120" w:line="300" w:lineRule="atLeast"/>
        <w:jc w:val="left"/>
      </w:pPr>
      <w:r>
        <w:t xml:space="preserve">Hu JS, Gonsalves D, Teliz (1990) </w:t>
      </w:r>
      <w:r>
        <w:rPr>
          <w:bCs/>
          <w:lang w:eastAsia="en-AU"/>
        </w:rPr>
        <w:t>Characterization</w:t>
      </w:r>
      <w:r>
        <w:t xml:space="preserve"> of closterovirus-like particles associated with Grapevine leafroll disease. </w:t>
      </w:r>
      <w:r>
        <w:rPr>
          <w:i/>
        </w:rPr>
        <w:t>Journal of Phytopathology</w:t>
      </w:r>
      <w:r>
        <w:t xml:space="preserve"> 128: 1–14.</w:t>
      </w:r>
    </w:p>
    <w:p>
      <w:pPr>
        <w:autoSpaceDE w:val="0"/>
        <w:autoSpaceDN w:val="0"/>
        <w:spacing w:before="120" w:after="120" w:line="300" w:lineRule="atLeast"/>
        <w:jc w:val="left"/>
      </w:pPr>
      <w:r>
        <w:t xml:space="preserve">Hudson R, Adams D (2008) Three cornered Alfalfa hopper – </w:t>
      </w:r>
      <w:r>
        <w:rPr>
          <w:rStyle w:val="Emphasis"/>
        </w:rPr>
        <w:t>Spissistilus festinus</w:t>
      </w:r>
      <w:r>
        <w:t xml:space="preserve"> (Say). The Bug Wood Network. </w:t>
      </w:r>
      <w:r>
        <w:rPr>
          <w:bCs/>
          <w:iCs/>
          <w:u w:val="single"/>
        </w:rPr>
        <w:t>http://www.gaipm.org/top50/3cornered.html</w:t>
      </w:r>
      <w:r>
        <w:t xml:space="preserve"> Accessed August 2008.</w:t>
      </w:r>
    </w:p>
    <w:p>
      <w:pPr>
        <w:autoSpaceDE w:val="0"/>
        <w:autoSpaceDN w:val="0"/>
        <w:spacing w:before="120" w:after="120" w:line="300" w:lineRule="atLeast"/>
        <w:jc w:val="left"/>
      </w:pPr>
      <w:r>
        <w:t xml:space="preserve">HYPPZ (1998) </w:t>
      </w:r>
      <w:r>
        <w:rPr>
          <w:lang w:eastAsia="en-AU"/>
        </w:rPr>
        <w:t>Grapevine</w:t>
      </w:r>
      <w:r>
        <w:t xml:space="preserve">. </w:t>
      </w:r>
      <w:r>
        <w:rPr>
          <w:kern w:val="36"/>
        </w:rPr>
        <w:t>HYPPZ Pest Encyclopaedia</w:t>
      </w:r>
      <w:r>
        <w:t xml:space="preserve">. French National Institute for Agricultural Research. </w:t>
      </w:r>
      <w:r>
        <w:rPr>
          <w:u w:val="single"/>
        </w:rPr>
        <w:t xml:space="preserve">http://www.inra.fr/hyppz/CULTURES/6c---094.htm </w:t>
      </w:r>
      <w:r>
        <w:t>Accessed May 2010.</w:t>
      </w:r>
    </w:p>
    <w:p>
      <w:pPr>
        <w:autoSpaceDE w:val="0"/>
        <w:autoSpaceDN w:val="0"/>
        <w:spacing w:before="120" w:after="120" w:line="300" w:lineRule="atLeast"/>
        <w:jc w:val="left"/>
        <w:rPr>
          <w:lang w:eastAsia="en-AU"/>
        </w:rPr>
      </w:pPr>
      <w:r>
        <w:rPr>
          <w:lang w:eastAsia="en-AU"/>
        </w:rPr>
        <w:t xml:space="preserve">HYPPZ (2008) </w:t>
      </w:r>
      <w:r>
        <w:rPr>
          <w:i/>
          <w:iCs/>
          <w:lang w:eastAsia="en-AU"/>
        </w:rPr>
        <w:t xml:space="preserve">Sparganothis pilleriana </w:t>
      </w:r>
      <w:r>
        <w:rPr>
          <w:iCs/>
          <w:lang w:eastAsia="en-AU"/>
        </w:rPr>
        <w:t>(Denis &amp; Schiffermüller)</w:t>
      </w:r>
      <w:r>
        <w:t xml:space="preserve"> </w:t>
      </w:r>
      <w:r>
        <w:rPr>
          <w:lang w:eastAsia="en-AU"/>
        </w:rPr>
        <w:t xml:space="preserve">– Long palpi tortrix, leaf rolling tortrix. </w:t>
      </w:r>
      <w:r>
        <w:rPr>
          <w:u w:val="single"/>
          <w:lang w:eastAsia="en-AU"/>
        </w:rPr>
        <w:t>http://www.inra.fr/hyppz/RAVAGEUR/6eupamb.htm</w:t>
      </w:r>
      <w:r>
        <w:rPr>
          <w:lang w:eastAsia="en-AU"/>
        </w:rPr>
        <w:t xml:space="preserve"> Accessed July 2011.</w:t>
      </w:r>
    </w:p>
    <w:p>
      <w:pPr>
        <w:tabs>
          <w:tab w:val="left" w:pos="0"/>
        </w:tabs>
        <w:spacing w:before="120" w:after="120" w:line="300" w:lineRule="atLeast"/>
        <w:jc w:val="left"/>
      </w:pPr>
      <w:r>
        <w:t xml:space="preserve">Ipach U, Kling L, Lesemann D (2003) First record of </w:t>
      </w:r>
      <w:r>
        <w:rPr>
          <w:i/>
        </w:rPr>
        <w:t>Cherry leaf roll virus</w:t>
      </w:r>
      <w:r>
        <w:t xml:space="preserve"> on grapevine in </w:t>
      </w:r>
      <w:smartTag w:uri="urn:schemas-microsoft-com:office:smarttags" w:element="country-region">
        <w:smartTag w:uri="urn:schemas-microsoft-com:office:smarttags" w:element="place">
          <w:r>
            <w:t>Germany</w:t>
          </w:r>
        </w:smartTag>
      </w:smartTag>
      <w:r>
        <w:t xml:space="preserve">. In </w:t>
      </w:r>
      <w:r>
        <w:rPr>
          <w:i/>
        </w:rPr>
        <w:t>14th ICVG Conference</w:t>
      </w:r>
      <w:r>
        <w:t xml:space="preserve"> </w:t>
      </w:r>
      <w:r>
        <w:rPr>
          <w:i/>
        </w:rPr>
        <w:t>Locorotondo, 12–17 September, 2003</w:t>
      </w:r>
      <w:r>
        <w:t xml:space="preserve"> 162–163. ICVG, </w:t>
      </w:r>
      <w:smartTag w:uri="urn:schemas-microsoft-com:office:smarttags" w:element="country-region">
        <w:smartTag w:uri="urn:schemas-microsoft-com:office:smarttags" w:element="place">
          <w:r>
            <w:t>Switzerland</w:t>
          </w:r>
        </w:smartTag>
      </w:smartTag>
      <w:r>
        <w:t>.</w:t>
      </w:r>
    </w:p>
    <w:p>
      <w:pPr>
        <w:autoSpaceDE w:val="0"/>
        <w:autoSpaceDN w:val="0"/>
        <w:spacing w:before="120" w:after="120" w:line="300" w:lineRule="atLeast"/>
        <w:jc w:val="left"/>
      </w:pPr>
      <w:r>
        <w:rPr>
          <w:bCs/>
        </w:rPr>
        <w:t>IRPCM</w:t>
      </w:r>
      <w:r>
        <w:rPr>
          <w:i/>
          <w:iCs/>
        </w:rPr>
        <w:t xml:space="preserve"> </w:t>
      </w:r>
      <w:r>
        <w:rPr>
          <w:bCs/>
        </w:rPr>
        <w:t>(2004)</w:t>
      </w:r>
      <w:r>
        <w:rPr>
          <w:i/>
          <w:iCs/>
        </w:rPr>
        <w:t xml:space="preserve"> ‘Candidatus Phytoplasma’</w:t>
      </w:r>
      <w:r>
        <w:rPr>
          <w:iCs/>
        </w:rPr>
        <w:t>, a taxon for the wall-less, non-helical prokaryotes that colonize plant phloem and insects</w:t>
      </w:r>
      <w:r>
        <w:rPr>
          <w:i/>
          <w:iCs/>
        </w:rPr>
        <w:t xml:space="preserve">. </w:t>
      </w:r>
      <w:r>
        <w:rPr>
          <w:i/>
        </w:rPr>
        <w:t>International Journal of Systemic and Evolutionary Microbiology</w:t>
      </w:r>
      <w:r>
        <w:rPr>
          <w:i/>
          <w:iCs/>
        </w:rPr>
        <w:t xml:space="preserve"> </w:t>
      </w:r>
      <w:r>
        <w:t>54</w:t>
      </w:r>
      <w:r>
        <w:rPr>
          <w:iCs/>
        </w:rPr>
        <w:t xml:space="preserve">: </w:t>
      </w:r>
      <w:r>
        <w:t>1243</w:t>
      </w:r>
      <w:r>
        <w:rPr>
          <w:iCs/>
        </w:rPr>
        <w:t>–1255.</w:t>
      </w:r>
    </w:p>
    <w:p>
      <w:pPr>
        <w:tabs>
          <w:tab w:val="left" w:pos="0"/>
        </w:tabs>
        <w:spacing w:before="120" w:after="120" w:line="300" w:lineRule="atLeast"/>
        <w:jc w:val="left"/>
      </w:pPr>
      <w:r>
        <w:t xml:space="preserve">Irvin NA, Hoddle MS (2005) Determination of </w:t>
      </w:r>
      <w:r>
        <w:rPr>
          <w:i/>
          <w:iCs/>
        </w:rPr>
        <w:t xml:space="preserve">Homalodisca coagulata </w:t>
      </w:r>
      <w:r>
        <w:t xml:space="preserve">(Hemiptera: Cicadellidae) egg ages suitable for oviposition by </w:t>
      </w:r>
      <w:r>
        <w:rPr>
          <w:i/>
          <w:iCs/>
        </w:rPr>
        <w:t>Gonatocerus ashmeadi</w:t>
      </w:r>
      <w:r>
        <w:t xml:space="preserve">, </w:t>
      </w:r>
      <w:r>
        <w:rPr>
          <w:i/>
          <w:iCs/>
        </w:rPr>
        <w:t>Gonatocerus triguttatus</w:t>
      </w:r>
      <w:r>
        <w:t xml:space="preserve">, and </w:t>
      </w:r>
      <w:r>
        <w:rPr>
          <w:i/>
          <w:iCs/>
        </w:rPr>
        <w:t>Gonatocerus fasciatus</w:t>
      </w:r>
      <w:r>
        <w:t xml:space="preserve"> (Hymenoptera: Mymaridae). </w:t>
      </w:r>
      <w:r>
        <w:rPr>
          <w:i/>
        </w:rPr>
        <w:t>Biological Control</w:t>
      </w:r>
      <w:r>
        <w:t xml:space="preserve"> 32: 391–400.</w:t>
      </w:r>
    </w:p>
    <w:p>
      <w:pPr>
        <w:autoSpaceDE w:val="0"/>
        <w:autoSpaceDN w:val="0"/>
        <w:spacing w:before="120" w:after="120" w:line="300" w:lineRule="atLeast"/>
        <w:jc w:val="left"/>
        <w:rPr>
          <w:bCs/>
        </w:rPr>
      </w:pPr>
      <w:r>
        <w:rPr>
          <w:bCs/>
        </w:rPr>
        <w:t>Irwin JAG, Jones RM (1977) The role of fungi and nematodes associated with death of white clover (</w:t>
      </w:r>
      <w:r>
        <w:rPr>
          <w:bCs/>
          <w:i/>
        </w:rPr>
        <w:t>Trifolium repens</w:t>
      </w:r>
      <w:r>
        <w:rPr>
          <w:bCs/>
        </w:rPr>
        <w:t xml:space="preserve">) stolons over summer in south-eastern Queensland. </w:t>
      </w:r>
      <w:r>
        <w:rPr>
          <w:bCs/>
          <w:i/>
        </w:rPr>
        <w:t>Australian Journal of Experimental Research and Animal Husbandry</w:t>
      </w:r>
      <w:r>
        <w:rPr>
          <w:bCs/>
        </w:rPr>
        <w:t xml:space="preserve"> 17: 784–794.</w:t>
      </w:r>
    </w:p>
    <w:p>
      <w:pPr>
        <w:tabs>
          <w:tab w:val="left" w:pos="0"/>
        </w:tabs>
        <w:spacing w:before="120" w:after="120" w:line="300" w:lineRule="atLeast"/>
        <w:jc w:val="left"/>
      </w:pPr>
      <w:r>
        <w:t xml:space="preserve">Iwata R, Yamada F (1990) Notes on the biology of </w:t>
      </w:r>
      <w:r>
        <w:rPr>
          <w:i/>
        </w:rPr>
        <w:t>Hesperophanes campestris</w:t>
      </w:r>
      <w:r>
        <w:t xml:space="preserve"> (Faldermann) (Col., Cerambycidae), a drywood borer in Japan. </w:t>
      </w:r>
      <w:r>
        <w:rPr>
          <w:i/>
        </w:rPr>
        <w:t>Material und Organismen</w:t>
      </w:r>
      <w:r>
        <w:t xml:space="preserve"> 25: 305–313. </w:t>
      </w:r>
    </w:p>
    <w:p>
      <w:pPr>
        <w:autoSpaceDE w:val="0"/>
        <w:autoSpaceDN w:val="0"/>
        <w:spacing w:before="120" w:after="120" w:line="300" w:lineRule="atLeast"/>
        <w:jc w:val="left"/>
      </w:pPr>
      <w:r>
        <w:t xml:space="preserve">James DG, Whitney J (1993) Mite populations on grapevines in south-eastern </w:t>
      </w:r>
      <w:smartTag w:uri="urn:schemas-microsoft-com:office:smarttags" w:element="country-region">
        <w:smartTag w:uri="urn:schemas-microsoft-com:office:smarttags" w:element="place">
          <w:r>
            <w:t>Australia</w:t>
          </w:r>
        </w:smartTag>
      </w:smartTag>
      <w:r>
        <w:t xml:space="preserve">: implications for biological control of grapevine mites (Acarina: Tenuipalpidae, Eriophyidae). </w:t>
      </w:r>
      <w:r>
        <w:rPr>
          <w:i/>
        </w:rPr>
        <w:t>Experimental and Applied Acarology</w:t>
      </w:r>
      <w:r>
        <w:t xml:space="preserve"> 17: 259–270.</w:t>
      </w:r>
    </w:p>
    <w:p>
      <w:pPr>
        <w:autoSpaceDE w:val="0"/>
        <w:autoSpaceDN w:val="0"/>
        <w:spacing w:before="120" w:after="120" w:line="300" w:lineRule="atLeast"/>
        <w:jc w:val="left"/>
      </w:pPr>
      <w:r>
        <w:t xml:space="preserve">Jankulova M (1972) Detection and identification of </w:t>
      </w:r>
      <w:r>
        <w:rPr>
          <w:i/>
        </w:rPr>
        <w:t xml:space="preserve">Chenopodium mosaic virus </w:t>
      </w:r>
      <w:r>
        <w:t>(</w:t>
      </w:r>
      <w:r>
        <w:rPr>
          <w:i/>
        </w:rPr>
        <w:t>Sowbane mosaic</w:t>
      </w:r>
      <w:r>
        <w:t xml:space="preserve">) in Bulgaria. </w:t>
      </w:r>
      <w:r>
        <w:rPr>
          <w:i/>
        </w:rPr>
        <w:t>Phytopathologische Zeitschrift</w:t>
      </w:r>
      <w:r>
        <w:t xml:space="preserve"> 74: 314–317.</w:t>
      </w:r>
    </w:p>
    <w:p>
      <w:pPr>
        <w:spacing w:before="120" w:after="120" w:line="300" w:lineRule="atLeast"/>
        <w:jc w:val="left"/>
      </w:pPr>
      <w:r>
        <w:t xml:space="preserve">Jankulova M, Savino A, Gallitelli D, Quacquarelli A, Martelli GP (1978) Isolation of </w:t>
      </w:r>
      <w:r>
        <w:rPr>
          <w:i/>
        </w:rPr>
        <w:t>Artichoke Italian latent virus</w:t>
      </w:r>
      <w:r>
        <w:t xml:space="preserve"> from the grapevine in Bulgaria. </w:t>
      </w:r>
      <w:r>
        <w:rPr>
          <w:i/>
        </w:rPr>
        <w:t>Proceedings of the 6th meeting ICVG</w:t>
      </w:r>
      <w:r>
        <w:t xml:space="preserve"> 143–147. Cordoba, Monografias INIA No 18, Ministerio de Agricult, Madrid.</w:t>
      </w:r>
    </w:p>
    <w:p>
      <w:pPr>
        <w:spacing w:before="120" w:after="120" w:line="300" w:lineRule="atLeast"/>
        <w:jc w:val="left"/>
      </w:pPr>
      <w:r>
        <w:t xml:space="preserve">Janse JD, Obradovic A (2010) </w:t>
      </w:r>
      <w:r>
        <w:rPr>
          <w:i/>
        </w:rPr>
        <w:t>Xylella fastidiosa</w:t>
      </w:r>
      <w:r>
        <w:t xml:space="preserve">: its biology, diagnosis, control and risks. </w:t>
      </w:r>
      <w:r>
        <w:rPr>
          <w:i/>
        </w:rPr>
        <w:t xml:space="preserve">Journal of Plant Pathology </w:t>
      </w:r>
      <w:r>
        <w:t>92</w:t>
      </w:r>
      <w:r>
        <w:rPr>
          <w:i/>
        </w:rPr>
        <w:t>:</w:t>
      </w:r>
      <w:r>
        <w:t>S1.35–S1.48.</w:t>
      </w:r>
    </w:p>
    <w:p>
      <w:pPr>
        <w:spacing w:before="120" w:after="120" w:line="300" w:lineRule="atLeast"/>
        <w:jc w:val="left"/>
      </w:pPr>
      <w:r>
        <w:t xml:space="preserve">Jeppson LR, Keifer HH, Baker EW (1975) </w:t>
      </w:r>
      <w:r>
        <w:rPr>
          <w:i/>
        </w:rPr>
        <w:t>Mites injurious to economic plants.</w:t>
      </w:r>
      <w:r>
        <w:t xml:space="preserve"> University of California Press. </w:t>
      </w:r>
      <w:smartTag w:uri="urn:schemas-microsoft-com:office:smarttags" w:element="place">
        <w:smartTag w:uri="urn:schemas-microsoft-com:office:smarttags" w:element="City">
          <w:r>
            <w:t>Berkeley</w:t>
          </w:r>
        </w:smartTag>
        <w:r>
          <w:t xml:space="preserve">, </w:t>
        </w:r>
        <w:smartTag w:uri="urn:schemas-microsoft-com:office:smarttags" w:element="country-region">
          <w:r>
            <w:t>USA</w:t>
          </w:r>
        </w:smartTag>
      </w:smartTag>
      <w:r>
        <w:t>.</w:t>
      </w:r>
    </w:p>
    <w:p>
      <w:pPr>
        <w:spacing w:before="120" w:after="120" w:line="300" w:lineRule="atLeast"/>
        <w:jc w:val="left"/>
      </w:pPr>
      <w:r>
        <w:t xml:space="preserve">Johannesen J, Lux B, Michel K, Seitz A, Maixner M (2008) Invasion biology and host-specificity of the grapevine yellows disease vector </w:t>
      </w:r>
      <w:r>
        <w:rPr>
          <w:i/>
        </w:rPr>
        <w:t>Hyalesthes obsoletus</w:t>
      </w:r>
      <w:r>
        <w:t xml:space="preserve"> in </w:t>
      </w:r>
      <w:smartTag w:uri="urn:schemas-microsoft-com:office:smarttags" w:element="place">
        <w:r>
          <w:t>Europe</w:t>
        </w:r>
      </w:smartTag>
      <w:r>
        <w:t xml:space="preserve">. </w:t>
      </w:r>
      <w:r>
        <w:rPr>
          <w:i/>
        </w:rPr>
        <w:t>Entomologia Experimentalis et Applicata</w:t>
      </w:r>
      <w:r>
        <w:t xml:space="preserve"> 126: 217–227.</w:t>
      </w:r>
    </w:p>
    <w:p>
      <w:pPr>
        <w:spacing w:before="120" w:after="120" w:line="300" w:lineRule="atLeast"/>
        <w:jc w:val="left"/>
      </w:pPr>
      <w:r>
        <w:rPr>
          <w:bCs/>
        </w:rPr>
        <w:t xml:space="preserve">Johnson JA (2007) Survival of </w:t>
      </w:r>
      <w:r>
        <w:t>Indian meal</w:t>
      </w:r>
      <w:r>
        <w:rPr>
          <w:bCs/>
        </w:rPr>
        <w:t xml:space="preserve"> moth and Navel orangeworm (Lepidoptera: Pyralidae) at low temperatures. </w:t>
      </w:r>
      <w:r>
        <w:rPr>
          <w:i/>
        </w:rPr>
        <w:t>Journal of Economic Entomology</w:t>
      </w:r>
      <w:r>
        <w:t xml:space="preserve"> 100: 1482</w:t>
      </w:r>
      <w:r>
        <w:rPr>
          <w:lang w:eastAsia="en-AU"/>
        </w:rPr>
        <w:t>–</w:t>
      </w:r>
      <w:r>
        <w:t xml:space="preserve">1488. </w:t>
      </w:r>
    </w:p>
    <w:p>
      <w:pPr>
        <w:autoSpaceDE w:val="0"/>
        <w:autoSpaceDN w:val="0"/>
        <w:spacing w:before="120" w:after="120" w:line="300" w:lineRule="atLeast"/>
        <w:jc w:val="left"/>
        <w:rPr>
          <w:lang w:eastAsia="en-AU"/>
        </w:rPr>
      </w:pPr>
      <w:r>
        <w:rPr>
          <w:lang w:eastAsia="en-AU"/>
        </w:rPr>
        <w:t>Johnson WT, Lyon HH (1988)</w:t>
      </w:r>
      <w:r>
        <w:rPr>
          <w:i/>
          <w:lang w:eastAsia="en-AU"/>
        </w:rPr>
        <w:t xml:space="preserve"> </w:t>
      </w:r>
      <w:r>
        <w:rPr>
          <w:i/>
          <w:iCs/>
          <w:lang w:eastAsia="en-AU"/>
        </w:rPr>
        <w:t>Insects that feed on trees and shrubs</w:t>
      </w:r>
      <w:r>
        <w:rPr>
          <w:iCs/>
          <w:lang w:eastAsia="en-AU"/>
        </w:rPr>
        <w:t>.</w:t>
      </w:r>
      <w:r>
        <w:rPr>
          <w:i/>
          <w:iCs/>
          <w:lang w:eastAsia="en-AU"/>
        </w:rPr>
        <w:t xml:space="preserve"> </w:t>
      </w:r>
      <w:r>
        <w:rPr>
          <w:lang w:eastAsia="en-AU"/>
        </w:rPr>
        <w:t>Comstock Publishing Associates, Ithaca, USA.</w:t>
      </w:r>
    </w:p>
    <w:p>
      <w:pPr>
        <w:autoSpaceDE w:val="0"/>
        <w:autoSpaceDN w:val="0"/>
        <w:spacing w:before="120" w:after="120" w:line="300" w:lineRule="atLeast"/>
        <w:jc w:val="left"/>
        <w:rPr>
          <w:lang w:eastAsia="en-AU"/>
        </w:rPr>
      </w:pPr>
      <w:r>
        <w:rPr>
          <w:lang w:eastAsia="en-AU"/>
        </w:rPr>
        <w:t xml:space="preserve">Jonczyk M, Borodynko N, Pospieszny H (2004) Restriction analysis of genetic variability of Polish isolates of </w:t>
      </w:r>
      <w:r>
        <w:rPr>
          <w:i/>
          <w:lang w:eastAsia="en-AU"/>
        </w:rPr>
        <w:t>Tomato black ring virus</w:t>
      </w:r>
      <w:r>
        <w:rPr>
          <w:lang w:eastAsia="en-AU"/>
        </w:rPr>
        <w:t xml:space="preserve">. </w:t>
      </w:r>
      <w:r>
        <w:rPr>
          <w:i/>
          <w:lang w:eastAsia="en-AU"/>
        </w:rPr>
        <w:t>Acta Biochimica Polonica</w:t>
      </w:r>
      <w:r>
        <w:rPr>
          <w:lang w:eastAsia="en-AU"/>
        </w:rPr>
        <w:t xml:space="preserve"> 51: 673–681.</w:t>
      </w:r>
    </w:p>
    <w:p>
      <w:pPr>
        <w:spacing w:before="120" w:after="120" w:line="300" w:lineRule="atLeast"/>
        <w:jc w:val="left"/>
      </w:pPr>
      <w:r>
        <w:t xml:space="preserve">Jones AL, Aldwinkle HS (1991) </w:t>
      </w:r>
      <w:r>
        <w:rPr>
          <w:i/>
        </w:rPr>
        <w:t>Compendium of apple and pear diseases</w:t>
      </w:r>
      <w:r>
        <w:t xml:space="preserve"> 54</w:t>
      </w:r>
      <w:r>
        <w:rPr>
          <w:lang w:eastAsia="en-AU"/>
        </w:rPr>
        <w:t>–</w:t>
      </w:r>
      <w:r>
        <w:t>55. APS Press, USA.</w:t>
      </w:r>
    </w:p>
    <w:p>
      <w:pPr>
        <w:spacing w:before="120" w:after="120" w:line="300" w:lineRule="atLeast"/>
        <w:jc w:val="left"/>
      </w:pPr>
      <w:r>
        <w:t xml:space="preserve">Jones AT (1973) A comparison of some properties of four strains of </w:t>
      </w:r>
      <w:r>
        <w:rPr>
          <w:i/>
        </w:rPr>
        <w:t>Cherry leaf roll virus</w:t>
      </w:r>
      <w:r>
        <w:t xml:space="preserve">. </w:t>
      </w:r>
      <w:r>
        <w:rPr>
          <w:i/>
        </w:rPr>
        <w:t>Annals of Applied Biology</w:t>
      </w:r>
      <w:r>
        <w:t xml:space="preserve"> 74: 211–217.</w:t>
      </w:r>
    </w:p>
    <w:p>
      <w:pPr>
        <w:spacing w:before="120" w:after="120" w:line="300" w:lineRule="atLeast"/>
        <w:jc w:val="left"/>
      </w:pPr>
      <w:r>
        <w:t xml:space="preserve">Jones AT (1985) </w:t>
      </w:r>
      <w:r>
        <w:rPr>
          <w:i/>
        </w:rPr>
        <w:t>Cherry leaf roll virus.</w:t>
      </w:r>
      <w:r>
        <w:t xml:space="preserve"> CMI/ABB Descriptions of Plant Viruses No. 306. </w:t>
      </w:r>
      <w:r>
        <w:rPr>
          <w:lang w:eastAsia="en-AU"/>
        </w:rPr>
        <w:t xml:space="preserve">Association of Applied Biologists, Wellesbourne, UK. </w:t>
      </w:r>
      <w:r>
        <w:rPr>
          <w:u w:val="single"/>
        </w:rPr>
        <w:t>http://www.dpvweb.net/dpv/showdpv.php?dpvno=306</w:t>
      </w:r>
      <w:r>
        <w:t xml:space="preserve"> Accessed September 2011.</w:t>
      </w:r>
    </w:p>
    <w:p>
      <w:pPr>
        <w:spacing w:before="120" w:after="120" w:line="300" w:lineRule="atLeast"/>
        <w:jc w:val="left"/>
      </w:pPr>
      <w:r>
        <w:t xml:space="preserve">Jones AT, Brown DJF, McGavin WJ, Rudel M, Altmayer B (1994) Properties of an unusual isolate of </w:t>
      </w:r>
      <w:r>
        <w:rPr>
          <w:i/>
        </w:rPr>
        <w:t>German raspberry ringspot virus</w:t>
      </w:r>
      <w:r>
        <w:t xml:space="preserve"> from grapevine in </w:t>
      </w:r>
      <w:smartTag w:uri="urn:schemas-microsoft-com:office:smarttags" w:element="country-region">
        <w:smartTag w:uri="urn:schemas-microsoft-com:office:smarttags" w:element="place">
          <w:r>
            <w:t>Germany</w:t>
          </w:r>
        </w:smartTag>
      </w:smartTag>
      <w:r>
        <w:t xml:space="preserve"> and evidence of its possible transmission by </w:t>
      </w:r>
      <w:r>
        <w:rPr>
          <w:i/>
        </w:rPr>
        <w:t>Paralongidorus maximus</w:t>
      </w:r>
      <w:r>
        <w:t xml:space="preserve">. </w:t>
      </w:r>
      <w:r>
        <w:rPr>
          <w:i/>
        </w:rPr>
        <w:t>Annals of Applied Biology</w:t>
      </w:r>
      <w:r>
        <w:t xml:space="preserve"> 124: 283–300.</w:t>
      </w:r>
    </w:p>
    <w:p>
      <w:pPr>
        <w:spacing w:before="120" w:after="120" w:line="300" w:lineRule="atLeast"/>
        <w:jc w:val="left"/>
      </w:pPr>
      <w:r>
        <w:t xml:space="preserve">Jones AT, Koenig R, </w:t>
      </w:r>
      <w:smartTag w:uri="urn:schemas-microsoft-com:office:smarttags" w:element="City">
        <w:r>
          <w:t>Lesemann</w:t>
        </w:r>
      </w:smartTag>
      <w:r>
        <w:t xml:space="preserve"> </w:t>
      </w:r>
      <w:smartTag w:uri="urn:schemas-microsoft-com:office:smarttags" w:element="State">
        <w:r>
          <w:t>DE</w:t>
        </w:r>
      </w:smartTag>
      <w:r>
        <w:t xml:space="preserve">, Hamacher J, Nienhaus F and Winter S (1990) Serological comparison of isolates of </w:t>
      </w:r>
      <w:r>
        <w:rPr>
          <w:i/>
        </w:rPr>
        <w:t>Cherry leaf roll virus</w:t>
      </w:r>
      <w:r>
        <w:t xml:space="preserve"> from diseased beech and birch trees in a forest decline area in </w:t>
      </w:r>
      <w:smartTag w:uri="urn:schemas-microsoft-com:office:smarttags" w:element="country-region">
        <w:smartTag w:uri="urn:schemas-microsoft-com:office:smarttags" w:element="place">
          <w:r>
            <w:t>Germany</w:t>
          </w:r>
        </w:smartTag>
      </w:smartTag>
      <w:r>
        <w:t xml:space="preserve"> with other isolates of the virus. </w:t>
      </w:r>
      <w:r>
        <w:rPr>
          <w:i/>
        </w:rPr>
        <w:t>Journal of Phytopathology</w:t>
      </w:r>
      <w:r>
        <w:t xml:space="preserve"> 129: 339–344.</w:t>
      </w:r>
    </w:p>
    <w:p>
      <w:pPr>
        <w:spacing w:before="120" w:after="120" w:line="300" w:lineRule="atLeast"/>
        <w:jc w:val="left"/>
      </w:pPr>
      <w:r>
        <w:t xml:space="preserve">Jones AT, Mitchell MJ, Brown DJF (1989) Infectibility of some new raspberry cultivars with </w:t>
      </w:r>
      <w:r>
        <w:rPr>
          <w:i/>
        </w:rPr>
        <w:t>Arabis mosaic</w:t>
      </w:r>
      <w:r>
        <w:t xml:space="preserve"> and</w:t>
      </w:r>
      <w:r>
        <w:rPr>
          <w:i/>
        </w:rPr>
        <w:t xml:space="preserve"> Raspberry ringspot viruses</w:t>
      </w:r>
      <w:r>
        <w:t xml:space="preserve"> and further evidence for variation in British isolates of these two nepoviruses. </w:t>
      </w:r>
      <w:r>
        <w:rPr>
          <w:i/>
        </w:rPr>
        <w:t>Annals of Applied Biology</w:t>
      </w:r>
      <w:r>
        <w:t xml:space="preserve"> 115: 57</w:t>
      </w:r>
      <w:r>
        <w:rPr>
          <w:lang w:eastAsia="en-AU"/>
        </w:rPr>
        <w:t>–</w:t>
      </w:r>
      <w:r>
        <w:t>69.</w:t>
      </w:r>
    </w:p>
    <w:p>
      <w:pPr>
        <w:spacing w:before="120" w:after="120" w:line="300" w:lineRule="atLeast"/>
        <w:jc w:val="left"/>
      </w:pPr>
      <w:r>
        <w:t xml:space="preserve">Joshi R, Gupta BP (1988) Biology of the Galerucid, </w:t>
      </w:r>
      <w:r>
        <w:rPr>
          <w:i/>
        </w:rPr>
        <w:t>Oides scutellata</w:t>
      </w:r>
      <w:r>
        <w:t xml:space="preserve"> Hope (Chrysomelidae: Coleoptera) a pest of grapevine at Ghaubattia Kumaon Hills</w:t>
      </w:r>
      <w:r>
        <w:rPr>
          <w:i/>
        </w:rPr>
        <w:t>. Prog. Hort</w:t>
      </w:r>
      <w:r>
        <w:t>. 20: 144</w:t>
      </w:r>
      <w:r>
        <w:rPr>
          <w:lang w:eastAsia="en-AU"/>
        </w:rPr>
        <w:t>–</w:t>
      </w:r>
      <w:r>
        <w:t>151.</w:t>
      </w:r>
    </w:p>
    <w:p>
      <w:pPr>
        <w:autoSpaceDE w:val="0"/>
        <w:autoSpaceDN w:val="0"/>
        <w:spacing w:before="120" w:after="120" w:line="300" w:lineRule="atLeast"/>
        <w:jc w:val="left"/>
      </w:pPr>
      <w:r>
        <w:t xml:space="preserve">Kahrer A (2005) Introduction and possible spread of the planthopper </w:t>
      </w:r>
      <w:r>
        <w:rPr>
          <w:i/>
          <w:iCs/>
        </w:rPr>
        <w:t xml:space="preserve">Metcalfa pruinosa </w:t>
      </w:r>
      <w:r>
        <w:t xml:space="preserve">in Austria. Symposium Proceedings No.81. </w:t>
      </w:r>
      <w:r>
        <w:rPr>
          <w:i/>
        </w:rPr>
        <w:t xml:space="preserve">Plant protection and plant health in Europe: introduction and spread of invasive species, held at </w:t>
      </w:r>
      <w:smartTag w:uri="urn:schemas-microsoft-com:office:smarttags" w:element="place">
        <w:smartTag w:uri="urn:schemas-microsoft-com:office:smarttags" w:element="City">
          <w:r>
            <w:rPr>
              <w:i/>
            </w:rPr>
            <w:t>Humboldt University</w:t>
          </w:r>
        </w:smartTag>
        <w:r>
          <w:rPr>
            <w:i/>
          </w:rPr>
          <w:t xml:space="preserve">, </w:t>
        </w:r>
        <w:smartTag w:uri="urn:schemas-microsoft-com:office:smarttags" w:element="State">
          <w:r>
            <w:rPr>
              <w:i/>
            </w:rPr>
            <w:t>Berlin</w:t>
          </w:r>
        </w:smartTag>
        <w:r>
          <w:rPr>
            <w:i/>
          </w:rPr>
          <w:t xml:space="preserve">, </w:t>
        </w:r>
        <w:smartTag w:uri="urn:schemas-microsoft-com:office:smarttags" w:element="country-region">
          <w:r>
            <w:rPr>
              <w:i/>
            </w:rPr>
            <w:t>Germany</w:t>
          </w:r>
        </w:smartTag>
      </w:smartTag>
      <w:r>
        <w:rPr>
          <w:i/>
        </w:rPr>
        <w:t xml:space="preserve">, 9-11 June 2005 </w:t>
      </w:r>
      <w:r>
        <w:t>133–134. British Crop Protection Council, Alton, UK.</w:t>
      </w:r>
    </w:p>
    <w:p>
      <w:pPr>
        <w:autoSpaceDE w:val="0"/>
        <w:autoSpaceDN w:val="0"/>
        <w:spacing w:before="120" w:after="120" w:line="300" w:lineRule="atLeast"/>
        <w:jc w:val="left"/>
      </w:pPr>
      <w:r>
        <w:t xml:space="preserve">Kajitani Y, Kanematsu S (2000) </w:t>
      </w:r>
      <w:r>
        <w:rPr>
          <w:i/>
        </w:rPr>
        <w:t>Diaporthe kyushuensis</w:t>
      </w:r>
      <w:r>
        <w:t xml:space="preserve"> sp. nov., the teleomorph of the causal fungus of grapevine swelling arm in </w:t>
      </w:r>
      <w:smartTag w:uri="urn:schemas-microsoft-com:office:smarttags" w:element="country-region">
        <w:smartTag w:uri="urn:schemas-microsoft-com:office:smarttags" w:element="place">
          <w:r>
            <w:t>Japan</w:t>
          </w:r>
        </w:smartTag>
      </w:smartTag>
      <w:r>
        <w:t xml:space="preserve">, and its anamorph </w:t>
      </w:r>
      <w:r>
        <w:rPr>
          <w:i/>
        </w:rPr>
        <w:t>Phomopsis vitimegaspora</w:t>
      </w:r>
      <w:r>
        <w:t xml:space="preserve">. </w:t>
      </w:r>
      <w:r>
        <w:rPr>
          <w:i/>
        </w:rPr>
        <w:t>Mycoscience</w:t>
      </w:r>
      <w:r>
        <w:t xml:space="preserve"> 41: 111–114.</w:t>
      </w:r>
    </w:p>
    <w:p>
      <w:pPr>
        <w:autoSpaceDE w:val="0"/>
        <w:autoSpaceDN w:val="0"/>
        <w:spacing w:before="120" w:after="120" w:line="300" w:lineRule="atLeast"/>
        <w:jc w:val="left"/>
      </w:pPr>
      <w:r>
        <w:t xml:space="preserve">Kamp BJ Van der, </w:t>
      </w:r>
      <w:smartTag w:uri="urn:schemas-microsoft-com:office:smarttags" w:element="City">
        <w:r>
          <w:t>Hood</w:t>
        </w:r>
      </w:smartTag>
      <w:r>
        <w:t xml:space="preserve"> </w:t>
      </w:r>
      <w:smartTag w:uri="urn:schemas-microsoft-com:office:smarttags" w:element="State">
        <w:r>
          <w:t>IA</w:t>
        </w:r>
      </w:smartTag>
      <w:r>
        <w:t xml:space="preserve"> (2002) Armillaria root disease of </w:t>
      </w:r>
      <w:r>
        <w:rPr>
          <w:i/>
        </w:rPr>
        <w:t>Pinus radiata</w:t>
      </w:r>
      <w:r>
        <w:t xml:space="preserve"> in </w:t>
      </w:r>
      <w:smartTag w:uri="urn:schemas-microsoft-com:office:smarttags" w:element="country-region">
        <w:smartTag w:uri="urn:schemas-microsoft-com:office:smarttags" w:element="place">
          <w:r>
            <w:t>New Zealand</w:t>
          </w:r>
        </w:smartTag>
      </w:smartTag>
      <w:r>
        <w:t xml:space="preserve">. 2: Invasion and host reaction. </w:t>
      </w:r>
      <w:smartTag w:uri="urn:schemas-microsoft-com:office:smarttags" w:element="country-region">
        <w:smartTag w:uri="urn:schemas-microsoft-com:office:smarttags" w:element="place">
          <w:r>
            <w:rPr>
              <w:i/>
            </w:rPr>
            <w:t>New Zealand</w:t>
          </w:r>
        </w:smartTag>
      </w:smartTag>
      <w:r>
        <w:rPr>
          <w:i/>
        </w:rPr>
        <w:t xml:space="preserve"> Journal of Forestry Science</w:t>
      </w:r>
      <w:r>
        <w:t xml:space="preserve"> 32: 103</w:t>
      </w:r>
      <w:r>
        <w:rPr>
          <w:lang w:eastAsia="en-AU"/>
        </w:rPr>
        <w:t>–</w:t>
      </w:r>
      <w:r>
        <w:t>115.</w:t>
      </w:r>
    </w:p>
    <w:p>
      <w:pPr>
        <w:autoSpaceDE w:val="0"/>
        <w:autoSpaceDN w:val="0"/>
        <w:spacing w:before="120" w:after="120" w:line="300" w:lineRule="atLeast"/>
        <w:jc w:val="left"/>
        <w:rPr>
          <w:lang w:val="de-DE"/>
        </w:rPr>
      </w:pPr>
      <w:r>
        <w:rPr>
          <w:lang w:val="de-DE"/>
        </w:rPr>
        <w:t>Kanzawa T (1936) Studies on</w:t>
      </w:r>
      <w:r>
        <w:rPr>
          <w:i/>
          <w:lang w:val="de-DE"/>
        </w:rPr>
        <w:t xml:space="preserve"> Drosophila suzukii </w:t>
      </w:r>
      <w:r>
        <w:rPr>
          <w:lang w:val="de-DE"/>
        </w:rPr>
        <w:t xml:space="preserve">Mats. </w:t>
      </w:r>
      <w:r>
        <w:rPr>
          <w:i/>
          <w:lang w:val="de-DE"/>
        </w:rPr>
        <w:t xml:space="preserve">Journal of Plant Protection (Tokyo) </w:t>
      </w:r>
      <w:r>
        <w:rPr>
          <w:lang w:val="de-DE"/>
        </w:rPr>
        <w:t xml:space="preserve">23: 66–70. In </w:t>
      </w:r>
      <w:r>
        <w:rPr>
          <w:i/>
          <w:lang w:val="de-DE"/>
        </w:rPr>
        <w:t>Review of Applied Entomology</w:t>
      </w:r>
      <w:r>
        <w:rPr>
          <w:lang w:val="de-DE"/>
        </w:rPr>
        <w:t xml:space="preserve"> 24: 315 (Abstract only). </w:t>
      </w:r>
    </w:p>
    <w:p>
      <w:pPr>
        <w:autoSpaceDE w:val="0"/>
        <w:autoSpaceDN w:val="0"/>
        <w:spacing w:before="120" w:after="120" w:line="300" w:lineRule="atLeast"/>
        <w:jc w:val="left"/>
      </w:pPr>
      <w:r>
        <w:t xml:space="preserve">Karban R, English-Loeb, GM, Verdigaal P (1991) Vaccinating grapevines against spider mites. </w:t>
      </w:r>
      <w:smartTag w:uri="urn:schemas-microsoft-com:office:smarttags" w:element="State">
        <w:smartTag w:uri="urn:schemas-microsoft-com:office:smarttags" w:element="place">
          <w:r>
            <w:rPr>
              <w:i/>
            </w:rPr>
            <w:t>California</w:t>
          </w:r>
        </w:smartTag>
      </w:smartTag>
      <w:r>
        <w:rPr>
          <w:i/>
        </w:rPr>
        <w:t xml:space="preserve"> Agriculture</w:t>
      </w:r>
      <w:r>
        <w:t xml:space="preserve"> 45: 19–21.</w:t>
      </w:r>
    </w:p>
    <w:p>
      <w:pPr>
        <w:autoSpaceDE w:val="0"/>
        <w:autoSpaceDN w:val="0"/>
        <w:spacing w:before="120" w:after="120" w:line="300" w:lineRule="atLeast"/>
        <w:jc w:val="left"/>
      </w:pPr>
      <w:r>
        <w:t xml:space="preserve">Karimi M, Contaldo N, Mahmoudi B, Duduk B, Bertaccini A (2009) Identification of stolbur-related phytoplasmas in grapevine showing decline symptoms in Iran. </w:t>
      </w:r>
      <w:r>
        <w:rPr>
          <w:i/>
        </w:rPr>
        <w:t>Extended abstracts of the 16th meeting of ICVG in Dijon, 31 August –4 September 2009</w:t>
      </w:r>
      <w:r>
        <w:t xml:space="preserve">. ICVG, </w:t>
      </w:r>
      <w:smartTag w:uri="urn:schemas-microsoft-com:office:smarttags" w:element="country-region">
        <w:smartTag w:uri="urn:schemas-microsoft-com:office:smarttags" w:element="place">
          <w:r>
            <w:t>Switzerland</w:t>
          </w:r>
        </w:smartTag>
      </w:smartTag>
      <w:r>
        <w:t>.</w:t>
      </w:r>
    </w:p>
    <w:p>
      <w:pPr>
        <w:autoSpaceDE w:val="0"/>
        <w:autoSpaceDN w:val="0"/>
        <w:spacing w:before="120" w:after="120" w:line="300" w:lineRule="atLeast"/>
        <w:jc w:val="left"/>
      </w:pPr>
      <w:r>
        <w:t xml:space="preserve">Karimi MR, Mahmoodi B, Kazemiyan M (2001) First report of esca of grapevine in </w:t>
      </w:r>
      <w:smartTag w:uri="urn:schemas-microsoft-com:office:smarttags" w:element="country-region">
        <w:smartTag w:uri="urn:schemas-microsoft-com:office:smarttags" w:element="place">
          <w:r>
            <w:t>Iran</w:t>
          </w:r>
        </w:smartTag>
      </w:smartTag>
      <w:r>
        <w:t xml:space="preserve">. </w:t>
      </w:r>
      <w:r>
        <w:rPr>
          <w:i/>
        </w:rPr>
        <w:t>Phytopathologia Mediterranea</w:t>
      </w:r>
      <w:r>
        <w:t xml:space="preserve"> 40: S481.</w:t>
      </w:r>
    </w:p>
    <w:p>
      <w:pPr>
        <w:autoSpaceDE w:val="0"/>
        <w:autoSpaceDN w:val="0"/>
        <w:spacing w:before="120" w:after="120" w:line="300" w:lineRule="atLeast"/>
        <w:jc w:val="left"/>
      </w:pPr>
      <w:r>
        <w:t xml:space="preserve">Kassanis B (1970) </w:t>
      </w:r>
      <w:r>
        <w:rPr>
          <w:i/>
        </w:rPr>
        <w:t>Tobacco necrosis virus.</w:t>
      </w:r>
      <w:r>
        <w:t xml:space="preserve"> Descriptions of Plant Viruses. </w:t>
      </w:r>
      <w:r>
        <w:rPr>
          <w:u w:val="single"/>
        </w:rPr>
        <w:t>http://www.dpvweb.net</w:t>
      </w:r>
      <w:r>
        <w:t xml:space="preserve"> Accessed September 2010.</w:t>
      </w:r>
    </w:p>
    <w:p>
      <w:pPr>
        <w:autoSpaceDE w:val="0"/>
        <w:autoSpaceDN w:val="0"/>
        <w:spacing w:before="120" w:after="120" w:line="300" w:lineRule="atLeast"/>
        <w:jc w:val="left"/>
      </w:pPr>
      <w:r>
        <w:t xml:space="preserve">Kay MK (1979) </w:t>
      </w:r>
      <w:r>
        <w:rPr>
          <w:i/>
        </w:rPr>
        <w:t>Ctenops</w:t>
      </w:r>
      <w:smartTag w:uri="urn:schemas-microsoft-com:office:smarttags" w:element="PersonName">
        <w:r>
          <w:rPr>
            <w:i/>
          </w:rPr>
          <w:t>eu</w:t>
        </w:r>
      </w:smartTag>
      <w:r>
        <w:rPr>
          <w:i/>
        </w:rPr>
        <w:t>stis obliquana</w:t>
      </w:r>
      <w:r>
        <w:t xml:space="preserve"> (</w:t>
      </w:r>
      <w:smartTag w:uri="urn:schemas-microsoft-com:office:smarttags" w:element="City">
        <w:smartTag w:uri="urn:schemas-microsoft-com:office:smarttags" w:element="place">
          <w:r>
            <w:t>Walker</w:t>
          </w:r>
        </w:smartTag>
      </w:smartTag>
      <w:r>
        <w:t xml:space="preserve">) (Lepidoptera: Tortricidae), Brownheaded leafroller. </w:t>
      </w:r>
      <w:r>
        <w:rPr>
          <w:i/>
        </w:rPr>
        <w:t>Forest and Timber Insects in New Zealand No. 40</w:t>
      </w:r>
      <w:r>
        <w:t>. Forest Research Institute, Rotorua, New Zealand.</w:t>
      </w:r>
    </w:p>
    <w:p>
      <w:pPr>
        <w:autoSpaceDE w:val="0"/>
        <w:autoSpaceDN w:val="0"/>
        <w:spacing w:before="120" w:after="120" w:line="300" w:lineRule="atLeast"/>
        <w:jc w:val="left"/>
      </w:pPr>
      <w:r>
        <w:t xml:space="preserve">Kearns CG, Mossop DW (1984) Detection of nepoviruses of </w:t>
      </w:r>
      <w:r>
        <w:rPr>
          <w:i/>
        </w:rPr>
        <w:t>Vitis vinifera</w:t>
      </w:r>
      <w:r>
        <w:t xml:space="preserve"> in New Zealand using enzyme-linked immunosorbent assay (ELISA). </w:t>
      </w:r>
      <w:smartTag w:uri="urn:schemas-microsoft-com:office:smarttags" w:element="country-region">
        <w:smartTag w:uri="urn:schemas-microsoft-com:office:smarttags" w:element="place">
          <w:r>
            <w:rPr>
              <w:i/>
            </w:rPr>
            <w:t>New Zealand</w:t>
          </w:r>
        </w:smartTag>
      </w:smartTag>
      <w:r>
        <w:rPr>
          <w:i/>
        </w:rPr>
        <w:t xml:space="preserve"> Journal of Agricultural Research</w:t>
      </w:r>
      <w:r>
        <w:t xml:space="preserve"> 27: 431–435.</w:t>
      </w:r>
    </w:p>
    <w:p>
      <w:pPr>
        <w:shd w:val="clear" w:color="auto" w:fill="FFFFFF"/>
        <w:spacing w:after="120" w:line="280" w:lineRule="atLeast"/>
        <w:jc w:val="left"/>
      </w:pPr>
      <w:r>
        <w:t xml:space="preserve">Kegler H, Kontzog HG (1990) Non-vectored transmission of plant viruses. Deutschen Phytomedizinischen Gesellschaft (DPG), Braunschweig, Germany, </w:t>
      </w:r>
      <w:r>
        <w:rPr>
          <w:i/>
        </w:rPr>
        <w:t>Proceedings of the First Symposium of the International Working Group on Plant Viruses with Fungal Vectors, Braunschweig, Germany 21–24 August 1990</w:t>
      </w:r>
      <w:r>
        <w:t xml:space="preserve"> 159–162. Institute of Phytopathology, Aschersleben, Germany.</w:t>
      </w:r>
    </w:p>
    <w:p>
      <w:pPr>
        <w:autoSpaceDE w:val="0"/>
        <w:autoSpaceDN w:val="0"/>
        <w:spacing w:before="120" w:after="120" w:line="300" w:lineRule="atLeast"/>
        <w:jc w:val="left"/>
      </w:pPr>
      <w:r>
        <w:t xml:space="preserve">Kharizanov A (1969) A new pest of grapevine in Bulgaria. </w:t>
      </w:r>
      <w:r>
        <w:rPr>
          <w:i/>
        </w:rPr>
        <w:t>Rastitelna Zashtita</w:t>
      </w:r>
      <w:r>
        <w:t xml:space="preserve"> 17: 21–23.</w:t>
      </w:r>
    </w:p>
    <w:p>
      <w:pPr>
        <w:spacing w:before="120" w:after="120" w:line="300" w:lineRule="atLeast"/>
        <w:jc w:val="left"/>
      </w:pPr>
      <w:r>
        <w:t xml:space="preserve">Kheder AA, Ibrahim IAM and Mazyad HM (2004) Isolation and characterization of </w:t>
      </w:r>
      <w:r>
        <w:rPr>
          <w:i/>
          <w:iCs/>
        </w:rPr>
        <w:t>Peach Rosette Mosaic Virus. Egyptian Journal of Virology</w:t>
      </w:r>
      <w:r>
        <w:t xml:space="preserve"> 1: 259–272</w:t>
      </w:r>
    </w:p>
    <w:p>
      <w:pPr>
        <w:autoSpaceDE w:val="0"/>
        <w:autoSpaceDN w:val="0"/>
        <w:spacing w:before="120" w:after="120" w:line="300" w:lineRule="atLeast"/>
        <w:jc w:val="left"/>
      </w:pPr>
      <w:r>
        <w:t xml:space="preserve">Kiewnick L (1989) A new discovery of </w:t>
      </w:r>
      <w:r>
        <w:rPr>
          <w:i/>
        </w:rPr>
        <w:t>Ascochyta ampelina</w:t>
      </w:r>
      <w:r>
        <w:t xml:space="preserve"> Sacc. on leaves of </w:t>
      </w:r>
      <w:r>
        <w:rPr>
          <w:i/>
        </w:rPr>
        <w:t>Vitis vinifera</w:t>
      </w:r>
      <w:r>
        <w:t xml:space="preserve"> L. </w:t>
      </w:r>
      <w:r>
        <w:rPr>
          <w:i/>
        </w:rPr>
        <w:t>Nachrichtenblatt des D</w:t>
      </w:r>
      <w:smartTag w:uri="urn:schemas-microsoft-com:office:smarttags" w:element="PersonName">
        <w:r>
          <w:rPr>
            <w:i/>
          </w:rPr>
          <w:t>eu</w:t>
        </w:r>
      </w:smartTag>
      <w:r>
        <w:rPr>
          <w:i/>
        </w:rPr>
        <w:t>tschen Pflanzenschutzdienstes</w:t>
      </w:r>
      <w:r>
        <w:t xml:space="preserve"> 41: 17–19.</w:t>
      </w:r>
    </w:p>
    <w:p>
      <w:pPr>
        <w:autoSpaceDE w:val="0"/>
        <w:autoSpaceDN w:val="0"/>
        <w:spacing w:before="120" w:after="120" w:line="300" w:lineRule="atLeast"/>
        <w:jc w:val="left"/>
        <w:rPr>
          <w:lang w:eastAsia="en-AU"/>
        </w:rPr>
      </w:pPr>
      <w:r>
        <w:rPr>
          <w:lang w:eastAsia="en-AU"/>
        </w:rPr>
        <w:t xml:space="preserve">Kim KC, Lee TS (1985) Identification, larval host plant range, and damage of the fruit sucking moths to the major fruit in Cheonnam Province. </w:t>
      </w:r>
      <w:r>
        <w:rPr>
          <w:i/>
          <w:iCs/>
          <w:lang w:eastAsia="en-AU"/>
        </w:rPr>
        <w:t xml:space="preserve">Korean Journal of Plant Protection </w:t>
      </w:r>
      <w:r>
        <w:rPr>
          <w:lang w:eastAsia="en-AU"/>
        </w:rPr>
        <w:t>24: 183–190.</w:t>
      </w:r>
    </w:p>
    <w:p>
      <w:pPr>
        <w:autoSpaceDE w:val="0"/>
        <w:autoSpaceDN w:val="0"/>
        <w:spacing w:before="120" w:after="120" w:line="300" w:lineRule="atLeast"/>
        <w:jc w:val="left"/>
      </w:pPr>
      <w:r>
        <w:t xml:space="preserve">Kirchmair M, Neuhauser S, Huber L (2005) </w:t>
      </w:r>
      <w:r>
        <w:rPr>
          <w:i/>
        </w:rPr>
        <w:t>Sorosphaera viticola</w:t>
      </w:r>
      <w:r>
        <w:t xml:space="preserve"> spec. nov. (Plasmodiophorids), an intracellular parasite in roots of grape vine. </w:t>
      </w:r>
      <w:r>
        <w:rPr>
          <w:i/>
        </w:rPr>
        <w:t>Sydowia</w:t>
      </w:r>
      <w:r>
        <w:t xml:space="preserve"> 57: 223–232.</w:t>
      </w:r>
    </w:p>
    <w:p>
      <w:pPr>
        <w:spacing w:before="120" w:after="120" w:line="300" w:lineRule="atLeast"/>
        <w:jc w:val="left"/>
      </w:pPr>
      <w:r>
        <w:t xml:space="preserve">Kirk P (2012) Index Fungorum. </w:t>
      </w:r>
      <w:r>
        <w:rPr>
          <w:u w:val="single"/>
        </w:rPr>
        <w:t>http://www.indexfungorum.org/Index.htm</w:t>
      </w:r>
      <w:r>
        <w:t xml:space="preserve"> Accessed February 2012.</w:t>
      </w:r>
    </w:p>
    <w:p>
      <w:pPr>
        <w:spacing w:before="120" w:after="120" w:line="300" w:lineRule="atLeast"/>
        <w:jc w:val="left"/>
      </w:pPr>
      <w:r>
        <w:t xml:space="preserve">Kirk P, Cooper J (2009) The Fungal Records Database of Britain and Ireland (FRDBI) </w:t>
      </w:r>
      <w:r>
        <w:rPr>
          <w:u w:val="single"/>
        </w:rPr>
        <w:t>http://www.fieldmycology.net/Index.htm</w:t>
      </w:r>
      <w:r>
        <w:t xml:space="preserve"> Accessed January 2011.</w:t>
      </w:r>
    </w:p>
    <w:p>
      <w:pPr>
        <w:pStyle w:val="AQISText"/>
        <w:spacing w:before="120" w:after="120" w:line="300" w:lineRule="atLeast"/>
        <w:jc w:val="left"/>
        <w:rPr>
          <w:sz w:val="24"/>
          <w:szCs w:val="24"/>
          <w:lang w:eastAsia="en-AU"/>
        </w:rPr>
      </w:pPr>
      <w:r>
        <w:rPr>
          <w:sz w:val="24"/>
          <w:szCs w:val="24"/>
          <w:lang w:eastAsia="en-AU"/>
        </w:rPr>
        <w:t xml:space="preserve">Klein Koch C, Waterhouse DF (2000) Distribution and importance of arthropods associated with agriculture and forestry in </w:t>
      </w:r>
      <w:smartTag w:uri="urn:schemas-microsoft-com:office:smarttags" w:element="country-region">
        <w:r>
          <w:rPr>
            <w:sz w:val="24"/>
            <w:szCs w:val="24"/>
            <w:lang w:eastAsia="en-AU"/>
          </w:rPr>
          <w:t>Chile</w:t>
        </w:r>
      </w:smartTag>
      <w:r>
        <w:rPr>
          <w:sz w:val="24"/>
          <w:szCs w:val="24"/>
          <w:lang w:eastAsia="en-AU"/>
        </w:rPr>
        <w:t xml:space="preserve"> (Distribucion e importancia de los artropodos asociados a la agricultura y silvicultura en </w:t>
      </w:r>
      <w:smartTag w:uri="urn:schemas-microsoft-com:office:smarttags" w:element="country-region">
        <w:smartTag w:uri="urn:schemas-microsoft-com:office:smarttags" w:element="place">
          <w:r>
            <w:rPr>
              <w:sz w:val="24"/>
              <w:szCs w:val="24"/>
              <w:lang w:eastAsia="en-AU"/>
            </w:rPr>
            <w:t>Chile</w:t>
          </w:r>
        </w:smartTag>
      </w:smartTag>
      <w:r>
        <w:rPr>
          <w:sz w:val="24"/>
          <w:szCs w:val="24"/>
          <w:lang w:eastAsia="en-AU"/>
        </w:rPr>
        <w:t xml:space="preserve">). ACIAR Monograph No. 68. </w:t>
      </w:r>
      <w:smartTag w:uri="urn:schemas-microsoft-com:office:smarttags" w:element="City">
        <w:smartTag w:uri="urn:schemas-microsoft-com:office:smarttags" w:element="place">
          <w:r>
            <w:rPr>
              <w:sz w:val="24"/>
              <w:szCs w:val="24"/>
              <w:lang w:eastAsia="en-AU"/>
            </w:rPr>
            <w:t>Canberra</w:t>
          </w:r>
        </w:smartTag>
      </w:smartTag>
      <w:r>
        <w:rPr>
          <w:sz w:val="24"/>
          <w:szCs w:val="24"/>
          <w:lang w:eastAsia="en-AU"/>
        </w:rPr>
        <w:t xml:space="preserve">. </w:t>
      </w:r>
      <w:smartTag w:uri="urn:schemas-microsoft-com:office:smarttags" w:element="country-region">
        <w:smartTag w:uri="urn:schemas-microsoft-com:office:smarttags" w:element="place">
          <w:r>
            <w:rPr>
              <w:sz w:val="24"/>
              <w:szCs w:val="24"/>
              <w:lang w:eastAsia="en-AU"/>
            </w:rPr>
            <w:t>Australia</w:t>
          </w:r>
        </w:smartTag>
      </w:smartTag>
      <w:r>
        <w:rPr>
          <w:sz w:val="24"/>
          <w:szCs w:val="24"/>
          <w:lang w:eastAsia="en-AU"/>
        </w:rPr>
        <w:t>. 231 pp.</w:t>
      </w:r>
    </w:p>
    <w:p>
      <w:pPr>
        <w:spacing w:before="120" w:after="120" w:line="300" w:lineRule="atLeast"/>
        <w:jc w:val="left"/>
      </w:pPr>
      <w:r>
        <w:t xml:space="preserve">Koenig R, Feudal M, Lesemann DE (1989) Detection of </w:t>
      </w:r>
      <w:r>
        <w:rPr>
          <w:i/>
        </w:rPr>
        <w:t xml:space="preserve">Petunia asteroid mosaic, Carnation ringspot </w:t>
      </w:r>
      <w:r>
        <w:t xml:space="preserve">and </w:t>
      </w:r>
      <w:r>
        <w:rPr>
          <w:i/>
        </w:rPr>
        <w:t>Tobacco necrosis viruses</w:t>
      </w:r>
      <w:r>
        <w:t xml:space="preserve"> in ditches and drainage canals in a grapevine-growing area in West Germany. </w:t>
      </w:r>
      <w:r>
        <w:rPr>
          <w:i/>
        </w:rPr>
        <w:t>Journal of Phytopathology</w:t>
      </w:r>
      <w:r>
        <w:t xml:space="preserve"> 127: 169–172.</w:t>
      </w:r>
    </w:p>
    <w:p>
      <w:pPr>
        <w:spacing w:before="120" w:after="120" w:line="300" w:lineRule="atLeast"/>
        <w:jc w:val="left"/>
        <w:rPr>
          <w:bCs/>
          <w:lang w:eastAsia="en-AU"/>
        </w:rPr>
      </w:pPr>
      <w:r>
        <w:rPr>
          <w:bCs/>
          <w:lang w:eastAsia="en-AU"/>
        </w:rPr>
        <w:t xml:space="preserve">Koklu G, Digiaro M, Sabanadzovic S, Savino V (1999) Natural infections by </w:t>
      </w:r>
      <w:r>
        <w:rPr>
          <w:bCs/>
          <w:i/>
          <w:lang w:eastAsia="en-AU"/>
        </w:rPr>
        <w:t xml:space="preserve">Cucumber mosaic virus </w:t>
      </w:r>
      <w:r>
        <w:rPr>
          <w:bCs/>
          <w:lang w:eastAsia="en-AU"/>
        </w:rPr>
        <w:t xml:space="preserve">in Turkish grapevines. </w:t>
      </w:r>
      <w:r>
        <w:rPr>
          <w:bCs/>
          <w:i/>
          <w:lang w:eastAsia="en-AU"/>
        </w:rPr>
        <w:t>Phytopathologia Mediterranea</w:t>
      </w:r>
      <w:r>
        <w:rPr>
          <w:bCs/>
          <w:lang w:eastAsia="en-AU"/>
        </w:rPr>
        <w:t xml:space="preserve"> 38: 33</w:t>
      </w:r>
      <w:r>
        <w:rPr>
          <w:bCs/>
        </w:rPr>
        <w:t>–</w:t>
      </w:r>
      <w:r>
        <w:rPr>
          <w:bCs/>
          <w:lang w:eastAsia="en-AU"/>
        </w:rPr>
        <w:t>36.</w:t>
      </w:r>
    </w:p>
    <w:p>
      <w:pPr>
        <w:spacing w:before="120" w:after="120" w:line="300" w:lineRule="atLeast"/>
        <w:jc w:val="left"/>
        <w:rPr>
          <w:bCs/>
          <w:lang w:eastAsia="en-AU"/>
        </w:rPr>
      </w:pPr>
      <w:r>
        <w:rPr>
          <w:bCs/>
          <w:lang w:eastAsia="en-AU"/>
        </w:rPr>
        <w:t xml:space="preserve">Koklu G, Digiaro M, Savino V (1998) A survey of grapevine viruses in Turkish Thrace. </w:t>
      </w:r>
      <w:r>
        <w:rPr>
          <w:bCs/>
          <w:i/>
          <w:lang w:eastAsia="en-AU"/>
        </w:rPr>
        <w:t>Phytopathologia Mediterranea</w:t>
      </w:r>
      <w:r>
        <w:rPr>
          <w:bCs/>
          <w:lang w:eastAsia="en-AU"/>
        </w:rPr>
        <w:t xml:space="preserve"> 37: 140</w:t>
      </w:r>
      <w:r>
        <w:rPr>
          <w:bCs/>
        </w:rPr>
        <w:t>–</w:t>
      </w:r>
      <w:r>
        <w:rPr>
          <w:bCs/>
          <w:lang w:eastAsia="en-AU"/>
        </w:rPr>
        <w:t>142.</w:t>
      </w:r>
    </w:p>
    <w:p>
      <w:pPr>
        <w:tabs>
          <w:tab w:val="left" w:pos="0"/>
        </w:tabs>
        <w:spacing w:before="120" w:after="120" w:line="300" w:lineRule="atLeast"/>
        <w:jc w:val="left"/>
      </w:pPr>
      <w:r>
        <w:t xml:space="preserve">Koltunow AM, Krake LR, </w:t>
      </w:r>
      <w:smartTag w:uri="urn:schemas-microsoft-com:office:smarttags" w:element="place">
        <w:smartTag w:uri="urn:schemas-microsoft-com:office:smarttags" w:element="City">
          <w:r>
            <w:t>Johnson</w:t>
          </w:r>
        </w:smartTag>
        <w:r>
          <w:t xml:space="preserve"> </w:t>
        </w:r>
        <w:smartTag w:uri="urn:schemas-microsoft-com:office:smarttags" w:element="State">
          <w:r>
            <w:t>SD</w:t>
          </w:r>
        </w:smartTag>
      </w:smartTag>
      <w:r>
        <w:t xml:space="preserve">, Rezaian MA (1989) Two related viroids cause Grapevine yellow speckle disease independently. </w:t>
      </w:r>
      <w:r>
        <w:rPr>
          <w:i/>
        </w:rPr>
        <w:t>Journal of General Virology</w:t>
      </w:r>
      <w:r>
        <w:t xml:space="preserve"> 70: 3411–3419.</w:t>
      </w:r>
    </w:p>
    <w:p>
      <w:pPr>
        <w:tabs>
          <w:tab w:val="left" w:pos="0"/>
        </w:tabs>
        <w:spacing w:before="120" w:after="120" w:line="300" w:lineRule="atLeast"/>
        <w:jc w:val="left"/>
      </w:pPr>
      <w:r>
        <w:t xml:space="preserve">Koltunow AM, Krake LR, Rezaian MA (1988) Hop stunt viroid in Australian grapevine cultivars: potential for hop infection. </w:t>
      </w:r>
      <w:r>
        <w:rPr>
          <w:i/>
        </w:rPr>
        <w:t>Australasian Plant Pathology</w:t>
      </w:r>
      <w:r>
        <w:t xml:space="preserve"> 17: 7–10.</w:t>
      </w:r>
    </w:p>
    <w:p>
      <w:pPr>
        <w:spacing w:before="120" w:after="120" w:line="300" w:lineRule="atLeast"/>
        <w:jc w:val="left"/>
      </w:pPr>
      <w:r>
        <w:t xml:space="preserve">Komar V, Vigne E, Demangeat G, Fuchs M (2007) Beneficial effect of selective virus elimination on the performance of </w:t>
      </w:r>
      <w:r>
        <w:rPr>
          <w:i/>
          <w:iCs/>
        </w:rPr>
        <w:t xml:space="preserve">Vitis vinifera </w:t>
      </w:r>
      <w:r>
        <w:t xml:space="preserve">cv. Chardonnay. </w:t>
      </w:r>
      <w:r>
        <w:rPr>
          <w:i/>
          <w:iCs/>
        </w:rPr>
        <w:t>American Journal of Enology and Viticulture</w:t>
      </w:r>
      <w:r>
        <w:t xml:space="preserve"> 58: 202–210.</w:t>
      </w:r>
    </w:p>
    <w:p>
      <w:pPr>
        <w:spacing w:before="120" w:after="120" w:line="300" w:lineRule="atLeast"/>
        <w:ind w:right="1059"/>
        <w:jc w:val="left"/>
      </w:pPr>
      <w:r>
        <w:t xml:space="preserve">Komínek P (2008) Distribution of grapevine viruses in vineyards of the Czech Republic. </w:t>
      </w:r>
      <w:r>
        <w:rPr>
          <w:i/>
        </w:rPr>
        <w:t>Journal of Plant Pathology</w:t>
      </w:r>
      <w:r>
        <w:t xml:space="preserve"> 90: 357</w:t>
      </w:r>
      <w:r>
        <w:rPr>
          <w:bCs/>
        </w:rPr>
        <w:t>–</w:t>
      </w:r>
      <w:r>
        <w:t>358.</w:t>
      </w:r>
    </w:p>
    <w:p>
      <w:pPr>
        <w:spacing w:before="120" w:after="120" w:line="300" w:lineRule="atLeast"/>
        <w:jc w:val="left"/>
      </w:pPr>
      <w:r>
        <w:t xml:space="preserve">König H, Unden G, Fröhlich J (2009) Biology of microorganisms on grapes, in must and in wine. </w:t>
      </w:r>
      <w:r>
        <w:rPr>
          <w:lang w:val="de-DE"/>
        </w:rPr>
        <w:t xml:space="preserve">Springer-Verlag, Berlin. Heidelberg. </w:t>
      </w:r>
      <w:hyperlink r:id="rId166" w:anchor="v=onepage&amp;q&amp;f=false" w:history="1">
        <w:r>
          <w:rPr>
            <w:rStyle w:val="Hyperlink"/>
            <w:color w:val="auto"/>
          </w:rPr>
          <w:t>http://books.google.com.au/books?id=6CR1vQUMw-sC&amp;printsec=frontcover#v=onepage&amp;q&amp;f=false</w:t>
        </w:r>
      </w:hyperlink>
      <w:r>
        <w:t xml:space="preserve"> Accessed November 2011.</w:t>
      </w:r>
    </w:p>
    <w:p>
      <w:pPr>
        <w:pStyle w:val="Default"/>
        <w:spacing w:before="120" w:after="120" w:line="300" w:lineRule="atLeast"/>
        <w:jc w:val="left"/>
        <w:rPr>
          <w:color w:val="auto"/>
        </w:rPr>
      </w:pPr>
      <w:r>
        <w:rPr>
          <w:color w:val="auto"/>
        </w:rPr>
        <w:t xml:space="preserve">Kovacs LG, Hanami H, Fortenberry M, Kaps ML (2000) Latent infection by phloem-limited viruses is linked to lower fruit quality in French-American hybrid grapevines. In </w:t>
      </w:r>
      <w:r>
        <w:rPr>
          <w:i/>
          <w:color w:val="auto"/>
        </w:rPr>
        <w:t xml:space="preserve">Extended abstracts of the 13th Meeting of the ICVG, Adelaide, Australia </w:t>
      </w:r>
      <w:r>
        <w:rPr>
          <w:color w:val="auto"/>
        </w:rPr>
        <w:t xml:space="preserve">158–159. ICVG, </w:t>
      </w:r>
      <w:smartTag w:uri="urn:schemas-microsoft-com:office:smarttags" w:element="country-region">
        <w:smartTag w:uri="urn:schemas-microsoft-com:office:smarttags" w:element="place">
          <w:r>
            <w:rPr>
              <w:color w:val="auto"/>
            </w:rPr>
            <w:t>Switzerland</w:t>
          </w:r>
        </w:smartTag>
      </w:smartTag>
      <w:r>
        <w:rPr>
          <w:color w:val="auto"/>
        </w:rPr>
        <w:t>.</w:t>
      </w:r>
    </w:p>
    <w:p>
      <w:pPr>
        <w:spacing w:before="120" w:after="120" w:line="300" w:lineRule="atLeast"/>
        <w:jc w:val="left"/>
      </w:pPr>
      <w:r>
        <w:t xml:space="preserve">Kovacs LG, Hanami H, Fortenberry M, Kaps ML (2001) Latent infection by leafroll agent GLRaV-3 is linked to lower fruit quality in French-American hybrid grapevines Vidal blanc and St. Vincent. </w:t>
      </w:r>
      <w:r>
        <w:rPr>
          <w:i/>
          <w:iCs/>
        </w:rPr>
        <w:t xml:space="preserve">American Journal of Enology and Viticulture </w:t>
      </w:r>
      <w:r>
        <w:t>52: 254–259.</w:t>
      </w:r>
    </w:p>
    <w:p>
      <w:pPr>
        <w:spacing w:before="120" w:after="120" w:line="300" w:lineRule="atLeast"/>
        <w:jc w:val="left"/>
      </w:pPr>
      <w:r>
        <w:t xml:space="preserve">Krake LR, Steel-Scott N, Rezaian MA, Taylor RH (1999) </w:t>
      </w:r>
      <w:r>
        <w:rPr>
          <w:i/>
        </w:rPr>
        <w:t>Graft Transmitted Diseases of Grapevines</w:t>
      </w:r>
      <w:r>
        <w:t>. CSIRO Publishing, Collingwood, Victoria.</w:t>
      </w:r>
    </w:p>
    <w:p>
      <w:pPr>
        <w:autoSpaceDE w:val="0"/>
        <w:autoSpaceDN w:val="0"/>
        <w:spacing w:before="120" w:after="120" w:line="300" w:lineRule="atLeast"/>
        <w:jc w:val="left"/>
        <w:rPr>
          <w:lang w:eastAsia="en-AU"/>
        </w:rPr>
      </w:pPr>
      <w:r>
        <w:rPr>
          <w:lang w:eastAsia="en-AU"/>
        </w:rPr>
        <w:t>Kulkarni NS, Mani M, Banerjee K (2007)</w:t>
      </w:r>
      <w:r>
        <w:rPr>
          <w:i/>
          <w:lang w:eastAsia="en-AU"/>
        </w:rPr>
        <w:t xml:space="preserve"> Management of thrips on grapes</w:t>
      </w:r>
      <w:r>
        <w:rPr>
          <w:lang w:eastAsia="en-AU"/>
        </w:rPr>
        <w:t>. Extension Folder No. 13. National Research Centre for Grapes, Pune.</w:t>
      </w:r>
    </w:p>
    <w:p>
      <w:pPr>
        <w:autoSpaceDE w:val="0"/>
        <w:autoSpaceDN w:val="0"/>
        <w:spacing w:before="120" w:after="120" w:line="300" w:lineRule="atLeast"/>
        <w:jc w:val="left"/>
        <w:rPr>
          <w:lang w:eastAsia="en-AU"/>
        </w:rPr>
      </w:pPr>
      <w:r>
        <w:rPr>
          <w:lang w:eastAsia="en-AU"/>
        </w:rPr>
        <w:t xml:space="preserve">Kumar K, Lal SN (1983) Studies on the biology, seasonal abundance and host-parasite relationship of fruit sucking moth </w:t>
      </w:r>
      <w:r>
        <w:rPr>
          <w:i/>
          <w:iCs/>
          <w:lang w:eastAsia="en-AU"/>
        </w:rPr>
        <w:t xml:space="preserve">Othreis fullonia </w:t>
      </w:r>
      <w:r>
        <w:rPr>
          <w:lang w:eastAsia="en-AU"/>
        </w:rPr>
        <w:t xml:space="preserve">(Clerck) in </w:t>
      </w:r>
      <w:smartTag w:uri="urn:schemas-microsoft-com:office:smarttags" w:element="country-region">
        <w:smartTag w:uri="urn:schemas-microsoft-com:office:smarttags" w:element="place">
          <w:r>
            <w:rPr>
              <w:lang w:eastAsia="en-AU"/>
            </w:rPr>
            <w:t>Fiji</w:t>
          </w:r>
        </w:smartTag>
      </w:smartTag>
      <w:r>
        <w:rPr>
          <w:lang w:eastAsia="en-AU"/>
        </w:rPr>
        <w:t xml:space="preserve">. </w:t>
      </w:r>
      <w:smartTag w:uri="urn:schemas-microsoft-com:office:smarttags" w:element="country-region">
        <w:smartTag w:uri="urn:schemas-microsoft-com:office:smarttags" w:element="place">
          <w:r>
            <w:rPr>
              <w:i/>
              <w:iCs/>
              <w:lang w:eastAsia="en-AU"/>
            </w:rPr>
            <w:t>Fiji</w:t>
          </w:r>
        </w:smartTag>
      </w:smartTag>
      <w:r>
        <w:rPr>
          <w:i/>
          <w:iCs/>
          <w:lang w:eastAsia="en-AU"/>
        </w:rPr>
        <w:t xml:space="preserve"> Agricultural Journal </w:t>
      </w:r>
      <w:r>
        <w:rPr>
          <w:lang w:eastAsia="en-AU"/>
        </w:rPr>
        <w:t>45: 71–77.</w:t>
      </w:r>
    </w:p>
    <w:p>
      <w:pPr>
        <w:spacing w:before="120" w:after="120" w:line="300" w:lineRule="atLeast"/>
        <w:jc w:val="left"/>
      </w:pPr>
      <w:r>
        <w:t xml:space="preserve">Kummuang N, Diehl SV, Smith BJ, Graves CH Jr (1996) Muscadine grape berry rot diseases in </w:t>
      </w:r>
      <w:smartTag w:uri="urn:schemas-microsoft-com:office:smarttags" w:element="State">
        <w:smartTag w:uri="urn:schemas-microsoft-com:office:smarttags" w:element="place">
          <w:r>
            <w:t>Mississippi</w:t>
          </w:r>
        </w:smartTag>
      </w:smartTag>
      <w:r>
        <w:t xml:space="preserve">: disease epidemiology and crop reduction. </w:t>
      </w:r>
      <w:r>
        <w:rPr>
          <w:i/>
        </w:rPr>
        <w:t>Plant Disease</w:t>
      </w:r>
      <w:r>
        <w:t xml:space="preserve"> 80: 244</w:t>
      </w:r>
      <w:r>
        <w:rPr>
          <w:bCs/>
        </w:rPr>
        <w:t>–</w:t>
      </w:r>
      <w:r>
        <w:t>247.</w:t>
      </w:r>
    </w:p>
    <w:p>
      <w:pPr>
        <w:autoSpaceDE w:val="0"/>
        <w:autoSpaceDN w:val="0"/>
        <w:spacing w:before="120" w:after="120" w:line="300" w:lineRule="atLeast"/>
        <w:jc w:val="left"/>
        <w:rPr>
          <w:lang w:eastAsia="en-AU"/>
        </w:rPr>
      </w:pPr>
      <w:r>
        <w:rPr>
          <w:lang w:eastAsia="en-AU"/>
        </w:rPr>
        <w:t xml:space="preserve">Kuniyuki H, Gioria R, Rezende JAM, Willink CG de, Novo JPS, Yuki VA (2006) Transmission of the </w:t>
      </w:r>
      <w:r>
        <w:rPr>
          <w:i/>
          <w:lang w:eastAsia="en-AU"/>
        </w:rPr>
        <w:t>Grapevine virus</w:t>
      </w:r>
      <w:r>
        <w:rPr>
          <w:lang w:eastAsia="en-AU"/>
        </w:rPr>
        <w:t xml:space="preserve"> by the mealybug </w:t>
      </w:r>
      <w:r>
        <w:rPr>
          <w:i/>
          <w:lang w:eastAsia="en-AU"/>
        </w:rPr>
        <w:t>Pseudococcus longispinus</w:t>
      </w:r>
      <w:r>
        <w:rPr>
          <w:lang w:eastAsia="en-AU"/>
        </w:rPr>
        <w:t xml:space="preserve"> Targioni-Tozzetti (Hemiptera: Pseudococcidae) in Brazil. </w:t>
      </w:r>
      <w:r>
        <w:rPr>
          <w:i/>
          <w:lang w:eastAsia="en-AU"/>
        </w:rPr>
        <w:t>Summa Phytopathol</w:t>
      </w:r>
      <w:r>
        <w:rPr>
          <w:lang w:eastAsia="en-AU"/>
        </w:rPr>
        <w:t>. 32: 151–155.</w:t>
      </w:r>
    </w:p>
    <w:p>
      <w:pPr>
        <w:spacing w:before="120" w:after="120" w:line="300" w:lineRule="atLeast"/>
        <w:jc w:val="left"/>
      </w:pPr>
      <w:r>
        <w:rPr>
          <w:bCs/>
        </w:rPr>
        <w:t xml:space="preserve">Kuniyuki H, Rezende JAM, Gaspar JO, Yuki, VA (2008) Detection of </w:t>
      </w:r>
      <w:r>
        <w:rPr>
          <w:bCs/>
          <w:i/>
        </w:rPr>
        <w:t xml:space="preserve">Grapevine leafroll-associated virus 5 </w:t>
      </w:r>
      <w:r>
        <w:rPr>
          <w:bCs/>
        </w:rPr>
        <w:t xml:space="preserve">in the State of Sao Paulo, Brazil. </w:t>
      </w:r>
      <w:r>
        <w:rPr>
          <w:bCs/>
          <w:i/>
          <w:iCs/>
        </w:rPr>
        <w:t>Summa Phytopathologica</w:t>
      </w:r>
      <w:r>
        <w:rPr>
          <w:b/>
          <w:bCs/>
          <w:i/>
          <w:iCs/>
        </w:rPr>
        <w:t xml:space="preserve"> </w:t>
      </w:r>
      <w:r>
        <w:t>34: 366–367.</w:t>
      </w:r>
      <w:bookmarkStart w:id="135" w:name="_PictureBullets"/>
      <w:bookmarkEnd w:id="135"/>
    </w:p>
    <w:p>
      <w:pPr>
        <w:spacing w:before="120" w:after="120" w:line="300" w:lineRule="atLeast"/>
        <w:jc w:val="left"/>
      </w:pPr>
      <w:r>
        <w:t xml:space="preserve">Kunugi Y, Asari S, Terai Y, Shinkai A (2000) Studies on the Grapevine berry inner necrosis virus disease, 2: transmission of </w:t>
      </w:r>
      <w:r>
        <w:rPr>
          <w:i/>
        </w:rPr>
        <w:t>Grapevine berry inner necrosis virus</w:t>
      </w:r>
      <w:r>
        <w:t xml:space="preserve"> by the grape erineum mite </w:t>
      </w:r>
      <w:r>
        <w:rPr>
          <w:i/>
        </w:rPr>
        <w:t>Colomerus vitis</w:t>
      </w:r>
      <w:r>
        <w:t xml:space="preserve"> in Yamanashi. </w:t>
      </w:r>
      <w:r>
        <w:rPr>
          <w:i/>
        </w:rPr>
        <w:t>Bulletin of Yamanashi Fruit Tree Experimental Station</w:t>
      </w:r>
      <w:r>
        <w:t xml:space="preserve"> 10: 57–63.</w:t>
      </w:r>
    </w:p>
    <w:p>
      <w:pPr>
        <w:autoSpaceDE w:val="0"/>
        <w:autoSpaceDN w:val="0"/>
        <w:spacing w:before="120" w:after="120" w:line="300" w:lineRule="atLeast"/>
        <w:jc w:val="left"/>
        <w:rPr>
          <w:lang w:eastAsia="en-AU"/>
        </w:rPr>
      </w:pPr>
      <w:r>
        <w:rPr>
          <w:lang w:eastAsia="en-AU"/>
        </w:rPr>
        <w:t xml:space="preserve">Kuo M (2003) </w:t>
      </w:r>
      <w:r>
        <w:rPr>
          <w:i/>
          <w:lang w:eastAsia="en-AU"/>
        </w:rPr>
        <w:t>Hapalopilus nidulans</w:t>
      </w:r>
      <w:r>
        <w:rPr>
          <w:lang w:eastAsia="en-AU"/>
        </w:rPr>
        <w:t xml:space="preserve">. MushroomExpert.Com: </w:t>
      </w:r>
      <w:hyperlink r:id="rId167" w:history="1">
        <w:r>
          <w:rPr>
            <w:rStyle w:val="Hyperlink"/>
            <w:color w:val="auto"/>
            <w:lang w:eastAsia="en-AU"/>
          </w:rPr>
          <w:t>http://www.mushroomexpert.com/hapalopilus_nidulans.html</w:t>
        </w:r>
      </w:hyperlink>
      <w:r>
        <w:rPr>
          <w:lang w:eastAsia="en-AU"/>
        </w:rPr>
        <w:t xml:space="preserve"> Accessed March 2011.</w:t>
      </w:r>
    </w:p>
    <w:p>
      <w:pPr>
        <w:autoSpaceDE w:val="0"/>
        <w:autoSpaceDN w:val="0"/>
        <w:spacing w:before="120" w:after="120" w:line="300" w:lineRule="atLeast"/>
        <w:jc w:val="left"/>
        <w:rPr>
          <w:lang w:eastAsia="en-AU"/>
        </w:rPr>
      </w:pPr>
      <w:r>
        <w:rPr>
          <w:lang w:eastAsia="en-AU"/>
        </w:rPr>
        <w:t xml:space="preserve">Kyriakopoulou </w:t>
      </w:r>
      <w:smartTag w:uri="urn:schemas-microsoft-com:office:smarttags" w:element="State">
        <w:r>
          <w:rPr>
            <w:lang w:eastAsia="en-AU"/>
          </w:rPr>
          <w:t>PE</w:t>
        </w:r>
      </w:smartTag>
      <w:r>
        <w:rPr>
          <w:lang w:eastAsia="en-AU"/>
        </w:rPr>
        <w:t xml:space="preserve"> (2008) </w:t>
      </w:r>
      <w:r>
        <w:rPr>
          <w:i/>
          <w:lang w:eastAsia="en-AU"/>
        </w:rPr>
        <w:t>Artichoke Italian latent virus</w:t>
      </w:r>
      <w:r>
        <w:rPr>
          <w:lang w:eastAsia="en-AU"/>
        </w:rPr>
        <w:t xml:space="preserve"> causes Artichoke patchy chlorotic stunting disease. </w:t>
      </w:r>
      <w:r>
        <w:rPr>
          <w:i/>
          <w:lang w:eastAsia="en-AU"/>
        </w:rPr>
        <w:t>Annals of Applied Biology</w:t>
      </w:r>
      <w:r>
        <w:rPr>
          <w:lang w:eastAsia="en-AU"/>
        </w:rPr>
        <w:t xml:space="preserve"> 127: 487–497.</w:t>
      </w:r>
    </w:p>
    <w:p>
      <w:pPr>
        <w:spacing w:before="120" w:after="120" w:line="300" w:lineRule="atLeast"/>
        <w:jc w:val="left"/>
      </w:pPr>
      <w:r>
        <w:t xml:space="preserve">Laimer Da Câmara Machado M, Paltrinieri S, Hanzer V, Arthofer W, Strommer S, Martini M, Bertaccini (2001) Presence of European stone fruit yellows (ESFY or 16SrX-B) Phytoplasmas in apricots in Austria. </w:t>
      </w:r>
      <w:r>
        <w:rPr>
          <w:i/>
        </w:rPr>
        <w:t xml:space="preserve">Plant Pathology </w:t>
      </w:r>
      <w:r>
        <w:t>50: 130–135.</w:t>
      </w:r>
    </w:p>
    <w:p>
      <w:pPr>
        <w:spacing w:before="120" w:after="120" w:line="300" w:lineRule="atLeast"/>
        <w:jc w:val="left"/>
      </w:pPr>
      <w:r>
        <w:t xml:space="preserve">Laimer M, Lemaire O, Herrbach E, Goldschmidt V, Minafra A, Bianco P, Wetzel T (2009) Resistance to virus, phytoplasmas and their vectors in the grapevine in Europe: a review. </w:t>
      </w:r>
      <w:r>
        <w:rPr>
          <w:i/>
          <w:iCs/>
        </w:rPr>
        <w:t>Journal of Plant Pathology</w:t>
      </w:r>
      <w:r>
        <w:t xml:space="preserve"> 91: 7–23.</w:t>
      </w:r>
    </w:p>
    <w:p>
      <w:pPr>
        <w:spacing w:before="120" w:after="120" w:line="300" w:lineRule="atLeast"/>
        <w:jc w:val="left"/>
      </w:pPr>
      <w:r>
        <w:t xml:space="preserve">Langer M, Maixner M (2004) Molecular characterisation of Grapevine yellows associated phytoplasmas of the Stolbur group based on RFLP-analysis of non-ribosomal DNA. </w:t>
      </w:r>
      <w:r>
        <w:rPr>
          <w:i/>
        </w:rPr>
        <w:t xml:space="preserve">Vitis </w:t>
      </w:r>
      <w:r>
        <w:t>43: 191–200.</w:t>
      </w:r>
    </w:p>
    <w:p>
      <w:pPr>
        <w:spacing w:before="120" w:after="120" w:line="300" w:lineRule="atLeast"/>
        <w:jc w:val="left"/>
      </w:pPr>
      <w:r>
        <w:t xml:space="preserve">Larignon P, Dubos B (1997) Fungi associated with esca disease in grapevine. </w:t>
      </w:r>
      <w:r>
        <w:rPr>
          <w:i/>
        </w:rPr>
        <w:t xml:space="preserve">European Journal of Plant Pathology </w:t>
      </w:r>
      <w:r>
        <w:t>103: 147</w:t>
      </w:r>
      <w:r>
        <w:rPr>
          <w:bCs/>
        </w:rPr>
        <w:t>–</w:t>
      </w:r>
      <w:r>
        <w:t>157.</w:t>
      </w:r>
    </w:p>
    <w:p>
      <w:pPr>
        <w:spacing w:before="120" w:after="120" w:line="300" w:lineRule="atLeast"/>
        <w:jc w:val="left"/>
      </w:pPr>
      <w:r>
        <w:t>Larsson MC, Leal WS, Hansson BS (2001) Olfactory receptor n</w:t>
      </w:r>
      <w:smartTag w:uri="urn:schemas-microsoft-com:office:smarttags" w:element="PersonName">
        <w:r>
          <w:t>eu</w:t>
        </w:r>
      </w:smartTag>
      <w:r>
        <w:t xml:space="preserve">rons detecting plant odours and male volatiles in </w:t>
      </w:r>
      <w:r>
        <w:rPr>
          <w:i/>
        </w:rPr>
        <w:t>Anomala cuprea</w:t>
      </w:r>
      <w:r>
        <w:t xml:space="preserve"> beetles (Coleoptera: Scarabaeidae). </w:t>
      </w:r>
      <w:r>
        <w:rPr>
          <w:i/>
        </w:rPr>
        <w:t>Journal of Insect Physiology</w:t>
      </w:r>
      <w:r>
        <w:t xml:space="preserve"> 47: 1065</w:t>
      </w:r>
      <w:r>
        <w:rPr>
          <w:bCs/>
        </w:rPr>
        <w:t>–</w:t>
      </w:r>
      <w:r>
        <w:t>1076.</w:t>
      </w:r>
    </w:p>
    <w:p>
      <w:pPr>
        <w:spacing w:before="120" w:after="120" w:line="300" w:lineRule="atLeast"/>
        <w:jc w:val="left"/>
      </w:pPr>
      <w:r>
        <w:t xml:space="preserve">Lauber HP, Schuepp H (1968) Grape diseases. </w:t>
      </w:r>
      <w:r>
        <w:rPr>
          <w:i/>
          <w:iCs/>
        </w:rPr>
        <w:t>Schweizerische Zeitschrift fur Obst</w:t>
      </w:r>
      <w:r>
        <w:t xml:space="preserve"> </w:t>
      </w:r>
      <w:r>
        <w:rPr>
          <w:bCs/>
        </w:rPr>
        <w:t>104:</w:t>
      </w:r>
      <w:r>
        <w:t xml:space="preserve"> 550–555.</w:t>
      </w:r>
    </w:p>
    <w:p>
      <w:pPr>
        <w:pStyle w:val="AQISText"/>
        <w:spacing w:before="120" w:after="120" w:line="300" w:lineRule="atLeast"/>
        <w:jc w:val="left"/>
        <w:rPr>
          <w:sz w:val="24"/>
          <w:szCs w:val="24"/>
          <w:lang w:eastAsia="en-AU"/>
        </w:rPr>
      </w:pPr>
      <w:r>
        <w:rPr>
          <w:sz w:val="24"/>
          <w:szCs w:val="24"/>
          <w:lang w:eastAsia="en-AU"/>
        </w:rPr>
        <w:t xml:space="preserve">Lazar J, Kolber M, Lehoczky J (1990) Detection of some nepoviruses (GFV, GFVYM, GCMV, ArMV) in the seeds and seedlings of grapevine by ELISA. </w:t>
      </w:r>
      <w:r>
        <w:rPr>
          <w:i/>
          <w:sz w:val="24"/>
          <w:szCs w:val="24"/>
          <w:lang w:eastAsia="en-AU"/>
        </w:rPr>
        <w:t xml:space="preserve">Kertgasdasag </w:t>
      </w:r>
      <w:r>
        <w:rPr>
          <w:sz w:val="24"/>
          <w:szCs w:val="24"/>
          <w:lang w:eastAsia="en-AU"/>
        </w:rPr>
        <w:t>22: 58–72.</w:t>
      </w:r>
    </w:p>
    <w:p>
      <w:pPr>
        <w:spacing w:before="120" w:after="120" w:line="300" w:lineRule="atLeast"/>
        <w:jc w:val="left"/>
      </w:pPr>
      <w:r>
        <w:t xml:space="preserve">Le Gall O, Candresse T, Dunez J (1995) Transfer of the 31 non-translated region of </w:t>
      </w:r>
      <w:r>
        <w:rPr>
          <w:i/>
          <w:iCs/>
        </w:rPr>
        <w:t xml:space="preserve">Grapevine chrome mosaic virus </w:t>
      </w:r>
      <w:r>
        <w:t xml:space="preserve">RNA-1 by recombination to </w:t>
      </w:r>
      <w:r>
        <w:rPr>
          <w:i/>
          <w:iCs/>
        </w:rPr>
        <w:t xml:space="preserve">Tomato black ring virus </w:t>
      </w:r>
      <w:r>
        <w:t>RNA-2 in ps</w:t>
      </w:r>
      <w:smartTag w:uri="urn:schemas-microsoft-com:office:smarttags" w:element="PersonName">
        <w:r>
          <w:t>eu</w:t>
        </w:r>
      </w:smartTag>
      <w:r>
        <w:t xml:space="preserve">dorecombinant isolates. </w:t>
      </w:r>
      <w:r>
        <w:rPr>
          <w:i/>
          <w:iCs/>
        </w:rPr>
        <w:t xml:space="preserve">Journal of General Virology </w:t>
      </w:r>
      <w:r>
        <w:t>76: 1285–1289.</w:t>
      </w:r>
    </w:p>
    <w:p>
      <w:pPr>
        <w:pStyle w:val="AQISText"/>
        <w:spacing w:before="120" w:after="120" w:line="300" w:lineRule="atLeast"/>
        <w:jc w:val="left"/>
        <w:rPr>
          <w:sz w:val="24"/>
          <w:szCs w:val="24"/>
        </w:rPr>
      </w:pPr>
      <w:r>
        <w:rPr>
          <w:sz w:val="24"/>
          <w:szCs w:val="24"/>
        </w:rPr>
        <w:t xml:space="preserve">Lee IM, Bertaccini A, Vibio M and </w:t>
      </w:r>
      <w:smartTag w:uri="urn:schemas-microsoft-com:office:smarttags" w:element="City">
        <w:r>
          <w:rPr>
            <w:sz w:val="24"/>
            <w:szCs w:val="24"/>
          </w:rPr>
          <w:t>Gundersen</w:t>
        </w:r>
      </w:smartTag>
      <w:r>
        <w:rPr>
          <w:sz w:val="24"/>
          <w:szCs w:val="24"/>
        </w:rPr>
        <w:t xml:space="preserve"> </w:t>
      </w:r>
      <w:smartTag w:uri="urn:schemas-microsoft-com:office:smarttags" w:element="State">
        <w:r>
          <w:rPr>
            <w:sz w:val="24"/>
            <w:szCs w:val="24"/>
          </w:rPr>
          <w:t>DE</w:t>
        </w:r>
      </w:smartTag>
      <w:r>
        <w:rPr>
          <w:sz w:val="24"/>
          <w:szCs w:val="24"/>
        </w:rPr>
        <w:t xml:space="preserve"> (1995) Detection of multiple phytoplasmas in perennial fruit trees with decline symptoms in </w:t>
      </w:r>
      <w:smartTag w:uri="urn:schemas-microsoft-com:office:smarttags" w:element="country-region">
        <w:smartTag w:uri="urn:schemas-microsoft-com:office:smarttags" w:element="place">
          <w:r>
            <w:rPr>
              <w:sz w:val="24"/>
              <w:szCs w:val="24"/>
            </w:rPr>
            <w:t>Italy</w:t>
          </w:r>
        </w:smartTag>
      </w:smartTag>
      <w:r>
        <w:rPr>
          <w:sz w:val="24"/>
          <w:szCs w:val="24"/>
        </w:rPr>
        <w:t xml:space="preserve">. </w:t>
      </w:r>
      <w:r>
        <w:rPr>
          <w:i/>
          <w:sz w:val="24"/>
          <w:szCs w:val="24"/>
        </w:rPr>
        <w:t>Phytopathology</w:t>
      </w:r>
      <w:r>
        <w:rPr>
          <w:sz w:val="24"/>
          <w:szCs w:val="24"/>
        </w:rPr>
        <w:t xml:space="preserve"> 85: 728</w:t>
      </w:r>
      <w:r>
        <w:rPr>
          <w:sz w:val="24"/>
          <w:szCs w:val="24"/>
          <w:lang w:eastAsia="en-AU"/>
        </w:rPr>
        <w:t>–</w:t>
      </w:r>
      <w:r>
        <w:rPr>
          <w:sz w:val="24"/>
          <w:szCs w:val="24"/>
        </w:rPr>
        <w:t>735.</w:t>
      </w:r>
    </w:p>
    <w:p>
      <w:pPr>
        <w:spacing w:before="120" w:after="120" w:line="300" w:lineRule="atLeast"/>
        <w:jc w:val="left"/>
      </w:pPr>
      <w:r>
        <w:t xml:space="preserve">Lee IM, Davis RE, </w:t>
      </w:r>
      <w:smartTag w:uri="urn:schemas-microsoft-com:office:smarttags" w:element="place">
        <w:smartTag w:uri="urn:schemas-microsoft-com:office:smarttags" w:element="City">
          <w:r>
            <w:t>Gundersen-Rindal</w:t>
          </w:r>
        </w:smartTag>
        <w:r>
          <w:t xml:space="preserve"> </w:t>
        </w:r>
        <w:smartTag w:uri="urn:schemas-microsoft-com:office:smarttags" w:element="State">
          <w:r>
            <w:t>DE</w:t>
          </w:r>
        </w:smartTag>
      </w:smartTag>
      <w:r>
        <w:t xml:space="preserve"> (2000) Phytoplasma: phytopathogenic mollicutes. </w:t>
      </w:r>
      <w:r>
        <w:rPr>
          <w:i/>
        </w:rPr>
        <w:t>Annual Review of Microbiology</w:t>
      </w:r>
      <w:r>
        <w:t xml:space="preserve"> 54: 221–255.</w:t>
      </w:r>
    </w:p>
    <w:p>
      <w:pPr>
        <w:spacing w:before="120" w:after="120" w:line="300" w:lineRule="atLeast"/>
        <w:jc w:val="left"/>
      </w:pPr>
      <w:r>
        <w:t>Lee IM, Gundersen-Rindal DE, Davis RE, Bottner KD, Marcone C, Seemüller E (2004a) ‘</w:t>
      </w:r>
      <w:r>
        <w:rPr>
          <w:i/>
        </w:rPr>
        <w:t>Candidatus</w:t>
      </w:r>
      <w:r>
        <w:t xml:space="preserve"> Phytoplasma asteris’, a novel phytoplasma taxon associated with Aster yellows and related diseases. </w:t>
      </w:r>
      <w:r>
        <w:rPr>
          <w:i/>
        </w:rPr>
        <w:t xml:space="preserve">International Journal of Systemic and Evolutionary Microbiology </w:t>
      </w:r>
      <w:r>
        <w:t>54: 1037–1048.</w:t>
      </w:r>
    </w:p>
    <w:p>
      <w:pPr>
        <w:autoSpaceDE w:val="0"/>
        <w:autoSpaceDN w:val="0"/>
        <w:spacing w:before="120" w:after="120" w:line="300" w:lineRule="atLeast"/>
        <w:jc w:val="left"/>
      </w:pPr>
      <w:r>
        <w:t>Lee IM, Martini M, Marcone C, Zhu1 SF (2004b) Classification of phytoplasma strains in the Elm yellows group (16SrV) and proposal of ‘</w:t>
      </w:r>
      <w:r>
        <w:rPr>
          <w:i/>
        </w:rPr>
        <w:t>Candidatus</w:t>
      </w:r>
      <w:r>
        <w:t xml:space="preserve"> Phytoplasma ulmi’ for the phytoplasma associated with Elm yellows. </w:t>
      </w:r>
      <w:r>
        <w:rPr>
          <w:i/>
        </w:rPr>
        <w:t>International Journal of Systematic and Evolutionary Microbiology</w:t>
      </w:r>
      <w:r>
        <w:t xml:space="preserve"> 54: 337–347.</w:t>
      </w:r>
    </w:p>
    <w:p>
      <w:pPr>
        <w:autoSpaceDE w:val="0"/>
        <w:autoSpaceDN w:val="0"/>
        <w:spacing w:before="120" w:after="120" w:line="300" w:lineRule="atLeast"/>
        <w:jc w:val="left"/>
        <w:rPr>
          <w:lang w:eastAsia="en-AU"/>
        </w:rPr>
      </w:pPr>
      <w:r>
        <w:rPr>
          <w:lang w:eastAsia="en-AU"/>
        </w:rPr>
        <w:t xml:space="preserve">Lee S, Lee GS, Goh HG (2002) Mirid bugs (Heteroptera: Miridae) on grapevine: their damages and host plants. </w:t>
      </w:r>
      <w:r>
        <w:rPr>
          <w:i/>
          <w:iCs/>
          <w:lang w:eastAsia="en-AU"/>
        </w:rPr>
        <w:t xml:space="preserve">Korean Journal of Applied Entomology </w:t>
      </w:r>
      <w:r>
        <w:rPr>
          <w:lang w:eastAsia="en-AU"/>
        </w:rPr>
        <w:t>41: 33–41.</w:t>
      </w:r>
    </w:p>
    <w:p>
      <w:pPr>
        <w:autoSpaceDE w:val="0"/>
        <w:autoSpaceDN w:val="0"/>
        <w:spacing w:before="120" w:after="120" w:line="300" w:lineRule="atLeast"/>
        <w:jc w:val="left"/>
      </w:pPr>
      <w:r>
        <w:t xml:space="preserve">Lee SC, Yoo JK, Yoo CH (1970) </w:t>
      </w:r>
      <w:r>
        <w:rPr>
          <w:rFonts w:ascii="TrebuchetMS" w:hAnsi="TrebuchetMS"/>
        </w:rPr>
        <w:t>Survey on the kinds of the fruit sucking moths and their damages in Korea</w:t>
      </w:r>
      <w:r>
        <w:t xml:space="preserve">. </w:t>
      </w:r>
      <w:r>
        <w:rPr>
          <w:i/>
        </w:rPr>
        <w:t>Korean Journal of Plant Pathology</w:t>
      </w:r>
      <w:r>
        <w:t xml:space="preserve"> 9: 37-41.</w:t>
      </w:r>
    </w:p>
    <w:p>
      <w:pPr>
        <w:spacing w:before="120" w:after="120" w:line="300" w:lineRule="atLeast"/>
        <w:jc w:val="left"/>
      </w:pPr>
      <w:r>
        <w:t>Lee YJ, Lee YM, Hs</w:t>
      </w:r>
      <w:smartTag w:uri="urn:schemas-microsoft-com:office:smarttags" w:element="PersonName">
        <w:r>
          <w:t>eu</w:t>
        </w:r>
      </w:smartTag>
      <w:r>
        <w:t xml:space="preserve">h T (1973) Observations on the behaviour of </w:t>
      </w:r>
      <w:r>
        <w:rPr>
          <w:i/>
        </w:rPr>
        <w:t>Proagopertha lucidula</w:t>
      </w:r>
      <w:r>
        <w:t xml:space="preserve"> Fald. (Coleoptera: Scarabaeidae). </w:t>
      </w:r>
      <w:r>
        <w:rPr>
          <w:i/>
        </w:rPr>
        <w:t>Acta Entomologica Sinica</w:t>
      </w:r>
      <w:r>
        <w:t xml:space="preserve"> </w:t>
      </w:r>
      <w:r>
        <w:rPr>
          <w:bCs/>
        </w:rPr>
        <w:t>16</w:t>
      </w:r>
      <w:r>
        <w:t>: 25</w:t>
      </w:r>
      <w:r>
        <w:rPr>
          <w:bCs/>
        </w:rPr>
        <w:t>–</w:t>
      </w:r>
      <w:r>
        <w:t>31.</w:t>
      </w:r>
    </w:p>
    <w:p>
      <w:pPr>
        <w:spacing w:before="120" w:after="120" w:line="300" w:lineRule="atLeast"/>
        <w:jc w:val="left"/>
      </w:pPr>
      <w:r>
        <w:t xml:space="preserve">Legorburu FJ, Recio E, López E, Baigorri J. Larreina M, Remesal A, Cibriaín JF, Caminero L, Suberviola J, Aguirrezábal F (2009) Effect of </w:t>
      </w:r>
      <w:r>
        <w:rPr>
          <w:i/>
          <w:iCs/>
        </w:rPr>
        <w:t xml:space="preserve">Grapevine fanleaf virus </w:t>
      </w:r>
      <w:r>
        <w:t xml:space="preserve">(GFLV) and </w:t>
      </w:r>
      <w:r>
        <w:rPr>
          <w:i/>
          <w:iCs/>
        </w:rPr>
        <w:t xml:space="preserve">Grapevine leafroll-associated virus 3 </w:t>
      </w:r>
      <w:r>
        <w:t xml:space="preserve">(GLRaV-3) on red wine quality. </w:t>
      </w:r>
      <w:r>
        <w:rPr>
          <w:i/>
        </w:rPr>
        <w:t>Extended abstracts of the 16th meeting of ICVG in Dijon, 31 August–4 September 2009</w:t>
      </w:r>
      <w:r>
        <w:t xml:space="preserve">. ICVG, </w:t>
      </w:r>
      <w:smartTag w:uri="urn:schemas-microsoft-com:office:smarttags" w:element="country-region">
        <w:smartTag w:uri="urn:schemas-microsoft-com:office:smarttags" w:element="place">
          <w:r>
            <w:t>Switzerland</w:t>
          </w:r>
        </w:smartTag>
      </w:smartTag>
      <w:r>
        <w:t>.</w:t>
      </w:r>
    </w:p>
    <w:p>
      <w:pPr>
        <w:autoSpaceDE w:val="0"/>
        <w:autoSpaceDN w:val="0"/>
        <w:spacing w:before="120" w:after="120" w:line="300" w:lineRule="atLeast"/>
        <w:jc w:val="left"/>
        <w:rPr>
          <w:snapToGrid w:val="0"/>
        </w:rPr>
      </w:pPr>
      <w:hyperlink r:id="rId168" w:tgtFrame="_blank" w:history="1">
        <w:r>
          <w:rPr>
            <w:snapToGrid w:val="0"/>
          </w:rPr>
          <w:t xml:space="preserve">Lehoczky J (1991) Remarkable differences in pathogenicity between </w:t>
        </w:r>
        <w:r>
          <w:rPr>
            <w:i/>
            <w:snapToGrid w:val="0"/>
          </w:rPr>
          <w:t xml:space="preserve">Grapevine chrome mosaic </w:t>
        </w:r>
        <w:r>
          <w:rPr>
            <w:snapToGrid w:val="0"/>
          </w:rPr>
          <w:t xml:space="preserve">and </w:t>
        </w:r>
        <w:r>
          <w:rPr>
            <w:i/>
            <w:snapToGrid w:val="0"/>
          </w:rPr>
          <w:t xml:space="preserve">Tomato black ring viruses </w:t>
        </w:r>
        <w:r>
          <w:rPr>
            <w:snapToGrid w:val="0"/>
          </w:rPr>
          <w:t xml:space="preserve">in herbaceous test plants. </w:t>
        </w:r>
        <w:r>
          <w:rPr>
            <w:i/>
            <w:snapToGrid w:val="0"/>
          </w:rPr>
          <w:t>Kertgazdasag</w:t>
        </w:r>
        <w:r>
          <w:rPr>
            <w:snapToGrid w:val="0"/>
          </w:rPr>
          <w:t xml:space="preserve"> 23: 49</w:t>
        </w:r>
        <w:r>
          <w:rPr>
            <w:bCs/>
          </w:rPr>
          <w:t>–</w:t>
        </w:r>
        <w:r>
          <w:rPr>
            <w:snapToGrid w:val="0"/>
          </w:rPr>
          <w:t>54</w:t>
        </w:r>
      </w:hyperlink>
      <w:r>
        <w:rPr>
          <w:snapToGrid w:val="0"/>
        </w:rPr>
        <w:t>.</w:t>
      </w:r>
    </w:p>
    <w:p>
      <w:pPr>
        <w:pStyle w:val="AQISText"/>
        <w:spacing w:before="120" w:after="120" w:line="300" w:lineRule="atLeast"/>
        <w:jc w:val="left"/>
        <w:rPr>
          <w:sz w:val="24"/>
          <w:szCs w:val="24"/>
          <w:lang w:eastAsia="en-AU"/>
        </w:rPr>
      </w:pPr>
      <w:r>
        <w:rPr>
          <w:sz w:val="24"/>
          <w:szCs w:val="24"/>
          <w:lang w:eastAsia="en-AU"/>
        </w:rPr>
        <w:t xml:space="preserve">Lehoczky J, Martelli GP, Lazar J (1992) Seed transmission of </w:t>
      </w:r>
      <w:r>
        <w:rPr>
          <w:i/>
          <w:sz w:val="24"/>
          <w:szCs w:val="24"/>
          <w:lang w:eastAsia="en-AU"/>
        </w:rPr>
        <w:t>Grapevine line pattern virus</w:t>
      </w:r>
      <w:r>
        <w:rPr>
          <w:sz w:val="24"/>
          <w:szCs w:val="24"/>
          <w:lang w:eastAsia="en-AU"/>
        </w:rPr>
        <w:t xml:space="preserve">. </w:t>
      </w:r>
      <w:r>
        <w:rPr>
          <w:i/>
          <w:sz w:val="24"/>
          <w:szCs w:val="24"/>
          <w:lang w:eastAsia="en-AU"/>
        </w:rPr>
        <w:t>Phytopathologia Mediterranea</w:t>
      </w:r>
      <w:r>
        <w:rPr>
          <w:sz w:val="24"/>
          <w:szCs w:val="24"/>
          <w:lang w:eastAsia="en-AU"/>
        </w:rPr>
        <w:t xml:space="preserve"> 31: 115–116.</w:t>
      </w:r>
    </w:p>
    <w:p>
      <w:pPr>
        <w:tabs>
          <w:tab w:val="left" w:pos="0"/>
        </w:tabs>
        <w:spacing w:before="120" w:after="120" w:line="300" w:lineRule="atLeast"/>
        <w:jc w:val="left"/>
      </w:pPr>
      <w:r>
        <w:t xml:space="preserve">Lehoczky J, Tasnády G (1971) The effects of Fanleaf and Chrome mosaic virus diseases on the yield and fruit sugar content of grapevines. </w:t>
      </w:r>
      <w:r>
        <w:rPr>
          <w:i/>
        </w:rPr>
        <w:t>Kiserletugyi Közlemények</w:t>
      </w:r>
      <w:r>
        <w:t xml:space="preserve"> 64: 49</w:t>
      </w:r>
      <w:r>
        <w:rPr>
          <w:snapToGrid w:val="0"/>
        </w:rPr>
        <w:t>–</w:t>
      </w:r>
      <w:r>
        <w:t>64. (Abstract only).</w:t>
      </w:r>
    </w:p>
    <w:p>
      <w:pPr>
        <w:tabs>
          <w:tab w:val="left" w:pos="0"/>
        </w:tabs>
        <w:spacing w:before="120" w:after="120" w:line="300" w:lineRule="atLeast"/>
        <w:jc w:val="left"/>
      </w:pPr>
      <w:r>
        <w:t xml:space="preserve">Leong SL, Hocking AD, Scott ES (2006) </w:t>
      </w:r>
      <w:r>
        <w:rPr>
          <w:i/>
        </w:rPr>
        <w:t>Aspergillus</w:t>
      </w:r>
      <w:r>
        <w:t xml:space="preserve"> species producing ochratoxin A: isolation from vineyard soils and infection of Semillon bunches in </w:t>
      </w:r>
      <w:smartTag w:uri="urn:schemas-microsoft-com:office:smarttags" w:element="country-region">
        <w:smartTag w:uri="urn:schemas-microsoft-com:office:smarttags" w:element="place">
          <w:r>
            <w:t>Australia</w:t>
          </w:r>
        </w:smartTag>
      </w:smartTag>
      <w:r>
        <w:t xml:space="preserve">. </w:t>
      </w:r>
      <w:r>
        <w:rPr>
          <w:i/>
        </w:rPr>
        <w:t>Journal of Applied Microbiology</w:t>
      </w:r>
      <w:r>
        <w:t xml:space="preserve"> 102: 124–133.</w:t>
      </w:r>
    </w:p>
    <w:p>
      <w:pPr>
        <w:tabs>
          <w:tab w:val="left" w:pos="0"/>
        </w:tabs>
        <w:spacing w:before="120" w:after="120" w:line="300" w:lineRule="atLeast"/>
        <w:jc w:val="left"/>
      </w:pPr>
      <w:r>
        <w:t xml:space="preserve">Lessio F, Alma A (2004a) Dispersal patterns and chromatic response of </w:t>
      </w:r>
      <w:r>
        <w:rPr>
          <w:i/>
        </w:rPr>
        <w:t>Scaphoid</w:t>
      </w:r>
      <w:smartTag w:uri="urn:schemas-microsoft-com:office:smarttags" w:element="PersonName">
        <w:r>
          <w:rPr>
            <w:i/>
          </w:rPr>
          <w:t>eu</w:t>
        </w:r>
      </w:smartTag>
      <w:r>
        <w:rPr>
          <w:i/>
        </w:rPr>
        <w:t>s titanus</w:t>
      </w:r>
      <w:r>
        <w:t xml:space="preserve"> Ball (Homoptera Cicadellidae), vector of the phytoplasma agent of Grapevine flavescence dorée. </w:t>
      </w:r>
      <w:r>
        <w:rPr>
          <w:i/>
        </w:rPr>
        <w:t>Agricultural and Forest Entomology</w:t>
      </w:r>
      <w:r>
        <w:t xml:space="preserve"> 6: 121–127.</w:t>
      </w:r>
    </w:p>
    <w:p>
      <w:pPr>
        <w:tabs>
          <w:tab w:val="left" w:pos="0"/>
        </w:tabs>
        <w:spacing w:before="120" w:after="120" w:line="300" w:lineRule="atLeast"/>
        <w:jc w:val="left"/>
      </w:pPr>
      <w:r>
        <w:t xml:space="preserve">Lessio F, Alma A (2004b) Seasonal and Daily Movement of </w:t>
      </w:r>
      <w:r>
        <w:rPr>
          <w:rStyle w:val="Emphasis"/>
        </w:rPr>
        <w:t>Scaphoid</w:t>
      </w:r>
      <w:smartTag w:uri="urn:schemas-microsoft-com:office:smarttags" w:element="PersonName">
        <w:r>
          <w:rPr>
            <w:rStyle w:val="Emphasis"/>
          </w:rPr>
          <w:t>eu</w:t>
        </w:r>
      </w:smartTag>
      <w:r>
        <w:rPr>
          <w:rStyle w:val="Emphasis"/>
        </w:rPr>
        <w:t>s titanus</w:t>
      </w:r>
      <w:r>
        <w:t xml:space="preserve"> Ball (Homoptera: Cicadellidae). </w:t>
      </w:r>
      <w:r>
        <w:rPr>
          <w:i/>
        </w:rPr>
        <w:t>Environmental Entomology</w:t>
      </w:r>
      <w:r>
        <w:t xml:space="preserve"> 33: 1689–1694. </w:t>
      </w:r>
    </w:p>
    <w:p>
      <w:pPr>
        <w:spacing w:before="120" w:after="120" w:line="300" w:lineRule="atLeast"/>
        <w:jc w:val="left"/>
      </w:pPr>
      <w:r>
        <w:t xml:space="preserve">Leu LS (1988) Rust. In Pearson RC, Goheen AC (eds) </w:t>
      </w:r>
      <w:r>
        <w:rPr>
          <w:i/>
        </w:rPr>
        <w:t>Compendium of grape diseases</w:t>
      </w:r>
      <w:r>
        <w:t xml:space="preserve"> 28–30. The American Phytopathological Society Press, </w:t>
      </w:r>
      <w:smartTag w:uri="urn:schemas-microsoft-com:office:smarttags" w:element="City">
        <w:smartTag w:uri="urn:schemas-microsoft-com:office:smarttags" w:element="place">
          <w:r>
            <w:t>St. Paul</w:t>
          </w:r>
        </w:smartTag>
      </w:smartTag>
      <w:r>
        <w:t>.</w:t>
      </w:r>
    </w:p>
    <w:p>
      <w:pPr>
        <w:spacing w:before="120" w:after="120" w:line="300" w:lineRule="atLeast"/>
        <w:jc w:val="left"/>
      </w:pPr>
      <w:r>
        <w:t>Lew H, Chelkowski J, Pronczuk P, Edinger W (1996) Occurrence of the mycotoxin moniliformin in maize [</w:t>
      </w:r>
      <w:r>
        <w:rPr>
          <w:i/>
        </w:rPr>
        <w:t>Zea mays</w:t>
      </w:r>
      <w:r>
        <w:t xml:space="preserve"> L.) ears infected by </w:t>
      </w:r>
      <w:r>
        <w:rPr>
          <w:i/>
        </w:rPr>
        <w:t>Fusarium subglutinans</w:t>
      </w:r>
      <w:r>
        <w:t xml:space="preserve"> (Wollenw. &amp; Reinking) Nelson </w:t>
      </w:r>
      <w:r>
        <w:rPr>
          <w:i/>
        </w:rPr>
        <w:t>et al</w:t>
      </w:r>
      <w:r>
        <w:t xml:space="preserve">. </w:t>
      </w:r>
      <w:r>
        <w:rPr>
          <w:i/>
        </w:rPr>
        <w:t>Food Additives and Contaminants</w:t>
      </w:r>
      <w:r>
        <w:t xml:space="preserve"> 13: 321</w:t>
      </w:r>
      <w:r>
        <w:rPr>
          <w:bCs/>
        </w:rPr>
        <w:t>–</w:t>
      </w:r>
      <w:r>
        <w:t xml:space="preserve">324. </w:t>
      </w:r>
    </w:p>
    <w:p>
      <w:pPr>
        <w:tabs>
          <w:tab w:val="left" w:pos="0"/>
        </w:tabs>
        <w:spacing w:before="120" w:after="120" w:line="300" w:lineRule="atLeast"/>
        <w:jc w:val="left"/>
      </w:pPr>
      <w:r>
        <w:t xml:space="preserve">Li ZX (2004) </w:t>
      </w:r>
      <w:r>
        <w:rPr>
          <w:i/>
        </w:rPr>
        <w:t>Control of pests and diseases of table grape</w:t>
      </w:r>
      <w:r>
        <w:t>. 2</w:t>
      </w:r>
      <w:r>
        <w:rPr>
          <w:vertAlign w:val="superscript"/>
        </w:rPr>
        <w:t>nd</w:t>
      </w:r>
      <w:r>
        <w:t xml:space="preserve"> Edition. Jindun Press, Beijing, China.</w:t>
      </w:r>
    </w:p>
    <w:p>
      <w:pPr>
        <w:spacing w:before="120" w:after="120" w:line="300" w:lineRule="atLeast"/>
        <w:jc w:val="left"/>
      </w:pPr>
      <w:r>
        <w:t>Liberato JR, Daly AM, Shivas RG (2007) Grapevine leaf rust (</w:t>
      </w:r>
      <w:r>
        <w:rPr>
          <w:i/>
        </w:rPr>
        <w:t xml:space="preserve">Phakopsora </w:t>
      </w:r>
      <w:smartTag w:uri="urn:schemas-microsoft-com:office:smarttags" w:element="PersonName">
        <w:r>
          <w:rPr>
            <w:i/>
          </w:rPr>
          <w:t>eu</w:t>
        </w:r>
      </w:smartTag>
      <w:r>
        <w:rPr>
          <w:i/>
        </w:rPr>
        <w:t>vitis</w:t>
      </w:r>
      <w:r>
        <w:t xml:space="preserve">). Pest and Diseases Image Library. </w:t>
      </w:r>
      <w:hyperlink r:id="rId169" w:history="1">
        <w:r>
          <w:rPr>
            <w:rStyle w:val="Hyperlink"/>
            <w:color w:val="auto"/>
          </w:rPr>
          <w:t>www.padil.gov.au</w:t>
        </w:r>
      </w:hyperlink>
      <w:r>
        <w:t xml:space="preserve"> Accessed September 2010.</w:t>
      </w:r>
    </w:p>
    <w:p>
      <w:pPr>
        <w:spacing w:before="120" w:after="120" w:line="300" w:lineRule="atLeast"/>
        <w:jc w:val="left"/>
        <w:rPr>
          <w:snapToGrid w:val="0"/>
        </w:rPr>
      </w:pPr>
      <w:r>
        <w:rPr>
          <w:lang w:eastAsia="en-AU"/>
        </w:rPr>
        <w:t xml:space="preserve">Liburd O, Seferina G, Weihma S (2004) </w:t>
      </w:r>
      <w:r>
        <w:rPr>
          <w:bCs/>
          <w:lang w:eastAsia="en-AU"/>
        </w:rPr>
        <w:t xml:space="preserve">Insect pests of grapes in </w:t>
      </w:r>
      <w:smartTag w:uri="urn:schemas-microsoft-com:office:smarttags" w:element="State">
        <w:smartTag w:uri="urn:schemas-microsoft-com:office:smarttags" w:element="place">
          <w:r>
            <w:rPr>
              <w:bCs/>
              <w:lang w:eastAsia="en-AU"/>
            </w:rPr>
            <w:t>Florida</w:t>
          </w:r>
        </w:smartTag>
      </w:smartTag>
      <w:r>
        <w:rPr>
          <w:lang w:eastAsia="en-AU"/>
        </w:rPr>
        <w:t xml:space="preserve">. Entomology and </w:t>
      </w:r>
      <w:r>
        <w:t>Nematology</w:t>
      </w:r>
      <w:r>
        <w:rPr>
          <w:lang w:eastAsia="en-AU"/>
        </w:rPr>
        <w:t xml:space="preserve"> Department, Institute of Food and Agricultural Sciences (IFAS), </w:t>
      </w:r>
      <w:smartTag w:uri="urn:schemas-microsoft-com:office:smarttags" w:element="place">
        <w:smartTag w:uri="urn:schemas-microsoft-com:office:smarttags" w:element="PlaceType">
          <w:r>
            <w:rPr>
              <w:lang w:eastAsia="en-AU"/>
            </w:rPr>
            <w:t>University</w:t>
          </w:r>
        </w:smartTag>
        <w:r>
          <w:rPr>
            <w:lang w:eastAsia="en-AU"/>
          </w:rPr>
          <w:t xml:space="preserve"> of </w:t>
        </w:r>
        <w:smartTag w:uri="urn:schemas-microsoft-com:office:smarttags" w:element="PlaceName">
          <w:r>
            <w:rPr>
              <w:lang w:eastAsia="en-AU"/>
            </w:rPr>
            <w:t>Florida</w:t>
          </w:r>
        </w:smartTag>
      </w:smartTag>
      <w:r>
        <w:rPr>
          <w:lang w:eastAsia="en-AU"/>
        </w:rPr>
        <w:t xml:space="preserve">. </w:t>
      </w:r>
      <w:hyperlink r:id="rId170" w:history="1">
        <w:r>
          <w:rPr>
            <w:rStyle w:val="Hyperlink"/>
            <w:color w:val="auto"/>
            <w:lang w:eastAsia="en-AU"/>
          </w:rPr>
          <w:t>http://edis.ifas.ufl.edu/pdffiles/IN/IN52700.pdf</w:t>
        </w:r>
      </w:hyperlink>
      <w:r>
        <w:rPr>
          <w:lang w:eastAsia="en-AU"/>
        </w:rPr>
        <w:t xml:space="preserve"> Accessed February 2010.</w:t>
      </w:r>
    </w:p>
    <w:p>
      <w:pPr>
        <w:spacing w:before="120" w:after="120" w:line="300" w:lineRule="atLeast"/>
        <w:jc w:val="left"/>
        <w:rPr>
          <w:lang w:eastAsia="en-AU"/>
        </w:rPr>
      </w:pPr>
      <w:r>
        <w:rPr>
          <w:lang w:eastAsia="en-AU"/>
        </w:rPr>
        <w:t xml:space="preserve">Lingafelter SW, Hoebeke ER (2002) </w:t>
      </w:r>
      <w:r>
        <w:rPr>
          <w:i/>
          <w:lang w:eastAsia="en-AU"/>
        </w:rPr>
        <w:t>Revision of Anoplophora.</w:t>
      </w:r>
      <w:r>
        <w:rPr>
          <w:lang w:eastAsia="en-AU"/>
        </w:rPr>
        <w:t xml:space="preserve"> Entomological Society of Washington, Washington, DC.</w:t>
      </w:r>
    </w:p>
    <w:p>
      <w:pPr>
        <w:spacing w:before="120" w:after="120" w:line="300" w:lineRule="atLeast"/>
        <w:jc w:val="left"/>
        <w:rPr>
          <w:lang w:eastAsia="en-AU"/>
        </w:rPr>
      </w:pPr>
      <w:r>
        <w:rPr>
          <w:lang w:eastAsia="en-AU"/>
        </w:rPr>
        <w:t xml:space="preserve">Liu S, Cheng ZJ, Zhang CX (1996) Study on </w:t>
      </w:r>
      <w:r>
        <w:t>occurrence</w:t>
      </w:r>
      <w:r>
        <w:rPr>
          <w:lang w:eastAsia="en-AU"/>
        </w:rPr>
        <w:t xml:space="preserve"> and integrated control of </w:t>
      </w:r>
      <w:r>
        <w:rPr>
          <w:i/>
          <w:iCs/>
          <w:lang w:eastAsia="en-AU"/>
        </w:rPr>
        <w:t>Alternaria viticola</w:t>
      </w:r>
      <w:r>
        <w:rPr>
          <w:lang w:eastAsia="en-AU"/>
        </w:rPr>
        <w:t xml:space="preserve">. In Qiu, S (ed.) </w:t>
      </w:r>
      <w:r>
        <w:rPr>
          <w:iCs/>
          <w:lang w:eastAsia="en-AU"/>
        </w:rPr>
        <w:t>Progress of research on plant protection in China.</w:t>
      </w:r>
      <w:r>
        <w:rPr>
          <w:i/>
          <w:iCs/>
          <w:lang w:eastAsia="en-AU"/>
        </w:rPr>
        <w:t xml:space="preserve"> Proceedings of the third national conference of integrated pest management, Beijing, China, 12–15 November 1996</w:t>
      </w:r>
      <w:r>
        <w:rPr>
          <w:iCs/>
          <w:lang w:eastAsia="en-AU"/>
        </w:rPr>
        <w:t xml:space="preserve"> 341–345. </w:t>
      </w:r>
      <w:smartTag w:uri="urn:schemas-microsoft-com:office:smarttags" w:element="country-region">
        <w:r>
          <w:rPr>
            <w:lang w:eastAsia="en-AU"/>
          </w:rPr>
          <w:t>China</w:t>
        </w:r>
      </w:smartTag>
      <w:r>
        <w:rPr>
          <w:lang w:eastAsia="en-AU"/>
        </w:rPr>
        <w:t xml:space="preserve"> Science and Technology Press, </w:t>
      </w:r>
      <w:smartTag w:uri="urn:schemas-microsoft-com:office:smarttags" w:element="City">
        <w:smartTag w:uri="urn:schemas-microsoft-com:office:smarttags" w:element="place">
          <w:r>
            <w:rPr>
              <w:lang w:eastAsia="en-AU"/>
            </w:rPr>
            <w:t>Beijing</w:t>
          </w:r>
        </w:smartTag>
      </w:smartTag>
      <w:r>
        <w:rPr>
          <w:lang w:eastAsia="en-AU"/>
        </w:rPr>
        <w:t>.</w:t>
      </w:r>
    </w:p>
    <w:p>
      <w:pPr>
        <w:spacing w:before="120" w:after="120" w:line="300" w:lineRule="atLeast"/>
        <w:jc w:val="left"/>
        <w:rPr>
          <w:lang w:eastAsia="en-AU"/>
        </w:rPr>
      </w:pPr>
      <w:r>
        <w:rPr>
          <w:lang w:eastAsia="en-AU"/>
        </w:rPr>
        <w:t xml:space="preserve">Liu Y, Liu DY, Cao BQ, Zhang ZY (2004) The occurrence of green plant bug in grape yard and its control. </w:t>
      </w:r>
      <w:smartTag w:uri="urn:schemas-microsoft-com:office:smarttags" w:element="country-region">
        <w:smartTag w:uri="urn:schemas-microsoft-com:office:smarttags" w:element="place">
          <w:r>
            <w:rPr>
              <w:i/>
              <w:iCs/>
              <w:lang w:eastAsia="en-AU"/>
            </w:rPr>
            <w:t>China</w:t>
          </w:r>
        </w:smartTag>
      </w:smartTag>
      <w:r>
        <w:rPr>
          <w:i/>
          <w:iCs/>
          <w:lang w:eastAsia="en-AU"/>
        </w:rPr>
        <w:t xml:space="preserve"> Fruits </w:t>
      </w:r>
      <w:r>
        <w:rPr>
          <w:lang w:eastAsia="en-AU"/>
        </w:rPr>
        <w:t>6: 40.</w:t>
      </w:r>
    </w:p>
    <w:p>
      <w:pPr>
        <w:spacing w:before="120" w:after="120" w:line="300" w:lineRule="atLeast"/>
        <w:jc w:val="left"/>
      </w:pPr>
      <w:r>
        <w:t xml:space="preserve">Lorenzo LE, Messuti MI (2009) Additions and update to the knowledge of the genus </w:t>
      </w:r>
      <w:r>
        <w:rPr>
          <w:i/>
          <w:iCs/>
        </w:rPr>
        <w:t>Hysterographium</w:t>
      </w:r>
      <w:r>
        <w:t xml:space="preserve"> (Ascomycota, Hysteriaceae) in southern </w:t>
      </w:r>
      <w:smartTag w:uri="urn:schemas-microsoft-com:office:smarttags" w:element="place">
        <w:r>
          <w:t>South America</w:t>
        </w:r>
      </w:smartTag>
      <w:r>
        <w:t xml:space="preserve">. </w:t>
      </w:r>
      <w:r>
        <w:rPr>
          <w:i/>
          <w:iCs/>
        </w:rPr>
        <w:t>Darwiniana</w:t>
      </w:r>
      <w:r>
        <w:t xml:space="preserve"> </w:t>
      </w:r>
      <w:r>
        <w:rPr>
          <w:bCs/>
        </w:rPr>
        <w:t>47:</w:t>
      </w:r>
      <w:r>
        <w:t xml:space="preserve"> 289–296.</w:t>
      </w:r>
    </w:p>
    <w:p>
      <w:pPr>
        <w:shd w:val="clear" w:color="auto" w:fill="FFFFFF"/>
        <w:spacing w:after="150" w:line="280" w:lineRule="atLeast"/>
        <w:jc w:val="left"/>
      </w:pPr>
      <w:r>
        <w:t xml:space="preserve">Lovisolo O (1990) Ecological observations on </w:t>
      </w:r>
      <w:r>
        <w:rPr>
          <w:i/>
        </w:rPr>
        <w:t>Petunia asteroid mosaic virus</w:t>
      </w:r>
      <w:r>
        <w:t xml:space="preserve"> (PeAMV). D</w:t>
      </w:r>
      <w:smartTag w:uri="urn:schemas-microsoft-com:office:smarttags" w:element="PersonName">
        <w:r>
          <w:t>eu</w:t>
        </w:r>
      </w:smartTag>
      <w:r>
        <w:t xml:space="preserve">tschen Phytomedizinischen Gesellschaft (DPG), </w:t>
      </w:r>
      <w:smartTag w:uri="urn:schemas-microsoft-com:office:smarttags" w:element="place">
        <w:smartTag w:uri="urn:schemas-microsoft-com:office:smarttags" w:element="City">
          <w:r>
            <w:t>Braunschweig</w:t>
          </w:r>
        </w:smartTag>
        <w:r>
          <w:t xml:space="preserve">, </w:t>
        </w:r>
        <w:smartTag w:uri="urn:schemas-microsoft-com:office:smarttags" w:element="country-region">
          <w:r>
            <w:t>Germany</w:t>
          </w:r>
        </w:smartTag>
      </w:smartTag>
      <w:r>
        <w:t xml:space="preserve">. </w:t>
      </w:r>
      <w:r>
        <w:rPr>
          <w:i/>
        </w:rPr>
        <w:t xml:space="preserve">Proceedings of the First Symposium of the International Working Group on Plant Viruses with Fungal Vectors, </w:t>
      </w:r>
      <w:smartTag w:uri="urn:schemas-microsoft-com:office:smarttags" w:element="place">
        <w:smartTag w:uri="urn:schemas-microsoft-com:office:smarttags" w:element="City">
          <w:r>
            <w:rPr>
              <w:i/>
            </w:rPr>
            <w:t>Braunschweig</w:t>
          </w:r>
        </w:smartTag>
        <w:r>
          <w:rPr>
            <w:i/>
          </w:rPr>
          <w:t xml:space="preserve">, </w:t>
        </w:r>
        <w:smartTag w:uri="urn:schemas-microsoft-com:office:smarttags" w:element="country-region">
          <w:r>
            <w:rPr>
              <w:i/>
            </w:rPr>
            <w:t>Germany</w:t>
          </w:r>
        </w:smartTag>
      </w:smartTag>
      <w:r>
        <w:rPr>
          <w:i/>
        </w:rPr>
        <w:t xml:space="preserve"> 21–24 August 1990</w:t>
      </w:r>
      <w:r>
        <w:t xml:space="preserve"> 155–158. Institute of Phytopathology, Aschersleben, Germany.</w:t>
      </w:r>
    </w:p>
    <w:p>
      <w:pPr>
        <w:spacing w:before="120" w:after="120" w:line="300" w:lineRule="atLeast"/>
        <w:jc w:val="left"/>
      </w:pPr>
      <w:r>
        <w:t xml:space="preserve">Lucchi A, Santini L (1993) Note morfo-biologiche sugli stadi preimmaginali di </w:t>
      </w:r>
      <w:r>
        <w:rPr>
          <w:i/>
        </w:rPr>
        <w:t>Metcalfa pruinosa</w:t>
      </w:r>
      <w:r>
        <w:t xml:space="preserve"> (Say) (Homoptera, Flatidae). </w:t>
      </w:r>
      <w:r>
        <w:rPr>
          <w:i/>
        </w:rPr>
        <w:t>Frustula Entomologica</w:t>
      </w:r>
      <w:r>
        <w:t xml:space="preserve"> 16: 175–185. </w:t>
      </w:r>
    </w:p>
    <w:p>
      <w:pPr>
        <w:spacing w:before="120" w:after="120" w:line="300" w:lineRule="atLeast"/>
        <w:jc w:val="left"/>
      </w:pPr>
      <w:r>
        <w:t xml:space="preserve">Luck J, Mann R, van Rijswijk B, Moran J, Merriman P (2012) National diagnostic protocol for Pierce’s disease, </w:t>
      </w:r>
      <w:r>
        <w:rPr>
          <w:i/>
        </w:rPr>
        <w:t>Xylella fastidiosa</w:t>
      </w:r>
      <w:r>
        <w:t xml:space="preserve">. </w:t>
      </w:r>
      <w:r>
        <w:rPr>
          <w:u w:val="single"/>
        </w:rPr>
        <w:t xml:space="preserve">http://www.padil.gov.au/Media/Sphds/NDP%206%20-%20Pierce's%20disease%20issued%202010%20V1.1.pdf </w:t>
      </w:r>
      <w:r>
        <w:t>Accessed May 2012.</w:t>
      </w:r>
    </w:p>
    <w:p>
      <w:pPr>
        <w:spacing w:before="120" w:after="120" w:line="300" w:lineRule="atLeast"/>
        <w:jc w:val="left"/>
      </w:pPr>
      <w:r>
        <w:t xml:space="preserve">Luo L, Wen Y, Wu Z (2005) </w:t>
      </w:r>
      <w:r>
        <w:rPr>
          <w:i/>
        </w:rPr>
        <w:t xml:space="preserve">Description and damage review on 17 pests of grape wine borers in </w:t>
      </w:r>
      <w:smartTag w:uri="urn:schemas-microsoft-com:office:smarttags" w:element="place">
        <w:r>
          <w:rPr>
            <w:i/>
          </w:rPr>
          <w:t>South Guizhou</w:t>
        </w:r>
      </w:smartTag>
      <w:r>
        <w:t>. South Guizhou Province State Plant Protection Station, China.</w:t>
      </w:r>
    </w:p>
    <w:p>
      <w:pPr>
        <w:spacing w:before="120" w:after="120" w:line="300" w:lineRule="atLeast"/>
        <w:jc w:val="left"/>
      </w:pPr>
      <w:r>
        <w:t xml:space="preserve">Lupo S, Bettucci L, Perez A, Martinez S, Cesari C, Escoriaza G, Gatica M (2006) Characterization and identification of the basidiomycetous fungus associated with ‘hoja de malvón’ grapevine disease in Argentina. </w:t>
      </w:r>
      <w:r>
        <w:rPr>
          <w:i/>
        </w:rPr>
        <w:t>Phytopathologia Mediterranea</w:t>
      </w:r>
      <w:r>
        <w:t xml:space="preserve"> 45: 110–116.</w:t>
      </w:r>
    </w:p>
    <w:p>
      <w:pPr>
        <w:spacing w:before="120" w:after="120" w:line="300" w:lineRule="atLeast"/>
        <w:jc w:val="left"/>
        <w:rPr>
          <w:lang w:eastAsia="en-AU"/>
        </w:rPr>
      </w:pPr>
      <w:r>
        <w:rPr>
          <w:lang w:eastAsia="en-AU"/>
        </w:rPr>
        <w:t xml:space="preserve">Luque J, Pera J, Parladé J (2008) Evaluation of fungicides for the control of </w:t>
      </w:r>
      <w:r>
        <w:rPr>
          <w:i/>
          <w:lang w:eastAsia="en-AU"/>
        </w:rPr>
        <w:t xml:space="preserve">Botryosphaeria corticola </w:t>
      </w:r>
      <w:r>
        <w:rPr>
          <w:lang w:eastAsia="en-AU"/>
        </w:rPr>
        <w:t xml:space="preserve">on cork oak in Catalonia (NE Spain). </w:t>
      </w:r>
      <w:smartTag w:uri="urn:schemas-microsoft-com:office:smarttags" w:element="place">
        <w:r>
          <w:rPr>
            <w:i/>
            <w:lang w:eastAsia="en-AU"/>
          </w:rPr>
          <w:t>Forest</w:t>
        </w:r>
      </w:smartTag>
      <w:r>
        <w:rPr>
          <w:i/>
          <w:lang w:eastAsia="en-AU"/>
        </w:rPr>
        <w:t xml:space="preserve"> Pathology </w:t>
      </w:r>
      <w:r>
        <w:rPr>
          <w:lang w:eastAsia="en-AU"/>
        </w:rPr>
        <w:t>38: 147–155.</w:t>
      </w:r>
    </w:p>
    <w:p>
      <w:pPr>
        <w:spacing w:before="120" w:after="120" w:line="300" w:lineRule="atLeast"/>
        <w:jc w:val="left"/>
        <w:rPr>
          <w:lang w:eastAsia="en-AU"/>
        </w:rPr>
      </w:pPr>
      <w:r>
        <w:rPr>
          <w:lang w:eastAsia="en-AU"/>
        </w:rPr>
        <w:t xml:space="preserve">Ma CS (2006) Pests, diseases and weeds of apples published by Key Laboratory of Agriculture Department, China. Key Laboratory of Agriculture Department. </w:t>
      </w:r>
      <w:hyperlink r:id="rId171" w:history="1">
        <w:r>
          <w:rPr>
            <w:rStyle w:val="Hyperlink"/>
            <w:color w:val="auto"/>
            <w:lang w:eastAsia="en-AU"/>
          </w:rPr>
          <w:t>http://www.ecolsafety.org.cn//db/Fruit/login_pg.asp</w:t>
        </w:r>
      </w:hyperlink>
      <w:r>
        <w:rPr>
          <w:lang w:eastAsia="en-AU"/>
        </w:rPr>
        <w:t xml:space="preserve"> Accessed September 2011.</w:t>
      </w:r>
    </w:p>
    <w:p>
      <w:pPr>
        <w:spacing w:before="120" w:after="120" w:line="300" w:lineRule="atLeast"/>
        <w:jc w:val="left"/>
        <w:rPr>
          <w:lang w:eastAsia="en-AU"/>
        </w:rPr>
      </w:pPr>
      <w:r>
        <w:rPr>
          <w:lang w:eastAsia="en-AU"/>
        </w:rPr>
        <w:t xml:space="preserve">Ma J, Zhu X, Zhao L, Mei Y, Patiguli A, Zhu R, Wang Y (2004) Preliminary study on Spike-stalk brown spot of grape. </w:t>
      </w:r>
      <w:smartTag w:uri="urn:schemas-microsoft-com:office:smarttags" w:element="PlaceName">
        <w:r>
          <w:rPr>
            <w:i/>
            <w:iCs/>
            <w:lang w:eastAsia="en-AU"/>
          </w:rPr>
          <w:t>Xinjiang</w:t>
        </w:r>
      </w:smartTag>
      <w:r>
        <w:rPr>
          <w:i/>
          <w:iCs/>
          <w:lang w:eastAsia="en-AU"/>
        </w:rPr>
        <w:t xml:space="preserve"> </w:t>
      </w:r>
      <w:smartTag w:uri="urn:schemas-microsoft-com:office:smarttags" w:element="PlaceType">
        <w:r>
          <w:rPr>
            <w:i/>
            <w:iCs/>
            <w:lang w:eastAsia="en-AU"/>
          </w:rPr>
          <w:t>Academy</w:t>
        </w:r>
      </w:smartTag>
      <w:r>
        <w:rPr>
          <w:i/>
          <w:iCs/>
          <w:lang w:eastAsia="en-AU"/>
        </w:rPr>
        <w:t xml:space="preserve"> of Agricultural Sciences, </w:t>
      </w:r>
      <w:smartTag w:uri="urn:schemas-microsoft-com:office:smarttags" w:element="place">
        <w:smartTag w:uri="urn:schemas-microsoft-com:office:smarttags" w:element="City">
          <w:r>
            <w:rPr>
              <w:i/>
              <w:iCs/>
              <w:lang w:eastAsia="en-AU"/>
            </w:rPr>
            <w:t>Urumchi</w:t>
          </w:r>
        </w:smartTag>
        <w:r>
          <w:rPr>
            <w:i/>
            <w:iCs/>
            <w:lang w:eastAsia="en-AU"/>
          </w:rPr>
          <w:t xml:space="preserve">, </w:t>
        </w:r>
        <w:smartTag w:uri="urn:schemas-microsoft-com:office:smarttags" w:element="country-region">
          <w:r>
            <w:rPr>
              <w:i/>
              <w:iCs/>
              <w:lang w:eastAsia="en-AU"/>
            </w:rPr>
            <w:t>China</w:t>
          </w:r>
        </w:smartTag>
      </w:smartTag>
      <w:r>
        <w:rPr>
          <w:i/>
          <w:iCs/>
          <w:lang w:eastAsia="en-AU"/>
        </w:rPr>
        <w:t xml:space="preserve"> </w:t>
      </w:r>
      <w:r>
        <w:rPr>
          <w:lang w:eastAsia="en-AU"/>
        </w:rPr>
        <w:t>41: 353–354.</w:t>
      </w:r>
    </w:p>
    <w:p>
      <w:pPr>
        <w:autoSpaceDE w:val="0"/>
        <w:autoSpaceDN w:val="0"/>
        <w:spacing w:before="120" w:after="120" w:line="300" w:lineRule="atLeast"/>
        <w:jc w:val="left"/>
        <w:rPr>
          <w:bCs/>
          <w:lang w:eastAsia="en-AU"/>
        </w:rPr>
      </w:pPr>
      <w:r>
        <w:rPr>
          <w:bCs/>
          <w:lang w:eastAsia="en-AU"/>
        </w:rPr>
        <w:t xml:space="preserve">MacGill EI (1932) The biology of </w:t>
      </w:r>
      <w:r>
        <w:rPr>
          <w:bCs/>
          <w:i/>
          <w:lang w:eastAsia="en-AU"/>
        </w:rPr>
        <w:t>Erythron</w:t>
      </w:r>
      <w:smartTag w:uri="urn:schemas-microsoft-com:office:smarttags" w:element="PersonName">
        <w:r>
          <w:rPr>
            <w:bCs/>
            <w:i/>
            <w:lang w:eastAsia="en-AU"/>
          </w:rPr>
          <w:t>eu</w:t>
        </w:r>
      </w:smartTag>
      <w:r>
        <w:rPr>
          <w:bCs/>
          <w:i/>
          <w:lang w:eastAsia="en-AU"/>
        </w:rPr>
        <w:t>ra</w:t>
      </w:r>
      <w:r>
        <w:rPr>
          <w:bCs/>
          <w:lang w:eastAsia="en-AU"/>
        </w:rPr>
        <w:t xml:space="preserve"> (</w:t>
      </w:r>
      <w:r>
        <w:rPr>
          <w:bCs/>
          <w:i/>
          <w:lang w:eastAsia="en-AU"/>
        </w:rPr>
        <w:t>Zygina</w:t>
      </w:r>
      <w:r>
        <w:rPr>
          <w:bCs/>
          <w:lang w:eastAsia="en-AU"/>
        </w:rPr>
        <w:t xml:space="preserve">) </w:t>
      </w:r>
      <w:r>
        <w:rPr>
          <w:bCs/>
          <w:i/>
          <w:lang w:eastAsia="en-AU"/>
        </w:rPr>
        <w:t>pallidifrons</w:t>
      </w:r>
      <w:r>
        <w:rPr>
          <w:bCs/>
          <w:lang w:eastAsia="en-AU"/>
        </w:rPr>
        <w:t xml:space="preserve">, Edwards. </w:t>
      </w:r>
      <w:r>
        <w:rPr>
          <w:bCs/>
          <w:i/>
          <w:lang w:eastAsia="en-AU"/>
        </w:rPr>
        <w:t>Bulletin of Entomological Research</w:t>
      </w:r>
      <w:r>
        <w:rPr>
          <w:bCs/>
          <w:lang w:eastAsia="en-AU"/>
        </w:rPr>
        <w:t xml:space="preserve"> 23: 33</w:t>
      </w:r>
      <w:r>
        <w:t>–</w:t>
      </w:r>
      <w:r>
        <w:rPr>
          <w:bCs/>
          <w:lang w:eastAsia="en-AU"/>
        </w:rPr>
        <w:t>43.</w:t>
      </w:r>
    </w:p>
    <w:p>
      <w:pPr>
        <w:spacing w:before="120" w:after="120" w:line="300" w:lineRule="atLeast"/>
        <w:jc w:val="left"/>
        <w:rPr>
          <w:lang w:eastAsia="en-AU"/>
        </w:rPr>
      </w:pPr>
      <w:r>
        <w:rPr>
          <w:lang w:eastAsia="en-AU"/>
        </w:rPr>
        <w:t xml:space="preserve">Machowicz-Stefaniak Z, Zalewska E (2002) Hazel diseases and their fight. Plant press. </w:t>
      </w:r>
      <w:hyperlink r:id="rId172" w:history="1">
        <w:r>
          <w:rPr>
            <w:u w:val="single"/>
            <w:lang w:eastAsia="en-AU"/>
          </w:rPr>
          <w:t>http://www.ho.haslo.pl/article.php?id=1119</w:t>
        </w:r>
      </w:hyperlink>
      <w:r>
        <w:rPr>
          <w:lang w:eastAsia="en-AU"/>
        </w:rPr>
        <w:t xml:space="preserve"> Accessed May 2011.</w:t>
      </w:r>
    </w:p>
    <w:p>
      <w:pPr>
        <w:spacing w:before="120" w:after="120" w:line="300" w:lineRule="atLeast"/>
        <w:jc w:val="left"/>
        <w:rPr>
          <w:lang w:eastAsia="en-AU"/>
        </w:rPr>
      </w:pPr>
      <w:r>
        <w:rPr>
          <w:lang w:eastAsia="en-AU"/>
        </w:rPr>
        <w:t xml:space="preserve">Mackenzie A (1996) A trade-off for host plant utilization in the black bean aphid, </w:t>
      </w:r>
      <w:r>
        <w:rPr>
          <w:i/>
          <w:lang w:eastAsia="en-AU"/>
        </w:rPr>
        <w:t>Aphis fabae</w:t>
      </w:r>
      <w:r>
        <w:rPr>
          <w:lang w:eastAsia="en-AU"/>
        </w:rPr>
        <w:t xml:space="preserve">. </w:t>
      </w:r>
      <w:r>
        <w:rPr>
          <w:i/>
          <w:lang w:eastAsia="en-AU"/>
        </w:rPr>
        <w:t xml:space="preserve">Evolution </w:t>
      </w:r>
      <w:r>
        <w:rPr>
          <w:lang w:eastAsia="en-AU"/>
        </w:rPr>
        <w:t>50: 155–162.</w:t>
      </w:r>
    </w:p>
    <w:p>
      <w:pPr>
        <w:spacing w:before="120" w:after="120" w:line="300" w:lineRule="atLeast"/>
        <w:jc w:val="left"/>
        <w:rPr>
          <w:lang w:eastAsia="en-AU"/>
        </w:rPr>
      </w:pPr>
      <w:r>
        <w:rPr>
          <w:lang w:eastAsia="en-AU"/>
        </w:rPr>
        <w:t xml:space="preserve">Mackenzie A, Dixon AFG (1990) Host alternation in aphids: constraint versus optimization. </w:t>
      </w:r>
      <w:r>
        <w:rPr>
          <w:i/>
          <w:lang w:eastAsia="en-AU"/>
        </w:rPr>
        <w:t xml:space="preserve">The American Naturalist </w:t>
      </w:r>
      <w:r>
        <w:rPr>
          <w:lang w:eastAsia="en-AU"/>
        </w:rPr>
        <w:t>136: 132–134.</w:t>
      </w:r>
    </w:p>
    <w:p>
      <w:pPr>
        <w:spacing w:before="120" w:after="120" w:line="300" w:lineRule="atLeast"/>
        <w:jc w:val="left"/>
      </w:pPr>
      <w:r>
        <w:t xml:space="preserve">MacKenzie DJ (1997) </w:t>
      </w:r>
      <w:r>
        <w:rPr>
          <w:i/>
        </w:rPr>
        <w:t>A standard protocol for the detection of viruses and viroids using a reverse transcription-polymerase chain reaction technique</w:t>
      </w:r>
      <w:r>
        <w:t xml:space="preserve">. Document CPHBT-RTPCR1.00. </w:t>
      </w:r>
      <w:smartTag w:uri="urn:schemas-microsoft-com:office:smarttags" w:element="place">
        <w:smartTag w:uri="urn:schemas-microsoft-com:office:smarttags" w:element="City">
          <w:r>
            <w:t>Canadian Food Inspection Agency</w:t>
          </w:r>
        </w:smartTag>
        <w:r>
          <w:t xml:space="preserve">, </w:t>
        </w:r>
        <w:smartTag w:uri="urn:schemas-microsoft-com:office:smarttags" w:element="country-region">
          <w:r>
            <w:t>Canada</w:t>
          </w:r>
        </w:smartTag>
      </w:smartTag>
      <w:r>
        <w:t>.</w:t>
      </w:r>
    </w:p>
    <w:p>
      <w:pPr>
        <w:autoSpaceDE w:val="0"/>
        <w:autoSpaceDN w:val="0"/>
        <w:spacing w:before="120" w:after="120" w:line="300" w:lineRule="atLeast"/>
        <w:jc w:val="left"/>
        <w:rPr>
          <w:bCs/>
          <w:lang w:eastAsia="en-AU"/>
        </w:rPr>
      </w:pPr>
      <w:r>
        <w:rPr>
          <w:bCs/>
          <w:lang w:eastAsia="en-AU"/>
        </w:rPr>
        <w:t xml:space="preserve">MacKenzie DL, Johnson RC, Warner C (1996) Incidence of four important viral pathogens in Canadian vineyards. </w:t>
      </w:r>
      <w:r>
        <w:rPr>
          <w:bCs/>
          <w:i/>
          <w:lang w:eastAsia="en-AU"/>
        </w:rPr>
        <w:t>Plant Disease</w:t>
      </w:r>
      <w:r>
        <w:rPr>
          <w:bCs/>
          <w:lang w:eastAsia="en-AU"/>
        </w:rPr>
        <w:t xml:space="preserve"> 80: 955</w:t>
      </w:r>
      <w:r>
        <w:t>–</w:t>
      </w:r>
      <w:r>
        <w:rPr>
          <w:bCs/>
          <w:lang w:eastAsia="en-AU"/>
        </w:rPr>
        <w:t xml:space="preserve">958. </w:t>
      </w:r>
    </w:p>
    <w:p>
      <w:pPr>
        <w:autoSpaceDE w:val="0"/>
        <w:autoSpaceDN w:val="0"/>
        <w:spacing w:before="120" w:after="120" w:line="300" w:lineRule="atLeast"/>
        <w:jc w:val="left"/>
        <w:rPr>
          <w:bCs/>
          <w:lang w:eastAsia="en-AU"/>
        </w:rPr>
      </w:pPr>
      <w:r>
        <w:rPr>
          <w:bCs/>
          <w:lang w:eastAsia="en-AU"/>
        </w:rPr>
        <w:t xml:space="preserve">Mackie A (2005) Brown rot </w:t>
      </w:r>
      <w:r>
        <w:rPr>
          <w:bCs/>
          <w:i/>
          <w:lang w:eastAsia="en-AU"/>
        </w:rPr>
        <w:t>Monilinia fructigena</w:t>
      </w:r>
      <w:r>
        <w:rPr>
          <w:bCs/>
          <w:lang w:eastAsia="en-AU"/>
        </w:rPr>
        <w:t xml:space="preserve">. Western Australia Department of Agriculture and Food Factsheet. Note 181. </w:t>
      </w:r>
      <w:hyperlink r:id="rId173" w:history="1">
        <w:r>
          <w:rPr>
            <w:rStyle w:val="Hyperlink"/>
            <w:bCs/>
            <w:color w:val="auto"/>
            <w:lang w:eastAsia="en-AU"/>
          </w:rPr>
          <w:t>http://www.agric.wa.gov.au/objtwr/imported_assets/content/pw/ph/dis/fn/fs2006_brownrot_amackie.pdf</w:t>
        </w:r>
      </w:hyperlink>
      <w:r>
        <w:rPr>
          <w:bCs/>
          <w:lang w:eastAsia="en-AU"/>
        </w:rPr>
        <w:t xml:space="preserve"> Accessed March 2012.</w:t>
      </w:r>
    </w:p>
    <w:p>
      <w:pPr>
        <w:autoSpaceDE w:val="0"/>
        <w:autoSpaceDN w:val="0"/>
        <w:spacing w:before="120" w:after="120" w:line="300" w:lineRule="atLeast"/>
        <w:jc w:val="left"/>
        <w:rPr>
          <w:bCs/>
          <w:lang w:eastAsia="en-AU"/>
        </w:rPr>
      </w:pPr>
      <w:r>
        <w:rPr>
          <w:bCs/>
          <w:lang w:eastAsia="en-AU"/>
        </w:rPr>
        <w:t xml:space="preserve">MacLeod A (2006) CSL Pest Risk Analysis for </w:t>
      </w:r>
      <w:r>
        <w:rPr>
          <w:bCs/>
          <w:i/>
          <w:lang w:eastAsia="en-AU"/>
        </w:rPr>
        <w:t>Planococcus lilacinus</w:t>
      </w:r>
      <w:r>
        <w:rPr>
          <w:bCs/>
          <w:lang w:eastAsia="en-AU"/>
        </w:rPr>
        <w:t xml:space="preserve">. </w:t>
      </w:r>
      <w:r>
        <w:rPr>
          <w:bCs/>
          <w:iCs/>
          <w:u w:val="single"/>
          <w:lang w:eastAsia="en-AU"/>
        </w:rPr>
        <w:t>fera.defra.gov.uk/plants/plantHealth/pestsDiseases/documents/plano.pdf</w:t>
      </w:r>
      <w:r>
        <w:rPr>
          <w:bCs/>
          <w:i/>
          <w:iCs/>
          <w:lang w:eastAsia="en-AU"/>
        </w:rPr>
        <w:t xml:space="preserve"> </w:t>
      </w:r>
      <w:r>
        <w:rPr>
          <w:bCs/>
          <w:iCs/>
          <w:lang w:eastAsia="en-AU"/>
        </w:rPr>
        <w:t>Accessed July 2011.</w:t>
      </w:r>
    </w:p>
    <w:p>
      <w:pPr>
        <w:autoSpaceDE w:val="0"/>
        <w:autoSpaceDN w:val="0"/>
        <w:spacing w:before="120" w:after="120" w:line="300" w:lineRule="atLeast"/>
        <w:jc w:val="left"/>
      </w:pPr>
      <w:r>
        <w:t xml:space="preserve">Madge D (2007) </w:t>
      </w:r>
      <w:r>
        <w:rPr>
          <w:i/>
        </w:rPr>
        <w:t>Organic viticulture: an Australian manual</w:t>
      </w:r>
      <w:r>
        <w:t>. Victorian Department of Primary Industries, Victoria.</w:t>
      </w:r>
    </w:p>
    <w:p>
      <w:pPr>
        <w:autoSpaceDE w:val="0"/>
        <w:autoSpaceDN w:val="0"/>
        <w:spacing w:before="120" w:after="120" w:line="300" w:lineRule="atLeast"/>
        <w:jc w:val="left"/>
        <w:rPr>
          <w:bCs/>
        </w:rPr>
      </w:pPr>
      <w:r>
        <w:t xml:space="preserve">MAF (2009) </w:t>
      </w:r>
      <w:r>
        <w:rPr>
          <w:i/>
        </w:rPr>
        <w:t xml:space="preserve">Importation of </w:t>
      </w:r>
      <w:r>
        <w:rPr>
          <w:bCs/>
          <w:i/>
          <w:lang w:eastAsia="en-AU"/>
        </w:rPr>
        <w:t>Nursery</w:t>
      </w:r>
      <w:r>
        <w:rPr>
          <w:i/>
        </w:rPr>
        <w:t xml:space="preserve"> Stock</w:t>
      </w:r>
      <w:r>
        <w:t xml:space="preserve">. MAF Biosecurity New Zealand 155.02.06. Ministry of Agriculture and Forestry. </w:t>
      </w:r>
      <w:smartTag w:uri="urn:schemas-microsoft-com:office:smarttags" w:element="place">
        <w:smartTag w:uri="urn:schemas-microsoft-com:office:smarttags" w:element="City">
          <w:r>
            <w:t>Wellington</w:t>
          </w:r>
        </w:smartTag>
        <w:r>
          <w:t xml:space="preserve">, </w:t>
        </w:r>
        <w:smartTag w:uri="urn:schemas-microsoft-com:office:smarttags" w:element="country-region">
          <w:r>
            <w:t>New Zealand</w:t>
          </w:r>
        </w:smartTag>
      </w:smartTag>
      <w:r>
        <w:t>.</w:t>
      </w:r>
    </w:p>
    <w:p>
      <w:pPr>
        <w:autoSpaceDE w:val="0"/>
        <w:autoSpaceDN w:val="0"/>
        <w:spacing w:before="120" w:after="120" w:line="300" w:lineRule="atLeast"/>
        <w:jc w:val="left"/>
      </w:pPr>
      <w:r>
        <w:t xml:space="preserve">Magarey PA, Gadoury DM, Emmett RW, Biggins LT, Clarke K, Wachtel MF, Wicks TJ, Seem RC (1997) Cleistothecia of </w:t>
      </w:r>
      <w:r>
        <w:rPr>
          <w:i/>
        </w:rPr>
        <w:t>Uncinula necator</w:t>
      </w:r>
      <w:r>
        <w:t xml:space="preserve"> in Australia. </w:t>
      </w:r>
      <w:r>
        <w:rPr>
          <w:i/>
        </w:rPr>
        <w:t>Proceedings 2nd International Workshop on Grapevine Downy and Powdery Mildew Modelling, Freiburg 1997</w:t>
      </w:r>
      <w:r>
        <w:t xml:space="preserve"> 122. </w:t>
      </w:r>
      <w:smartTag w:uri="urn:schemas-microsoft-com:office:smarttags" w:element="place">
        <w:smartTag w:uri="urn:schemas-microsoft-com:office:smarttags" w:element="City">
          <w:r>
            <w:t>Fraund</w:t>
          </w:r>
        </w:smartTag>
        <w:r>
          <w:t xml:space="preserve">, </w:t>
        </w:r>
        <w:smartTag w:uri="urn:schemas-microsoft-com:office:smarttags" w:element="country-region">
          <w:r>
            <w:t>Germany</w:t>
          </w:r>
        </w:smartTag>
      </w:smartTag>
      <w:r>
        <w:t>.</w:t>
      </w:r>
    </w:p>
    <w:p>
      <w:pPr>
        <w:autoSpaceDE w:val="0"/>
        <w:autoSpaceDN w:val="0"/>
        <w:spacing w:before="120" w:after="120" w:line="300" w:lineRule="atLeast"/>
        <w:jc w:val="left"/>
      </w:pPr>
      <w:r>
        <w:t xml:space="preserve">Magarey RD, Ernme RW, Magareye PA, Franz PR (1993) Evaluation of control of grapevine anthracnose caused by </w:t>
      </w:r>
      <w:r>
        <w:rPr>
          <w:i/>
        </w:rPr>
        <w:t>Elsinoe ampelina</w:t>
      </w:r>
      <w:r>
        <w:t xml:space="preserve"> by pre-infection fungicides. </w:t>
      </w:r>
      <w:r>
        <w:rPr>
          <w:i/>
        </w:rPr>
        <w:t>Australasian Plant Pathology</w:t>
      </w:r>
      <w:r>
        <w:t xml:space="preserve"> 22: 48–52.</w:t>
      </w:r>
    </w:p>
    <w:p>
      <w:pPr>
        <w:autoSpaceDE w:val="0"/>
        <w:autoSpaceDN w:val="0"/>
        <w:spacing w:before="120" w:after="120" w:line="280" w:lineRule="atLeast"/>
        <w:jc w:val="left"/>
      </w:pPr>
      <w:r>
        <w:t xml:space="preserve">Mahfoudhi N, Digiaro M, Dhouibi MH (2009) Transmission of </w:t>
      </w:r>
      <w:r>
        <w:rPr>
          <w:i/>
        </w:rPr>
        <w:t>Grapevine leafroll viruses</w:t>
      </w:r>
      <w:r>
        <w:t xml:space="preserve"> by </w:t>
      </w:r>
      <w:r>
        <w:rPr>
          <w:i/>
          <w:iCs/>
        </w:rPr>
        <w:t xml:space="preserve">Planococcus ficus </w:t>
      </w:r>
      <w:r>
        <w:t>(Hemiptera: Ps</w:t>
      </w:r>
      <w:smartTag w:uri="urn:schemas-microsoft-com:office:smarttags" w:element="PersonName">
        <w:r>
          <w:t>eu</w:t>
        </w:r>
      </w:smartTag>
      <w:r>
        <w:t xml:space="preserve">dococcidae) and </w:t>
      </w:r>
      <w:r>
        <w:rPr>
          <w:i/>
          <w:iCs/>
        </w:rPr>
        <w:t xml:space="preserve">Ceroplastes rusci </w:t>
      </w:r>
      <w:r>
        <w:t xml:space="preserve">(Hemiptera: Coccidae). </w:t>
      </w:r>
      <w:r>
        <w:rPr>
          <w:i/>
        </w:rPr>
        <w:t>Plant Disease</w:t>
      </w:r>
      <w:r>
        <w:t xml:space="preserve"> 93: 999–1002. </w:t>
      </w:r>
    </w:p>
    <w:p>
      <w:pPr>
        <w:autoSpaceDE w:val="0"/>
        <w:autoSpaceDN w:val="0"/>
        <w:spacing w:before="120" w:after="120" w:line="300" w:lineRule="atLeast"/>
        <w:jc w:val="left"/>
      </w:pPr>
      <w:r>
        <w:t xml:space="preserve">Mahfoudhi N, Digiaro M, Savino V, Di Terlizzi B (1998) </w:t>
      </w:r>
      <w:r>
        <w:rPr>
          <w:bCs/>
        </w:rPr>
        <w:t xml:space="preserve">Viruses and virus diseases of grapevine in Tunisia. </w:t>
      </w:r>
      <w:r>
        <w:t>EPPO</w:t>
      </w:r>
      <w:r>
        <w:rPr>
          <w:bCs/>
          <w:i/>
        </w:rPr>
        <w:t xml:space="preserve"> Bulletin</w:t>
      </w:r>
      <w:r>
        <w:rPr>
          <w:bCs/>
        </w:rPr>
        <w:t xml:space="preserve"> 28: 197</w:t>
      </w:r>
      <w:r>
        <w:rPr>
          <w:snapToGrid w:val="0"/>
        </w:rPr>
        <w:t>–</w:t>
      </w:r>
      <w:r>
        <w:rPr>
          <w:bCs/>
        </w:rPr>
        <w:t>204.</w:t>
      </w:r>
    </w:p>
    <w:p>
      <w:pPr>
        <w:autoSpaceDE w:val="0"/>
        <w:autoSpaceDN w:val="0"/>
        <w:spacing w:before="120" w:after="120" w:line="300" w:lineRule="atLeast"/>
        <w:jc w:val="left"/>
        <w:rPr>
          <w:lang w:eastAsia="en-AU"/>
        </w:rPr>
      </w:pPr>
      <w:r>
        <w:rPr>
          <w:lang w:eastAsia="en-AU"/>
        </w:rPr>
        <w:t xml:space="preserve">Maixner M (2011) Recent advances in Bois noir research. </w:t>
      </w:r>
      <w:r>
        <w:rPr>
          <w:i/>
          <w:lang w:eastAsia="en-AU"/>
        </w:rPr>
        <w:t>2nd European Bois noir Workshop, 27 February–1 March 2011, Castelbrando, Cison di Valmarino (TV), Italy</w:t>
      </w:r>
      <w:r>
        <w:rPr>
          <w:lang w:eastAsia="en-AU"/>
        </w:rPr>
        <w:t xml:space="preserve"> 17–32. CRA, Padova, Italy.</w:t>
      </w:r>
    </w:p>
    <w:p>
      <w:pPr>
        <w:spacing w:before="120" w:after="120" w:line="300" w:lineRule="atLeast"/>
        <w:jc w:val="left"/>
      </w:pPr>
      <w:r>
        <w:t xml:space="preserve">Maixner M, Pearson RC (1992) Studies on </w:t>
      </w:r>
      <w:r>
        <w:rPr>
          <w:i/>
        </w:rPr>
        <w:t>Scaphoid</w:t>
      </w:r>
      <w:smartTag w:uri="urn:schemas-microsoft-com:office:smarttags" w:element="PersonName">
        <w:r>
          <w:rPr>
            <w:i/>
          </w:rPr>
          <w:t>eu</w:t>
        </w:r>
      </w:smartTag>
      <w:r>
        <w:rPr>
          <w:i/>
        </w:rPr>
        <w:t>s titanus</w:t>
      </w:r>
      <w:r>
        <w:t xml:space="preserve">, a possible vector of grapevine yellows on wild and cultivated grapes in </w:t>
      </w:r>
      <w:smartTag w:uri="urn:schemas-microsoft-com:office:smarttags" w:element="State">
        <w:smartTag w:uri="urn:schemas-microsoft-com:office:smarttags" w:element="place">
          <w:r>
            <w:t>New York</w:t>
          </w:r>
        </w:smartTag>
      </w:smartTag>
      <w:r>
        <w:t xml:space="preserve">. </w:t>
      </w:r>
      <w:r>
        <w:rPr>
          <w:i/>
        </w:rPr>
        <w:t>Proceedings of the 10th Meeting of ICVG</w:t>
      </w:r>
      <w:r>
        <w:t xml:space="preserve">, Volos 1990. </w:t>
      </w:r>
    </w:p>
    <w:p>
      <w:pPr>
        <w:spacing w:before="120" w:after="120" w:line="300" w:lineRule="atLeast"/>
        <w:jc w:val="left"/>
      </w:pPr>
      <w:r>
        <w:t xml:space="preserve">Male MF, Vawdrey LL (2010) Efficacy of fungicides against damping-off in papaya seedlings caused by </w:t>
      </w:r>
      <w:r>
        <w:rPr>
          <w:i/>
        </w:rPr>
        <w:t>Pythium aphanidermatum</w:t>
      </w:r>
      <w:r>
        <w:t xml:space="preserve">. </w:t>
      </w:r>
      <w:r>
        <w:rPr>
          <w:i/>
        </w:rPr>
        <w:t>Australasian Plant Disease Notes</w:t>
      </w:r>
      <w:r>
        <w:t xml:space="preserve"> 5: 103–104.</w:t>
      </w:r>
    </w:p>
    <w:p>
      <w:pPr>
        <w:spacing w:before="120" w:after="120" w:line="300" w:lineRule="atLeast"/>
        <w:jc w:val="left"/>
        <w:rPr>
          <w:lang w:eastAsia="en-AU"/>
        </w:rPr>
      </w:pPr>
      <w:r>
        <w:rPr>
          <w:lang w:eastAsia="en-AU"/>
        </w:rPr>
        <w:t xml:space="preserve">Maliogka VI, Dovas CI, Katis NI (2008a) Evolutionary relationships of virus species belonging to a distinct lineage within the Ampelovirus genus. </w:t>
      </w:r>
      <w:r>
        <w:rPr>
          <w:i/>
          <w:lang w:eastAsia="en-AU"/>
        </w:rPr>
        <w:t>Virus Research</w:t>
      </w:r>
      <w:r>
        <w:rPr>
          <w:lang w:eastAsia="en-AU"/>
        </w:rPr>
        <w:t xml:space="preserve"> 135: 125</w:t>
      </w:r>
      <w:r>
        <w:rPr>
          <w:snapToGrid w:val="0"/>
        </w:rPr>
        <w:t>–</w:t>
      </w:r>
      <w:r>
        <w:rPr>
          <w:lang w:eastAsia="en-AU"/>
        </w:rPr>
        <w:t>135.</w:t>
      </w:r>
    </w:p>
    <w:p>
      <w:pPr>
        <w:spacing w:before="120" w:after="120" w:line="300" w:lineRule="atLeast"/>
        <w:jc w:val="left"/>
      </w:pPr>
      <w:r>
        <w:t xml:space="preserve">Maliogka VI, Dovas CI, Katis NI (2008b) Generic and species-specific detection of viruses belonging to a distinct lineage within the Ampelovirus genus. </w:t>
      </w:r>
      <w:r>
        <w:rPr>
          <w:i/>
          <w:iCs/>
        </w:rPr>
        <w:t xml:space="preserve">Journal of Virological methods </w:t>
      </w:r>
      <w:r>
        <w:t>154: 41–47.</w:t>
      </w:r>
    </w:p>
    <w:p>
      <w:pPr>
        <w:autoSpaceDE w:val="0"/>
        <w:autoSpaceDN w:val="0"/>
        <w:spacing w:before="120" w:after="120" w:line="300" w:lineRule="atLeast"/>
        <w:jc w:val="left"/>
        <w:rPr>
          <w:lang w:eastAsia="en-AU"/>
        </w:rPr>
      </w:pPr>
      <w:r>
        <w:t xml:space="preserve">Malipatil </w:t>
      </w:r>
      <w:smartTag w:uri="urn:schemas-microsoft-com:office:smarttags" w:element="State">
        <w:r>
          <w:t>MB</w:t>
        </w:r>
      </w:smartTag>
      <w:r>
        <w:t xml:space="preserve">, </w:t>
      </w:r>
      <w:smartTag w:uri="urn:schemas-microsoft-com:office:smarttags" w:element="place">
        <w:smartTag w:uri="urn:schemas-microsoft-com:office:smarttags" w:element="City">
          <w:r>
            <w:t>Medhurst</w:t>
          </w:r>
        </w:smartTag>
        <w:r>
          <w:t xml:space="preserve"> </w:t>
        </w:r>
        <w:smartTag w:uri="urn:schemas-microsoft-com:office:smarttags" w:element="State">
          <w:r>
            <w:t>AK</w:t>
          </w:r>
        </w:smartTag>
      </w:smartTag>
      <w:r>
        <w:t xml:space="preserve">, Bates VI, Williams DG (1996) </w:t>
      </w:r>
      <w:r>
        <w:rPr>
          <w:bCs/>
          <w:i/>
        </w:rPr>
        <w:t xml:space="preserve">Pests of Pome and Stone Fruit and their Predators and Parasitoids: a </w:t>
      </w:r>
      <w:r>
        <w:rPr>
          <w:i/>
        </w:rPr>
        <w:t>pocket</w:t>
      </w:r>
      <w:r>
        <w:rPr>
          <w:bCs/>
          <w:i/>
        </w:rPr>
        <w:t xml:space="preserve"> guide</w:t>
      </w:r>
      <w:r>
        <w:rPr>
          <w:bCs/>
        </w:rPr>
        <w:t>.</w:t>
      </w:r>
      <w:r>
        <w:t xml:space="preserve"> </w:t>
      </w:r>
      <w:smartTag w:uri="urn:schemas-microsoft-com:office:smarttags" w:element="place">
        <w:smartTag w:uri="urn:schemas-microsoft-com:office:smarttags" w:element="City">
          <w:r>
            <w:t>Agriculture</w:t>
          </w:r>
        </w:smartTag>
        <w:r>
          <w:t xml:space="preserve"> </w:t>
        </w:r>
        <w:smartTag w:uri="urn:schemas-microsoft-com:office:smarttags" w:element="State">
          <w:r>
            <w:t>Victoria</w:t>
          </w:r>
        </w:smartTag>
        <w:r>
          <w:t xml:space="preserve">, </w:t>
        </w:r>
        <w:smartTag w:uri="urn:schemas-microsoft-com:office:smarttags" w:element="country-region">
          <w:r>
            <w:t>Australia</w:t>
          </w:r>
        </w:smartTag>
      </w:smartTag>
      <w:r>
        <w:t>.</w:t>
      </w:r>
      <w:r>
        <w:rPr>
          <w:lang w:eastAsia="en-AU"/>
        </w:rPr>
        <w:t xml:space="preserve"> </w:t>
      </w:r>
    </w:p>
    <w:p>
      <w:pPr>
        <w:autoSpaceDE w:val="0"/>
        <w:autoSpaceDN w:val="0"/>
        <w:spacing w:before="120" w:after="120" w:line="300" w:lineRule="atLeast"/>
        <w:jc w:val="left"/>
      </w:pPr>
      <w:r>
        <w:t xml:space="preserve">Manceau C, Grall S, Brin C, Guillaumes J (2005) Bacterial extraction from grapevine and detection of </w:t>
      </w:r>
      <w:r>
        <w:rPr>
          <w:i/>
        </w:rPr>
        <w:t>Xylophilus ampelinus</w:t>
      </w:r>
      <w:r>
        <w:t xml:space="preserve"> by a PCR and Microwell plate detection system. </w:t>
      </w:r>
      <w:r>
        <w:rPr>
          <w:i/>
        </w:rPr>
        <w:t>Bulletin OEPP/EPPO Bulletin</w:t>
      </w:r>
      <w:r>
        <w:t xml:space="preserve"> 35: 55–60.</w:t>
      </w:r>
    </w:p>
    <w:p>
      <w:pPr>
        <w:spacing w:before="120" w:after="120" w:line="300" w:lineRule="atLeast"/>
        <w:jc w:val="left"/>
      </w:pPr>
      <w:r>
        <w:t xml:space="preserve">Mannini F, Credi R (2000) Appraisal of agronomic and enological modifications in the performances of grapevine clones after virus eradication. </w:t>
      </w:r>
      <w:r>
        <w:rPr>
          <w:i/>
        </w:rPr>
        <w:t>Extended abstracts of the 13th Meeting of the ICVG, Adelaide</w:t>
      </w:r>
      <w:r>
        <w:t xml:space="preserve"> 151–154. ICVG, </w:t>
      </w:r>
      <w:smartTag w:uri="urn:schemas-microsoft-com:office:smarttags" w:element="country-region">
        <w:smartTag w:uri="urn:schemas-microsoft-com:office:smarttags" w:element="place">
          <w:r>
            <w:t>Switzerland</w:t>
          </w:r>
        </w:smartTag>
      </w:smartTag>
      <w:r>
        <w:t>.</w:t>
      </w:r>
    </w:p>
    <w:p>
      <w:pPr>
        <w:autoSpaceDE w:val="0"/>
        <w:autoSpaceDN w:val="0"/>
        <w:spacing w:before="120" w:after="120" w:line="300" w:lineRule="atLeast"/>
        <w:jc w:val="left"/>
      </w:pPr>
      <w:r>
        <w:t xml:space="preserve">Marais E (1997) Phloem-feeding by the leafhopper </w:t>
      </w:r>
      <w:r>
        <w:rPr>
          <w:i/>
        </w:rPr>
        <w:t>Acia lineatifrons</w:t>
      </w:r>
      <w:r>
        <w:t xml:space="preserve"> (Naude) (Homoptera: Cicadellidae) on grapevines (</w:t>
      </w:r>
      <w:r>
        <w:rPr>
          <w:i/>
        </w:rPr>
        <w:t>Vitis vinifera</w:t>
      </w:r>
      <w:r>
        <w:t xml:space="preserve"> L.) and wild blackberry, </w:t>
      </w:r>
      <w:r>
        <w:rPr>
          <w:i/>
        </w:rPr>
        <w:t>Rubus chrysocarpus</w:t>
      </w:r>
      <w:r>
        <w:t xml:space="preserve"> (Smith). </w:t>
      </w:r>
      <w:r>
        <w:rPr>
          <w:rStyle w:val="Strong"/>
          <w:b w:val="0"/>
          <w:i/>
        </w:rPr>
        <w:t>African Entomology</w:t>
      </w:r>
      <w:r>
        <w:t xml:space="preserve"> 5: 177–180.</w:t>
      </w:r>
    </w:p>
    <w:p>
      <w:pPr>
        <w:autoSpaceDE w:val="0"/>
        <w:autoSpaceDN w:val="0"/>
        <w:spacing w:before="120" w:after="120" w:line="300" w:lineRule="atLeast"/>
        <w:jc w:val="left"/>
      </w:pPr>
      <w:r>
        <w:t xml:space="preserve">Marco S Di, Calzarano F, Osti F, Mazzullo A (2004) Pathogenicity of fungi associated with a decay of kiwifruit. </w:t>
      </w:r>
      <w:r>
        <w:rPr>
          <w:i/>
          <w:iCs/>
        </w:rPr>
        <w:t>Australasian Plant Pathology</w:t>
      </w:r>
      <w:r>
        <w:t xml:space="preserve"> 33: 337–342. </w:t>
      </w:r>
    </w:p>
    <w:p>
      <w:pPr>
        <w:autoSpaceDE w:val="0"/>
        <w:autoSpaceDN w:val="0"/>
        <w:spacing w:before="120" w:after="120" w:line="300" w:lineRule="atLeast"/>
        <w:jc w:val="left"/>
      </w:pPr>
      <w:r>
        <w:t xml:space="preserve">Margaria P, Rosa C, Marzachì C, Turina M, Palmano S (2007) Detection of Flavescence dorée Phytoplasma in grapevine by reverse-transcription PCR. </w:t>
      </w:r>
      <w:r>
        <w:rPr>
          <w:i/>
        </w:rPr>
        <w:t>Plant Disease</w:t>
      </w:r>
      <w:r>
        <w:t xml:space="preserve"> 91: 1496</w:t>
      </w:r>
      <w:r>
        <w:rPr>
          <w:bCs/>
        </w:rPr>
        <w:t>–</w:t>
      </w:r>
      <w:r>
        <w:t>1501.</w:t>
      </w:r>
    </w:p>
    <w:p>
      <w:pPr>
        <w:pStyle w:val="AQISText"/>
        <w:spacing w:before="120" w:after="120" w:line="300" w:lineRule="atLeast"/>
        <w:jc w:val="left"/>
        <w:rPr>
          <w:sz w:val="24"/>
          <w:szCs w:val="24"/>
          <w:lang w:eastAsia="en-AU"/>
        </w:rPr>
      </w:pPr>
      <w:r>
        <w:rPr>
          <w:sz w:val="24"/>
          <w:szCs w:val="24"/>
          <w:lang w:eastAsia="en-AU"/>
        </w:rPr>
        <w:t xml:space="preserve">Martelli GP (1978) Nematode-borne viruses of grapevine, their epidemiology and control. </w:t>
      </w:r>
      <w:r>
        <w:rPr>
          <w:i/>
          <w:sz w:val="24"/>
          <w:szCs w:val="24"/>
          <w:lang w:eastAsia="en-AU"/>
        </w:rPr>
        <w:t>Nematologia Mediterranea</w:t>
      </w:r>
      <w:r>
        <w:rPr>
          <w:sz w:val="24"/>
          <w:szCs w:val="24"/>
          <w:lang w:eastAsia="en-AU"/>
        </w:rPr>
        <w:t xml:space="preserve"> 6: 127.</w:t>
      </w:r>
    </w:p>
    <w:p>
      <w:pPr>
        <w:spacing w:before="120" w:after="120" w:line="300" w:lineRule="atLeast"/>
        <w:jc w:val="left"/>
      </w:pPr>
      <w:r>
        <w:t xml:space="preserve">Martelli GP (1993) Graft-transmissible diseases of grapevines. </w:t>
      </w:r>
      <w:r>
        <w:rPr>
          <w:bCs/>
        </w:rPr>
        <w:t xml:space="preserve">Handbook for detection and diagnosis. Food and Agriculture Organization of the United Nations, </w:t>
      </w:r>
      <w:r>
        <w:t xml:space="preserve">Viale delle Terme di Caracalla, 00100 Rome, Italy. </w:t>
      </w:r>
      <w:r>
        <w:rPr>
          <w:u w:val="single"/>
        </w:rPr>
        <w:t xml:space="preserve">http://www.fao.org/docrep/t0675e/T0675E00.htm#Contents </w:t>
      </w:r>
      <w:r>
        <w:t>Accessed September 2011.</w:t>
      </w:r>
    </w:p>
    <w:p>
      <w:pPr>
        <w:spacing w:before="120" w:after="120" w:line="300" w:lineRule="atLeast"/>
        <w:jc w:val="left"/>
      </w:pPr>
      <w:r>
        <w:t xml:space="preserve">Martelli GP (2009) Grapevine virology highlights 2006–2009. </w:t>
      </w:r>
      <w:r>
        <w:rPr>
          <w:i/>
        </w:rPr>
        <w:t>Extended abstracts of the 16th meeting of ICVG in Dijon, 31 August–4 September 2009</w:t>
      </w:r>
      <w:r>
        <w:t xml:space="preserve"> 15–24. ICVG, </w:t>
      </w:r>
      <w:smartTag w:uri="urn:schemas-microsoft-com:office:smarttags" w:element="country-region">
        <w:smartTag w:uri="urn:schemas-microsoft-com:office:smarttags" w:element="place">
          <w:r>
            <w:t>Switzerland</w:t>
          </w:r>
        </w:smartTag>
      </w:smartTag>
      <w:r>
        <w:t>.</w:t>
      </w:r>
    </w:p>
    <w:p>
      <w:pPr>
        <w:autoSpaceDE w:val="0"/>
        <w:autoSpaceDN w:val="0"/>
        <w:spacing w:before="120" w:after="120" w:line="300" w:lineRule="atLeast"/>
        <w:jc w:val="left"/>
      </w:pPr>
      <w:r>
        <w:t>Martelli GP, Adams MJ, Kr</w:t>
      </w:r>
      <w:smartTag w:uri="urn:schemas-microsoft-com:office:smarttags" w:element="PersonName">
        <w:r>
          <w:t>eu</w:t>
        </w:r>
      </w:smartTag>
      <w:r>
        <w:t xml:space="preserve">ze JF, Dolja VV (2007) Family Flexiviridae: A case study in virion and genome plasticity. </w:t>
      </w:r>
      <w:r>
        <w:rPr>
          <w:i/>
        </w:rPr>
        <w:t xml:space="preserve">Annual Review of Phytopathology </w:t>
      </w:r>
      <w:r>
        <w:t>45: 73–100.</w:t>
      </w:r>
    </w:p>
    <w:p>
      <w:pPr>
        <w:autoSpaceDE w:val="0"/>
        <w:autoSpaceDN w:val="0"/>
        <w:spacing w:before="120" w:after="120" w:line="300" w:lineRule="atLeast"/>
        <w:jc w:val="left"/>
      </w:pPr>
      <w:r>
        <w:t>Martelli GP, Boudon-Padi</w:t>
      </w:r>
      <w:smartTag w:uri="urn:schemas-microsoft-com:office:smarttags" w:element="PersonName">
        <w:r>
          <w:t>eu</w:t>
        </w:r>
      </w:smartTag>
      <w:r>
        <w:t xml:space="preserve"> E (2006) Directory of infectious diseases of grapevines. </w:t>
      </w:r>
      <w:r>
        <w:rPr>
          <w:i/>
        </w:rPr>
        <w:t>Options Médit. Ser. B, Studies and Research</w:t>
      </w:r>
      <w:r>
        <w:t xml:space="preserve"> 55: 7</w:t>
      </w:r>
      <w:r>
        <w:rPr>
          <w:bCs/>
        </w:rPr>
        <w:t>–</w:t>
      </w:r>
      <w:r>
        <w:t>201.</w:t>
      </w:r>
    </w:p>
    <w:p>
      <w:pPr>
        <w:spacing w:before="120" w:after="120" w:line="300" w:lineRule="atLeast"/>
        <w:jc w:val="left"/>
      </w:pPr>
      <w:r>
        <w:t xml:space="preserve">Martelli GP, Gallitelli D, Abracheva P, Savino V, Quaquarelli A (1977) Some properties of grapevine </w:t>
      </w:r>
      <w:r>
        <w:rPr>
          <w:i/>
        </w:rPr>
        <w:t>Bulgarian latent virus.</w:t>
      </w:r>
      <w:r>
        <w:t xml:space="preserve"> </w:t>
      </w:r>
      <w:r>
        <w:rPr>
          <w:i/>
        </w:rPr>
        <w:t>Annals of Applied Biology</w:t>
      </w:r>
      <w:r>
        <w:t xml:space="preserve"> 85: 51–58.</w:t>
      </w:r>
    </w:p>
    <w:p>
      <w:pPr>
        <w:tabs>
          <w:tab w:val="left" w:pos="0"/>
        </w:tabs>
        <w:spacing w:before="120" w:after="120" w:line="300" w:lineRule="atLeast"/>
        <w:jc w:val="left"/>
      </w:pPr>
      <w:r>
        <w:t xml:space="preserve">Martelli GP, Lehoczky J, Quacquarelli A (1970) </w:t>
      </w:r>
      <w:r>
        <w:rPr>
          <w:i/>
        </w:rPr>
        <w:t>Hungarian chrome mosaic</w:t>
      </w:r>
      <w:r>
        <w:t>. In Frazier NW, Fulton JP, Thresh JM, Converse RH, Verney EH, Hewitt WB (eds)</w:t>
      </w:r>
      <w:r>
        <w:rPr>
          <w:i/>
        </w:rPr>
        <w:t xml:space="preserve"> Virus diseases of small fruits and grapevines </w:t>
      </w:r>
      <w:r>
        <w:t xml:space="preserve"> 236</w:t>
      </w:r>
      <w:r>
        <w:rPr>
          <w:snapToGrid w:val="0"/>
        </w:rPr>
        <w:t>–</w:t>
      </w:r>
      <w:r>
        <w:t>237. University of California, Berkeley.</w:t>
      </w:r>
    </w:p>
    <w:p>
      <w:pPr>
        <w:pStyle w:val="AQISText"/>
        <w:spacing w:before="120" w:after="120" w:line="300" w:lineRule="atLeast"/>
        <w:jc w:val="left"/>
        <w:rPr>
          <w:sz w:val="24"/>
          <w:szCs w:val="24"/>
        </w:rPr>
      </w:pPr>
      <w:r>
        <w:rPr>
          <w:sz w:val="24"/>
          <w:szCs w:val="24"/>
        </w:rPr>
        <w:t xml:space="preserve">Martelli GP, </w:t>
      </w:r>
      <w:r>
        <w:t xml:space="preserve">Quacquarelli A, </w:t>
      </w:r>
      <w:r>
        <w:rPr>
          <w:sz w:val="24"/>
          <w:szCs w:val="24"/>
        </w:rPr>
        <w:t xml:space="preserve">Rana GL, </w:t>
      </w:r>
      <w:r>
        <w:t>Gallitelli D</w:t>
      </w:r>
      <w:r>
        <w:rPr>
          <w:sz w:val="24"/>
          <w:szCs w:val="24"/>
        </w:rPr>
        <w:t xml:space="preserve"> (1978) Description of plant viruses: </w:t>
      </w:r>
      <w:r>
        <w:rPr>
          <w:i/>
          <w:sz w:val="24"/>
          <w:szCs w:val="24"/>
        </w:rPr>
        <w:t>Grapevine Bulgarian latent virus.</w:t>
      </w:r>
      <w:r>
        <w:rPr>
          <w:sz w:val="24"/>
          <w:szCs w:val="24"/>
        </w:rPr>
        <w:t xml:space="preserve"> </w:t>
      </w:r>
      <w:hyperlink r:id="rId174" w:history="1">
        <w:r>
          <w:rPr>
            <w:rStyle w:val="Hyperlink"/>
            <w:sz w:val="24"/>
            <w:szCs w:val="24"/>
          </w:rPr>
          <w:t>http://www.dpvweb.net/dpv/showdpv.php?dpvno=186</w:t>
        </w:r>
      </w:hyperlink>
      <w:r>
        <w:rPr>
          <w:sz w:val="24"/>
          <w:szCs w:val="24"/>
        </w:rPr>
        <w:t xml:space="preserve"> Accessed September 2011.</w:t>
      </w:r>
    </w:p>
    <w:p>
      <w:pPr>
        <w:autoSpaceDE w:val="0"/>
        <w:autoSpaceDN w:val="0"/>
        <w:spacing w:before="120" w:after="120" w:line="300" w:lineRule="atLeast"/>
        <w:jc w:val="left"/>
      </w:pPr>
      <w:r>
        <w:t xml:space="preserve">Martelli GP, Walter B (1993) True virus diseases: Grapevine degeneration – European nepoviruses. In </w:t>
      </w:r>
      <w:r>
        <w:rPr>
          <w:i/>
        </w:rPr>
        <w:t>Graft transmissible diseases of grapevine: handbook for detection and diagnosis</w:t>
      </w:r>
      <w:r>
        <w:t xml:space="preserve">. International council for the study of viruses and virus diseases of the grapevine. Food and Agriculture Organisation of the United States, Rome. </w:t>
      </w:r>
    </w:p>
    <w:p>
      <w:pPr>
        <w:spacing w:before="120" w:after="120" w:line="300" w:lineRule="atLeast"/>
        <w:jc w:val="left"/>
      </w:pPr>
      <w:r>
        <w:t xml:space="preserve">Martin MT, Martin L, Cuesta MJ (2011a) First report of </w:t>
      </w:r>
      <w:r>
        <w:rPr>
          <w:i/>
        </w:rPr>
        <w:t xml:space="preserve">Cylindrocarpon pauciseptatum </w:t>
      </w:r>
      <w:r>
        <w:t xml:space="preserve">associated with grapevine decline from </w:t>
      </w:r>
      <w:smartTag w:uri="urn:schemas-microsoft-com:office:smarttags" w:element="place">
        <w:smartTag w:uri="urn:schemas-microsoft-com:office:smarttags" w:element="City">
          <w:r>
            <w:t>Castilla y León</w:t>
          </w:r>
        </w:smartTag>
        <w:r>
          <w:t xml:space="preserve">, </w:t>
        </w:r>
        <w:smartTag w:uri="urn:schemas-microsoft-com:office:smarttags" w:element="country-region">
          <w:r>
            <w:t>Spain</w:t>
          </w:r>
        </w:smartTag>
      </w:smartTag>
      <w:r>
        <w:t xml:space="preserve">. </w:t>
      </w:r>
      <w:r>
        <w:rPr>
          <w:i/>
        </w:rPr>
        <w:t xml:space="preserve">Plant Disease </w:t>
      </w:r>
      <w:r>
        <w:t>95: 361.</w:t>
      </w:r>
    </w:p>
    <w:p>
      <w:pPr>
        <w:spacing w:before="120" w:after="120" w:line="300" w:lineRule="atLeast"/>
        <w:jc w:val="left"/>
      </w:pPr>
      <w:r>
        <w:t xml:space="preserve">Martin MT, Martin L, Cuesta MJ (2011b) First Report of </w:t>
      </w:r>
      <w:r>
        <w:rPr>
          <w:i/>
          <w:iCs/>
        </w:rPr>
        <w:t>Neofusicoccum mediterran</w:t>
      </w:r>
      <w:smartTag w:uri="urn:schemas-microsoft-com:office:smarttags" w:element="PersonName">
        <w:r>
          <w:rPr>
            <w:i/>
            <w:iCs/>
          </w:rPr>
          <w:t>eu</w:t>
        </w:r>
      </w:smartTag>
      <w:r>
        <w:rPr>
          <w:i/>
          <w:iCs/>
        </w:rPr>
        <w:t>m</w:t>
      </w:r>
      <w:r>
        <w:t xml:space="preserve"> and </w:t>
      </w:r>
      <w:r>
        <w:rPr>
          <w:i/>
          <w:iCs/>
        </w:rPr>
        <w:t>N. australe</w:t>
      </w:r>
      <w:r>
        <w:t xml:space="preserve"> causing decay in </w:t>
      </w:r>
      <w:r>
        <w:rPr>
          <w:i/>
          <w:iCs/>
        </w:rPr>
        <w:t>Vitis vinifera</w:t>
      </w:r>
      <w:r>
        <w:t xml:space="preserve"> in Castilla y León </w:t>
      </w:r>
      <w:smartTag w:uri="urn:schemas-microsoft-com:office:smarttags" w:element="country-region">
        <w:smartTag w:uri="urn:schemas-microsoft-com:office:smarttags" w:element="place">
          <w:r>
            <w:t>Spain</w:t>
          </w:r>
        </w:smartTag>
      </w:smartTag>
      <w:r>
        <w:t xml:space="preserve">. </w:t>
      </w:r>
      <w:r>
        <w:rPr>
          <w:i/>
        </w:rPr>
        <w:t xml:space="preserve">Plant Disease </w:t>
      </w:r>
      <w:r>
        <w:t>95: 876.</w:t>
      </w:r>
    </w:p>
    <w:p>
      <w:pPr>
        <w:autoSpaceDE w:val="0"/>
        <w:autoSpaceDN w:val="0"/>
        <w:spacing w:before="120" w:after="120" w:line="300" w:lineRule="atLeast"/>
        <w:jc w:val="left"/>
      </w:pPr>
      <w:r>
        <w:t xml:space="preserve">Martin RR, Tzanetakis IE (2006) Characterization and recent advances in the detection of strawberry viruses. </w:t>
      </w:r>
      <w:r>
        <w:rPr>
          <w:i/>
        </w:rPr>
        <w:t>Plant Disease</w:t>
      </w:r>
      <w:r>
        <w:t xml:space="preserve"> 90: 384–396.</w:t>
      </w:r>
    </w:p>
    <w:p>
      <w:pPr>
        <w:spacing w:before="120" w:after="120" w:line="300" w:lineRule="atLeast"/>
        <w:jc w:val="left"/>
      </w:pPr>
      <w:r>
        <w:t xml:space="preserve">Martini M, Botti S, Marcone C, Marzachı` C, Casati P, Bianco PA, Benedetti R, Bertaccini A (2002) Genetic variability among Flavescence dorée Phytoplasmas from different origins in Italy and France. </w:t>
      </w:r>
      <w:r>
        <w:rPr>
          <w:i/>
        </w:rPr>
        <w:t xml:space="preserve">Molecular Cell Probes </w:t>
      </w:r>
      <w:r>
        <w:t>16: 197–208.</w:t>
      </w:r>
    </w:p>
    <w:p>
      <w:pPr>
        <w:spacing w:before="120" w:after="120" w:line="300" w:lineRule="atLeast"/>
        <w:jc w:val="left"/>
        <w:rPr>
          <w:lang w:eastAsia="en-AU"/>
        </w:rPr>
      </w:pPr>
      <w:bookmarkStart w:id="136" w:name="aff-2"/>
      <w:bookmarkStart w:id="137" w:name="aff-3"/>
      <w:bookmarkEnd w:id="136"/>
      <w:bookmarkEnd w:id="137"/>
      <w:r>
        <w:rPr>
          <w:lang w:eastAsia="en-AU"/>
        </w:rPr>
        <w:t xml:space="preserve">Martinson T, Fuchs M, Loeb G, Hoch H (2008) </w:t>
      </w:r>
      <w:r>
        <w:rPr>
          <w:i/>
          <w:lang w:eastAsia="en-AU"/>
        </w:rPr>
        <w:t>Grapevine leafroll</w:t>
      </w:r>
      <w:r>
        <w:rPr>
          <w:lang w:eastAsia="en-AU"/>
        </w:rPr>
        <w:t xml:space="preserve"> – an increasing problem in the Finger Lakes, the US and the world. Cornell University Cooperative Extension </w:t>
      </w:r>
      <w:r>
        <w:rPr>
          <w:u w:val="single"/>
          <w:lang w:eastAsia="en-AU"/>
        </w:rPr>
        <w:t>http://winegrape.ag.psu.edu/docs/winegrapeinfo/attach/Grapevine_Leafroll_Cornell_Report.pdf</w:t>
      </w:r>
      <w:r>
        <w:rPr>
          <w:lang w:eastAsia="en-AU"/>
        </w:rPr>
        <w:t xml:space="preserve"> Accessed September 2011.</w:t>
      </w:r>
    </w:p>
    <w:p>
      <w:pPr>
        <w:spacing w:before="120" w:after="120" w:line="300" w:lineRule="atLeast"/>
        <w:jc w:val="left"/>
      </w:pPr>
      <w:r>
        <w:t xml:space="preserve">Martinson TE, Dunst R, Lakso A, English-Loeb G (1997) </w:t>
      </w:r>
      <w:r>
        <w:rPr>
          <w:bCs/>
        </w:rPr>
        <w:t xml:space="preserve">Impact of feeding injury by Eastern grape leafhopper (Homoptera: Cicadellidae) on yield and juice quality of </w:t>
      </w:r>
      <w:smartTag w:uri="urn:schemas-microsoft-com:office:smarttags" w:element="City">
        <w:smartTag w:uri="urn:schemas-microsoft-com:office:smarttags" w:element="place">
          <w:r>
            <w:rPr>
              <w:bCs/>
            </w:rPr>
            <w:t>Concord</w:t>
          </w:r>
        </w:smartTag>
      </w:smartTag>
      <w:r>
        <w:rPr>
          <w:bCs/>
        </w:rPr>
        <w:t xml:space="preserve"> grapes. </w:t>
      </w:r>
      <w:r>
        <w:rPr>
          <w:bCs/>
          <w:i/>
        </w:rPr>
        <w:t>American Journal of Enology and Viticulture</w:t>
      </w:r>
      <w:r>
        <w:rPr>
          <w:bCs/>
        </w:rPr>
        <w:t xml:space="preserve"> 48: 291–302.</w:t>
      </w:r>
    </w:p>
    <w:p>
      <w:pPr>
        <w:spacing w:before="120" w:after="120" w:line="300" w:lineRule="atLeast"/>
        <w:jc w:val="left"/>
      </w:pPr>
      <w:hyperlink r:id="rId175" w:tooltip="Rita Marullo" w:history="1">
        <w:r>
          <w:t>Marullo</w:t>
        </w:r>
      </w:hyperlink>
      <w:r>
        <w:t xml:space="preserve"> R (2009) Host-plant ranges and pest potential: habits of some thrips species in areas of southern Italy. </w:t>
      </w:r>
      <w:hyperlink r:id="rId176" w:tooltip="Bulletin of Insectology" w:history="1">
        <w:r>
          <w:rPr>
            <w:i/>
          </w:rPr>
          <w:t>Bulletin of Insectology</w:t>
        </w:r>
      </w:hyperlink>
      <w:r>
        <w:t xml:space="preserve"> 62: 253</w:t>
      </w:r>
      <w:r>
        <w:rPr>
          <w:bCs/>
        </w:rPr>
        <w:t>–</w:t>
      </w:r>
      <w:r>
        <w:t xml:space="preserve">255. </w:t>
      </w:r>
    </w:p>
    <w:p>
      <w:pPr>
        <w:spacing w:before="120" w:after="120" w:line="300" w:lineRule="atLeast"/>
        <w:jc w:val="left"/>
      </w:pPr>
      <w:r>
        <w:t xml:space="preserve">Masri S, Rast H, Johnson R, Monette P (2006) </w:t>
      </w:r>
      <w:r>
        <w:rPr>
          <w:i/>
        </w:rPr>
        <w:t xml:space="preserve">Grapevine virus C </w:t>
      </w:r>
      <w:r>
        <w:t xml:space="preserve">and </w:t>
      </w:r>
      <w:r>
        <w:rPr>
          <w:i/>
          <w:iCs/>
        </w:rPr>
        <w:t xml:space="preserve">Grapevine leafroll associated virus 2 </w:t>
      </w:r>
      <w:r>
        <w:t xml:space="preserve">are serologically related and appear to be the same virus. </w:t>
      </w:r>
      <w:r>
        <w:rPr>
          <w:i/>
        </w:rPr>
        <w:t xml:space="preserve">Extended abstracts of the 15th Meeting of the ICVG, </w:t>
      </w:r>
      <w:smartTag w:uri="urn:schemas-microsoft-com:office:smarttags" w:element="place">
        <w:smartTag w:uri="urn:schemas-microsoft-com:office:smarttags" w:element="City">
          <w:r>
            <w:rPr>
              <w:i/>
            </w:rPr>
            <w:t>Stellenbosch</w:t>
          </w:r>
        </w:smartTag>
        <w:r>
          <w:rPr>
            <w:i/>
          </w:rPr>
          <w:t xml:space="preserve">, </w:t>
        </w:r>
        <w:smartTag w:uri="urn:schemas-microsoft-com:office:smarttags" w:element="country-region">
          <w:r>
            <w:rPr>
              <w:i/>
            </w:rPr>
            <w:t>South Africa</w:t>
          </w:r>
        </w:smartTag>
      </w:smartTag>
      <w:r>
        <w:rPr>
          <w:i/>
        </w:rPr>
        <w:t>, 3–7</w:t>
      </w:r>
      <w:r>
        <w:t xml:space="preserve"> </w:t>
      </w:r>
      <w:r>
        <w:rPr>
          <w:i/>
        </w:rPr>
        <w:t>April 2006</w:t>
      </w:r>
      <w:r>
        <w:t xml:space="preserve"> 49. ICVG, </w:t>
      </w:r>
      <w:smartTag w:uri="urn:schemas-microsoft-com:office:smarttags" w:element="country-region">
        <w:smartTag w:uri="urn:schemas-microsoft-com:office:smarttags" w:element="place">
          <w:r>
            <w:t>Switzerland</w:t>
          </w:r>
        </w:smartTag>
      </w:smartTag>
      <w:r>
        <w:t>.</w:t>
      </w:r>
    </w:p>
    <w:p>
      <w:pPr>
        <w:spacing w:before="120" w:after="120" w:line="300" w:lineRule="atLeast"/>
        <w:jc w:val="left"/>
      </w:pPr>
      <w:hyperlink r:id="rId177" w:tgtFrame="_blank" w:history="1">
        <w:r>
          <w:t xml:space="preserve">Mathew G (1987) Cossid pests of plantation crops in India and the prospects of their management. </w:t>
        </w:r>
        <w:r>
          <w:rPr>
            <w:i/>
          </w:rPr>
          <w:t>Journal of Coffee Research</w:t>
        </w:r>
        <w:r>
          <w:t xml:space="preserve"> 17: 137</w:t>
        </w:r>
        <w:r>
          <w:rPr>
            <w:bCs/>
          </w:rPr>
          <w:t>–</w:t>
        </w:r>
        <w:r>
          <w:t>140</w:t>
        </w:r>
      </w:hyperlink>
      <w:r>
        <w:t>.</w:t>
      </w:r>
    </w:p>
    <w:p>
      <w:pPr>
        <w:spacing w:before="120" w:after="120" w:line="300" w:lineRule="atLeast"/>
        <w:jc w:val="left"/>
      </w:pPr>
      <w:r>
        <w:t xml:space="preserve">Matsubara Y-I, Kayukawa Y, Yano M, Fukui H (2000) Tolerance of asparagus seedlings infected with arbuscular mycorrhizal fungus to violet root rot caused by </w:t>
      </w:r>
      <w:r>
        <w:rPr>
          <w:i/>
          <w:iCs/>
        </w:rPr>
        <w:t>Helicobasidium mompa</w:t>
      </w:r>
      <w:r>
        <w:t xml:space="preserve">. </w:t>
      </w:r>
      <w:r>
        <w:rPr>
          <w:i/>
          <w:iCs/>
        </w:rPr>
        <w:t>Journal of the Japanese Society of Horticultural Science</w:t>
      </w:r>
      <w:r>
        <w:t xml:space="preserve"> </w:t>
      </w:r>
      <w:r>
        <w:rPr>
          <w:bCs/>
        </w:rPr>
        <w:t>69:</w:t>
      </w:r>
      <w:r>
        <w:t xml:space="preserve"> 552–556.</w:t>
      </w:r>
    </w:p>
    <w:p>
      <w:pPr>
        <w:spacing w:before="120" w:after="120" w:line="300" w:lineRule="atLeast"/>
        <w:jc w:val="left"/>
      </w:pPr>
      <w:r>
        <w:t xml:space="preserve">Matus JT, Vega A, Loyola R, Serrano C, Cabrera S, Arce-Johnson P (2008) Phytoplasma and virus detection in commercial plantings of </w:t>
      </w:r>
      <w:r>
        <w:rPr>
          <w:i/>
        </w:rPr>
        <w:t>Vitis vinífera</w:t>
      </w:r>
      <w:r>
        <w:t xml:space="preserve"> cv. Merlot exhibiting premature berry dehydration. </w:t>
      </w:r>
      <w:r>
        <w:rPr>
          <w:i/>
        </w:rPr>
        <w:t>Electronic</w:t>
      </w:r>
      <w:r>
        <w:t xml:space="preserve"> </w:t>
      </w:r>
      <w:r>
        <w:rPr>
          <w:i/>
        </w:rPr>
        <w:t>Journal of Biotechnology</w:t>
      </w:r>
      <w:r>
        <w:t xml:space="preserve"> 11: 1</w:t>
      </w:r>
      <w:r>
        <w:rPr>
          <w:bCs/>
        </w:rPr>
        <w:t>–</w:t>
      </w:r>
      <w:r>
        <w:t>10.</w:t>
      </w:r>
    </w:p>
    <w:p>
      <w:pPr>
        <w:autoSpaceDE w:val="0"/>
        <w:autoSpaceDN w:val="0"/>
        <w:spacing w:before="120" w:after="120" w:line="300" w:lineRule="atLeast"/>
        <w:jc w:val="left"/>
        <w:rPr>
          <w:lang w:eastAsia="en-AU"/>
        </w:rPr>
      </w:pPr>
      <w:r>
        <w:rPr>
          <w:lang w:eastAsia="en-AU"/>
        </w:rPr>
        <w:t xml:space="preserve">Mau RFL, Mitchell WC (1978) Development and reproduction of the oriental stink bug, </w:t>
      </w:r>
      <w:r>
        <w:rPr>
          <w:i/>
          <w:iCs/>
          <w:lang w:eastAsia="en-AU"/>
        </w:rPr>
        <w:t xml:space="preserve">Plautia stali </w:t>
      </w:r>
      <w:r>
        <w:rPr>
          <w:lang w:eastAsia="en-AU"/>
        </w:rPr>
        <w:t xml:space="preserve">(Hemiptera: Pentatomidae). </w:t>
      </w:r>
      <w:r>
        <w:rPr>
          <w:i/>
          <w:iCs/>
          <w:lang w:eastAsia="en-AU"/>
        </w:rPr>
        <w:t xml:space="preserve">Annals of the Entomological Society of </w:t>
      </w:r>
      <w:smartTag w:uri="urn:schemas-microsoft-com:office:smarttags" w:element="country-region">
        <w:smartTag w:uri="urn:schemas-microsoft-com:office:smarttags" w:element="place">
          <w:r>
            <w:rPr>
              <w:i/>
              <w:iCs/>
              <w:lang w:eastAsia="en-AU"/>
            </w:rPr>
            <w:t>America</w:t>
          </w:r>
        </w:smartTag>
      </w:smartTag>
      <w:r>
        <w:rPr>
          <w:i/>
          <w:iCs/>
          <w:lang w:eastAsia="en-AU"/>
        </w:rPr>
        <w:t xml:space="preserve"> </w:t>
      </w:r>
      <w:r>
        <w:rPr>
          <w:lang w:eastAsia="en-AU"/>
        </w:rPr>
        <w:t>71: 756–757.</w:t>
      </w:r>
    </w:p>
    <w:p>
      <w:pPr>
        <w:spacing w:before="120" w:after="120" w:line="300" w:lineRule="atLeast"/>
        <w:jc w:val="left"/>
      </w:pPr>
      <w:r>
        <w:t xml:space="preserve">May TW, Milne J, Shingles S (2003) </w:t>
      </w:r>
      <w:r>
        <w:rPr>
          <w:i/>
        </w:rPr>
        <w:t xml:space="preserve">Catalogue and bibliography of Australian Fungi 2. Basidiomycota p.p. and Myxomycota p.p. Fungi of Australia. </w:t>
      </w:r>
      <w:r>
        <w:t xml:space="preserve">Volume 2B. ABRS/CSIRO Publishing, </w:t>
      </w:r>
      <w:smartTag w:uri="urn:schemas-microsoft-com:office:smarttags" w:element="City">
        <w:smartTag w:uri="urn:schemas-microsoft-com:office:smarttags" w:element="place">
          <w:r>
            <w:t>Melbourne</w:t>
          </w:r>
        </w:smartTag>
      </w:smartTag>
      <w:r>
        <w:t>.</w:t>
      </w:r>
    </w:p>
    <w:p>
      <w:pPr>
        <w:spacing w:before="120" w:after="120" w:line="300" w:lineRule="atLeast"/>
        <w:jc w:val="left"/>
      </w:pPr>
      <w:r>
        <w:t xml:space="preserve">Mazzoni V, Anfora G, Ioratti C,  Lucchi A (2008) Role of the winter host plants in vineyard colonization and phenology of </w:t>
      </w:r>
      <w:r>
        <w:rPr>
          <w:i/>
        </w:rPr>
        <w:t>Zygina rhamni</w:t>
      </w:r>
      <w:r>
        <w:t xml:space="preserve"> (Hemiptera: Cicadellidae: Typhlocibinae). </w:t>
      </w:r>
      <w:r>
        <w:rPr>
          <w:i/>
        </w:rPr>
        <w:t xml:space="preserve">Annals of Entomological Society of </w:t>
      </w:r>
      <w:smartTag w:uri="urn:schemas-microsoft-com:office:smarttags" w:element="country-region">
        <w:smartTag w:uri="urn:schemas-microsoft-com:office:smarttags" w:element="place">
          <w:r>
            <w:rPr>
              <w:i/>
            </w:rPr>
            <w:t>America</w:t>
          </w:r>
        </w:smartTag>
      </w:smartTag>
      <w:r>
        <w:t xml:space="preserve"> 101: 1003–1009.</w:t>
      </w:r>
    </w:p>
    <w:p>
      <w:pPr>
        <w:spacing w:before="120" w:after="120" w:line="300" w:lineRule="atLeast"/>
        <w:jc w:val="left"/>
      </w:pPr>
      <w:r>
        <w:t>Mazzoni V, Cosci F, Lucchi A, Santini L (2001) Leafhoppers and planthoppers vectors in Ligurian and Tuscan vineyards. In Lozzia C (ed) Integrated Control in Viticulture Working Group Proceedings, Ponte de Lima, Portugal, 3–7 March 2000.</w:t>
      </w:r>
      <w:r>
        <w:rPr>
          <w:i/>
        </w:rPr>
        <w:t xml:space="preserve"> IOBC wprs Bulletin </w:t>
      </w:r>
      <w:r>
        <w:t>24: 263–266.</w:t>
      </w:r>
    </w:p>
    <w:p>
      <w:pPr>
        <w:spacing w:before="120" w:after="120" w:line="300" w:lineRule="atLeast"/>
        <w:jc w:val="left"/>
      </w:pPr>
      <w:r>
        <w:t xml:space="preserve">McGee PA (1989) Vesicular-arbuscular mycorrhizal and saprophytic fungi of the Swain Reefs, Australia. </w:t>
      </w:r>
      <w:r>
        <w:rPr>
          <w:i/>
        </w:rPr>
        <w:t xml:space="preserve">Mycological Research </w:t>
      </w:r>
      <w:r>
        <w:t>93: 375–378.</w:t>
      </w:r>
    </w:p>
    <w:p>
      <w:pPr>
        <w:spacing w:before="120" w:after="120" w:line="300" w:lineRule="atLeast"/>
        <w:jc w:val="left"/>
      </w:pPr>
      <w:r>
        <w:t xml:space="preserve">McGregor G, Whattam M, Washington B (1996) Raspberries and cultivated blackberries: pests and diseases. AG0570. </w:t>
      </w:r>
      <w:r>
        <w:rPr>
          <w:u w:val="single"/>
        </w:rPr>
        <w:t>http://www.dpi.vic.gov.au/agriculture/horticulture/fruit-nuts/berries/raspberries-and-cultivated-blackberries-pests-and-diseases</w:t>
      </w:r>
      <w:r>
        <w:t xml:space="preserve"> Accessed October 2012.</w:t>
      </w:r>
    </w:p>
    <w:p>
      <w:pPr>
        <w:spacing w:before="120" w:after="120" w:line="300" w:lineRule="atLeast"/>
        <w:jc w:val="left"/>
      </w:pPr>
      <w:r>
        <w:t xml:space="preserve">McKenzie EHC, Foggo MN (1989) Fungi of New Zealand subantarctic islands. </w:t>
      </w:r>
      <w:smartTag w:uri="urn:schemas-microsoft-com:office:smarttags" w:element="country-region">
        <w:smartTag w:uri="urn:schemas-microsoft-com:office:smarttags" w:element="place">
          <w:r>
            <w:rPr>
              <w:i/>
            </w:rPr>
            <w:t>New Zealand</w:t>
          </w:r>
        </w:smartTag>
      </w:smartTag>
      <w:r>
        <w:rPr>
          <w:i/>
        </w:rPr>
        <w:t xml:space="preserve"> Journal of Botany </w:t>
      </w:r>
      <w:r>
        <w:t>27: 91–100.</w:t>
      </w:r>
    </w:p>
    <w:p>
      <w:pPr>
        <w:autoSpaceDE w:val="0"/>
        <w:autoSpaceDN w:val="0"/>
        <w:spacing w:before="120" w:after="120" w:line="300" w:lineRule="atLeast"/>
        <w:jc w:val="left"/>
      </w:pPr>
      <w:r>
        <w:t xml:space="preserve">McLaren GF, </w:t>
      </w:r>
      <w:r>
        <w:rPr>
          <w:lang w:eastAsia="en-AU"/>
        </w:rPr>
        <w:t>Grandison</w:t>
      </w:r>
      <w:r>
        <w:t xml:space="preserve"> G, Wood GA, Tate G, Horner I (1999) </w:t>
      </w:r>
      <w:r>
        <w:rPr>
          <w:i/>
        </w:rPr>
        <w:t xml:space="preserve">Summerfruit in New Zealand. </w:t>
      </w:r>
      <w:r>
        <w:t>University of Otago Press, New Zealand.</w:t>
      </w:r>
    </w:p>
    <w:p>
      <w:pPr>
        <w:autoSpaceDE w:val="0"/>
        <w:autoSpaceDN w:val="0"/>
        <w:spacing w:before="120" w:after="120" w:line="300" w:lineRule="atLeast"/>
        <w:jc w:val="left"/>
      </w:pPr>
      <w:r>
        <w:t xml:space="preserve">McLeod MJ, Williams RN (1990) Life history and vineyard damage by rose chafer, </w:t>
      </w:r>
      <w:r>
        <w:rPr>
          <w:i/>
        </w:rPr>
        <w:t>Macrodactylus subspinosus</w:t>
      </w:r>
      <w:r>
        <w:t xml:space="preserve"> (F.). </w:t>
      </w:r>
      <w:r>
        <w:rPr>
          <w:i/>
        </w:rPr>
        <w:t>Vinifera Wine Growers Journal</w:t>
      </w:r>
      <w:r>
        <w:t xml:space="preserve"> 17: 25–27.</w:t>
      </w:r>
    </w:p>
    <w:p>
      <w:pPr>
        <w:autoSpaceDE w:val="0"/>
        <w:autoSpaceDN w:val="0"/>
        <w:spacing w:before="120" w:after="120" w:line="300" w:lineRule="atLeast"/>
        <w:jc w:val="left"/>
        <w:rPr>
          <w:i/>
          <w:snapToGrid w:val="0"/>
        </w:rPr>
      </w:pPr>
      <w:r>
        <w:t xml:space="preserve">McPherson JE, McPherson RM (2000) </w:t>
      </w:r>
      <w:r>
        <w:rPr>
          <w:i/>
        </w:rPr>
        <w:t>Stink bugs of economic importance in America North of Mexico.</w:t>
      </w:r>
      <w:r>
        <w:t xml:space="preserve"> CRC Press, USA.</w:t>
      </w:r>
    </w:p>
    <w:p>
      <w:pPr>
        <w:autoSpaceDE w:val="0"/>
        <w:autoSpaceDN w:val="0"/>
        <w:spacing w:before="120" w:after="120" w:line="300" w:lineRule="atLeast"/>
        <w:jc w:val="left"/>
      </w:pPr>
      <w:r>
        <w:t xml:space="preserve">Mead FW, Webb SE (2001) Grape Leaffolder. Florida Department of Agriculture and Consumer Services, University of Florida. Publication Number: EENY-192. </w:t>
      </w:r>
      <w:r>
        <w:rPr>
          <w:u w:val="single"/>
        </w:rPr>
        <w:t>http://creatures.ifas.ufl.edu/fruit/grape_leaffolder.htm</w:t>
      </w:r>
      <w:r>
        <w:t xml:space="preserve"> Accessed April 2010.</w:t>
      </w:r>
    </w:p>
    <w:p>
      <w:pPr>
        <w:spacing w:before="120" w:after="120" w:line="300" w:lineRule="atLeast"/>
        <w:jc w:val="left"/>
      </w:pPr>
      <w:r>
        <w:t xml:space="preserve">Meagher JW, Brown RH, Taylor RH, Harris AR (1976) The distribution of </w:t>
      </w:r>
      <w:r>
        <w:rPr>
          <w:i/>
          <w:iCs/>
        </w:rPr>
        <w:t xml:space="preserve">Xiphinema index </w:t>
      </w:r>
      <w:r>
        <w:t xml:space="preserve">and other parasitic nematodes associated with grapevines in north-eastern </w:t>
      </w:r>
      <w:smartTag w:uri="urn:schemas-microsoft-com:office:smarttags" w:element="State">
        <w:smartTag w:uri="urn:schemas-microsoft-com:office:smarttags" w:element="place">
          <w:r>
            <w:t>Victoria</w:t>
          </w:r>
        </w:smartTag>
      </w:smartTag>
      <w:r>
        <w:t xml:space="preserve">. </w:t>
      </w:r>
      <w:r>
        <w:rPr>
          <w:i/>
          <w:iCs/>
        </w:rPr>
        <w:t xml:space="preserve">Australian Journal of Experimental Agriculture and Animal Husbandry </w:t>
      </w:r>
      <w:r>
        <w:t>16: 932–936.</w:t>
      </w:r>
    </w:p>
    <w:p>
      <w:pPr>
        <w:spacing w:before="120" w:after="120" w:line="300" w:lineRule="atLeast"/>
        <w:jc w:val="left"/>
      </w:pPr>
      <w:r>
        <w:t xml:space="preserve">Meena B (2010) Effect of foliar application of </w:t>
      </w:r>
      <w:r>
        <w:rPr>
          <w:i/>
        </w:rPr>
        <w:t>Pseudomonas fluorescence</w:t>
      </w:r>
      <w:r>
        <w:t xml:space="preserve"> on the activity of lytic enzymes in response to </w:t>
      </w:r>
      <w:r>
        <w:rPr>
          <w:i/>
        </w:rPr>
        <w:t>Cercosporidium personatum</w:t>
      </w:r>
      <w:r>
        <w:t xml:space="preserve"> in groundnut. </w:t>
      </w:r>
      <w:r>
        <w:rPr>
          <w:i/>
        </w:rPr>
        <w:t>International Journal of Plant Protection</w:t>
      </w:r>
      <w:r>
        <w:t xml:space="preserve"> 3: 279</w:t>
      </w:r>
      <w:r>
        <w:rPr>
          <w:bCs/>
        </w:rPr>
        <w:t>–</w:t>
      </w:r>
      <w:r>
        <w:t>281.</w:t>
      </w:r>
    </w:p>
    <w:p>
      <w:pPr>
        <w:spacing w:before="120" w:after="120" w:line="300" w:lineRule="atLeast"/>
        <w:jc w:val="left"/>
      </w:pPr>
      <w:r>
        <w:t>M</w:t>
      </w:r>
      <w:smartTag w:uri="urn:schemas-microsoft-com:office:smarttags" w:element="PersonName">
        <w:r>
          <w:t>eu</w:t>
        </w:r>
      </w:smartTag>
      <w:r>
        <w:t>lewaeter F, S</w:t>
      </w:r>
      <w:smartTag w:uri="urn:schemas-microsoft-com:office:smarttags" w:element="PersonName">
        <w:r>
          <w:t>eu</w:t>
        </w:r>
      </w:smartTag>
      <w:r>
        <w:t xml:space="preserve">rinck J, van Emmelo J (1990) Genome structure of </w:t>
      </w:r>
      <w:r>
        <w:rPr>
          <w:i/>
        </w:rPr>
        <w:t>Tobacco necrosis virus strain A.</w:t>
      </w:r>
      <w:r>
        <w:t xml:space="preserve"> </w:t>
      </w:r>
      <w:r>
        <w:rPr>
          <w:i/>
        </w:rPr>
        <w:t>Virology</w:t>
      </w:r>
      <w:r>
        <w:t xml:space="preserve"> 177: 699–709.</w:t>
      </w:r>
    </w:p>
    <w:p>
      <w:pPr>
        <w:spacing w:before="120" w:after="120" w:line="300" w:lineRule="atLeast"/>
        <w:jc w:val="left"/>
      </w:pPr>
      <w:r>
        <w:t xml:space="preserve">Mhirsi S, Achecheb S, Fattoucha S, Boccardo G, Marrakchib M, Marzoukia N (2004) First report of phytoplasma in the Aster yellow group infecting grapevines in Tunisia. </w:t>
      </w:r>
      <w:r>
        <w:rPr>
          <w:i/>
        </w:rPr>
        <w:t xml:space="preserve">Plant Pathology </w:t>
      </w:r>
      <w:r>
        <w:t>53: 521.</w:t>
      </w:r>
    </w:p>
    <w:p>
      <w:pPr>
        <w:spacing w:before="120" w:after="120" w:line="300" w:lineRule="atLeast"/>
        <w:jc w:val="left"/>
      </w:pPr>
      <w:r>
        <w:t xml:space="preserve">Miller AN, Huhndorf SM (2009) Pyrenomycetes of the World. University of Illinois. </w:t>
      </w:r>
      <w:hyperlink r:id="rId178" w:history="1">
        <w:r>
          <w:rPr>
            <w:rStyle w:val="Hyperlink"/>
            <w:color w:val="auto"/>
          </w:rPr>
          <w:t>http://www-s.life.illinois.edu/pyrenos</w:t>
        </w:r>
      </w:hyperlink>
      <w:r>
        <w:t xml:space="preserve"> Accessed November 2011.</w:t>
      </w:r>
    </w:p>
    <w:p>
      <w:pPr>
        <w:spacing w:before="120" w:after="120" w:line="300" w:lineRule="atLeast"/>
        <w:jc w:val="left"/>
      </w:pPr>
      <w:r>
        <w:t xml:space="preserve">Minafra A, Hadidi A (1994) Sensitive detection of </w:t>
      </w:r>
      <w:r>
        <w:rPr>
          <w:i/>
        </w:rPr>
        <w:t xml:space="preserve">Grapevine virus A, B, </w:t>
      </w:r>
      <w:r>
        <w:t xml:space="preserve">or </w:t>
      </w:r>
      <w:r>
        <w:rPr>
          <w:i/>
        </w:rPr>
        <w:t xml:space="preserve">Leafroll-associated III </w:t>
      </w:r>
      <w:r>
        <w:t xml:space="preserve">from viruliferous mealybugs and infected tissue by cDNA amplification. </w:t>
      </w:r>
      <w:r>
        <w:rPr>
          <w:i/>
          <w:iCs/>
        </w:rPr>
        <w:t xml:space="preserve">Journal of Virological Methods </w:t>
      </w:r>
      <w:r>
        <w:t>47: 175–187.</w:t>
      </w:r>
    </w:p>
    <w:p>
      <w:pPr>
        <w:spacing w:before="120" w:after="120" w:line="300" w:lineRule="atLeast"/>
        <w:jc w:val="left"/>
      </w:pPr>
      <w:r>
        <w:t xml:space="preserve">Minfra A, Grieco, F, Gallitelli D, Martelli GP (1994) Improved PCR procedures for multiple identification of some artichoke and grapevine viruses. </w:t>
      </w:r>
      <w:r>
        <w:rPr>
          <w:i/>
        </w:rPr>
        <w:t>Bulletin OEPP/EPPO Bulletin</w:t>
      </w:r>
      <w:r>
        <w:t xml:space="preserve"> 25: 283–287.</w:t>
      </w:r>
    </w:p>
    <w:p>
      <w:pPr>
        <w:autoSpaceDE w:val="0"/>
        <w:autoSpaceDN w:val="0"/>
        <w:spacing w:before="120" w:after="120" w:line="300" w:lineRule="atLeast"/>
        <w:jc w:val="left"/>
      </w:pPr>
      <w:r>
        <w:t xml:space="preserve">Mizell RF, Andersen PC, Tipping C, Brodbeck B (2008) </w:t>
      </w:r>
      <w:r>
        <w:rPr>
          <w:i/>
        </w:rPr>
        <w:t>Xylella fastidiosa</w:t>
      </w:r>
      <w:r>
        <w:t xml:space="preserve"> diseases and their leafhopper vectors. ENY-683 (IN174), one of a series of the Department of Entomology and Nematology, Florida Cooperative Extension Service, Institute of Food and Agricultural Sciences, University of Florida.</w:t>
      </w:r>
      <w:r>
        <w:rPr>
          <w:u w:val="single"/>
        </w:rPr>
        <w:t xml:space="preserve"> </w:t>
      </w:r>
      <w:hyperlink r:id="rId179" w:history="1">
        <w:r>
          <w:rPr>
            <w:rStyle w:val="Hyperlink"/>
            <w:color w:val="auto"/>
          </w:rPr>
          <w:t>http://edis.ifas.ufl.edu</w:t>
        </w:r>
      </w:hyperlink>
      <w:r>
        <w:t xml:space="preserve"> Accessed March 2011.</w:t>
      </w:r>
    </w:p>
    <w:p>
      <w:pPr>
        <w:autoSpaceDE w:val="0"/>
        <w:autoSpaceDN w:val="0"/>
        <w:spacing w:before="120" w:after="120" w:line="300" w:lineRule="atLeast"/>
        <w:jc w:val="left"/>
        <w:rPr>
          <w:lang w:eastAsia="en-AU"/>
        </w:rPr>
      </w:pPr>
      <w:r>
        <w:rPr>
          <w:lang w:eastAsia="en-AU"/>
        </w:rPr>
        <w:t xml:space="preserve">Mohanan C (2005) Diseases of rattan in nurseries, plantations and natural stands in Kerala, India. </w:t>
      </w:r>
      <w:r>
        <w:rPr>
          <w:i/>
          <w:lang w:eastAsia="en-AU"/>
        </w:rPr>
        <w:t>Journal of Bamboo and Rattan</w:t>
      </w:r>
      <w:r>
        <w:rPr>
          <w:lang w:eastAsia="en-AU"/>
        </w:rPr>
        <w:t xml:space="preserve"> 4: 151</w:t>
      </w:r>
      <w:r>
        <w:rPr>
          <w:bCs/>
        </w:rPr>
        <w:t>–</w:t>
      </w:r>
      <w:r>
        <w:rPr>
          <w:lang w:eastAsia="en-AU"/>
        </w:rPr>
        <w:t>162.</w:t>
      </w:r>
    </w:p>
    <w:p>
      <w:pPr>
        <w:spacing w:before="120" w:after="120" w:line="300" w:lineRule="atLeast"/>
        <w:jc w:val="left"/>
      </w:pPr>
      <w:r>
        <w:t xml:space="preserve">Moleas T (1988) Epidemiological observations on </w:t>
      </w:r>
      <w:r>
        <w:rPr>
          <w:i/>
        </w:rPr>
        <w:t>Sinoxylon sexdentatum</w:t>
      </w:r>
      <w:r>
        <w:t xml:space="preserve"> Oliv. and </w:t>
      </w:r>
      <w:r>
        <w:rPr>
          <w:i/>
        </w:rPr>
        <w:t>Amphicerus</w:t>
      </w:r>
      <w:r>
        <w:t xml:space="preserve"> (=</w:t>
      </w:r>
      <w:r>
        <w:rPr>
          <w:i/>
        </w:rPr>
        <w:t>Schistocero</w:t>
      </w:r>
      <w:r>
        <w:t xml:space="preserve">s) </w:t>
      </w:r>
      <w:r>
        <w:rPr>
          <w:i/>
        </w:rPr>
        <w:t>bimaculatus</w:t>
      </w:r>
      <w:r>
        <w:t xml:space="preserve"> Oliv. (Coleoptera: Botrychidae) on grape in Apulia (Italy). </w:t>
      </w:r>
      <w:r>
        <w:rPr>
          <w:i/>
        </w:rPr>
        <w:t>Informatore Fitopatologico</w:t>
      </w:r>
      <w:r>
        <w:t xml:space="preserve"> 38: 55</w:t>
      </w:r>
      <w:r>
        <w:rPr>
          <w:bCs/>
        </w:rPr>
        <w:t>–</w:t>
      </w:r>
      <w:r>
        <w:t>58.</w:t>
      </w:r>
    </w:p>
    <w:p>
      <w:pPr>
        <w:spacing w:before="120" w:after="120" w:line="300" w:lineRule="atLeast"/>
        <w:jc w:val="left"/>
      </w:pPr>
      <w:r>
        <w:rPr>
          <w:lang w:eastAsia="en-AU"/>
        </w:rPr>
        <w:t xml:space="preserve">Monthey R, Cross R (2000) Some edible fungi growing on trees in Northeast Woodlots. USDA Forest Service, State and Private Forestry Northeastern Area. </w:t>
      </w:r>
      <w:r>
        <w:rPr>
          <w:u w:val="single"/>
        </w:rPr>
        <w:t>http://na.fs.fed.us/stewardship/pubs/ediblefungi/ediblefungi.htm</w:t>
      </w:r>
      <w:r>
        <w:t xml:space="preserve"> Accessed December 2011. </w:t>
      </w:r>
    </w:p>
    <w:p>
      <w:pPr>
        <w:autoSpaceDE w:val="0"/>
        <w:autoSpaceDN w:val="0"/>
        <w:spacing w:before="120" w:after="120" w:line="300" w:lineRule="atLeast"/>
        <w:jc w:val="left"/>
      </w:pPr>
      <w:r>
        <w:t xml:space="preserve">Morales CF (1991) Margarodidae (Insecta: Hemiptera). </w:t>
      </w:r>
      <w:r>
        <w:rPr>
          <w:i/>
        </w:rPr>
        <w:t>Fauna of New Zealand</w:t>
      </w:r>
      <w:r>
        <w:t xml:space="preserve"> 21. Manaaki Whenua Press, New Zealand.</w:t>
      </w:r>
    </w:p>
    <w:p>
      <w:pPr>
        <w:spacing w:before="120" w:after="120" w:line="300" w:lineRule="atLeast"/>
        <w:jc w:val="left"/>
        <w:rPr>
          <w:rStyle w:val="Strong"/>
          <w:b w:val="0"/>
        </w:rPr>
      </w:pPr>
      <w:r>
        <w:rPr>
          <w:rStyle w:val="Strong"/>
          <w:b w:val="0"/>
        </w:rPr>
        <w:t xml:space="preserve">Moran J (1994) Virus diseases of carnations. Agriculture Note AG 0174. Department of Primary Industries. </w:t>
      </w:r>
      <w:r>
        <w:rPr>
          <w:u w:val="single"/>
        </w:rPr>
        <w:t>http://www.dpi.vic.gov.au/agriculture/pests-diseases-and-weeds/plant-diseases/flowers/virus-diseases-of-carnations</w:t>
      </w:r>
      <w:r>
        <w:rPr>
          <w:rStyle w:val="Strong"/>
          <w:b w:val="0"/>
        </w:rPr>
        <w:t xml:space="preserve"> Accessed September 2011.</w:t>
      </w:r>
    </w:p>
    <w:p>
      <w:pPr>
        <w:spacing w:before="120" w:after="120" w:line="300" w:lineRule="atLeast"/>
        <w:jc w:val="left"/>
      </w:pPr>
      <w:r>
        <w:t xml:space="preserve">Mori N, Pavan F, Bondavalli R, Reggiani N, Paltrinieri S, Bertaccini A (2007) Factors affecting the spread of ‘Bois noir’ disease in north Italy vineyards. </w:t>
      </w:r>
      <w:r>
        <w:rPr>
          <w:i/>
        </w:rPr>
        <w:t xml:space="preserve">Vitis </w:t>
      </w:r>
      <w:r>
        <w:t>47: 65–72.</w:t>
      </w:r>
    </w:p>
    <w:p>
      <w:pPr>
        <w:spacing w:before="120" w:after="120" w:line="300" w:lineRule="atLeast"/>
        <w:jc w:val="left"/>
      </w:pPr>
      <w:r>
        <w:t xml:space="preserve">Mostert L, Groenewald JZ, Summerbell RC, Gams W, Crous PW (2006a) Taxonomy and pathology of </w:t>
      </w:r>
      <w:r>
        <w:rPr>
          <w:i/>
        </w:rPr>
        <w:t>Togninia</w:t>
      </w:r>
      <w:r>
        <w:t xml:space="preserve"> (Diaporthales) and its </w:t>
      </w:r>
      <w:r>
        <w:rPr>
          <w:i/>
        </w:rPr>
        <w:t>Phaeoacremonium</w:t>
      </w:r>
      <w:r>
        <w:t xml:space="preserve"> anamorphs. </w:t>
      </w:r>
      <w:r>
        <w:rPr>
          <w:i/>
        </w:rPr>
        <w:t>Studies in Mycology</w:t>
      </w:r>
      <w:r>
        <w:t xml:space="preserve"> 54: 1–115.</w:t>
      </w:r>
    </w:p>
    <w:p>
      <w:pPr>
        <w:autoSpaceDE w:val="0"/>
        <w:autoSpaceDN w:val="0"/>
        <w:spacing w:before="120" w:after="120" w:line="300" w:lineRule="atLeast"/>
        <w:jc w:val="left"/>
      </w:pPr>
      <w:r>
        <w:t xml:space="preserve">Mostert L, Groenewald JZ, Summerbell RC, Robert V, Sutton DA, Padhye AA, Crous PW (2005) Species of </w:t>
      </w:r>
      <w:r>
        <w:rPr>
          <w:i/>
        </w:rPr>
        <w:t>Phaeoacremonium</w:t>
      </w:r>
      <w:r>
        <w:t xml:space="preserve"> associated with infections in humans and environmental reservoirs in infected woody plants. </w:t>
      </w:r>
      <w:r>
        <w:rPr>
          <w:i/>
        </w:rPr>
        <w:t>Journal of Clinical Microbiology</w:t>
      </w:r>
      <w:r>
        <w:t xml:space="preserve"> 43: 1752–1767.</w:t>
      </w:r>
    </w:p>
    <w:p>
      <w:pPr>
        <w:spacing w:before="120" w:after="120" w:line="300" w:lineRule="atLeast"/>
        <w:jc w:val="left"/>
      </w:pPr>
      <w:r>
        <w:t xml:space="preserve">Mostert L, Halleen F, Fourie P, Crous PW (2006b) A review of </w:t>
      </w:r>
      <w:r>
        <w:rPr>
          <w:i/>
          <w:iCs/>
        </w:rPr>
        <w:t>Phaeoacremonium</w:t>
      </w:r>
      <w:r>
        <w:t xml:space="preserve"> species involved in Petri disease and esca of grapevine. </w:t>
      </w:r>
      <w:r>
        <w:rPr>
          <w:i/>
          <w:iCs/>
        </w:rPr>
        <w:t>Phytopathologia Mediterranea</w:t>
      </w:r>
      <w:r>
        <w:t xml:space="preserve"> </w:t>
      </w:r>
      <w:r>
        <w:rPr>
          <w:bCs/>
        </w:rPr>
        <w:t>45</w:t>
      </w:r>
      <w:r>
        <w:t>: S12–S29.</w:t>
      </w:r>
    </w:p>
    <w:p>
      <w:pPr>
        <w:spacing w:before="120" w:after="120" w:line="300" w:lineRule="atLeast"/>
        <w:jc w:val="left"/>
      </w:pPr>
      <w:r>
        <w:t xml:space="preserve">Mound L (2008) Bean thrips </w:t>
      </w:r>
      <w:r>
        <w:rPr>
          <w:rStyle w:val="Emphasis"/>
        </w:rPr>
        <w:t>(Caliothrips fasciatus)</w:t>
      </w:r>
      <w:r>
        <w:t xml:space="preserve"> Pest and Diseases Image Library. </w:t>
      </w:r>
      <w:r>
        <w:rPr>
          <w:u w:val="single"/>
        </w:rPr>
        <w:t>http://www.padil.gov.au</w:t>
      </w:r>
      <w:r>
        <w:t xml:space="preserve"> Accessed March 2010.</w:t>
      </w:r>
    </w:p>
    <w:p>
      <w:pPr>
        <w:spacing w:before="120" w:after="120" w:line="300" w:lineRule="atLeast"/>
        <w:jc w:val="left"/>
      </w:pPr>
      <w:r>
        <w:t xml:space="preserve">Mugnai L, Graniti A, Surico G (1999) Esca (black measles) and brown wood-streaking: two old and elusive diseases of grapevine. </w:t>
      </w:r>
      <w:r>
        <w:rPr>
          <w:i/>
          <w:iCs/>
        </w:rPr>
        <w:t>Plant Disease</w:t>
      </w:r>
      <w:r>
        <w:t xml:space="preserve"> </w:t>
      </w:r>
      <w:r>
        <w:rPr>
          <w:bCs/>
        </w:rPr>
        <w:t>83:</w:t>
      </w:r>
      <w:r>
        <w:t xml:space="preserve"> 404–418.</w:t>
      </w:r>
    </w:p>
    <w:p>
      <w:pPr>
        <w:spacing w:before="120" w:after="120" w:line="300" w:lineRule="atLeast"/>
        <w:jc w:val="left"/>
      </w:pPr>
      <w:r>
        <w:t xml:space="preserve">Murant AF (1983) Seed and pollen transmission of nematode borne viruses. </w:t>
      </w:r>
      <w:r>
        <w:rPr>
          <w:i/>
        </w:rPr>
        <w:t>Seed Science and</w:t>
      </w:r>
      <w:r>
        <w:t xml:space="preserve"> </w:t>
      </w:r>
      <w:r>
        <w:rPr>
          <w:i/>
        </w:rPr>
        <w:t>Technology</w:t>
      </w:r>
      <w:r>
        <w:t xml:space="preserve"> 11: 973</w:t>
      </w:r>
      <w:r>
        <w:rPr>
          <w:bCs/>
        </w:rPr>
        <w:t>–</w:t>
      </w:r>
      <w:r>
        <w:t>979</w:t>
      </w:r>
    </w:p>
    <w:p>
      <w:pPr>
        <w:spacing w:before="120" w:after="120" w:line="300" w:lineRule="atLeast"/>
        <w:jc w:val="left"/>
      </w:pPr>
      <w:r>
        <w:t xml:space="preserve">Nakaune R, Toda S, Mochizuki M, Nakano M (2008) Identification and characterization of a new vitivirus from grapevine. </w:t>
      </w:r>
      <w:r>
        <w:rPr>
          <w:i/>
        </w:rPr>
        <w:t>Archives of Virology</w:t>
      </w:r>
      <w:r>
        <w:t xml:space="preserve"> 153: 1827</w:t>
      </w:r>
      <w:r>
        <w:rPr>
          <w:bCs/>
        </w:rPr>
        <w:t>–</w:t>
      </w:r>
      <w:r>
        <w:t>1832.</w:t>
      </w:r>
    </w:p>
    <w:p>
      <w:pPr>
        <w:spacing w:before="120" w:after="120" w:line="300" w:lineRule="atLeast"/>
        <w:jc w:val="left"/>
        <w:rPr>
          <w:rStyle w:val="Strong"/>
          <w:b w:val="0"/>
          <w:i/>
        </w:rPr>
      </w:pPr>
      <w:r>
        <w:rPr>
          <w:rStyle w:val="Strong"/>
          <w:b w:val="0"/>
        </w:rPr>
        <w:t xml:space="preserve">Namba S, Boscia D, Azzam O, Maixner M, Hu JS, Golino D, Gonsales D (1991a) Purification and properties of closterovirus like particles associated with grapevine corky disease. </w:t>
      </w:r>
      <w:r>
        <w:rPr>
          <w:rStyle w:val="Strong"/>
          <w:b w:val="0"/>
          <w:i/>
        </w:rPr>
        <w:t xml:space="preserve">Phytopathology </w:t>
      </w:r>
      <w:r>
        <w:rPr>
          <w:rStyle w:val="Strong"/>
          <w:b w:val="0"/>
        </w:rPr>
        <w:t>81: 964–970.</w:t>
      </w:r>
    </w:p>
    <w:p>
      <w:pPr>
        <w:spacing w:before="120" w:after="120" w:line="300" w:lineRule="atLeast"/>
        <w:jc w:val="left"/>
        <w:rPr>
          <w:rStyle w:val="Strong"/>
          <w:b w:val="0"/>
        </w:rPr>
      </w:pPr>
      <w:r>
        <w:rPr>
          <w:rStyle w:val="Strong"/>
          <w:b w:val="0"/>
        </w:rPr>
        <w:t xml:space="preserve">Namba S, Boscia D, Yamashita S, Tsuchizaki T, Gonzalves D (1991b) Purification and properties of spherical virus particles associated with grapevine ajinashika disease. </w:t>
      </w:r>
      <w:r>
        <w:rPr>
          <w:rStyle w:val="Strong"/>
          <w:b w:val="0"/>
          <w:i/>
        </w:rPr>
        <w:t>Plant Disease</w:t>
      </w:r>
      <w:r>
        <w:rPr>
          <w:rStyle w:val="Strong"/>
          <w:b w:val="0"/>
        </w:rPr>
        <w:t xml:space="preserve"> 75: 1249–1253.</w:t>
      </w:r>
    </w:p>
    <w:p>
      <w:pPr>
        <w:spacing w:before="120" w:after="120" w:line="300" w:lineRule="atLeast"/>
        <w:jc w:val="left"/>
        <w:rPr>
          <w:rStyle w:val="Strong"/>
          <w:b w:val="0"/>
        </w:rPr>
      </w:pPr>
      <w:r>
        <w:rPr>
          <w:rStyle w:val="Strong"/>
          <w:b w:val="0"/>
        </w:rPr>
        <w:t xml:space="preserve">Namba S, Yamashita S, Doi Y, Yora K (1979) A small spherical virus associated with the ajinashika disease of Koshu grapevine. </w:t>
      </w:r>
      <w:r>
        <w:rPr>
          <w:rStyle w:val="Strong"/>
          <w:b w:val="0"/>
          <w:i/>
        </w:rPr>
        <w:t xml:space="preserve">Annals of the Phytopathological Society of </w:t>
      </w:r>
      <w:smartTag w:uri="urn:schemas-microsoft-com:office:smarttags" w:element="country-region">
        <w:smartTag w:uri="urn:schemas-microsoft-com:office:smarttags" w:element="place">
          <w:r>
            <w:rPr>
              <w:rStyle w:val="Strong"/>
              <w:b w:val="0"/>
              <w:i/>
            </w:rPr>
            <w:t>Japan</w:t>
          </w:r>
        </w:smartTag>
      </w:smartTag>
      <w:r>
        <w:rPr>
          <w:rStyle w:val="Strong"/>
          <w:b w:val="0"/>
        </w:rPr>
        <w:t xml:space="preserve"> 45: 70–73.</w:t>
      </w:r>
    </w:p>
    <w:p>
      <w:pPr>
        <w:spacing w:before="120" w:after="120" w:line="300" w:lineRule="atLeast"/>
        <w:jc w:val="left"/>
        <w:rPr>
          <w:rStyle w:val="Strong"/>
          <w:b w:val="0"/>
        </w:rPr>
      </w:pPr>
      <w:r>
        <w:rPr>
          <w:rStyle w:val="Strong"/>
          <w:b w:val="0"/>
        </w:rPr>
        <w:t xml:space="preserve">Nan ZB (1995) Fungicide seed treatments of sainfoin control seed-borne and root-invading fungi. </w:t>
      </w:r>
      <w:smartTag w:uri="urn:schemas-microsoft-com:office:smarttags" w:element="country-region">
        <w:smartTag w:uri="urn:schemas-microsoft-com:office:smarttags" w:element="place">
          <w:r>
            <w:rPr>
              <w:rStyle w:val="Strong"/>
              <w:b w:val="0"/>
              <w:i/>
            </w:rPr>
            <w:t>New Zealand</w:t>
          </w:r>
        </w:smartTag>
      </w:smartTag>
      <w:r>
        <w:rPr>
          <w:rStyle w:val="Strong"/>
          <w:b w:val="0"/>
          <w:i/>
        </w:rPr>
        <w:t xml:space="preserve"> Journal of Agricultural Research</w:t>
      </w:r>
      <w:r>
        <w:rPr>
          <w:rStyle w:val="Strong"/>
          <w:b w:val="0"/>
        </w:rPr>
        <w:t xml:space="preserve"> 38: 413–420.</w:t>
      </w:r>
    </w:p>
    <w:p>
      <w:pPr>
        <w:spacing w:before="120" w:after="120" w:line="300" w:lineRule="atLeast"/>
        <w:jc w:val="left"/>
      </w:pPr>
      <w:r>
        <w:t xml:space="preserve">Narai Y, Murai T </w:t>
      </w:r>
      <w:r>
        <w:rPr>
          <w:b/>
        </w:rPr>
        <w:t>(</w:t>
      </w:r>
      <w:r>
        <w:rPr>
          <w:rStyle w:val="Strong"/>
          <w:b w:val="0"/>
        </w:rPr>
        <w:t>2002</w:t>
      </w:r>
      <w:r>
        <w:rPr>
          <w:b/>
        </w:rPr>
        <w:t>)</w:t>
      </w:r>
      <w:r>
        <w:t xml:space="preserve"> Individual rearing of the Japanese mealybug, </w:t>
      </w:r>
      <w:r>
        <w:rPr>
          <w:i/>
        </w:rPr>
        <w:t>Planococcus kraunhiae</w:t>
      </w:r>
      <w:r>
        <w:t xml:space="preserve"> (Kuwana) (Homoptera: Pseudococcidae) on germinated broad bean seeds. </w:t>
      </w:r>
      <w:r>
        <w:rPr>
          <w:i/>
        </w:rPr>
        <w:t>Applied Entomology and Zoology</w:t>
      </w:r>
      <w:r>
        <w:t xml:space="preserve"> 37: 295–298.</w:t>
      </w:r>
    </w:p>
    <w:p>
      <w:pPr>
        <w:spacing w:before="120" w:after="120" w:line="300" w:lineRule="atLeast"/>
        <w:jc w:val="left"/>
        <w:rPr>
          <w:rStyle w:val="Strong"/>
          <w:b w:val="0"/>
        </w:rPr>
      </w:pPr>
      <w:r>
        <w:rPr>
          <w:rStyle w:val="Strong"/>
          <w:b w:val="0"/>
        </w:rPr>
        <w:t xml:space="preserve">Nascimento ARP, Mariano RLR (2004) Cancro bacteriano da videira: etiologia, epidemiologia e medidas de controle. </w:t>
      </w:r>
      <w:r>
        <w:rPr>
          <w:rStyle w:val="Strong"/>
          <w:b w:val="0"/>
          <w:i/>
        </w:rPr>
        <w:t xml:space="preserve">Ciência Rural, </w:t>
      </w:r>
      <w:smartTag w:uri="urn:schemas-microsoft-com:office:smarttags" w:element="City">
        <w:smartTag w:uri="urn:schemas-microsoft-com:office:smarttags" w:element="place">
          <w:r>
            <w:rPr>
              <w:rStyle w:val="Strong"/>
              <w:b w:val="0"/>
              <w:i/>
            </w:rPr>
            <w:t>Santa Maria</w:t>
          </w:r>
        </w:smartTag>
      </w:smartTag>
      <w:r>
        <w:rPr>
          <w:rStyle w:val="Strong"/>
          <w:b w:val="0"/>
        </w:rPr>
        <w:t xml:space="preserve"> 34: 301–307.</w:t>
      </w:r>
    </w:p>
    <w:p>
      <w:pPr>
        <w:spacing w:before="120" w:after="120" w:line="300" w:lineRule="atLeast"/>
        <w:jc w:val="left"/>
        <w:rPr>
          <w:rStyle w:val="Strong"/>
          <w:b w:val="0"/>
        </w:rPr>
      </w:pPr>
      <w:r>
        <w:rPr>
          <w:rStyle w:val="Strong"/>
          <w:b w:val="0"/>
        </w:rPr>
        <w:t xml:space="preserve">Nascimento ARP, Michereff SJ, Mariano R de LR, Gomes AMA (2005) Elaboração e validação de escala diagramática para cancro bacteriano da videira. </w:t>
      </w:r>
      <w:r>
        <w:rPr>
          <w:rStyle w:val="Strong"/>
          <w:b w:val="0"/>
          <w:i/>
        </w:rPr>
        <w:t>Summa Phytopathologica</w:t>
      </w:r>
      <w:r>
        <w:rPr>
          <w:rStyle w:val="Strong"/>
          <w:b w:val="0"/>
        </w:rPr>
        <w:t xml:space="preserve"> 31: 59</w:t>
      </w:r>
      <w:r>
        <w:rPr>
          <w:bCs/>
        </w:rPr>
        <w:t>–</w:t>
      </w:r>
      <w:r>
        <w:rPr>
          <w:rStyle w:val="Strong"/>
          <w:b w:val="0"/>
        </w:rPr>
        <w:t>64.</w:t>
      </w:r>
    </w:p>
    <w:p>
      <w:pPr>
        <w:spacing w:before="120" w:after="120" w:line="300" w:lineRule="atLeast"/>
        <w:jc w:val="left"/>
        <w:rPr>
          <w:rStyle w:val="Strong"/>
          <w:b w:val="0"/>
        </w:rPr>
      </w:pPr>
      <w:r>
        <w:rPr>
          <w:rStyle w:val="Strong"/>
          <w:b w:val="0"/>
        </w:rPr>
        <w:t xml:space="preserve">Naumann ID (1993) </w:t>
      </w:r>
      <w:r>
        <w:rPr>
          <w:rStyle w:val="Strong"/>
          <w:b w:val="0"/>
          <w:i/>
        </w:rPr>
        <w:t>CSIRO Handbook of Australian Insect Names: Common and scientific names for insects and allied organisms of economic and environmental importance</w:t>
      </w:r>
      <w:r>
        <w:rPr>
          <w:rStyle w:val="Strong"/>
          <w:b w:val="0"/>
        </w:rPr>
        <w:t>. CSIRO Publications, East Melbourne, Victoria, Australia.</w:t>
      </w:r>
    </w:p>
    <w:p>
      <w:pPr>
        <w:pStyle w:val="NormalWeb"/>
        <w:spacing w:before="120" w:beforeAutospacing="0" w:after="120" w:afterAutospacing="0" w:line="300" w:lineRule="atLeast"/>
        <w:jc w:val="left"/>
        <w:rPr>
          <w:rStyle w:val="journalabstracttitle1"/>
          <w:rFonts w:ascii="Times New Roman" w:hAnsi="Times New Roman" w:cs="Times New Roman"/>
          <w:b w:val="0"/>
          <w:sz w:val="24"/>
          <w:szCs w:val="24"/>
        </w:rPr>
      </w:pPr>
      <w:r>
        <w:rPr>
          <w:rStyle w:val="journalabstracttitle1"/>
          <w:rFonts w:ascii="Times New Roman" w:hAnsi="Times New Roman" w:cs="Times New Roman"/>
          <w:b w:val="0"/>
          <w:sz w:val="24"/>
          <w:szCs w:val="24"/>
        </w:rPr>
        <w:t>Navarrete F, Abreo E, Betucci L, Lupo S (2010) Pathogenicity of fungi less frequently associated with trunk disease in grapevines. In Abstracts of oral and poster presentations given at the 7</w:t>
      </w:r>
      <w:r>
        <w:rPr>
          <w:rStyle w:val="journalabstracttitle1"/>
          <w:rFonts w:ascii="Times New Roman" w:hAnsi="Times New Roman" w:cs="Times New Roman"/>
          <w:b w:val="0"/>
          <w:sz w:val="24"/>
          <w:szCs w:val="24"/>
          <w:vertAlign w:val="superscript"/>
        </w:rPr>
        <w:t>th</w:t>
      </w:r>
      <w:r>
        <w:rPr>
          <w:rStyle w:val="journalabstracttitle1"/>
          <w:rFonts w:ascii="Times New Roman" w:hAnsi="Times New Roman" w:cs="Times New Roman"/>
          <w:b w:val="0"/>
          <w:sz w:val="24"/>
          <w:szCs w:val="24"/>
        </w:rPr>
        <w:t xml:space="preserve"> International Workshop on Grapevine Trunk Diseases, Santa Cruz, Chile, 17–21 January 2010. </w:t>
      </w:r>
      <w:r>
        <w:rPr>
          <w:rStyle w:val="journalabstracttitle1"/>
          <w:rFonts w:ascii="Times New Roman" w:hAnsi="Times New Roman" w:cs="Times New Roman"/>
          <w:b w:val="0"/>
          <w:i/>
          <w:sz w:val="24"/>
          <w:szCs w:val="24"/>
        </w:rPr>
        <w:t xml:space="preserve">Phytopathologia Mediterranea </w:t>
      </w:r>
      <w:r>
        <w:rPr>
          <w:rStyle w:val="journalabstracttitle1"/>
          <w:rFonts w:ascii="Times New Roman" w:hAnsi="Times New Roman" w:cs="Times New Roman"/>
          <w:b w:val="0"/>
          <w:sz w:val="24"/>
          <w:szCs w:val="24"/>
        </w:rPr>
        <w:t>49: 105.</w:t>
      </w:r>
    </w:p>
    <w:p>
      <w:pPr>
        <w:spacing w:before="120" w:after="120" w:line="300" w:lineRule="atLeast"/>
        <w:jc w:val="left"/>
        <w:rPr>
          <w:lang w:eastAsia="en-AU"/>
        </w:rPr>
      </w:pPr>
      <w:r>
        <w:rPr>
          <w:lang w:eastAsia="en-AU"/>
        </w:rPr>
        <w:t xml:space="preserve">NCBI (2010) Necrovirus. National Centre for Biotechnology Information. </w:t>
      </w:r>
      <w:r>
        <w:rPr>
          <w:u w:val="single"/>
          <w:lang w:eastAsia="en-AU"/>
        </w:rPr>
        <w:t>http://www.ncbi.nlm.nih.gov/Taxonomy/Browser/wwwtax.cgi?id=12052</w:t>
      </w:r>
      <w:r>
        <w:rPr>
          <w:lang w:eastAsia="en-AU"/>
        </w:rPr>
        <w:t xml:space="preserve"> Accessed September 2010.</w:t>
      </w:r>
    </w:p>
    <w:p>
      <w:pPr>
        <w:autoSpaceDE w:val="0"/>
        <w:autoSpaceDN w:val="0"/>
        <w:spacing w:before="120" w:after="120" w:line="300" w:lineRule="atLeast"/>
        <w:jc w:val="left"/>
        <w:rPr>
          <w:lang w:eastAsia="en-AU"/>
        </w:rPr>
      </w:pPr>
      <w:r>
        <w:rPr>
          <w:lang w:eastAsia="en-AU"/>
        </w:rPr>
        <w:t xml:space="preserve">Neate SM, Cruickshank RH, Rovira AD (1988) Pectic enzyme patterns of </w:t>
      </w:r>
      <w:r>
        <w:rPr>
          <w:i/>
          <w:lang w:eastAsia="en-AU"/>
        </w:rPr>
        <w:t>Rhizoctonia solani</w:t>
      </w:r>
      <w:r>
        <w:rPr>
          <w:lang w:eastAsia="en-AU"/>
        </w:rPr>
        <w:t xml:space="preserve"> isolates from agricultural soils in </w:t>
      </w:r>
      <w:smartTag w:uri="urn:schemas-microsoft-com:office:smarttags" w:element="place">
        <w:smartTag w:uri="urn:schemas-microsoft-com:office:smarttags" w:element="State">
          <w:r>
            <w:rPr>
              <w:lang w:eastAsia="en-AU"/>
            </w:rPr>
            <w:t>South Australia</w:t>
          </w:r>
        </w:smartTag>
      </w:smartTag>
      <w:r>
        <w:rPr>
          <w:lang w:eastAsia="en-AU"/>
        </w:rPr>
        <w:t xml:space="preserve">. </w:t>
      </w:r>
      <w:r>
        <w:rPr>
          <w:i/>
          <w:lang w:eastAsia="en-AU"/>
        </w:rPr>
        <w:t>Transactions</w:t>
      </w:r>
      <w:r>
        <w:rPr>
          <w:lang w:eastAsia="en-AU"/>
        </w:rPr>
        <w:t xml:space="preserve"> </w:t>
      </w:r>
      <w:r>
        <w:rPr>
          <w:i/>
          <w:lang w:eastAsia="en-AU"/>
        </w:rPr>
        <w:t>of the British Mycological Society</w:t>
      </w:r>
      <w:r>
        <w:rPr>
          <w:lang w:eastAsia="en-AU"/>
        </w:rPr>
        <w:t xml:space="preserve"> 90: 37–42.</w:t>
      </w:r>
    </w:p>
    <w:p>
      <w:pPr>
        <w:spacing w:before="120" w:after="120" w:line="300" w:lineRule="atLeast"/>
        <w:jc w:val="left"/>
      </w:pPr>
      <w:r>
        <w:t xml:space="preserve">NHB (2007) </w:t>
      </w:r>
      <w:r>
        <w:rPr>
          <w:i/>
        </w:rPr>
        <w:t xml:space="preserve">Grapes – Pests. </w:t>
      </w:r>
      <w:r>
        <w:t xml:space="preserve"> National Horticulture Board, India. </w:t>
      </w:r>
      <w:r>
        <w:rPr>
          <w:u w:val="single"/>
        </w:rPr>
        <w:t>http://nhb.gov.in/bulletin_files/fruits/grape/gra008.pdf</w:t>
      </w:r>
      <w:r>
        <w:t xml:space="preserve"> Accessed May 2010. </w:t>
      </w:r>
    </w:p>
    <w:p>
      <w:pPr>
        <w:spacing w:before="120" w:after="120" w:line="300" w:lineRule="atLeast"/>
        <w:jc w:val="left"/>
      </w:pPr>
      <w:r>
        <w:t xml:space="preserve">Nicholas P, Magarey P, Wachtel M (1994) </w:t>
      </w:r>
      <w:r>
        <w:rPr>
          <w:i/>
        </w:rPr>
        <w:t xml:space="preserve">Diseases and Pests. Grape Production Series Number 1. </w:t>
      </w:r>
      <w:r>
        <w:t xml:space="preserve">Winetitles, </w:t>
      </w:r>
      <w:smartTag w:uri="urn:schemas-microsoft-com:office:smarttags" w:element="City">
        <w:smartTag w:uri="urn:schemas-microsoft-com:office:smarttags" w:element="place">
          <w:r>
            <w:t>Adelaide</w:t>
          </w:r>
        </w:smartTag>
      </w:smartTag>
      <w:r>
        <w:t>.</w:t>
      </w:r>
    </w:p>
    <w:p>
      <w:pPr>
        <w:autoSpaceDE w:val="0"/>
        <w:autoSpaceDN w:val="0"/>
        <w:spacing w:before="120" w:after="120" w:line="300" w:lineRule="atLeast"/>
        <w:jc w:val="left"/>
      </w:pPr>
      <w:r>
        <w:t xml:space="preserve">Nickel H, Remane R (2002) Check list of the planthoppers and leafhoppers of Germany, with notes on food plants, diet width, life cycles, geographic range and conservation status (Hemiptera, Fulgoromorpha and Cicadomorpha). </w:t>
      </w:r>
      <w:r>
        <w:rPr>
          <w:bCs/>
          <w:u w:val="single"/>
        </w:rPr>
        <w:t>http://wwwuser.gwdg.de/~hnickel/brdlist_eng.pdf</w:t>
      </w:r>
      <w:r>
        <w:t xml:space="preserve"> Accessed October 2011.</w:t>
      </w:r>
    </w:p>
    <w:p>
      <w:pPr>
        <w:autoSpaceDE w:val="0"/>
        <w:autoSpaceDN w:val="0"/>
        <w:spacing w:before="120" w:after="120" w:line="300" w:lineRule="atLeast"/>
        <w:jc w:val="left"/>
      </w:pPr>
      <w:r>
        <w:t xml:space="preserve">Nielsen ES, Edwards ED, Rangsi TV (1996) </w:t>
      </w:r>
      <w:r>
        <w:rPr>
          <w:i/>
        </w:rPr>
        <w:t>Checklist of the Lepidoptera of Australia</w:t>
      </w:r>
      <w:r>
        <w:t>. Commonwealth Scientific and Industrial Research Organisation, Collingwood.</w:t>
      </w:r>
    </w:p>
    <w:p>
      <w:pPr>
        <w:autoSpaceDE w:val="0"/>
        <w:autoSpaceDN w:val="0"/>
        <w:spacing w:before="120" w:after="120" w:line="300" w:lineRule="atLeast"/>
        <w:jc w:val="left"/>
        <w:rPr>
          <w:lang w:eastAsia="en-AU"/>
        </w:rPr>
      </w:pPr>
      <w:r>
        <w:rPr>
          <w:lang w:eastAsia="en-AU"/>
        </w:rPr>
        <w:t xml:space="preserve">Nietschke BS, Borchert DM, Magarey RD, Ciomperlik MA(2008) Climatological potential for </w:t>
      </w:r>
      <w:r>
        <w:rPr>
          <w:i/>
          <w:iCs/>
          <w:lang w:eastAsia="en-AU"/>
        </w:rPr>
        <w:t xml:space="preserve">Scirtothrips dorsalis </w:t>
      </w:r>
      <w:r>
        <w:rPr>
          <w:lang w:eastAsia="en-AU"/>
        </w:rPr>
        <w:t xml:space="preserve">(Thysanoptera: Thripidae) establishment in the United States. </w:t>
      </w:r>
      <w:smartTag w:uri="urn:schemas-microsoft-com:office:smarttags" w:element="State">
        <w:smartTag w:uri="urn:schemas-microsoft-com:office:smarttags" w:element="place">
          <w:r>
            <w:rPr>
              <w:i/>
              <w:iCs/>
              <w:lang w:eastAsia="en-AU"/>
            </w:rPr>
            <w:t>Florida</w:t>
          </w:r>
        </w:smartTag>
      </w:smartTag>
      <w:r>
        <w:rPr>
          <w:i/>
          <w:iCs/>
          <w:lang w:eastAsia="en-AU"/>
        </w:rPr>
        <w:t xml:space="preserve"> Entomologist </w:t>
      </w:r>
      <w:r>
        <w:rPr>
          <w:lang w:eastAsia="en-AU"/>
        </w:rPr>
        <w:t>91: 79–86.</w:t>
      </w:r>
    </w:p>
    <w:p>
      <w:pPr>
        <w:spacing w:before="120" w:after="120" w:line="300" w:lineRule="atLeast"/>
        <w:jc w:val="left"/>
      </w:pPr>
      <w:r>
        <w:t xml:space="preserve">NIIR (2004) </w:t>
      </w:r>
      <w:r>
        <w:rPr>
          <w:i/>
        </w:rPr>
        <w:t>Cultivation of fruits, vegetables and floriculture.</w:t>
      </w:r>
      <w:r>
        <w:t xml:space="preserve"> National Institute of Industrial Research. </w:t>
      </w:r>
      <w:smartTag w:uri="urn:schemas-microsoft-com:office:smarttags" w:element="place">
        <w:smartTag w:uri="urn:schemas-microsoft-com:office:smarttags" w:element="City">
          <w:r>
            <w:t>New Delhi</w:t>
          </w:r>
        </w:smartTag>
        <w:r>
          <w:t xml:space="preserve">, </w:t>
        </w:r>
        <w:smartTag w:uri="urn:schemas-microsoft-com:office:smarttags" w:element="country-region">
          <w:r>
            <w:t>India</w:t>
          </w:r>
        </w:smartTag>
      </w:smartTag>
      <w:r>
        <w:t>.</w:t>
      </w:r>
    </w:p>
    <w:p>
      <w:pPr>
        <w:spacing w:before="120" w:after="120" w:line="300" w:lineRule="atLeast"/>
        <w:jc w:val="left"/>
      </w:pPr>
      <w:r>
        <w:t xml:space="preserve">Nishijima T, Terai Y, Kunugi Y (2000) Studies </w:t>
      </w:r>
      <w:r>
        <w:rPr>
          <w:bCs/>
        </w:rPr>
        <w:t>on</w:t>
      </w:r>
      <w:r>
        <w:t xml:space="preserve"> the </w:t>
      </w:r>
      <w:r>
        <w:rPr>
          <w:i/>
        </w:rPr>
        <w:t xml:space="preserve">Grapevine berry necrosis virus </w:t>
      </w:r>
      <w:r>
        <w:t>disease.</w:t>
      </w:r>
      <w:r>
        <w:rPr>
          <w:i/>
        </w:rPr>
        <w:t xml:space="preserve"> I.</w:t>
      </w:r>
      <w:r>
        <w:t xml:space="preserve"> Symptoms on vines, varietal susceptibility and natural spread. </w:t>
      </w:r>
      <w:r>
        <w:rPr>
          <w:i/>
        </w:rPr>
        <w:t xml:space="preserve">Bulletin of the Yamanashi Fruit Tree Experimental Station </w:t>
      </w:r>
      <w:r>
        <w:t>67: 47–56.</w:t>
      </w:r>
    </w:p>
    <w:p>
      <w:pPr>
        <w:spacing w:before="120" w:after="120" w:line="300" w:lineRule="atLeast"/>
        <w:jc w:val="left"/>
      </w:pPr>
      <w:r>
        <w:t xml:space="preserve">Norton M (1991) Timing </w:t>
      </w:r>
      <w:r>
        <w:rPr>
          <w:i/>
        </w:rPr>
        <w:t>Bacillus thuringiensis</w:t>
      </w:r>
      <w:r>
        <w:t xml:space="preserve"> insecticides for omnivorous leafroller control in grapes. </w:t>
      </w:r>
      <w:r>
        <w:rPr>
          <w:i/>
        </w:rPr>
        <w:t>Components</w:t>
      </w:r>
      <w:r>
        <w:t xml:space="preserve"> 2: 5–6. </w:t>
      </w:r>
    </w:p>
    <w:p>
      <w:pPr>
        <w:spacing w:before="120" w:after="120" w:line="300" w:lineRule="atLeast"/>
        <w:jc w:val="left"/>
      </w:pPr>
      <w:r>
        <w:t xml:space="preserve">Novák JB, Lanzová J (1976) Identification of </w:t>
      </w:r>
      <w:r>
        <w:rPr>
          <w:i/>
        </w:rPr>
        <w:t>Alfalfa mosaic virus</w:t>
      </w:r>
      <w:r>
        <w:t xml:space="preserve"> and </w:t>
      </w:r>
      <w:r>
        <w:rPr>
          <w:i/>
        </w:rPr>
        <w:t xml:space="preserve">Tomato bushy stunt virus </w:t>
      </w:r>
      <w:r>
        <w:t>in hop (</w:t>
      </w:r>
      <w:r>
        <w:rPr>
          <w:i/>
        </w:rPr>
        <w:t>Humulus lupulus</w:t>
      </w:r>
      <w:r>
        <w:t xml:space="preserve"> L.) and grapevine (</w:t>
      </w:r>
      <w:r>
        <w:rPr>
          <w:i/>
        </w:rPr>
        <w:t>Vitis vinifera</w:t>
      </w:r>
      <w:r>
        <w:t xml:space="preserve"> subsp. </w:t>
      </w:r>
      <w:r>
        <w:rPr>
          <w:i/>
        </w:rPr>
        <w:t xml:space="preserve">sativa </w:t>
      </w:r>
      <w:r>
        <w:t xml:space="preserve">(DC/HEGI) plants in </w:t>
      </w:r>
      <w:smartTag w:uri="urn:schemas-microsoft-com:office:smarttags" w:element="place">
        <w:smartTag w:uri="urn:schemas-microsoft-com:office:smarttags" w:element="country-region">
          <w:r>
            <w:t>Czechoslovakia</w:t>
          </w:r>
        </w:smartTag>
      </w:smartTag>
      <w:r>
        <w:t xml:space="preserve"> (Brief Communication). </w:t>
      </w:r>
      <w:r>
        <w:rPr>
          <w:i/>
        </w:rPr>
        <w:t>Biologia Plantarum</w:t>
      </w:r>
      <w:r>
        <w:t xml:space="preserve"> 18: 152–154.</w:t>
      </w:r>
    </w:p>
    <w:p>
      <w:pPr>
        <w:tabs>
          <w:tab w:val="left" w:pos="0"/>
        </w:tabs>
        <w:spacing w:after="240" w:line="240" w:lineRule="atLeast"/>
      </w:pPr>
      <w:r>
        <w:t xml:space="preserve">NPQS (2007) </w:t>
      </w:r>
      <w:r>
        <w:rPr>
          <w:i/>
        </w:rPr>
        <w:t>PRA materials of grapes from Korea</w:t>
      </w:r>
      <w:r>
        <w:t>. National Plant Quarantine Service</w:t>
      </w:r>
      <w:r>
        <w:rPr>
          <w:rFonts w:ascii="Arial" w:hAnsi="Arial" w:cs="Arial"/>
        </w:rPr>
        <w:t xml:space="preserve">, </w:t>
      </w:r>
      <w:r>
        <w:t>Korea.</w:t>
      </w:r>
    </w:p>
    <w:p>
      <w:pPr>
        <w:spacing w:before="120" w:after="120" w:line="300" w:lineRule="atLeast"/>
        <w:jc w:val="left"/>
      </w:pPr>
      <w:r>
        <w:t xml:space="preserve">OARDC (2008) Insect and mite pests of grapes in Ohio and the Midwest. Ohio Agricultural Research and Development Centre. The Ohio State University. </w:t>
      </w:r>
      <w:smartTag w:uri="urn:schemas-microsoft-com:office:smarttags" w:element="State">
        <w:r>
          <w:t>Ohio</w:t>
        </w:r>
      </w:smartTag>
      <w:r>
        <w:t xml:space="preserve">, </w:t>
      </w:r>
      <w:smartTag w:uri="urn:schemas-microsoft-com:office:smarttags" w:element="country-region">
        <w:smartTag w:uri="urn:schemas-microsoft-com:office:smarttags" w:element="place">
          <w:r>
            <w:t>USA</w:t>
          </w:r>
        </w:smartTag>
      </w:smartTag>
      <w:r>
        <w:t xml:space="preserve">. </w:t>
      </w:r>
      <w:r>
        <w:rPr>
          <w:u w:val="single"/>
        </w:rPr>
        <w:t>http://www.oardc.ohio-state.edu/grapeipm/index.htm</w:t>
      </w:r>
      <w:r>
        <w:t xml:space="preserve"> Accessed March 2008.</w:t>
      </w:r>
    </w:p>
    <w:p>
      <w:pPr>
        <w:pStyle w:val="AQISText"/>
        <w:spacing w:before="120" w:after="120" w:line="300" w:lineRule="atLeast"/>
        <w:jc w:val="left"/>
        <w:rPr>
          <w:sz w:val="24"/>
          <w:szCs w:val="24"/>
          <w:lang w:eastAsia="en-AU"/>
        </w:rPr>
      </w:pPr>
      <w:r>
        <w:rPr>
          <w:sz w:val="24"/>
          <w:szCs w:val="24"/>
          <w:lang w:eastAsia="en-AU"/>
        </w:rPr>
        <w:t xml:space="preserve">Ochoa-Corona FM, Lebas BS, Tang JZ, Bootten TJ, Stewart FJ, Harris R, Elliott DR, Alexander BJR (2006) RT-PCR detection and strain typing of </w:t>
      </w:r>
      <w:r>
        <w:rPr>
          <w:i/>
          <w:iCs/>
          <w:sz w:val="24"/>
          <w:szCs w:val="24"/>
          <w:lang w:eastAsia="en-AU"/>
        </w:rPr>
        <w:t>Raspberry ringspot virus</w:t>
      </w:r>
      <w:r>
        <w:rPr>
          <w:sz w:val="24"/>
          <w:szCs w:val="24"/>
          <w:lang w:eastAsia="en-AU"/>
        </w:rPr>
        <w:t xml:space="preserve">. </w:t>
      </w:r>
      <w:r>
        <w:rPr>
          <w:i/>
          <w:sz w:val="24"/>
          <w:szCs w:val="24"/>
          <w:lang w:eastAsia="en-AU"/>
        </w:rPr>
        <w:t>Proceedings of the XXth International Symposium on Virus and Virus-like Diseases of Temperate Fruit Crops &amp; XIth International Symposium on Small Fruit Virus Diseases, Antalya, Turkey</w:t>
      </w:r>
      <w:r>
        <w:rPr>
          <w:sz w:val="24"/>
          <w:szCs w:val="24"/>
          <w:lang w:eastAsia="en-AU"/>
        </w:rPr>
        <w:t>.</w:t>
      </w:r>
    </w:p>
    <w:p>
      <w:pPr>
        <w:spacing w:before="120" w:after="120" w:line="300" w:lineRule="atLeast"/>
        <w:jc w:val="left"/>
      </w:pPr>
      <w:r>
        <w:t xml:space="preserve">OEPP/EPPO (1982) Data sheets on quarantine organisms No. 102, </w:t>
      </w:r>
      <w:r>
        <w:rPr>
          <w:i/>
        </w:rPr>
        <w:t>Tomato ringspot virus.</w:t>
      </w:r>
      <w:r>
        <w:t xml:space="preserve"> </w:t>
      </w:r>
      <w:r>
        <w:rPr>
          <w:i/>
        </w:rPr>
        <w:t xml:space="preserve">Bulletin OEPP/EPPO Bulletin </w:t>
      </w:r>
      <w:r>
        <w:t>12: 1.</w:t>
      </w:r>
    </w:p>
    <w:p>
      <w:pPr>
        <w:spacing w:before="120" w:after="120" w:line="300" w:lineRule="atLeast"/>
        <w:jc w:val="left"/>
        <w:rPr>
          <w:lang w:eastAsia="en-AU"/>
        </w:rPr>
      </w:pPr>
      <w:r>
        <w:rPr>
          <w:lang w:eastAsia="en-AU"/>
        </w:rPr>
        <w:t xml:space="preserve">OEPP/EPPO (1984) Data sheets on quarantine organisms No. 133, </w:t>
      </w:r>
      <w:r>
        <w:rPr>
          <w:i/>
          <w:lang w:eastAsia="en-AU"/>
        </w:rPr>
        <w:t>Xanthomonas</w:t>
      </w:r>
      <w:r>
        <w:rPr>
          <w:lang w:eastAsia="en-AU"/>
        </w:rPr>
        <w:t xml:space="preserve"> </w:t>
      </w:r>
      <w:r>
        <w:rPr>
          <w:i/>
          <w:lang w:eastAsia="en-AU"/>
        </w:rPr>
        <w:t>ampelina</w:t>
      </w:r>
      <w:r>
        <w:rPr>
          <w:lang w:eastAsia="en-AU"/>
        </w:rPr>
        <w:t xml:space="preserve">. </w:t>
      </w:r>
      <w:r>
        <w:rPr>
          <w:i/>
          <w:lang w:eastAsia="en-AU"/>
        </w:rPr>
        <w:t>Bulletin OEPP/EPPO Bulletin</w:t>
      </w:r>
      <w:r>
        <w:rPr>
          <w:lang w:eastAsia="en-AU"/>
        </w:rPr>
        <w:t xml:space="preserve"> 14: 39–43.</w:t>
      </w:r>
    </w:p>
    <w:p>
      <w:pPr>
        <w:spacing w:before="120" w:after="120" w:line="300" w:lineRule="atLeast"/>
        <w:jc w:val="left"/>
      </w:pPr>
      <w:r>
        <w:t xml:space="preserve">OHU (2010) Insects attacking grape foliage. Ohio State University. </w:t>
      </w:r>
      <w:hyperlink r:id="rId180" w:history="1">
        <w:r>
          <w:rPr>
            <w:u w:val="single"/>
          </w:rPr>
          <w:t>http://www.oardc.ohio-state.edu/grapeipm/insects_attacking_grape_foliage.htm</w:t>
        </w:r>
      </w:hyperlink>
      <w:r>
        <w:t xml:space="preserve"> Accessed May 2010.</w:t>
      </w:r>
    </w:p>
    <w:p>
      <w:pPr>
        <w:autoSpaceDE w:val="0"/>
        <w:autoSpaceDN w:val="0"/>
        <w:spacing w:before="120" w:after="120" w:line="300" w:lineRule="atLeast"/>
        <w:jc w:val="left"/>
      </w:pPr>
      <w:r>
        <w:t xml:space="preserve">Okafor UA, Emezue TN, Okochi VI, Onyegeme-Okerenta BM, Nwodo-Chinedu S (2007) Xylanase production by </w:t>
      </w:r>
      <w:r>
        <w:rPr>
          <w:i/>
        </w:rPr>
        <w:t>Penicillium chrysogenum</w:t>
      </w:r>
      <w:r>
        <w:t xml:space="preserve"> (PCL501) fermented on cellulosic wastes. </w:t>
      </w:r>
      <w:r>
        <w:rPr>
          <w:i/>
        </w:rPr>
        <w:t>African Journal of Biochemistry Research</w:t>
      </w:r>
      <w:r>
        <w:t xml:space="preserve"> 1: 048</w:t>
      </w:r>
      <w:r>
        <w:rPr>
          <w:bCs/>
        </w:rPr>
        <w:t>–</w:t>
      </w:r>
      <w:r>
        <w:t>053.</w:t>
      </w:r>
    </w:p>
    <w:p>
      <w:pPr>
        <w:autoSpaceDE w:val="0"/>
        <w:autoSpaceDN w:val="0"/>
        <w:spacing w:before="120" w:after="120" w:line="300" w:lineRule="atLeast"/>
        <w:jc w:val="left"/>
        <w:rPr>
          <w:lang w:eastAsia="en-AU"/>
        </w:rPr>
      </w:pPr>
      <w:r>
        <w:rPr>
          <w:lang w:eastAsia="en-AU"/>
        </w:rPr>
        <w:t xml:space="preserve">Oklahoma State University (2011) </w:t>
      </w:r>
      <w:r>
        <w:rPr>
          <w:i/>
          <w:lang w:eastAsia="en-AU"/>
        </w:rPr>
        <w:t>Arabis Mosaic Virus.</w:t>
      </w:r>
      <w:r>
        <w:rPr>
          <w:lang w:eastAsia="en-AU"/>
        </w:rPr>
        <w:t xml:space="preserve"> </w:t>
      </w:r>
      <w:r>
        <w:rPr>
          <w:u w:val="single"/>
          <w:lang w:eastAsia="en-AU"/>
        </w:rPr>
        <w:t>http://www.ento.okstate.edu/ddd/diseases/armv.htm</w:t>
      </w:r>
      <w:r>
        <w:rPr>
          <w:lang w:eastAsia="en-AU"/>
        </w:rPr>
        <w:t xml:space="preserve"> Accessed September 2011.</w:t>
      </w:r>
    </w:p>
    <w:p>
      <w:pPr>
        <w:spacing w:before="120" w:after="120" w:line="300" w:lineRule="atLeast"/>
        <w:jc w:val="left"/>
      </w:pPr>
      <w:r>
        <w:t xml:space="preserve">Oliver JE, Fuchs MF (2011) Fanleaf degeneration/decline disease of grapevines. </w:t>
      </w:r>
      <w:r>
        <w:rPr>
          <w:u w:val="single"/>
          <w:lang w:eastAsia="en-AU"/>
        </w:rPr>
        <w:t>www.nysipm.cornell.edu/factsheets/grapes/diseases/fanleaf.pdf</w:t>
      </w:r>
      <w:r>
        <w:rPr>
          <w:lang w:eastAsia="en-AU"/>
        </w:rPr>
        <w:t xml:space="preserve"> Accessed September 2011.</w:t>
      </w:r>
    </w:p>
    <w:p>
      <w:pPr>
        <w:autoSpaceDE w:val="0"/>
        <w:autoSpaceDN w:val="0"/>
        <w:spacing w:before="120" w:after="120" w:line="300" w:lineRule="atLeast"/>
        <w:jc w:val="left"/>
      </w:pPr>
      <w:r>
        <w:t xml:space="preserve">Olivier CY, Lowery DT, Stobbs LW (2009a) Phytoplasma diseases and their relationships with insect and plant hosts in Canadian horticultural and field crops. </w:t>
      </w:r>
      <w:r>
        <w:rPr>
          <w:i/>
        </w:rPr>
        <w:t xml:space="preserve">The Canadian Entomologist </w:t>
      </w:r>
      <w:r>
        <w:t>141: 425–462.</w:t>
      </w:r>
    </w:p>
    <w:p>
      <w:pPr>
        <w:autoSpaceDE w:val="0"/>
        <w:autoSpaceDN w:val="0"/>
        <w:spacing w:before="120" w:after="120" w:line="300" w:lineRule="atLeast"/>
        <w:jc w:val="left"/>
      </w:pPr>
      <w:r>
        <w:t>Olivier CY, Lowery DT, Stobbs LW, Vincent C, Galka B, Saquez J, Bittner L, Johnson R, Rott M, Masters C, Green M (2009b) First report of Aster yellow phytoplasmas (</w:t>
      </w:r>
      <w:r>
        <w:rPr>
          <w:i/>
        </w:rPr>
        <w:t>'Candidatus</w:t>
      </w:r>
      <w:r>
        <w:t xml:space="preserve"> Phytoplasma asteris') in Canadian grapevines. </w:t>
      </w:r>
      <w:r>
        <w:rPr>
          <w:i/>
        </w:rPr>
        <w:t>Plant Disease</w:t>
      </w:r>
      <w:r>
        <w:t xml:space="preserve"> 93: 669.</w:t>
      </w:r>
    </w:p>
    <w:p>
      <w:pPr>
        <w:spacing w:before="120" w:after="120" w:line="300" w:lineRule="atLeast"/>
        <w:jc w:val="left"/>
      </w:pPr>
      <w:r>
        <w:t xml:space="preserve">Ono Y (2000) Taxonomy of the </w:t>
      </w:r>
      <w:r>
        <w:rPr>
          <w:i/>
        </w:rPr>
        <w:t>Phakopsora ampelopsidis</w:t>
      </w:r>
      <w:r>
        <w:t xml:space="preserve"> species complex on vitaceous hosts in Asia including a new species</w:t>
      </w:r>
      <w:r>
        <w:rPr>
          <w:i/>
        </w:rPr>
        <w:t xml:space="preserve">, P. </w:t>
      </w:r>
      <w:smartTag w:uri="urn:schemas-microsoft-com:office:smarttags" w:element="PersonName">
        <w:r>
          <w:rPr>
            <w:i/>
          </w:rPr>
          <w:t>eu</w:t>
        </w:r>
      </w:smartTag>
      <w:r>
        <w:rPr>
          <w:i/>
        </w:rPr>
        <w:t>vitis</w:t>
      </w:r>
      <w:r>
        <w:t xml:space="preserve">. </w:t>
      </w:r>
      <w:r>
        <w:rPr>
          <w:i/>
        </w:rPr>
        <w:t>Mycologia</w:t>
      </w:r>
      <w:r>
        <w:t xml:space="preserve"> 92: 154–173.</w:t>
      </w:r>
    </w:p>
    <w:p>
      <w:pPr>
        <w:spacing w:before="120" w:after="120" w:line="300" w:lineRule="atLeast"/>
        <w:jc w:val="left"/>
      </w:pPr>
      <w:r>
        <w:t xml:space="preserve">Ono Y, Adhikari MK, Rajbhandari KR (1990) Uredinales of </w:t>
      </w:r>
      <w:smartTag w:uri="urn:schemas-microsoft-com:office:smarttags" w:element="country-region">
        <w:smartTag w:uri="urn:schemas-microsoft-com:office:smarttags" w:element="place">
          <w:r>
            <w:t>Nepal</w:t>
          </w:r>
        </w:smartTag>
      </w:smartTag>
      <w:r>
        <w:t xml:space="preserve">. </w:t>
      </w:r>
      <w:r>
        <w:rPr>
          <w:i/>
          <w:iCs/>
        </w:rPr>
        <w:t>Report of the Tottori Mycological Institute</w:t>
      </w:r>
      <w:r>
        <w:t xml:space="preserve"> </w:t>
      </w:r>
      <w:r>
        <w:rPr>
          <w:bCs/>
        </w:rPr>
        <w:t>28</w:t>
      </w:r>
      <w:r>
        <w:t>: 57–75.</w:t>
      </w:r>
    </w:p>
    <w:p>
      <w:pPr>
        <w:spacing w:before="120" w:after="120" w:line="300" w:lineRule="atLeast"/>
        <w:jc w:val="left"/>
      </w:pPr>
      <w:r>
        <w:t xml:space="preserve">OSU (2010) Insects – The tall Fescue of the twenty-first century monograph. </w:t>
      </w:r>
      <w:smartTag w:uri="urn:schemas-microsoft-com:office:smarttags" w:element="place">
        <w:smartTag w:uri="urn:schemas-microsoft-com:office:smarttags" w:element="PlaceName">
          <w:r>
            <w:t>Oregon</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(OSU). </w:t>
      </w:r>
      <w:hyperlink r:id="rId181" w:history="1">
        <w:r>
          <w:rPr>
            <w:u w:val="single"/>
          </w:rPr>
          <w:t>http://forages.oregonstate.edu/tallfescuemonograph/preface</w:t>
        </w:r>
      </w:hyperlink>
      <w:r>
        <w:t xml:space="preserve"> Accessed November 2010.</w:t>
      </w:r>
    </w:p>
    <w:p>
      <w:pPr>
        <w:pStyle w:val="AQISText"/>
        <w:spacing w:before="120" w:after="120" w:line="300" w:lineRule="atLeast"/>
        <w:jc w:val="left"/>
        <w:rPr>
          <w:sz w:val="24"/>
          <w:szCs w:val="24"/>
        </w:rPr>
      </w:pPr>
      <w:r>
        <w:rPr>
          <w:sz w:val="24"/>
          <w:szCs w:val="24"/>
        </w:rPr>
        <w:t xml:space="preserve">Ouertani R, Savino V, Minafra A, Boscia D, Castellano MO, Martelli GP, Greco N (1992) Properties of a previously undescribed grapevine nepovirus from Tunisia. </w:t>
      </w:r>
      <w:r>
        <w:rPr>
          <w:i/>
          <w:sz w:val="24"/>
          <w:szCs w:val="24"/>
        </w:rPr>
        <w:t>Archives of Virology</w:t>
      </w:r>
      <w:r>
        <w:rPr>
          <w:sz w:val="24"/>
          <w:szCs w:val="24"/>
        </w:rPr>
        <w:t xml:space="preserve"> 126: 107–117.</w:t>
      </w:r>
    </w:p>
    <w:p>
      <w:pPr>
        <w:spacing w:before="120" w:after="120" w:line="300" w:lineRule="atLeast"/>
        <w:jc w:val="left"/>
      </w:pPr>
      <w:r>
        <w:t xml:space="preserve">Owen J (1991) </w:t>
      </w:r>
      <w:r>
        <w:rPr>
          <w:i/>
        </w:rPr>
        <w:t>The Ecology of a Garden: The First Fifteen Years</w:t>
      </w:r>
      <w:r>
        <w:t xml:space="preserve">. </w:t>
      </w:r>
      <w:smartTag w:uri="urn:schemas-microsoft-com:office:smarttags" w:element="PlaceName">
        <w:r>
          <w:t>Cambridge</w:t>
        </w:r>
      </w:smartTag>
      <w:r>
        <w:t xml:space="preserve"> </w:t>
      </w:r>
      <w:smartTag w:uri="urn:schemas-microsoft-com:office:smarttags" w:element="PlaceType">
        <w:r>
          <w:t>University</w:t>
        </w:r>
      </w:smartTag>
      <w:r>
        <w:t xml:space="preserve"> </w:t>
      </w:r>
      <w:smartTag w:uri="urn:schemas-microsoft-com:office:smarttags" w:element="place">
        <w:smartTag w:uri="urn:schemas-microsoft-com:office:smarttags" w:element="City">
          <w:r>
            <w:t>Press</w:t>
          </w:r>
        </w:smartTag>
        <w:r>
          <w:t xml:space="preserve">, </w:t>
        </w:r>
        <w:smartTag w:uri="urn:schemas-microsoft-com:office:smarttags" w:element="country-region">
          <w:r>
            <w:t>England</w:t>
          </w:r>
        </w:smartTag>
      </w:smartTag>
      <w:r>
        <w:t>.</w:t>
      </w:r>
    </w:p>
    <w:p>
      <w:pPr>
        <w:spacing w:before="120" w:after="120" w:line="300" w:lineRule="atLeast"/>
        <w:jc w:val="left"/>
      </w:pPr>
      <w:r>
        <w:t xml:space="preserve">Pacifico D, Alma A, Bagnoli B, Foissac X, Pasquini G, Tessitori M, Marzachì C (2009) Characterization of Bois noir isolates by restriction fragment length polymorphism of a Stolbur-specific putative membrane protein gene. </w:t>
      </w:r>
      <w:r>
        <w:rPr>
          <w:i/>
        </w:rPr>
        <w:t>Phytopathology</w:t>
      </w:r>
      <w:r>
        <w:t xml:space="preserve"> 99: 711–715.</w:t>
      </w:r>
    </w:p>
    <w:p>
      <w:pPr>
        <w:autoSpaceDE w:val="0"/>
        <w:autoSpaceDN w:val="0"/>
        <w:spacing w:before="120" w:after="120" w:line="300" w:lineRule="atLeast"/>
        <w:jc w:val="left"/>
      </w:pPr>
      <w:r>
        <w:t>Panagopoulos CG (1969) The disease ‘Tsilik marasi’ of grapevine: its description and identification of the causal agent (</w:t>
      </w:r>
      <w:r>
        <w:rPr>
          <w:i/>
        </w:rPr>
        <w:t>Xanthomonas ampelina</w:t>
      </w:r>
      <w:r>
        <w:t xml:space="preserve"> sp. nov.). </w:t>
      </w:r>
      <w:r>
        <w:rPr>
          <w:i/>
        </w:rPr>
        <w:t>Annales de l'Institut Phytopathologique Benaki</w:t>
      </w:r>
      <w:r>
        <w:t xml:space="preserve"> 9: 59</w:t>
      </w:r>
      <w:r>
        <w:rPr>
          <w:snapToGrid w:val="0"/>
        </w:rPr>
        <w:t>–</w:t>
      </w:r>
      <w:r>
        <w:t>81.</w:t>
      </w:r>
    </w:p>
    <w:p>
      <w:pPr>
        <w:autoSpaceDE w:val="0"/>
        <w:autoSpaceDN w:val="0"/>
        <w:spacing w:before="120" w:after="120" w:line="300" w:lineRule="atLeast"/>
        <w:jc w:val="left"/>
      </w:pPr>
      <w:r>
        <w:t xml:space="preserve">Panagopoulos CG (1987) Recent research progress on </w:t>
      </w:r>
      <w:r>
        <w:rPr>
          <w:i/>
        </w:rPr>
        <w:t>Xanthomonas ampelina</w:t>
      </w:r>
      <w:r>
        <w:t xml:space="preserve">. </w:t>
      </w:r>
      <w:r>
        <w:rPr>
          <w:i/>
        </w:rPr>
        <w:t>Bulletin OEPP/EPPO Bulletin</w:t>
      </w:r>
      <w:r>
        <w:t xml:space="preserve"> 17: 225</w:t>
      </w:r>
      <w:r>
        <w:rPr>
          <w:snapToGrid w:val="0"/>
        </w:rPr>
        <w:t>–</w:t>
      </w:r>
      <w:r>
        <w:t>230.</w:t>
      </w:r>
    </w:p>
    <w:p>
      <w:pPr>
        <w:autoSpaceDE w:val="0"/>
        <w:autoSpaceDN w:val="0"/>
        <w:spacing w:before="120" w:after="120" w:line="300" w:lineRule="atLeast"/>
        <w:jc w:val="left"/>
      </w:pPr>
      <w:r>
        <w:t xml:space="preserve">Panagopoulos CG (1988) </w:t>
      </w:r>
      <w:r>
        <w:rPr>
          <w:i/>
        </w:rPr>
        <w:t>Xanthomonas ampelina</w:t>
      </w:r>
      <w:r>
        <w:t xml:space="preserve"> Panagopoulos. In Smith, I. M. Dunez, J. Lelliot, R. A. Phillips, D. H. Archer, S. A (eds)</w:t>
      </w:r>
      <w:r>
        <w:rPr>
          <w:i/>
        </w:rPr>
        <w:t xml:space="preserve"> European handbook of plant diseases </w:t>
      </w:r>
      <w:r>
        <w:t xml:space="preserve">157–158. Blackwell Scientific Publications, Oxford. </w:t>
      </w:r>
    </w:p>
    <w:p>
      <w:pPr>
        <w:autoSpaceDE w:val="0"/>
        <w:autoSpaceDN w:val="0"/>
        <w:spacing w:before="120" w:after="120" w:line="300" w:lineRule="atLeast"/>
        <w:jc w:val="left"/>
      </w:pPr>
      <w:r>
        <w:t xml:space="preserve">Paoletti E, Anselmi N, Franceschini A (2007) Pre-exposure to ozone predisposes oak leaves to attacks by </w:t>
      </w:r>
      <w:r>
        <w:rPr>
          <w:i/>
        </w:rPr>
        <w:t xml:space="preserve">Diplodia corticola </w:t>
      </w:r>
      <w:r>
        <w:t xml:space="preserve">and </w:t>
      </w:r>
      <w:r>
        <w:rPr>
          <w:i/>
        </w:rPr>
        <w:t>Biscogniauxia mediterranea</w:t>
      </w:r>
      <w:r>
        <w:t xml:space="preserve">. </w:t>
      </w:r>
      <w:r>
        <w:rPr>
          <w:i/>
        </w:rPr>
        <w:t xml:space="preserve">The Scientific World Journal </w:t>
      </w:r>
      <w:r>
        <w:t>7: 222–230.</w:t>
      </w:r>
    </w:p>
    <w:p>
      <w:pPr>
        <w:autoSpaceDE w:val="0"/>
        <w:autoSpaceDN w:val="0"/>
        <w:spacing w:before="120" w:after="120" w:line="300" w:lineRule="atLeast"/>
        <w:jc w:val="left"/>
      </w:pPr>
      <w:r>
        <w:t xml:space="preserve">Papademetriou MK, Dent FJ (2001) Grape production in Asia Pacific. FAO Regional Office for Asia and the Pacific. </w:t>
      </w:r>
      <w:smartTag w:uri="urn:schemas-microsoft-com:office:smarttags" w:element="place">
        <w:smartTag w:uri="urn:schemas-microsoft-com:office:smarttags" w:element="City">
          <w:r>
            <w:t>Bangkok</w:t>
          </w:r>
        </w:smartTag>
        <w:r>
          <w:t xml:space="preserve">, </w:t>
        </w:r>
        <w:smartTag w:uri="urn:schemas-microsoft-com:office:smarttags" w:element="country-region">
          <w:r>
            <w:t>Thailand</w:t>
          </w:r>
        </w:smartTag>
      </w:smartTag>
      <w:r>
        <w:t xml:space="preserve">. </w:t>
      </w:r>
      <w:r>
        <w:rPr>
          <w:bCs/>
          <w:iCs/>
          <w:u w:val="single"/>
        </w:rPr>
        <w:t>http://www.fao.org/docrep/003/x6897e/x6897e00.HTM</w:t>
      </w:r>
      <w:r>
        <w:rPr>
          <w:bCs/>
          <w:iCs/>
        </w:rPr>
        <w:t xml:space="preserve"> Accessed April 2010.</w:t>
      </w:r>
    </w:p>
    <w:p>
      <w:pPr>
        <w:spacing w:before="120" w:after="120" w:line="300" w:lineRule="atLeast"/>
        <w:jc w:val="left"/>
        <w:rPr>
          <w:lang w:eastAsia="en-AU"/>
        </w:rPr>
      </w:pPr>
      <w:r>
        <w:rPr>
          <w:bCs/>
          <w:lang w:eastAsia="en-AU"/>
        </w:rPr>
        <w:t xml:space="preserve">Paradies F, Finetti Sialer M, Gallitelli D, Castellano MA, Di Franco A, Digiaro M, Martelli GP, Yilmaz MA (2000) Partial characterization of </w:t>
      </w:r>
      <w:r>
        <w:rPr>
          <w:bCs/>
          <w:i/>
          <w:iCs/>
          <w:lang w:eastAsia="en-AU"/>
        </w:rPr>
        <w:t xml:space="preserve">cucumber mosaic virus </w:t>
      </w:r>
      <w:r>
        <w:rPr>
          <w:bCs/>
          <w:lang w:eastAsia="en-AU"/>
        </w:rPr>
        <w:t xml:space="preserve">isolates from citrus and grapevine. </w:t>
      </w:r>
      <w:r>
        <w:rPr>
          <w:i/>
          <w:lang w:eastAsia="en-AU"/>
        </w:rPr>
        <w:t>Journal of Plant Pathology</w:t>
      </w:r>
      <w:r>
        <w:rPr>
          <w:lang w:eastAsia="en-AU"/>
        </w:rPr>
        <w:t xml:space="preserve"> </w:t>
      </w:r>
      <w:r>
        <w:rPr>
          <w:bCs/>
          <w:lang w:eastAsia="en-AU"/>
        </w:rPr>
        <w:t xml:space="preserve">82: </w:t>
      </w:r>
      <w:r>
        <w:rPr>
          <w:lang w:eastAsia="en-AU"/>
        </w:rPr>
        <w:t>133–145.</w:t>
      </w:r>
    </w:p>
    <w:p>
      <w:pPr>
        <w:spacing w:before="120" w:after="120" w:line="300" w:lineRule="atLeast"/>
        <w:jc w:val="left"/>
      </w:pPr>
      <w:r>
        <w:t xml:space="preserve">Park E, Choi K, Kim J, Cho S, Kim G (2001) Effect of temperature on development and reproduction of the persimmon fruit moth, </w:t>
      </w:r>
      <w:r>
        <w:rPr>
          <w:i/>
        </w:rPr>
        <w:t>Stathmopoda masinissa</w:t>
      </w:r>
      <w:r>
        <w:t xml:space="preserve"> (Lepidoptera: Stathmopodidae). </w:t>
      </w:r>
      <w:r>
        <w:rPr>
          <w:i/>
        </w:rPr>
        <w:t>Korean Journal of Applied Entomology</w:t>
      </w:r>
      <w:r>
        <w:t xml:space="preserve"> 40: 297</w:t>
      </w:r>
      <w:r>
        <w:rPr>
          <w:bCs/>
        </w:rPr>
        <w:t>–</w:t>
      </w:r>
      <w:r>
        <w:t>300.</w:t>
      </w:r>
    </w:p>
    <w:p>
      <w:pPr>
        <w:spacing w:before="120" w:after="120" w:line="300" w:lineRule="atLeast"/>
        <w:jc w:val="left"/>
      </w:pPr>
      <w:r>
        <w:t xml:space="preserve">Parmenter </w:t>
      </w:r>
      <w:smartTag w:uri="urn:schemas-microsoft-com:office:smarttags" w:element="State">
        <w:r>
          <w:t>KS</w:t>
        </w:r>
      </w:smartTag>
      <w:r>
        <w:t xml:space="preserve">, Thomas JE and Parry JN (2009) </w:t>
      </w:r>
      <w:r>
        <w:rPr>
          <w:i/>
        </w:rPr>
        <w:t xml:space="preserve">Cherry </w:t>
      </w:r>
      <w:r>
        <w:rPr>
          <w:rStyle w:val="highlight"/>
          <w:i/>
        </w:rPr>
        <w:t>leaf</w:t>
      </w:r>
      <w:r>
        <w:rPr>
          <w:i/>
        </w:rPr>
        <w:t xml:space="preserve"> </w:t>
      </w:r>
      <w:r>
        <w:rPr>
          <w:rStyle w:val="highlight"/>
          <w:i/>
        </w:rPr>
        <w:t>roll</w:t>
      </w:r>
      <w:r>
        <w:rPr>
          <w:i/>
        </w:rPr>
        <w:t xml:space="preserve"> virus </w:t>
      </w:r>
      <w:r>
        <w:t xml:space="preserve">isolate 2005 3' UTR. National Centre for Biotechnology Information, GenBank, Accession code GQ370453. </w:t>
      </w:r>
      <w:hyperlink r:id="rId182" w:history="1">
        <w:r>
          <w:rPr>
            <w:rStyle w:val="Hyperlink"/>
            <w:color w:val="auto"/>
          </w:rPr>
          <w:t>http://www.ncbi.nlm.nih.gov/nuccore/255964967</w:t>
        </w:r>
      </w:hyperlink>
      <w:r>
        <w:t xml:space="preserve"> Accessed March 2011. </w:t>
      </w:r>
    </w:p>
    <w:p>
      <w:pPr>
        <w:autoSpaceDE w:val="0"/>
        <w:autoSpaceDN w:val="0"/>
        <w:spacing w:before="120" w:after="120" w:line="300" w:lineRule="atLeast"/>
        <w:jc w:val="left"/>
      </w:pPr>
      <w:r>
        <w:t xml:space="preserve">Pascoe IG, Cunnington JH, Fischer M, Edwards J (2005) Basidiomycetous pathogens on grapevine: a new species from Australia – </w:t>
      </w:r>
      <w:r>
        <w:rPr>
          <w:i/>
        </w:rPr>
        <w:t>Fomitiporia australiensis</w:t>
      </w:r>
      <w:r>
        <w:t xml:space="preserve">. </w:t>
      </w:r>
      <w:r>
        <w:rPr>
          <w:i/>
        </w:rPr>
        <w:t>Mycotaxon</w:t>
      </w:r>
      <w:r>
        <w:t xml:space="preserve"> 91: 85–96.</w:t>
      </w:r>
    </w:p>
    <w:p>
      <w:pPr>
        <w:autoSpaceDE w:val="0"/>
        <w:autoSpaceDN w:val="0"/>
        <w:spacing w:before="120" w:after="120" w:line="300" w:lineRule="atLeast"/>
        <w:jc w:val="left"/>
      </w:pPr>
      <w:r>
        <w:t xml:space="preserve">Paxton DW, Thorvilson HG (1996) Oviposition of three </w:t>
      </w:r>
      <w:r>
        <w:rPr>
          <w:i/>
        </w:rPr>
        <w:t>Erythron</w:t>
      </w:r>
      <w:smartTag w:uri="urn:schemas-microsoft-com:office:smarttags" w:element="PersonName">
        <w:r>
          <w:rPr>
            <w:i/>
          </w:rPr>
          <w:t>eu</w:t>
        </w:r>
      </w:smartTag>
      <w:r>
        <w:rPr>
          <w:i/>
        </w:rPr>
        <w:t>ra</w:t>
      </w:r>
      <w:r>
        <w:t xml:space="preserve"> species on grape leaves in western </w:t>
      </w:r>
      <w:smartTag w:uri="urn:schemas-microsoft-com:office:smarttags" w:element="State">
        <w:smartTag w:uri="urn:schemas-microsoft-com:office:smarttags" w:element="place">
          <w:r>
            <w:t>Texas</w:t>
          </w:r>
        </w:smartTag>
      </w:smartTag>
      <w:r>
        <w:t xml:space="preserve">. </w:t>
      </w:r>
      <w:r>
        <w:rPr>
          <w:i/>
        </w:rPr>
        <w:t>Southwestern Entomologist</w:t>
      </w:r>
      <w:r>
        <w:t xml:space="preserve"> 21: 141</w:t>
      </w:r>
      <w:r>
        <w:rPr>
          <w:bCs/>
        </w:rPr>
        <w:t>–</w:t>
      </w:r>
      <w:r>
        <w:t>144.</w:t>
      </w:r>
    </w:p>
    <w:p>
      <w:pPr>
        <w:autoSpaceDE w:val="0"/>
        <w:autoSpaceDN w:val="0"/>
        <w:spacing w:before="120" w:after="120" w:line="300" w:lineRule="atLeast"/>
        <w:jc w:val="left"/>
      </w:pPr>
      <w:r>
        <w:t>Peacock W (1992) Western grape rootworm. In</w:t>
      </w:r>
      <w:r>
        <w:rPr>
          <w:i/>
        </w:rPr>
        <w:t xml:space="preserve"> Grape Pest Management</w:t>
      </w:r>
      <w:r>
        <w:t xml:space="preserve"> 2nd edn, Publication 3343: 239–240. University of California Division of Agriculture and Natural Resources, Oakland, CA.</w:t>
      </w:r>
    </w:p>
    <w:p>
      <w:pPr>
        <w:pStyle w:val="References"/>
        <w:tabs>
          <w:tab w:val="clear" w:pos="567"/>
          <w:tab w:val="clear" w:pos="1134"/>
          <w:tab w:val="clear" w:pos="1701"/>
          <w:tab w:val="clear" w:pos="2268"/>
          <w:tab w:val="clear" w:pos="2835"/>
          <w:tab w:val="clear" w:pos="3402"/>
          <w:tab w:val="clear" w:pos="3969"/>
        </w:tabs>
        <w:spacing w:before="120" w:line="300" w:lineRule="atLeast"/>
        <w:ind w:left="0" w:firstLine="0"/>
        <w:jc w:val="left"/>
        <w:rPr>
          <w:rFonts w:ascii="Times New Roman" w:hAnsi="Times New Roman"/>
          <w:sz w:val="24"/>
          <w:szCs w:val="24"/>
        </w:rPr>
      </w:pPr>
      <w:r>
        <w:rPr>
          <w:rFonts w:ascii="Times New Roman" w:hAnsi="Times New Roman"/>
          <w:sz w:val="24"/>
          <w:szCs w:val="24"/>
        </w:rPr>
        <w:t xml:space="preserve">Pearson PC, Goheen AC (1988) </w:t>
      </w:r>
      <w:r>
        <w:rPr>
          <w:rFonts w:ascii="Times New Roman" w:hAnsi="Times New Roman"/>
          <w:i/>
          <w:sz w:val="24"/>
          <w:szCs w:val="24"/>
        </w:rPr>
        <w:t>Compendium of grape diseases</w:t>
      </w:r>
      <w:r>
        <w:rPr>
          <w:rFonts w:ascii="Times New Roman" w:hAnsi="Times New Roman"/>
          <w:sz w:val="24"/>
          <w:szCs w:val="24"/>
        </w:rPr>
        <w:t xml:space="preserve">. APS Press </w:t>
      </w:r>
      <w:smartTag w:uri="urn:schemas-microsoft-com:office:smarttags" w:element="place">
        <w:smartTag w:uri="urn:schemas-microsoft-com:office:smarttags" w:element="City">
          <w:r>
            <w:rPr>
              <w:rFonts w:ascii="Times New Roman" w:hAnsi="Times New Roman"/>
              <w:sz w:val="24"/>
              <w:szCs w:val="24"/>
            </w:rPr>
            <w:t>St Paul</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Minnesota</w:t>
          </w:r>
        </w:smartTag>
      </w:smartTag>
      <w:r>
        <w:rPr>
          <w:rFonts w:ascii="Times New Roman" w:hAnsi="Times New Roman"/>
          <w:sz w:val="24"/>
          <w:szCs w:val="24"/>
        </w:rPr>
        <w:t>.</w:t>
      </w:r>
    </w:p>
    <w:p>
      <w:pPr>
        <w:spacing w:before="120" w:after="120" w:line="300" w:lineRule="atLeast"/>
        <w:jc w:val="left"/>
      </w:pPr>
      <w:r>
        <w:t xml:space="preserve">Pegler DN, Laessøe T, Spooner BM (1995) </w:t>
      </w:r>
      <w:r>
        <w:rPr>
          <w:i/>
        </w:rPr>
        <w:t>British puffballs, earthstars and stinkhorns</w:t>
      </w:r>
      <w:r>
        <w:t>. Royal Botanic Gardens, Kew.</w:t>
      </w:r>
    </w:p>
    <w:p>
      <w:pPr>
        <w:autoSpaceDE w:val="0"/>
        <w:autoSpaceDN w:val="0"/>
        <w:spacing w:before="120" w:after="120" w:line="300" w:lineRule="atLeast"/>
        <w:jc w:val="left"/>
      </w:pPr>
      <w:r>
        <w:t xml:space="preserve">Peixoto </w:t>
      </w:r>
      <w:smartTag w:uri="urn:schemas-microsoft-com:office:smarttags" w:element="State">
        <w:r>
          <w:t>AR</w:t>
        </w:r>
      </w:smartTag>
      <w:r>
        <w:t xml:space="preserve">, Mariano RLR, Moreira JOT, Viana IO (2007) Alternative hosts of </w:t>
      </w:r>
      <w:r>
        <w:rPr>
          <w:i/>
        </w:rPr>
        <w:t>Xanthomonas</w:t>
      </w:r>
      <w:r>
        <w:t xml:space="preserve"> </w:t>
      </w:r>
      <w:r>
        <w:rPr>
          <w:i/>
        </w:rPr>
        <w:t>campestris</w:t>
      </w:r>
      <w:r>
        <w:t xml:space="preserve"> pv. </w:t>
      </w:r>
      <w:r>
        <w:rPr>
          <w:i/>
        </w:rPr>
        <w:t>viticola</w:t>
      </w:r>
      <w:r>
        <w:t xml:space="preserve">. </w:t>
      </w:r>
      <w:r>
        <w:rPr>
          <w:i/>
        </w:rPr>
        <w:t>Fitopatologia Brasileira</w:t>
      </w:r>
      <w:r>
        <w:t xml:space="preserve"> 32: 161–164. </w:t>
      </w:r>
    </w:p>
    <w:p>
      <w:pPr>
        <w:spacing w:before="120" w:after="120" w:line="300" w:lineRule="atLeast"/>
        <w:jc w:val="left"/>
      </w:pPr>
      <w:r>
        <w:t xml:space="preserve">Pérez G, Lupo S, Bettucci L (2008) Polymorphisms of the ITS region of </w:t>
      </w:r>
      <w:r>
        <w:rPr>
          <w:i/>
          <w:iCs/>
        </w:rPr>
        <w:t>Inocutis jamaicensis</w:t>
      </w:r>
      <w:r>
        <w:t xml:space="preserve"> associated with </w:t>
      </w:r>
      <w:r>
        <w:rPr>
          <w:i/>
          <w:iCs/>
        </w:rPr>
        <w:t>Eucalyptus globulus</w:t>
      </w:r>
      <w:r>
        <w:t xml:space="preserve">, </w:t>
      </w:r>
      <w:r>
        <w:rPr>
          <w:i/>
          <w:iCs/>
        </w:rPr>
        <w:t>Vitis vinifera</w:t>
      </w:r>
      <w:r>
        <w:t xml:space="preserve"> and native plants in Uruguay. </w:t>
      </w:r>
      <w:r>
        <w:rPr>
          <w:i/>
        </w:rPr>
        <w:t xml:space="preserve">Sydowia </w:t>
      </w:r>
      <w:r>
        <w:t>60: 267–275.</w:t>
      </w:r>
    </w:p>
    <w:p>
      <w:pPr>
        <w:spacing w:before="120" w:after="120" w:line="300" w:lineRule="atLeast"/>
        <w:jc w:val="left"/>
      </w:pPr>
      <w:r>
        <w:t>Péros JP, Berger G, Jamaux-Despréaux I (2008) Symptoms, wood lesions and fungi associated with esca in organic vineyards in Languedoc-Roussillon (</w:t>
      </w:r>
      <w:smartTag w:uri="urn:schemas-microsoft-com:office:smarttags" w:element="country-region">
        <w:smartTag w:uri="urn:schemas-microsoft-com:office:smarttags" w:element="place">
          <w:r>
            <w:t>France</w:t>
          </w:r>
        </w:smartTag>
      </w:smartTag>
      <w:r>
        <w:t xml:space="preserve">). </w:t>
      </w:r>
      <w:r>
        <w:rPr>
          <w:i/>
        </w:rPr>
        <w:t>Journal of Phytopathology</w:t>
      </w:r>
      <w:r>
        <w:t>: 156: 297–303.</w:t>
      </w:r>
    </w:p>
    <w:p>
      <w:pPr>
        <w:spacing w:before="120" w:after="120" w:line="300" w:lineRule="atLeast"/>
        <w:jc w:val="left"/>
      </w:pPr>
      <w:r>
        <w:t xml:space="preserve">Perry EJ (2002) Hoplia beetle – Integrated pest management for home gardeners </w:t>
      </w:r>
      <w:hyperlink r:id="rId183" w:history="1">
        <w:r>
          <w:rPr>
            <w:rStyle w:val="Hyperlink"/>
            <w:color w:val="auto"/>
          </w:rPr>
          <w:t>http://www.plantmeds.com/pnhopliabeetle.pdf</w:t>
        </w:r>
      </w:hyperlink>
      <w:r>
        <w:t xml:space="preserve"> Accessed March 2011.</w:t>
      </w:r>
    </w:p>
    <w:p>
      <w:pPr>
        <w:autoSpaceDE w:val="0"/>
        <w:autoSpaceDN w:val="0"/>
        <w:spacing w:before="120" w:after="120" w:line="300" w:lineRule="atLeast"/>
        <w:jc w:val="left"/>
      </w:pPr>
      <w:r>
        <w:t xml:space="preserve">Persley D, Gambley C (2010) Viruses in vegetable crops in </w:t>
      </w:r>
      <w:smartTag w:uri="urn:schemas-microsoft-com:office:smarttags" w:element="country-region">
        <w:smartTag w:uri="urn:schemas-microsoft-com:office:smarttags" w:element="place">
          <w:r>
            <w:t>Australia</w:t>
          </w:r>
        </w:smartTag>
      </w:smartTag>
      <w:r>
        <w:t xml:space="preserve">. Integrated virus disease management. </w:t>
      </w:r>
      <w:r>
        <w:rPr>
          <w:u w:val="single"/>
        </w:rPr>
        <w:t xml:space="preserve">http://www.dpi.qld.gov.au/documents/PlantIndustries_FruitAndVegetables/Viruses-in-vegies.pdf </w:t>
      </w:r>
      <w:r>
        <w:t>Accessed September 2010.</w:t>
      </w:r>
    </w:p>
    <w:p>
      <w:pPr>
        <w:tabs>
          <w:tab w:val="left" w:pos="0"/>
        </w:tabs>
        <w:spacing w:before="120" w:after="120" w:line="300" w:lineRule="atLeast"/>
        <w:jc w:val="left"/>
      </w:pPr>
      <w:r>
        <w:t xml:space="preserve">Persley DM, Thomas JE, Sharman M (2006) Tospoviruses; an Australian perspective. </w:t>
      </w:r>
      <w:r>
        <w:rPr>
          <w:i/>
        </w:rPr>
        <w:t>Australasian Plant Pathology</w:t>
      </w:r>
      <w:r>
        <w:t xml:space="preserve"> 35: 161</w:t>
      </w:r>
      <w:r>
        <w:rPr>
          <w:snapToGrid w:val="0"/>
        </w:rPr>
        <w:t>–</w:t>
      </w:r>
      <w:r>
        <w:t>180.</w:t>
      </w:r>
    </w:p>
    <w:p>
      <w:pPr>
        <w:spacing w:before="120" w:after="120" w:line="300" w:lineRule="atLeast"/>
        <w:jc w:val="left"/>
      </w:pPr>
      <w:r>
        <w:t xml:space="preserve">Petrini LE, Petrini O (2005) Morphological studies in </w:t>
      </w:r>
      <w:r>
        <w:rPr>
          <w:i/>
          <w:iCs/>
        </w:rPr>
        <w:t>Rosellinia</w:t>
      </w:r>
      <w:r>
        <w:t xml:space="preserve"> (Xylariaceae): the first step towards a polyphasic taxonomy. </w:t>
      </w:r>
      <w:r>
        <w:rPr>
          <w:i/>
          <w:iCs/>
        </w:rPr>
        <w:t>Mycological Research</w:t>
      </w:r>
      <w:r>
        <w:t xml:space="preserve"> </w:t>
      </w:r>
      <w:r>
        <w:rPr>
          <w:bCs/>
        </w:rPr>
        <w:t>109:</w:t>
      </w:r>
      <w:r>
        <w:t xml:space="preserve"> 569–580.</w:t>
      </w:r>
    </w:p>
    <w:p>
      <w:pPr>
        <w:spacing w:before="120" w:after="120" w:line="300" w:lineRule="atLeast"/>
        <w:jc w:val="left"/>
      </w:pPr>
      <w:r>
        <w:t xml:space="preserve">Pfeiffer DG, Schultz PB (1986) </w:t>
      </w:r>
      <w:r>
        <w:rPr>
          <w:i/>
        </w:rPr>
        <w:t>Major Insect and Mite Pests of Grape in Virginia</w:t>
      </w:r>
      <w:r>
        <w:t xml:space="preserve">. </w:t>
      </w:r>
      <w:smartTag w:uri="urn:schemas-microsoft-com:office:smarttags" w:element="State">
        <w:r>
          <w:t>Virginia</w:t>
        </w:r>
      </w:smartTag>
      <w:r>
        <w:t xml:space="preserve"> Cooperative Extension Service, </w:t>
      </w:r>
      <w:smartTag w:uri="urn:schemas-microsoft-com:office:smarttags" w:element="country-region">
        <w:smartTag w:uri="urn:schemas-microsoft-com:office:smarttags" w:element="place">
          <w:r>
            <w:t>USA</w:t>
          </w:r>
        </w:smartTag>
      </w:smartTag>
      <w:r>
        <w:t xml:space="preserve">. </w:t>
      </w:r>
    </w:p>
    <w:p>
      <w:pPr>
        <w:spacing w:before="120" w:after="120" w:line="300" w:lineRule="atLeast"/>
        <w:jc w:val="left"/>
      </w:pPr>
      <w:r>
        <w:t xml:space="preserve">Pfeilstetter E, Zinkernagel V, Kunze L (1992) Occurrence of </w:t>
      </w:r>
      <w:r>
        <w:rPr>
          <w:i/>
        </w:rPr>
        <w:t xml:space="preserve">Petunia asteroid mosaic </w:t>
      </w:r>
      <w:r>
        <w:t xml:space="preserve">(PAMV) and </w:t>
      </w:r>
      <w:r>
        <w:rPr>
          <w:i/>
        </w:rPr>
        <w:t>Carnation Italian ringspot</w:t>
      </w:r>
      <w:r>
        <w:t xml:space="preserve"> (CIRV) viruses in cherry orchards in northern </w:t>
      </w:r>
      <w:smartTag w:uri="urn:schemas-microsoft-com:office:smarttags" w:element="State">
        <w:smartTag w:uri="urn:schemas-microsoft-com:office:smarttags" w:element="place">
          <w:r>
            <w:t>Bavaria</w:t>
          </w:r>
        </w:smartTag>
      </w:smartTag>
      <w:r>
        <w:t xml:space="preserve">. </w:t>
      </w:r>
      <w:r>
        <w:rPr>
          <w:i/>
        </w:rPr>
        <w:t>Acta Horticulturae</w:t>
      </w:r>
      <w:r>
        <w:t xml:space="preserve"> 309: 345–352. </w:t>
      </w:r>
    </w:p>
    <w:p>
      <w:pPr>
        <w:spacing w:before="120" w:after="120" w:line="300" w:lineRule="atLeast"/>
        <w:jc w:val="left"/>
        <w:rPr>
          <w:bCs/>
        </w:rPr>
      </w:pPr>
      <w:r>
        <w:t xml:space="preserve">PHA (Plant Health Australia) (2001). </w:t>
      </w:r>
      <w:r>
        <w:rPr>
          <w:i/>
        </w:rPr>
        <w:t xml:space="preserve">Australian Plant Pest </w:t>
      </w:r>
      <w:r>
        <w:rPr>
          <w:i/>
          <w:lang w:eastAsia="en-AU"/>
        </w:rPr>
        <w:t>Database</w:t>
      </w:r>
      <w:r>
        <w:t xml:space="preserve">, online database. </w:t>
      </w:r>
      <w:r>
        <w:rPr>
          <w:u w:val="single"/>
        </w:rPr>
        <w:t>www.planthealthaustralia.com.au/appd</w:t>
      </w:r>
      <w:r>
        <w:t xml:space="preserve"> Accessed May 2011.</w:t>
      </w:r>
    </w:p>
    <w:p>
      <w:pPr>
        <w:spacing w:before="120" w:after="120" w:line="300" w:lineRule="atLeast"/>
        <w:jc w:val="left"/>
      </w:pPr>
      <w:r>
        <w:rPr>
          <w:bCs/>
        </w:rPr>
        <w:t>Phillips AJL</w:t>
      </w:r>
      <w:r>
        <w:t xml:space="preserve"> (2000) Excoriose, cane blight and related disease of grapevines: a taxonomic review of the pathogens. </w:t>
      </w:r>
      <w:r>
        <w:rPr>
          <w:i/>
        </w:rPr>
        <w:t>Phytopathologia Meditteranea</w:t>
      </w:r>
      <w:r>
        <w:t xml:space="preserve"> 39: 341–356.</w:t>
      </w:r>
    </w:p>
    <w:p>
      <w:pPr>
        <w:spacing w:before="120" w:after="120" w:line="300" w:lineRule="atLeast"/>
        <w:jc w:val="left"/>
      </w:pPr>
      <w:r>
        <w:t xml:space="preserve">Phillips AJL, Alves A, Pennycook SR, Johnston PR, Ramaley A, Akulov A, Crous PW (2008) Resolving the phylogenetic and taxonomic status of dark-spored teleomorph genera in the Botryosphaeriaceae. </w:t>
      </w:r>
      <w:r>
        <w:rPr>
          <w:i/>
          <w:iCs/>
        </w:rPr>
        <w:t>Persoonia</w:t>
      </w:r>
      <w:r>
        <w:t xml:space="preserve"> </w:t>
      </w:r>
      <w:r>
        <w:rPr>
          <w:bCs/>
        </w:rPr>
        <w:t>21:</w:t>
      </w:r>
      <w:r>
        <w:t xml:space="preserve"> 29–55.</w:t>
      </w:r>
    </w:p>
    <w:p>
      <w:pPr>
        <w:spacing w:before="120" w:after="120" w:line="300" w:lineRule="atLeast"/>
        <w:jc w:val="left"/>
      </w:pPr>
      <w:r>
        <w:t xml:space="preserve">Phillips C (1994) Leaf diseases </w:t>
      </w:r>
      <w:r>
        <w:rPr>
          <w:u w:val="single"/>
        </w:rPr>
        <w:t>http://outernode.pir.sa.gov.au/forestry/publications_index/forest_health_information/factSheets/leaf_diseases</w:t>
      </w:r>
      <w:r>
        <w:t xml:space="preserve"> Assessed January 2011.</w:t>
      </w:r>
    </w:p>
    <w:p>
      <w:pPr>
        <w:spacing w:before="120" w:after="120" w:line="300" w:lineRule="atLeast"/>
        <w:jc w:val="left"/>
        <w:rPr>
          <w:lang w:eastAsia="en-AU"/>
        </w:rPr>
      </w:pPr>
      <w:r>
        <w:rPr>
          <w:lang w:eastAsia="en-AU"/>
        </w:rPr>
        <w:t xml:space="preserve">Pilotti M, Tizzani L, Brunetti A, Gervasi F, Di Lernia G, Lumia V (2010) Molecular identification of </w:t>
      </w:r>
      <w:r>
        <w:rPr>
          <w:i/>
          <w:lang w:eastAsia="en-AU"/>
        </w:rPr>
        <w:t>Fomitipora mediterranea</w:t>
      </w:r>
      <w:r>
        <w:rPr>
          <w:lang w:eastAsia="en-AU"/>
        </w:rPr>
        <w:t xml:space="preserve"> on declining and decayed hazelnut. </w:t>
      </w:r>
      <w:r>
        <w:rPr>
          <w:i/>
          <w:lang w:eastAsia="en-AU"/>
        </w:rPr>
        <w:t>Journal of Plant Pathology</w:t>
      </w:r>
      <w:r>
        <w:rPr>
          <w:lang w:eastAsia="en-AU"/>
        </w:rPr>
        <w:t xml:space="preserve"> 92: 115</w:t>
      </w:r>
      <w:r>
        <w:t>–</w:t>
      </w:r>
      <w:r>
        <w:rPr>
          <w:lang w:eastAsia="en-AU"/>
        </w:rPr>
        <w:t xml:space="preserve">129. </w:t>
      </w:r>
    </w:p>
    <w:p>
      <w:pPr>
        <w:spacing w:before="120" w:after="120" w:line="300" w:lineRule="atLeast"/>
        <w:jc w:val="left"/>
      </w:pPr>
      <w:r>
        <w:rPr>
          <w:lang w:eastAsia="en-AU"/>
        </w:rPr>
        <w:t>Pimentel</w:t>
      </w:r>
      <w:r>
        <w:t xml:space="preserve"> DP (2007) </w:t>
      </w:r>
      <w:r>
        <w:rPr>
          <w:i/>
        </w:rPr>
        <w:t>Encyclopedia of Pest Management</w:t>
      </w:r>
      <w:r>
        <w:t>. Volume II. CRC Press, USA.</w:t>
      </w:r>
    </w:p>
    <w:p>
      <w:pPr>
        <w:spacing w:before="120" w:after="120" w:line="300" w:lineRule="atLeast"/>
        <w:jc w:val="left"/>
        <w:rPr>
          <w:lang w:eastAsia="en-AU"/>
        </w:rPr>
      </w:pPr>
      <w:r>
        <w:rPr>
          <w:lang w:eastAsia="en-AU"/>
        </w:rPr>
        <w:t xml:space="preserve">Pitt WM, Huang R, Steel CC, Savocchia S (2009) Identification, distribution and current taxonomy of Botryosphaeriaceae species associated with grapevine decline in </w:t>
      </w:r>
      <w:smartTag w:uri="urn:schemas-microsoft-com:office:smarttags" w:element="State">
        <w:r>
          <w:rPr>
            <w:lang w:eastAsia="en-AU"/>
          </w:rPr>
          <w:t>New South Wales</w:t>
        </w:r>
      </w:smartTag>
      <w:r>
        <w:rPr>
          <w:lang w:eastAsia="en-AU"/>
        </w:rPr>
        <w:t xml:space="preserve"> and </w:t>
      </w:r>
      <w:smartTag w:uri="urn:schemas-microsoft-com:office:smarttags" w:element="State">
        <w:smartTag w:uri="urn:schemas-microsoft-com:office:smarttags" w:element="place">
          <w:r>
            <w:rPr>
              <w:lang w:eastAsia="en-AU"/>
            </w:rPr>
            <w:t>South Australia</w:t>
          </w:r>
        </w:smartTag>
      </w:smartTag>
      <w:r>
        <w:rPr>
          <w:lang w:eastAsia="en-AU"/>
        </w:rPr>
        <w:t xml:space="preserve">. </w:t>
      </w:r>
      <w:r>
        <w:rPr>
          <w:i/>
          <w:lang w:eastAsia="en-AU"/>
        </w:rPr>
        <w:t>Australian Journal of Grape and Wine Research</w:t>
      </w:r>
      <w:r>
        <w:rPr>
          <w:lang w:eastAsia="en-AU"/>
        </w:rPr>
        <w:t xml:space="preserve"> 16: 258–271.</w:t>
      </w:r>
    </w:p>
    <w:p>
      <w:pPr>
        <w:spacing w:before="120" w:after="120" w:line="300" w:lineRule="atLeast"/>
        <w:jc w:val="left"/>
        <w:rPr>
          <w:lang w:eastAsia="en-AU"/>
        </w:rPr>
      </w:pPr>
      <w:hyperlink r:id="rId184" w:history="1">
        <w:r>
          <w:rPr>
            <w:lang w:eastAsia="en-AU"/>
          </w:rPr>
          <w:t>Pitta G PB</w:t>
        </w:r>
      </w:hyperlink>
      <w:r>
        <w:rPr>
          <w:lang w:eastAsia="en-AU"/>
        </w:rPr>
        <w:t xml:space="preserve"> (1994) Diseases of palms in Brazil. </w:t>
      </w:r>
      <w:r>
        <w:rPr>
          <w:i/>
          <w:lang w:eastAsia="en-AU"/>
        </w:rPr>
        <w:t>Acta Horticulturae</w:t>
      </w:r>
      <w:r>
        <w:rPr>
          <w:lang w:eastAsia="en-AU"/>
        </w:rPr>
        <w:t xml:space="preserve"> 360: 231</w:t>
      </w:r>
      <w:r>
        <w:t>–</w:t>
      </w:r>
      <w:r>
        <w:rPr>
          <w:lang w:eastAsia="en-AU"/>
        </w:rPr>
        <w:t>234.</w:t>
      </w:r>
    </w:p>
    <w:p>
      <w:pPr>
        <w:autoSpaceDE w:val="0"/>
        <w:autoSpaceDN w:val="0"/>
        <w:spacing w:before="120" w:after="120" w:line="300" w:lineRule="atLeast"/>
        <w:jc w:val="left"/>
      </w:pPr>
      <w:r>
        <w:t xml:space="preserve">Pittaway AR, Kitching IJ (2006) Sphingidae of the eastern Palaearctic. </w:t>
      </w:r>
      <w:hyperlink r:id="rId185" w:history="1">
        <w:r>
          <w:rPr>
            <w:rStyle w:val="Hyperlink"/>
            <w:color w:val="auto"/>
          </w:rPr>
          <w:t>http://tpittaway.tripod.com/china/china.htm</w:t>
        </w:r>
      </w:hyperlink>
      <w:r>
        <w:t xml:space="preserve"> Accessed September</w:t>
      </w:r>
      <w:r>
        <w:rPr>
          <w:rFonts w:ascii="Arial" w:hAnsi="Arial" w:cs="Arial"/>
        </w:rPr>
        <w:t xml:space="preserve"> </w:t>
      </w:r>
      <w:r>
        <w:t>2010.</w:t>
      </w:r>
    </w:p>
    <w:p>
      <w:pPr>
        <w:autoSpaceDE w:val="0"/>
        <w:autoSpaceDN w:val="0"/>
        <w:spacing w:before="120" w:after="120" w:line="300" w:lineRule="atLeast"/>
        <w:jc w:val="left"/>
      </w:pPr>
      <w:r>
        <w:t xml:space="preserve">Plaut HN (1973) On the biology of </w:t>
      </w:r>
      <w:r>
        <w:rPr>
          <w:i/>
        </w:rPr>
        <w:t xml:space="preserve">Paropta paradoxus </w:t>
      </w:r>
      <w:r>
        <w:t xml:space="preserve">(H.-S.) (Lep., Cossidae) on grapevine in </w:t>
      </w:r>
      <w:smartTag w:uri="urn:schemas-microsoft-com:office:smarttags" w:element="country-region">
        <w:smartTag w:uri="urn:schemas-microsoft-com:office:smarttags" w:element="place">
          <w:r>
            <w:t>Israel</w:t>
          </w:r>
        </w:smartTag>
      </w:smartTag>
      <w:r>
        <w:t xml:space="preserve">. </w:t>
      </w:r>
      <w:r>
        <w:rPr>
          <w:i/>
        </w:rPr>
        <w:t>Bulletin of Entomological Research</w:t>
      </w:r>
      <w:r>
        <w:t xml:space="preserve"> 63: 237–245.</w:t>
      </w:r>
    </w:p>
    <w:p>
      <w:pPr>
        <w:autoSpaceDE w:val="0"/>
        <w:autoSpaceDN w:val="0"/>
        <w:spacing w:before="120" w:after="120" w:line="300" w:lineRule="atLeast"/>
        <w:jc w:val="left"/>
      </w:pPr>
      <w:r>
        <w:t xml:space="preserve">Pospieszny H, Borodynko N, Jonczyk M (2004) First report of </w:t>
      </w:r>
      <w:r>
        <w:rPr>
          <w:i/>
        </w:rPr>
        <w:t xml:space="preserve">Tomato black ring spot virus </w:t>
      </w:r>
      <w:r>
        <w:t xml:space="preserve">in the natural infection of </w:t>
      </w:r>
      <w:r>
        <w:rPr>
          <w:i/>
        </w:rPr>
        <w:t>Sambucus nigra</w:t>
      </w:r>
      <w:r>
        <w:t xml:space="preserve"> in </w:t>
      </w:r>
      <w:smartTag w:uri="urn:schemas-microsoft-com:office:smarttags" w:element="country-region">
        <w:smartTag w:uri="urn:schemas-microsoft-com:office:smarttags" w:element="place">
          <w:r>
            <w:t>Poland</w:t>
          </w:r>
        </w:smartTag>
      </w:smartTag>
      <w:r>
        <w:t xml:space="preserve">. </w:t>
      </w:r>
      <w:r>
        <w:rPr>
          <w:i/>
        </w:rPr>
        <w:t>Journal of Plant Protection Research</w:t>
      </w:r>
      <w:r>
        <w:t xml:space="preserve"> 44: 373–376.</w:t>
      </w:r>
    </w:p>
    <w:p>
      <w:pPr>
        <w:spacing w:before="120" w:after="120" w:line="300" w:lineRule="atLeast"/>
        <w:jc w:val="left"/>
        <w:rPr>
          <w:kern w:val="36"/>
        </w:rPr>
      </w:pPr>
      <w:r>
        <w:rPr>
          <w:bCs/>
        </w:rPr>
        <w:t xml:space="preserve">Pourrahim R, Ahoonmanesh A, </w:t>
      </w:r>
      <w:r>
        <w:t>Farzadfar</w:t>
      </w:r>
      <w:r>
        <w:rPr>
          <w:bCs/>
        </w:rPr>
        <w:t xml:space="preserve"> SH, Rakhshandehro F (2004) </w:t>
      </w:r>
      <w:r>
        <w:rPr>
          <w:kern w:val="36"/>
        </w:rPr>
        <w:t xml:space="preserve">Occurrence of </w:t>
      </w:r>
      <w:r>
        <w:rPr>
          <w:i/>
          <w:iCs/>
          <w:kern w:val="36"/>
        </w:rPr>
        <w:t>Arabis mosaic virus</w:t>
      </w:r>
      <w:r>
        <w:rPr>
          <w:kern w:val="36"/>
        </w:rPr>
        <w:t xml:space="preserve"> and </w:t>
      </w:r>
      <w:r>
        <w:rPr>
          <w:i/>
          <w:iCs/>
          <w:kern w:val="36"/>
        </w:rPr>
        <w:t>Grapevine leaf roll associated virus-</w:t>
      </w:r>
      <w:r>
        <w:rPr>
          <w:iCs/>
          <w:kern w:val="36"/>
        </w:rPr>
        <w:t>3</w:t>
      </w:r>
      <w:r>
        <w:rPr>
          <w:kern w:val="36"/>
        </w:rPr>
        <w:t xml:space="preserve"> on Grapevines in Iran. </w:t>
      </w:r>
      <w:r>
        <w:rPr>
          <w:i/>
          <w:kern w:val="36"/>
        </w:rPr>
        <w:t>Plant Disease</w:t>
      </w:r>
      <w:r>
        <w:rPr>
          <w:kern w:val="36"/>
        </w:rPr>
        <w:t xml:space="preserve"> 88: 424.</w:t>
      </w:r>
    </w:p>
    <w:p>
      <w:pPr>
        <w:autoSpaceDE w:val="0"/>
        <w:autoSpaceDN w:val="0"/>
        <w:spacing w:before="120" w:after="120" w:line="300" w:lineRule="atLeast"/>
        <w:jc w:val="left"/>
      </w:pPr>
      <w:r>
        <w:t xml:space="preserve">Pozdena J, Vanek G, Filigarova M (1977) </w:t>
      </w:r>
      <w:r>
        <w:rPr>
          <w:i/>
        </w:rPr>
        <w:t>Sowbane mosaic virus</w:t>
      </w:r>
      <w:r>
        <w:t xml:space="preserve"> in grapevine in the CSSR. (In Czech). </w:t>
      </w:r>
      <w:r>
        <w:rPr>
          <w:i/>
        </w:rPr>
        <w:t>Sb.UVTIZ-Ochrana Rostlin</w:t>
      </w:r>
      <w:r>
        <w:t xml:space="preserve"> 13: 197–200.</w:t>
      </w:r>
    </w:p>
    <w:p>
      <w:pPr>
        <w:tabs>
          <w:tab w:val="left" w:pos="0"/>
        </w:tabs>
        <w:spacing w:before="120" w:after="120" w:line="300" w:lineRule="atLeast"/>
        <w:jc w:val="left"/>
      </w:pPr>
      <w:r>
        <w:t xml:space="preserve">Pozsár BI, Horváth L, Lehoczky J, Sárospataki G (1969) Effect of the </w:t>
      </w:r>
      <w:r>
        <w:rPr>
          <w:i/>
        </w:rPr>
        <w:t xml:space="preserve">Grape chrome mosaic </w:t>
      </w:r>
      <w:r>
        <w:t xml:space="preserve">and </w:t>
      </w:r>
      <w:r>
        <w:rPr>
          <w:i/>
        </w:rPr>
        <w:t>Grape fanleaf yellow mosaic virus</w:t>
      </w:r>
      <w:r>
        <w:t xml:space="preserve"> infection on the photosynthetical carbon dioxide fixation in vine leaves. </w:t>
      </w:r>
      <w:r>
        <w:rPr>
          <w:i/>
        </w:rPr>
        <w:t>Vitis</w:t>
      </w:r>
      <w:r>
        <w:t xml:space="preserve"> 8: 206</w:t>
      </w:r>
      <w:r>
        <w:rPr>
          <w:snapToGrid w:val="0"/>
        </w:rPr>
        <w:t>–</w:t>
      </w:r>
      <w:r>
        <w:t>210.</w:t>
      </w:r>
    </w:p>
    <w:p>
      <w:pPr>
        <w:autoSpaceDE w:val="0"/>
        <w:autoSpaceDN w:val="0"/>
        <w:spacing w:before="120" w:after="120" w:line="300" w:lineRule="atLeast"/>
        <w:jc w:val="left"/>
      </w:pPr>
      <w:r>
        <w:t xml:space="preserve">Prince JP, Davis RE, Wolf TK, Lee IM, B. Mogen </w:t>
      </w:r>
      <w:r>
        <w:rPr>
          <w:i/>
        </w:rPr>
        <w:t>et al</w:t>
      </w:r>
      <w:r>
        <w:t xml:space="preserve">. (1993) </w:t>
      </w:r>
      <w:bookmarkStart w:id="138" w:name="541582_ja"/>
      <w:bookmarkEnd w:id="138"/>
      <w:r>
        <w:t xml:space="preserve">Molecular detection of diverse Mycoplasma-Like Organisms (MLOs) associated with Grapevine yellows and their classification with Aster yellows, X-disease and Elm yellows MLOs. </w:t>
      </w:r>
      <w:r>
        <w:rPr>
          <w:i/>
        </w:rPr>
        <w:t>Phytopathology</w:t>
      </w:r>
      <w:r>
        <w:t xml:space="preserve"> 83: 1130–1137.</w:t>
      </w:r>
    </w:p>
    <w:p>
      <w:pPr>
        <w:autoSpaceDE w:val="0"/>
        <w:autoSpaceDN w:val="0"/>
        <w:spacing w:before="120" w:after="120" w:line="300" w:lineRule="atLeast"/>
        <w:jc w:val="left"/>
      </w:pPr>
      <w:r>
        <w:t xml:space="preserve">Prodi A, Sandalo S, Tonti S, Nipoti P, Pisi A (2008) </w:t>
      </w:r>
      <w:r>
        <w:rPr>
          <w:i/>
        </w:rPr>
        <w:t>Phialophora</w:t>
      </w:r>
      <w:r>
        <w:t xml:space="preserve">-like fungi associated with kiwifruit elephantiasis. </w:t>
      </w:r>
      <w:r>
        <w:rPr>
          <w:i/>
        </w:rPr>
        <w:t xml:space="preserve">Journal of Plant Pathology </w:t>
      </w:r>
      <w:r>
        <w:t>90: 487–494.</w:t>
      </w:r>
    </w:p>
    <w:p>
      <w:pPr>
        <w:spacing w:before="120" w:after="120" w:line="300" w:lineRule="atLeast"/>
        <w:jc w:val="left"/>
      </w:pPr>
      <w:r>
        <w:t xml:space="preserve">Purcell A H (2001) </w:t>
      </w:r>
      <w:r>
        <w:rPr>
          <w:i/>
        </w:rPr>
        <w:t>Xylella fastidiosa</w:t>
      </w:r>
      <w:r>
        <w:t xml:space="preserve"> Web Site. University of California at Berkeley. </w:t>
      </w:r>
      <w:hyperlink r:id="rId186" w:history="1">
        <w:r>
          <w:rPr>
            <w:rStyle w:val="Hyperlink"/>
            <w:color w:val="auto"/>
          </w:rPr>
          <w:t>http://www.cnr.berkeley.edu/xylella/index.html</w:t>
        </w:r>
      </w:hyperlink>
      <w:r>
        <w:t xml:space="preserve"> Accessed March 2011.</w:t>
      </w:r>
    </w:p>
    <w:p>
      <w:pPr>
        <w:spacing w:before="120" w:after="120" w:line="300" w:lineRule="atLeast"/>
        <w:jc w:val="left"/>
      </w:pPr>
      <w:r>
        <w:t xml:space="preserve">Qui Y, Steel CC, Ash GJ, Savocchia S (2011) Survey of Botryosphaeriaceae associated with grapevine decline in the hunter valley and Mudgee grape growing regions of New South Wales. </w:t>
      </w:r>
      <w:r>
        <w:rPr>
          <w:i/>
        </w:rPr>
        <w:t>Australasian Plant Pathology</w:t>
      </w:r>
      <w:r>
        <w:t xml:space="preserve"> 40: 1–11.</w:t>
      </w:r>
    </w:p>
    <w:p>
      <w:pPr>
        <w:spacing w:before="120" w:after="120" w:line="300" w:lineRule="atLeast"/>
        <w:jc w:val="left"/>
      </w:pPr>
      <w:r>
        <w:t xml:space="preserve">Ragazzini D (1996) </w:t>
      </w:r>
      <w:r>
        <w:rPr>
          <w:i/>
        </w:rPr>
        <w:t>Sinoxylon perforans</w:t>
      </w:r>
      <w:r>
        <w:t xml:space="preserve">: a pest of our grape vineyards. </w:t>
      </w:r>
      <w:r>
        <w:rPr>
          <w:i/>
        </w:rPr>
        <w:t>Informatore Fitopatologico</w:t>
      </w:r>
      <w:r>
        <w:t xml:space="preserve"> 27: 3–16.</w:t>
      </w:r>
    </w:p>
    <w:p>
      <w:pPr>
        <w:spacing w:before="120" w:after="120" w:line="300" w:lineRule="atLeast"/>
        <w:jc w:val="left"/>
      </w:pPr>
      <w:r>
        <w:t xml:space="preserve">Ramsdell </w:t>
      </w:r>
      <w:smartTag w:uri="urn:schemas-microsoft-com:office:smarttags" w:element="State">
        <w:r>
          <w:t>DC</w:t>
        </w:r>
      </w:smartTag>
      <w:r>
        <w:t xml:space="preserve">, Gillet JM (1998) </w:t>
      </w:r>
      <w:r>
        <w:rPr>
          <w:i/>
        </w:rPr>
        <w:t>Peach rosette mosaic virus.</w:t>
      </w:r>
      <w:r>
        <w:t xml:space="preserve"> AAB Description of Plant Viruses, No. 364. </w:t>
      </w:r>
      <w:r>
        <w:rPr>
          <w:u w:val="single"/>
        </w:rPr>
        <w:t>http://www.dpvweb.net/dpv/showdpv.php?dpvno=364</w:t>
      </w:r>
      <w:r>
        <w:t xml:space="preserve"> Accessed September 2011.</w:t>
      </w:r>
    </w:p>
    <w:p>
      <w:pPr>
        <w:spacing w:before="120" w:after="120" w:line="300" w:lineRule="atLeast"/>
        <w:jc w:val="left"/>
      </w:pPr>
      <w:r>
        <w:t xml:space="preserve">Ramsdell </w:t>
      </w:r>
      <w:smartTag w:uri="urn:schemas-microsoft-com:office:smarttags" w:element="State">
        <w:r>
          <w:t>DC</w:t>
        </w:r>
      </w:smartTag>
      <w:r>
        <w:t xml:space="preserve">, </w:t>
      </w:r>
      <w:smartTag w:uri="urn:schemas-microsoft-com:office:smarttags" w:element="Street">
        <w:smartTag w:uri="urn:schemas-microsoft-com:office:smarttags" w:element="address">
          <w:r>
            <w:t>Milholland RD</w:t>
          </w:r>
        </w:smartTag>
      </w:smartTag>
      <w:r>
        <w:t xml:space="preserve"> (1988) Black rot. In Pearson RC, Goheen AC (eds) </w:t>
      </w:r>
      <w:r>
        <w:rPr>
          <w:i/>
        </w:rPr>
        <w:t>Compendium of grape diseases</w:t>
      </w:r>
      <w:r>
        <w:t xml:space="preserve"> 15–17. American Phytopathological Society Press, St. Paul.</w:t>
      </w:r>
    </w:p>
    <w:p>
      <w:pPr>
        <w:spacing w:before="120" w:after="120" w:line="300" w:lineRule="atLeast"/>
        <w:jc w:val="left"/>
      </w:pPr>
      <w:r>
        <w:t xml:space="preserve">Randles JW (1986) Susceptibility of </w:t>
      </w:r>
      <w:r>
        <w:rPr>
          <w:i/>
        </w:rPr>
        <w:t>Echium plantagineum</w:t>
      </w:r>
      <w:r>
        <w:t xml:space="preserve"> L. to </w:t>
      </w:r>
      <w:r>
        <w:rPr>
          <w:i/>
        </w:rPr>
        <w:t>Tobacco mosaic, Alfalfa mosaic, Tobacco ringspot</w:t>
      </w:r>
      <w:r>
        <w:t xml:space="preserve"> and </w:t>
      </w:r>
      <w:r>
        <w:rPr>
          <w:i/>
        </w:rPr>
        <w:t>Tobacco necrosis viruses</w:t>
      </w:r>
      <w:r>
        <w:t xml:space="preserve">. </w:t>
      </w:r>
      <w:r>
        <w:rPr>
          <w:i/>
        </w:rPr>
        <w:t>Australasian Plant Pathology</w:t>
      </w:r>
      <w:r>
        <w:t xml:space="preserve"> 15: 74–77.</w:t>
      </w:r>
    </w:p>
    <w:p>
      <w:pPr>
        <w:spacing w:before="120" w:after="120" w:line="300" w:lineRule="atLeast"/>
        <w:jc w:val="left"/>
      </w:pPr>
      <w:r>
        <w:t xml:space="preserve">Ranga Rao PV, Azam KM, Laxminarayana K, Eshbaugh EL (1979) A new record of </w:t>
      </w:r>
      <w:r>
        <w:rPr>
          <w:i/>
        </w:rPr>
        <w:t>Coelosterna scabrator</w:t>
      </w:r>
      <w:r>
        <w:t xml:space="preserve"> F. (Cerambycidae: Coleoptera) on grapevines in Andhra Pradesh. </w:t>
      </w:r>
      <w:r>
        <w:rPr>
          <w:i/>
        </w:rPr>
        <w:t>Indian Journal of Entomology</w:t>
      </w:r>
      <w:r>
        <w:t xml:space="preserve"> 41: 289–290.</w:t>
      </w:r>
    </w:p>
    <w:p>
      <w:pPr>
        <w:spacing w:before="120" w:after="120" w:line="300" w:lineRule="atLeast"/>
        <w:jc w:val="left"/>
      </w:pPr>
      <w:r>
        <w:t xml:space="preserve">Rao R (1965) A new species of </w:t>
      </w:r>
      <w:r>
        <w:rPr>
          <w:i/>
        </w:rPr>
        <w:t>Amphisphaeria</w:t>
      </w:r>
      <w:r>
        <w:t xml:space="preserve"> from India. </w:t>
      </w:r>
      <w:r>
        <w:rPr>
          <w:i/>
        </w:rPr>
        <w:t>Mycopathologia</w:t>
      </w:r>
      <w:r>
        <w:t xml:space="preserve"> 28: 239–240.</w:t>
      </w:r>
    </w:p>
    <w:p>
      <w:pPr>
        <w:spacing w:before="120" w:after="120" w:line="300" w:lineRule="atLeast"/>
        <w:jc w:val="left"/>
      </w:pPr>
      <w:r>
        <w:t xml:space="preserve">Rao R (1966) A new species of </w:t>
      </w:r>
      <w:r>
        <w:rPr>
          <w:i/>
        </w:rPr>
        <w:t xml:space="preserve">Teichospora </w:t>
      </w:r>
      <w:r>
        <w:t xml:space="preserve">from India. </w:t>
      </w:r>
      <w:r>
        <w:rPr>
          <w:i/>
        </w:rPr>
        <w:t xml:space="preserve">Mycopathologia </w:t>
      </w:r>
      <w:r>
        <w:t>28: 63–64.</w:t>
      </w:r>
    </w:p>
    <w:p>
      <w:pPr>
        <w:spacing w:before="120" w:after="120" w:line="300" w:lineRule="atLeast"/>
        <w:jc w:val="left"/>
      </w:pPr>
      <w:r>
        <w:t xml:space="preserve">Raski DJ, Goheen AC, Lider LA, Meredith CP (1983) Strategies against </w:t>
      </w:r>
      <w:r>
        <w:rPr>
          <w:i/>
        </w:rPr>
        <w:t>Fanleaf virus</w:t>
      </w:r>
      <w:r>
        <w:t xml:space="preserve"> and its nematode vector. </w:t>
      </w:r>
      <w:r>
        <w:rPr>
          <w:i/>
        </w:rPr>
        <w:t xml:space="preserve">Plant Disease </w:t>
      </w:r>
      <w:r>
        <w:t>67: 335–339.</w:t>
      </w:r>
    </w:p>
    <w:p>
      <w:pPr>
        <w:autoSpaceDE w:val="0"/>
        <w:autoSpaceDN w:val="0"/>
        <w:spacing w:before="120" w:after="120" w:line="300" w:lineRule="atLeast"/>
        <w:jc w:val="left"/>
      </w:pPr>
      <w:r>
        <w:t>Rawat RR, Jakhmola SS (1970) Bionomics of the mango-coccid (</w:t>
      </w:r>
      <w:r>
        <w:rPr>
          <w:i/>
        </w:rPr>
        <w:t>Rastrococcus iceryoides</w:t>
      </w:r>
      <w:r>
        <w:t xml:space="preserve"> Green; Homoptera: Coccidae). </w:t>
      </w:r>
      <w:r>
        <w:rPr>
          <w:i/>
        </w:rPr>
        <w:t>Indian Journal of Agricultural Sciences</w:t>
      </w:r>
      <w:r>
        <w:t xml:space="preserve"> 40: 140–144.</w:t>
      </w:r>
    </w:p>
    <w:p>
      <w:pPr>
        <w:spacing w:before="120" w:after="120" w:line="300" w:lineRule="atLeast"/>
        <w:jc w:val="left"/>
        <w:rPr>
          <w:lang w:eastAsia="en-AU"/>
        </w:rPr>
      </w:pPr>
      <w:r>
        <w:t>Rebenstorf</w:t>
      </w:r>
      <w:r>
        <w:rPr>
          <w:lang w:eastAsia="en-AU"/>
        </w:rPr>
        <w:t xml:space="preserve"> K, Candresse T, Marie Josee Dulucq MJ, </w:t>
      </w:r>
      <w:r>
        <w:t xml:space="preserve">Büttner C and </w:t>
      </w:r>
      <w:r>
        <w:rPr>
          <w:lang w:eastAsia="en-AU"/>
        </w:rPr>
        <w:t xml:space="preserve">Obermeier C (2006) Host species-dependent population structure of a pollen-borne plant virus, </w:t>
      </w:r>
      <w:r>
        <w:rPr>
          <w:i/>
          <w:lang w:eastAsia="en-AU"/>
        </w:rPr>
        <w:t>Cherry leaf roll virus.</w:t>
      </w:r>
      <w:r>
        <w:rPr>
          <w:lang w:eastAsia="en-AU"/>
        </w:rPr>
        <w:t xml:space="preserve"> </w:t>
      </w:r>
      <w:r>
        <w:rPr>
          <w:i/>
          <w:lang w:eastAsia="en-AU"/>
        </w:rPr>
        <w:t>Journal of Virology</w:t>
      </w:r>
      <w:r>
        <w:rPr>
          <w:lang w:eastAsia="en-AU"/>
        </w:rPr>
        <w:t xml:space="preserve"> 80: 2453–2462.</w:t>
      </w:r>
    </w:p>
    <w:p>
      <w:pPr>
        <w:spacing w:before="120" w:after="120" w:line="300" w:lineRule="atLeast"/>
        <w:jc w:val="left"/>
        <w:rPr>
          <w:lang w:val="de-DE"/>
        </w:rPr>
      </w:pPr>
      <w:r>
        <w:t xml:space="preserve">Regniere J, Rabbn RL, Stinner RE (1983) </w:t>
      </w:r>
      <w:r>
        <w:rPr>
          <w:i/>
        </w:rPr>
        <w:t>Popillia japonica</w:t>
      </w:r>
      <w:r>
        <w:t xml:space="preserve"> (Coleoptera: Scarabaeidae): Distribution and movement of adults in heterogeneous environments. </w:t>
      </w:r>
      <w:r>
        <w:rPr>
          <w:i/>
          <w:lang w:val="de-DE"/>
        </w:rPr>
        <w:t>Canadian Entomology</w:t>
      </w:r>
      <w:r>
        <w:rPr>
          <w:lang w:val="de-DE"/>
        </w:rPr>
        <w:t xml:space="preserve"> 115: 287</w:t>
      </w:r>
      <w:r>
        <w:t>–</w:t>
      </w:r>
      <w:r>
        <w:rPr>
          <w:lang w:val="de-DE"/>
        </w:rPr>
        <w:t>294.</w:t>
      </w:r>
    </w:p>
    <w:p>
      <w:pPr>
        <w:autoSpaceDE w:val="0"/>
        <w:autoSpaceDN w:val="0"/>
        <w:spacing w:before="120" w:after="120" w:line="300" w:lineRule="atLeast"/>
        <w:jc w:val="left"/>
      </w:pPr>
      <w:r>
        <w:rPr>
          <w:lang w:val="de-DE"/>
        </w:rPr>
        <w:t xml:space="preserve">Reisenzein H, Berger N, Nieder G (2000) Esca in Austria. </w:t>
      </w:r>
      <w:r>
        <w:rPr>
          <w:i/>
        </w:rPr>
        <w:t>Phytopathologia Mediterranea</w:t>
      </w:r>
      <w:r>
        <w:t xml:space="preserve"> 39: 16–20.</w:t>
      </w:r>
    </w:p>
    <w:p>
      <w:pPr>
        <w:spacing w:before="120" w:after="120" w:line="300" w:lineRule="atLeast"/>
        <w:jc w:val="left"/>
      </w:pPr>
      <w:r>
        <w:t xml:space="preserve">Reitz SR (2002) Seasonal and within plant distribution of </w:t>
      </w:r>
      <w:r>
        <w:rPr>
          <w:i/>
        </w:rPr>
        <w:t>Frankliniella</w:t>
      </w:r>
      <w:r>
        <w:t xml:space="preserve"> thrips (Thysanoptera: Thripidae) in north </w:t>
      </w:r>
      <w:smartTag w:uri="urn:schemas-microsoft-com:office:smarttags" w:element="State">
        <w:smartTag w:uri="urn:schemas-microsoft-com:office:smarttags" w:element="place">
          <w:r>
            <w:t>Florida</w:t>
          </w:r>
        </w:smartTag>
      </w:smartTag>
      <w:r>
        <w:t xml:space="preserve"> tomatoes. </w:t>
      </w:r>
      <w:smartTag w:uri="urn:schemas-microsoft-com:office:smarttags" w:element="State">
        <w:smartTag w:uri="urn:schemas-microsoft-com:office:smarttags" w:element="place">
          <w:r>
            <w:rPr>
              <w:i/>
            </w:rPr>
            <w:t>Florida</w:t>
          </w:r>
        </w:smartTag>
      </w:smartTag>
      <w:r>
        <w:rPr>
          <w:i/>
        </w:rPr>
        <w:t xml:space="preserve"> Entomology</w:t>
      </w:r>
      <w:r>
        <w:t xml:space="preserve"> 85: 431–439.</w:t>
      </w:r>
    </w:p>
    <w:p>
      <w:pPr>
        <w:spacing w:before="120" w:after="120" w:line="300" w:lineRule="atLeast"/>
        <w:jc w:val="left"/>
      </w:pPr>
      <w:r>
        <w:t xml:space="preserve">Reynolds DR (1971) On the use of hyphal morphology in the taxonomy of sooty molds. </w:t>
      </w:r>
      <w:r>
        <w:rPr>
          <w:i/>
        </w:rPr>
        <w:t>Taxon</w:t>
      </w:r>
      <w:r>
        <w:t xml:space="preserve"> 20: 759–768.</w:t>
      </w:r>
    </w:p>
    <w:p>
      <w:pPr>
        <w:spacing w:before="120" w:after="120" w:line="300" w:lineRule="atLeast"/>
        <w:jc w:val="left"/>
      </w:pPr>
      <w:r>
        <w:t xml:space="preserve">Rezaian MA (1990) Australian grapevine viroid-evidence for extensive recombination between viroids. </w:t>
      </w:r>
      <w:r>
        <w:rPr>
          <w:i/>
        </w:rPr>
        <w:t>Nucleic Acids Research</w:t>
      </w:r>
      <w:r>
        <w:t xml:space="preserve"> 18: 1813–1818.</w:t>
      </w:r>
    </w:p>
    <w:p>
      <w:pPr>
        <w:spacing w:before="120" w:after="120" w:line="300" w:lineRule="atLeast"/>
        <w:jc w:val="left"/>
      </w:pPr>
      <w:r>
        <w:t xml:space="preserve">Rhoads AS (1918) </w:t>
      </w:r>
      <w:r>
        <w:rPr>
          <w:i/>
        </w:rPr>
        <w:t>Daldinia vernicosa</w:t>
      </w:r>
      <w:r>
        <w:t xml:space="preserve">: a pyroxylophilous fungus. </w:t>
      </w:r>
      <w:r>
        <w:rPr>
          <w:i/>
        </w:rPr>
        <w:t xml:space="preserve">Mycologia </w:t>
      </w:r>
      <w:r>
        <w:t>10: 277–284.</w:t>
      </w:r>
    </w:p>
    <w:p>
      <w:pPr>
        <w:spacing w:before="120" w:after="120" w:line="300" w:lineRule="atLeast"/>
        <w:jc w:val="left"/>
      </w:pPr>
      <w:r>
        <w:t xml:space="preserve">Riccioni L, Manning M, Valvassori M, Haegi A, Casonato S, Spinelli R (2007) A new disease: leader die-back in </w:t>
      </w:r>
      <w:r>
        <w:rPr>
          <w:i/>
        </w:rPr>
        <w:t xml:space="preserve">Actinidia chinensis </w:t>
      </w:r>
      <w:r>
        <w:t xml:space="preserve">‘Hort16A’ in Italy. </w:t>
      </w:r>
      <w:r>
        <w:rPr>
          <w:i/>
        </w:rPr>
        <w:t xml:space="preserve">Acta Horticulturae </w:t>
      </w:r>
      <w:r>
        <w:t>753: 669–676.</w:t>
      </w:r>
    </w:p>
    <w:p>
      <w:pPr>
        <w:autoSpaceDE w:val="0"/>
        <w:autoSpaceDN w:val="0"/>
        <w:spacing w:before="120" w:after="120" w:line="300" w:lineRule="atLeast"/>
        <w:jc w:val="left"/>
      </w:pPr>
      <w:r>
        <w:t xml:space="preserve">Rice M, Drees BM (1985) Oviposition and girdling habits of the Three-cornered Alfalfa hopper (Homoptera: Membracidae) on preblooming soybeans. </w:t>
      </w:r>
      <w:r>
        <w:rPr>
          <w:i/>
        </w:rPr>
        <w:t>Journal of Economic Entomology</w:t>
      </w:r>
      <w:r>
        <w:t>78: 829–834.</w:t>
      </w:r>
    </w:p>
    <w:p>
      <w:pPr>
        <w:spacing w:before="120" w:after="120" w:line="300" w:lineRule="atLeast"/>
        <w:jc w:val="left"/>
      </w:pPr>
      <w:r>
        <w:t xml:space="preserve">Richardson MJ (1990) </w:t>
      </w:r>
      <w:r>
        <w:rPr>
          <w:i/>
        </w:rPr>
        <w:t>An annotated list of seed-borne disease</w:t>
      </w:r>
      <w:r>
        <w:t xml:space="preserve"> 4</w:t>
      </w:r>
      <w:r>
        <w:rPr>
          <w:vertAlign w:val="superscript"/>
        </w:rPr>
        <w:t>th</w:t>
      </w:r>
      <w:r>
        <w:t xml:space="preserve"> edn. The Internal Seed Testing Association, Switzerland.</w:t>
      </w:r>
    </w:p>
    <w:p>
      <w:pPr>
        <w:autoSpaceDE w:val="0"/>
        <w:autoSpaceDN w:val="0"/>
        <w:spacing w:before="120" w:after="120" w:line="300" w:lineRule="atLeast"/>
        <w:jc w:val="left"/>
      </w:pPr>
      <w:r>
        <w:t xml:space="preserve">Ridé M, Ridé S, Novoa D (1977) Données nouvelles sur la biologie de </w:t>
      </w:r>
      <w:r>
        <w:rPr>
          <w:i/>
        </w:rPr>
        <w:t>Xanthomonas</w:t>
      </w:r>
      <w:r>
        <w:t xml:space="preserve"> </w:t>
      </w:r>
      <w:r>
        <w:rPr>
          <w:i/>
        </w:rPr>
        <w:t>ampelina</w:t>
      </w:r>
      <w:r>
        <w:t xml:space="preserve"> Panagopoulos, agent de la nécrose bactérienne de la vigne. </w:t>
      </w:r>
      <w:r>
        <w:rPr>
          <w:i/>
        </w:rPr>
        <w:t>Annales de Phytopathologie</w:t>
      </w:r>
      <w:r>
        <w:t xml:space="preserve"> 9: 87.</w:t>
      </w:r>
    </w:p>
    <w:p>
      <w:pPr>
        <w:autoSpaceDE w:val="0"/>
        <w:autoSpaceDN w:val="0"/>
        <w:spacing w:before="120" w:after="120" w:line="300" w:lineRule="atLeast"/>
        <w:jc w:val="left"/>
      </w:pPr>
      <w:r>
        <w:t xml:space="preserve">Ridé M, Ridé S, Novoa D (1983) Connaissances actuelles sur la nécrose bactérienne de la vigne. </w:t>
      </w:r>
      <w:r>
        <w:rPr>
          <w:i/>
        </w:rPr>
        <w:t>Bulletin Technique des Pyrénnées-Orientales</w:t>
      </w:r>
      <w:r>
        <w:t xml:space="preserve"> 106: 10</w:t>
      </w:r>
      <w:r>
        <w:rPr>
          <w:snapToGrid w:val="0"/>
        </w:rPr>
        <w:t>–</w:t>
      </w:r>
      <w:r>
        <w:t>45.</w:t>
      </w:r>
    </w:p>
    <w:p>
      <w:pPr>
        <w:autoSpaceDE w:val="0"/>
        <w:autoSpaceDN w:val="0"/>
        <w:spacing w:before="120" w:after="120" w:line="300" w:lineRule="atLeast"/>
        <w:jc w:val="left"/>
      </w:pPr>
      <w:r>
        <w:t xml:space="preserve">Ridgway H, Whiteman SA, Jaspers MV, Stewart A (2003) Molecular diagnostics for industry: sources of Petri disease in grapevine nurseries. </w:t>
      </w:r>
      <w:r>
        <w:rPr>
          <w:i/>
        </w:rPr>
        <w:t>Phytopathologia Mediterranea</w:t>
      </w:r>
      <w:r>
        <w:t xml:space="preserve"> 43: 152.</w:t>
      </w:r>
    </w:p>
    <w:p>
      <w:pPr>
        <w:spacing w:before="120" w:after="120" w:line="300" w:lineRule="atLeast"/>
        <w:jc w:val="left"/>
      </w:pPr>
      <w:r>
        <w:t xml:space="preserve">Riedl H, Taschenberg EF (2008) Integrated pest management – Grape cane girdler, Cornell University, New York State Agricultural Experiment Station, Geneva. </w:t>
      </w:r>
      <w:r>
        <w:rPr>
          <w:u w:val="single"/>
        </w:rPr>
        <w:t>http://www.nysipm.cornell.edu/factsheets/grapes/pests/gcg/gcg.asp</w:t>
      </w:r>
      <w:r>
        <w:t xml:space="preserve"> Accessed February 2010.</w:t>
      </w:r>
    </w:p>
    <w:p>
      <w:pPr>
        <w:spacing w:before="120" w:after="120" w:line="300" w:lineRule="atLeast"/>
        <w:jc w:val="left"/>
      </w:pPr>
      <w:r>
        <w:t xml:space="preserve">Riedle-Bauer M, Tiefenbrunner W, Ostreba J, Hanak K, Schildberger B, Regner F (2006) Epidemiological observations on Bois noir in Austrian vineyards. </w:t>
      </w:r>
      <w:r>
        <w:rPr>
          <w:i/>
        </w:rPr>
        <w:t>Mitteilungen Klostern</w:t>
      </w:r>
      <w:smartTag w:uri="urn:schemas-microsoft-com:office:smarttags" w:element="PersonName">
        <w:r>
          <w:rPr>
            <w:i/>
          </w:rPr>
          <w:t>eu</w:t>
        </w:r>
      </w:smartTag>
      <w:r>
        <w:rPr>
          <w:i/>
        </w:rPr>
        <w:t xml:space="preserve">burg </w:t>
      </w:r>
      <w:r>
        <w:t>56: 166–170.</w:t>
      </w:r>
    </w:p>
    <w:p>
      <w:pPr>
        <w:autoSpaceDE w:val="0"/>
        <w:autoSpaceDN w:val="0"/>
        <w:spacing w:before="120" w:after="120" w:line="300" w:lineRule="atLeast"/>
        <w:ind w:left="540" w:hanging="540"/>
        <w:jc w:val="left"/>
      </w:pPr>
      <w:r>
        <w:t xml:space="preserve">Rieger M (2005) </w:t>
      </w:r>
      <w:r>
        <w:rPr>
          <w:i/>
        </w:rPr>
        <w:t>Introduction to fruit crops</w:t>
      </w:r>
      <w:r>
        <w:t xml:space="preserve">. </w:t>
      </w:r>
      <w:smartTag w:uri="urn:schemas-microsoft-com:office:smarttags" w:element="place">
        <w:r>
          <w:t>Haworth</w:t>
        </w:r>
      </w:smartTag>
      <w:r>
        <w:t xml:space="preserve"> Press. </w:t>
      </w:r>
      <w:smartTag w:uri="urn:schemas-microsoft-com:office:smarttags" w:element="place">
        <w:smartTag w:uri="urn:schemas-microsoft-com:office:smarttags" w:element="City">
          <w:r>
            <w:t>Philadelphia</w:t>
          </w:r>
        </w:smartTag>
        <w:r>
          <w:t xml:space="preserve">, </w:t>
        </w:r>
        <w:smartTag w:uri="urn:schemas-microsoft-com:office:smarttags" w:element="country-region">
          <w:r>
            <w:t>USA</w:t>
          </w:r>
        </w:smartTag>
      </w:smartTag>
      <w:r>
        <w:t xml:space="preserve">. </w:t>
      </w:r>
    </w:p>
    <w:p>
      <w:pPr>
        <w:autoSpaceDE w:val="0"/>
        <w:autoSpaceDN w:val="0"/>
        <w:spacing w:before="120" w:after="120" w:line="300" w:lineRule="atLeast"/>
        <w:jc w:val="left"/>
        <w:rPr>
          <w:iCs/>
          <w:lang w:eastAsia="en-AU"/>
        </w:rPr>
      </w:pPr>
      <w:r>
        <w:t xml:space="preserve">Riolo P, Landi L, Nardi S, Isidoro N (2007) Relationships among </w:t>
      </w:r>
      <w:r>
        <w:rPr>
          <w:i/>
        </w:rPr>
        <w:t>Hyalesthes</w:t>
      </w:r>
      <w:r>
        <w:t xml:space="preserve"> </w:t>
      </w:r>
      <w:r>
        <w:rPr>
          <w:i/>
        </w:rPr>
        <w:t>obsoletus</w:t>
      </w:r>
      <w:r>
        <w:t xml:space="preserve">, its herbaceous host plants and ‘Bois noir’ 'strains in vineyard ecosystems in the Marche region (central-eastern Italy). </w:t>
      </w:r>
      <w:r>
        <w:rPr>
          <w:i/>
          <w:iCs/>
          <w:lang w:eastAsia="en-AU"/>
        </w:rPr>
        <w:t xml:space="preserve">Bulletin of Insectology </w:t>
      </w:r>
      <w:r>
        <w:rPr>
          <w:bCs/>
          <w:iCs/>
          <w:lang w:eastAsia="en-AU"/>
        </w:rPr>
        <w:t>60</w:t>
      </w:r>
      <w:r>
        <w:rPr>
          <w:iCs/>
          <w:lang w:eastAsia="en-AU"/>
        </w:rPr>
        <w:t>:</w:t>
      </w:r>
      <w:r>
        <w:rPr>
          <w:i/>
          <w:iCs/>
          <w:lang w:eastAsia="en-AU"/>
        </w:rPr>
        <w:t xml:space="preserve"> </w:t>
      </w:r>
      <w:r>
        <w:rPr>
          <w:iCs/>
          <w:lang w:eastAsia="en-AU"/>
        </w:rPr>
        <w:t xml:space="preserve">353–354. </w:t>
      </w:r>
    </w:p>
    <w:p>
      <w:pPr>
        <w:autoSpaceDE w:val="0"/>
        <w:autoSpaceDN w:val="0"/>
        <w:spacing w:before="120" w:after="120" w:line="300" w:lineRule="atLeast"/>
        <w:jc w:val="left"/>
      </w:pPr>
      <w:r>
        <w:t xml:space="preserve">Robinson GS, Ackery PR, Kitching IJ, Beccaloni GW, Hernández LM (2008) Hosts: a database of the host plants of the world's Lepidoptera host plants. The Natural History Museum, London. </w:t>
      </w:r>
      <w:hyperlink r:id="rId187" w:history="1">
        <w:r>
          <w:rPr>
            <w:rStyle w:val="Hyperlink"/>
            <w:color w:val="auto"/>
          </w:rPr>
          <w:t>http://www.nhm.ac.uk/entomology/hostplants/</w:t>
        </w:r>
      </w:hyperlink>
      <w:r>
        <w:t xml:space="preserve"> Accessed April</w:t>
      </w:r>
      <w:r>
        <w:rPr>
          <w:rFonts w:ascii="Arial" w:hAnsi="Arial" w:cs="Arial"/>
        </w:rPr>
        <w:t xml:space="preserve"> </w:t>
      </w:r>
      <w:r>
        <w:t>2010.</w:t>
      </w:r>
    </w:p>
    <w:p>
      <w:pPr>
        <w:spacing w:before="120" w:after="120" w:line="300" w:lineRule="atLeast"/>
        <w:jc w:val="left"/>
      </w:pPr>
      <w:r>
        <w:t xml:space="preserve">Roca F, Martelli GP, Lamberti F, Rana GL (1975) Distribution of </w:t>
      </w:r>
      <w:r>
        <w:rPr>
          <w:i/>
        </w:rPr>
        <w:t xml:space="preserve">Longidorus attenuatus </w:t>
      </w:r>
      <w:r>
        <w:t xml:space="preserve">Hooper in Apulian artichoke fields and its relationship with </w:t>
      </w:r>
      <w:r>
        <w:rPr>
          <w:i/>
        </w:rPr>
        <w:t>Artichoke Italian latent virus. Nematologia Mediterranea</w:t>
      </w:r>
      <w:r>
        <w:t xml:space="preserve"> 3: 91–101.</w:t>
      </w:r>
    </w:p>
    <w:p>
      <w:pPr>
        <w:autoSpaceDE w:val="0"/>
        <w:autoSpaceDN w:val="0"/>
        <w:spacing w:before="120" w:after="120" w:line="300" w:lineRule="atLeast"/>
        <w:jc w:val="left"/>
      </w:pPr>
      <w:r>
        <w:t xml:space="preserve">Roditakis E, </w:t>
      </w:r>
      <w:smartTag w:uri="urn:schemas-microsoft-com:office:smarttags" w:element="place">
        <w:smartTag w:uri="urn:schemas-microsoft-com:office:smarttags" w:element="City">
          <w:r>
            <w:t>Roditakis</w:t>
          </w:r>
        </w:smartTag>
        <w:r>
          <w:t xml:space="preserve"> </w:t>
        </w:r>
        <w:smartTag w:uri="urn:schemas-microsoft-com:office:smarttags" w:element="State">
          <w:r>
            <w:t>NE</w:t>
          </w:r>
        </w:smartTag>
      </w:smartTag>
      <w:r>
        <w:t xml:space="preserve"> (2007) Assessment of the damage potential of three thrips species on white variety table grapes—In vitro experiments. </w:t>
      </w:r>
      <w:r>
        <w:rPr>
          <w:i/>
        </w:rPr>
        <w:t>Crop Protection</w:t>
      </w:r>
      <w:r>
        <w:t xml:space="preserve"> 26: 476–483.</w:t>
      </w:r>
    </w:p>
    <w:p>
      <w:pPr>
        <w:spacing w:before="120" w:after="120" w:line="300" w:lineRule="atLeast"/>
        <w:jc w:val="left"/>
      </w:pPr>
      <w:r>
        <w:t>Rogiers SY, Whitelaw-Weckert M, Radovanonic-Tesic M, Greer LA, White RG, Steel CC (2005) Effects of spray adjutants on grape (</w:t>
      </w:r>
      <w:r>
        <w:rPr>
          <w:i/>
        </w:rPr>
        <w:t>Vitis vinifera</w:t>
      </w:r>
      <w:r>
        <w:t xml:space="preserve">) berry microflora, epicuticular wax and susceptibility to infection by </w:t>
      </w:r>
      <w:r>
        <w:rPr>
          <w:i/>
        </w:rPr>
        <w:t>Botrytis cinerea</w:t>
      </w:r>
      <w:r>
        <w:t xml:space="preserve">. </w:t>
      </w:r>
      <w:r>
        <w:rPr>
          <w:i/>
        </w:rPr>
        <w:t>Australasian Plant Pathology</w:t>
      </w:r>
      <w:r>
        <w:t xml:space="preserve"> 34: 221–228.</w:t>
      </w:r>
    </w:p>
    <w:p>
      <w:pPr>
        <w:spacing w:before="120" w:after="120" w:line="300" w:lineRule="atLeast"/>
        <w:jc w:val="left"/>
      </w:pPr>
      <w:hyperlink r:id="rId188" w:history="1">
        <w:r>
          <w:t>Rolshausen</w:t>
        </w:r>
      </w:hyperlink>
      <w:r>
        <w:t xml:space="preserve"> P (2004) </w:t>
      </w:r>
      <w:r>
        <w:rPr>
          <w:i/>
        </w:rPr>
        <w:t>Biology and control of Eutypa dieback of grapevine in California</w:t>
      </w:r>
      <w:r>
        <w:t xml:space="preserve">. University of California, Davis. </w:t>
      </w:r>
    </w:p>
    <w:p>
      <w:pPr>
        <w:spacing w:before="120" w:after="120" w:line="300" w:lineRule="atLeast"/>
        <w:jc w:val="left"/>
      </w:pPr>
      <w:r>
        <w:t xml:space="preserve">Romanazzi G, Murolo S, Pizzichini L, Nardi S (2009) Esca in young and mature vineyards, and molecular diagnosis of the associated fungi. </w:t>
      </w:r>
      <w:r>
        <w:rPr>
          <w:i/>
          <w:iCs/>
        </w:rPr>
        <w:t>European Journal of Plant Pathology</w:t>
      </w:r>
      <w:r>
        <w:t xml:space="preserve"> </w:t>
      </w:r>
      <w:r>
        <w:rPr>
          <w:bCs/>
        </w:rPr>
        <w:t>125</w:t>
      </w:r>
      <w:r>
        <w:t>: 277–290.</w:t>
      </w:r>
    </w:p>
    <w:p>
      <w:pPr>
        <w:autoSpaceDE w:val="0"/>
        <w:autoSpaceDN w:val="0"/>
        <w:spacing w:before="120" w:after="120" w:line="300" w:lineRule="atLeast"/>
        <w:jc w:val="left"/>
      </w:pPr>
      <w:r>
        <w:t xml:space="preserve">Romero AI, Carmaran CC (2003) First contribution to the study of </w:t>
      </w:r>
      <w:r>
        <w:rPr>
          <w:i/>
        </w:rPr>
        <w:t>Cryptosphaeria</w:t>
      </w:r>
      <w:r>
        <w:t xml:space="preserve"> from </w:t>
      </w:r>
      <w:smartTag w:uri="urn:schemas-microsoft-com:office:smarttags" w:element="country-region">
        <w:smartTag w:uri="urn:schemas-microsoft-com:office:smarttags" w:element="place">
          <w:r>
            <w:t>Argentina</w:t>
          </w:r>
        </w:smartTag>
      </w:smartTag>
      <w:r>
        <w:t xml:space="preserve">. </w:t>
      </w:r>
      <w:r>
        <w:rPr>
          <w:i/>
        </w:rPr>
        <w:t xml:space="preserve">Fungal Diversity </w:t>
      </w:r>
      <w:r>
        <w:t>12: 161–167.</w:t>
      </w:r>
    </w:p>
    <w:p>
      <w:pPr>
        <w:spacing w:before="120" w:after="120" w:line="300" w:lineRule="atLeast"/>
        <w:jc w:val="left"/>
      </w:pPr>
      <w:r>
        <w:t xml:space="preserve">Romero D, Rivera ME, Cazorla FM, De Vicente A, Perez-Garcia A (2003) Effect of mycoparasitic fungi on the development of </w:t>
      </w:r>
      <w:r>
        <w:rPr>
          <w:i/>
          <w:iCs/>
        </w:rPr>
        <w:t>Sphaerotheca fusca</w:t>
      </w:r>
      <w:r>
        <w:t xml:space="preserve"> in melon leaves. </w:t>
      </w:r>
      <w:r>
        <w:rPr>
          <w:i/>
          <w:iCs/>
        </w:rPr>
        <w:t>Mycological Research</w:t>
      </w:r>
      <w:r>
        <w:t xml:space="preserve"> </w:t>
      </w:r>
      <w:r>
        <w:rPr>
          <w:bCs/>
        </w:rPr>
        <w:t>107:</w:t>
      </w:r>
      <w:r>
        <w:t xml:space="preserve"> 64–71.</w:t>
      </w:r>
    </w:p>
    <w:p>
      <w:pPr>
        <w:spacing w:before="120" w:after="120" w:line="300" w:lineRule="atLeast"/>
        <w:jc w:val="left"/>
      </w:pPr>
      <w:r>
        <w:t xml:space="preserve">Ronald FL, Jayma LK (1992) </w:t>
      </w:r>
      <w:r>
        <w:rPr>
          <w:i/>
        </w:rPr>
        <w:t>Listroderes difficilis</w:t>
      </w:r>
      <w:r>
        <w:t xml:space="preserve"> (germar). Crop Knowledge Master, </w:t>
      </w:r>
      <w:r>
        <w:rPr>
          <w:rStyle w:val="Strong"/>
          <w:b w:val="0"/>
          <w:iCs/>
        </w:rPr>
        <w:t xml:space="preserve">Extension Entomology &amp; UH-CTAHR Integrated </w:t>
      </w:r>
      <w:smartTag w:uri="urn:schemas-microsoft-com:office:smarttags" w:element="place">
        <w:r>
          <w:rPr>
            <w:rStyle w:val="Strong"/>
            <w:b w:val="0"/>
            <w:iCs/>
          </w:rPr>
          <w:t>Pest</w:t>
        </w:r>
      </w:smartTag>
      <w:r>
        <w:rPr>
          <w:rStyle w:val="Strong"/>
          <w:b w:val="0"/>
          <w:iCs/>
        </w:rPr>
        <w:t xml:space="preserve"> Management Program.</w:t>
      </w:r>
      <w:r>
        <w:t xml:space="preserve"> </w:t>
      </w:r>
      <w:r>
        <w:rPr>
          <w:u w:val="single"/>
        </w:rPr>
        <w:t>http://www.extento.hawaii.edu/kbase/crop/Type/listrode.htm</w:t>
      </w:r>
      <w:r>
        <w:t xml:space="preserve"> Accessed February 2010.</w:t>
      </w:r>
    </w:p>
    <w:p>
      <w:pPr>
        <w:spacing w:before="120" w:after="120" w:line="300" w:lineRule="atLeast"/>
        <w:jc w:val="left"/>
      </w:pPr>
      <w:r>
        <w:t xml:space="preserve">Rooney-Latham S, Eskalen A, Gubler WD (2005) Teleomorph formation of </w:t>
      </w:r>
      <w:r>
        <w:rPr>
          <w:i/>
        </w:rPr>
        <w:t>Phaeoacremonium aleophilum</w:t>
      </w:r>
      <w:r>
        <w:t xml:space="preserve">, cause of esca and Grapevine decline in </w:t>
      </w:r>
      <w:smartTag w:uri="urn:schemas-microsoft-com:office:smarttags" w:element="State">
        <w:smartTag w:uri="urn:schemas-microsoft-com:office:smarttags" w:element="place">
          <w:r>
            <w:t>California</w:t>
          </w:r>
        </w:smartTag>
      </w:smartTag>
      <w:r>
        <w:t xml:space="preserve">. </w:t>
      </w:r>
      <w:r>
        <w:rPr>
          <w:i/>
        </w:rPr>
        <w:t>Plant Disease</w:t>
      </w:r>
      <w:r>
        <w:t xml:space="preserve"> 89: 177–184.</w:t>
      </w:r>
    </w:p>
    <w:p>
      <w:pPr>
        <w:spacing w:before="120" w:after="120" w:line="300" w:lineRule="atLeast"/>
        <w:jc w:val="left"/>
      </w:pPr>
      <w:r>
        <w:t xml:space="preserve">Rosenstiel RG, Ferguson GR (1944) Some ecological relationships of </w:t>
      </w:r>
      <w:r>
        <w:rPr>
          <w:i/>
        </w:rPr>
        <w:t>Cnephasia longana</w:t>
      </w:r>
      <w:r>
        <w:t xml:space="preserve">. </w:t>
      </w:r>
      <w:r>
        <w:rPr>
          <w:i/>
        </w:rPr>
        <w:t xml:space="preserve">Journal of Economic Entomology </w:t>
      </w:r>
      <w:r>
        <w:t>37: 814–817.</w:t>
      </w:r>
    </w:p>
    <w:p>
      <w:pPr>
        <w:spacing w:before="120" w:after="120" w:line="300" w:lineRule="atLeast"/>
        <w:jc w:val="left"/>
      </w:pPr>
      <w:r>
        <w:t xml:space="preserve">Rott M, Johnson R, Masters C, Green M (2007) First report of Bois noir Phytoplasma in grapevine in Canada. </w:t>
      </w:r>
      <w:r>
        <w:rPr>
          <w:i/>
        </w:rPr>
        <w:t>Plant Disease</w:t>
      </w:r>
      <w:r>
        <w:t xml:space="preserve"> 91: 1682. </w:t>
      </w:r>
    </w:p>
    <w:p>
      <w:pPr>
        <w:spacing w:before="120" w:after="120" w:line="300" w:lineRule="atLeast"/>
        <w:jc w:val="left"/>
      </w:pPr>
      <w:r>
        <w:t xml:space="preserve">Rowhani A, Mircetich SM (1988) </w:t>
      </w:r>
      <w:r>
        <w:rPr>
          <w:lang w:eastAsia="en-AU"/>
        </w:rPr>
        <w:t>Pathogenicity</w:t>
      </w:r>
      <w:r>
        <w:t xml:space="preserve"> on walnut and serological comparisons of </w:t>
      </w:r>
      <w:r>
        <w:rPr>
          <w:i/>
        </w:rPr>
        <w:t xml:space="preserve">Cherry leaf roll virus </w:t>
      </w:r>
      <w:r>
        <w:t xml:space="preserve">strains. </w:t>
      </w:r>
      <w:r>
        <w:rPr>
          <w:i/>
        </w:rPr>
        <w:t>Phytopathology</w:t>
      </w:r>
      <w:r>
        <w:t xml:space="preserve"> 78: 817–820.</w:t>
      </w:r>
    </w:p>
    <w:p>
      <w:pPr>
        <w:spacing w:before="120" w:after="120" w:line="300" w:lineRule="atLeast"/>
        <w:jc w:val="left"/>
        <w:rPr>
          <w:rStyle w:val="Strong"/>
          <w:b w:val="0"/>
        </w:rPr>
      </w:pPr>
      <w:r>
        <w:rPr>
          <w:rStyle w:val="Strong"/>
          <w:b w:val="0"/>
        </w:rPr>
        <w:t xml:space="preserve">Rowhani A, Uyemoto JK, Golino DA, Martelli GP (2005) Pathogen testing and certification of </w:t>
      </w:r>
      <w:r>
        <w:rPr>
          <w:rStyle w:val="Strong"/>
          <w:b w:val="0"/>
          <w:i/>
        </w:rPr>
        <w:t xml:space="preserve">Vitis </w:t>
      </w:r>
      <w:r>
        <w:rPr>
          <w:rStyle w:val="Strong"/>
          <w:b w:val="0"/>
        </w:rPr>
        <w:t xml:space="preserve">and </w:t>
      </w:r>
      <w:r>
        <w:rPr>
          <w:rStyle w:val="Strong"/>
          <w:b w:val="0"/>
          <w:i/>
        </w:rPr>
        <w:t xml:space="preserve">Prunus </w:t>
      </w:r>
      <w:r>
        <w:rPr>
          <w:rStyle w:val="Strong"/>
          <w:b w:val="0"/>
        </w:rPr>
        <w:t xml:space="preserve">species. </w:t>
      </w:r>
      <w:r>
        <w:rPr>
          <w:rStyle w:val="Strong"/>
          <w:b w:val="0"/>
          <w:i/>
        </w:rPr>
        <w:t xml:space="preserve">Annual Review of Phytopathology </w:t>
      </w:r>
      <w:r>
        <w:rPr>
          <w:rStyle w:val="Strong"/>
          <w:b w:val="0"/>
        </w:rPr>
        <w:t>43: 261–278.</w:t>
      </w:r>
    </w:p>
    <w:p>
      <w:pPr>
        <w:spacing w:before="120" w:after="120" w:line="300" w:lineRule="atLeast"/>
        <w:jc w:val="left"/>
      </w:pPr>
      <w:r>
        <w:t xml:space="preserve">Ruan-Soto F, Garibay-Orijel R, Cifuentes J (2006) Process and dynamics of traditional selling wild edible mushrooms in tropical Mexico. </w:t>
      </w:r>
      <w:r>
        <w:rPr>
          <w:i/>
          <w:iCs/>
        </w:rPr>
        <w:t>Journal of Ethnobiology and Ethnomedicine</w:t>
      </w:r>
      <w:r>
        <w:t xml:space="preserve"> </w:t>
      </w:r>
      <w:r>
        <w:rPr>
          <w:bCs/>
        </w:rPr>
        <w:t>2</w:t>
      </w:r>
      <w:r>
        <w:t>: 3.</w:t>
      </w:r>
    </w:p>
    <w:p>
      <w:pPr>
        <w:tabs>
          <w:tab w:val="left" w:pos="0"/>
        </w:tabs>
        <w:spacing w:before="120" w:after="120" w:line="300" w:lineRule="atLeast"/>
        <w:jc w:val="left"/>
      </w:pPr>
      <w:r>
        <w:t xml:space="preserve">Rudel M (1985). Grapevine damage induced by particular virus-vector combinations. </w:t>
      </w:r>
      <w:r>
        <w:rPr>
          <w:i/>
        </w:rPr>
        <w:t>Phytopathologia Mediterranea</w:t>
      </w:r>
      <w:r>
        <w:t xml:space="preserve"> 24: 183–185.</w:t>
      </w:r>
    </w:p>
    <w:p>
      <w:pPr>
        <w:spacing w:before="120" w:after="120" w:line="300" w:lineRule="atLeast"/>
        <w:jc w:val="left"/>
      </w:pPr>
      <w:r>
        <w:t xml:space="preserve">Russo M, Vovlas C, Rubino L, Grieco F, Martelli GP (2002) Molecular characterization of a tombusvirus isolated from diseased pear trees in southern Italy. </w:t>
      </w:r>
      <w:r>
        <w:rPr>
          <w:i/>
          <w:iCs/>
        </w:rPr>
        <w:t xml:space="preserve">Journal of Plant Pathology </w:t>
      </w:r>
      <w:r>
        <w:t>84: 161</w:t>
      </w:r>
      <w:r>
        <w:rPr>
          <w:bCs/>
        </w:rPr>
        <w:t>–</w:t>
      </w:r>
      <w:r>
        <w:t>166.</w:t>
      </w:r>
    </w:p>
    <w:p>
      <w:pPr>
        <w:spacing w:before="120" w:after="120" w:line="300" w:lineRule="atLeast"/>
        <w:jc w:val="left"/>
      </w:pPr>
      <w:r>
        <w:t xml:space="preserve">Rust MK (1992) Termites. In Flaherty DL, Christensen PL, Lanini TW, Marois JJ, Phillips PA, Wilso LT (eds) </w:t>
      </w:r>
      <w:r>
        <w:rPr>
          <w:i/>
        </w:rPr>
        <w:t>Grape pest management.</w:t>
      </w:r>
      <w:r>
        <w:t xml:space="preserve"> Publication No. 3343. University of California, Division of Agriculture and Natural Resources Oakland, California. </w:t>
      </w:r>
    </w:p>
    <w:p>
      <w:pPr>
        <w:spacing w:before="120" w:after="120" w:line="300" w:lineRule="atLeast"/>
        <w:jc w:val="left"/>
      </w:pPr>
      <w:r>
        <w:t>Sabanadzovic S, Abou-Ghanem N, Castellano MA, Digiaro M, Martelli GP (2000) G</w:t>
      </w:r>
      <w:r>
        <w:rPr>
          <w:i/>
        </w:rPr>
        <w:t>rapevine fleck virus</w:t>
      </w:r>
      <w:r>
        <w:t xml:space="preserve">-like viruses in </w:t>
      </w:r>
      <w:r>
        <w:rPr>
          <w:i/>
          <w:iCs/>
        </w:rPr>
        <w:t>Vitis</w:t>
      </w:r>
      <w:r>
        <w:t xml:space="preserve">. </w:t>
      </w:r>
      <w:r>
        <w:rPr>
          <w:i/>
          <w:iCs/>
        </w:rPr>
        <w:t xml:space="preserve">Archives of Virology </w:t>
      </w:r>
      <w:r>
        <w:t>145: 553–565.</w:t>
      </w:r>
    </w:p>
    <w:p>
      <w:pPr>
        <w:spacing w:before="120" w:after="120" w:line="300" w:lineRule="atLeast"/>
        <w:jc w:val="left"/>
      </w:pPr>
      <w:r>
        <w:t xml:space="preserve">Saeki K, Takahashi Y, Oh-Oka H, Umeoka T, Oda Y and Fukuyama K (2001) Primary structure and phylogenetic analysis of the coat protein of a </w:t>
      </w:r>
      <w:smartTag w:uri="urn:schemas-microsoft-com:office:smarttags" w:element="City">
        <w:smartTag w:uri="urn:schemas-microsoft-com:office:smarttags" w:element="place">
          <w:r>
            <w:t>Toyama</w:t>
          </w:r>
        </w:smartTag>
      </w:smartTag>
      <w:r>
        <w:t xml:space="preserve"> isolate of </w:t>
      </w:r>
      <w:r>
        <w:rPr>
          <w:i/>
        </w:rPr>
        <w:t>Tobacco necrosis virus.</w:t>
      </w:r>
      <w:r>
        <w:t xml:space="preserve"> </w:t>
      </w:r>
      <w:r>
        <w:rPr>
          <w:i/>
        </w:rPr>
        <w:t>Bioscience, Biotechnology and Biochemistry</w:t>
      </w:r>
      <w:r>
        <w:t xml:space="preserve"> 65: 719–724.</w:t>
      </w:r>
    </w:p>
    <w:p>
      <w:pPr>
        <w:pStyle w:val="AQISText"/>
        <w:spacing w:before="120" w:after="120" w:line="300" w:lineRule="atLeast"/>
        <w:jc w:val="left"/>
        <w:rPr>
          <w:sz w:val="24"/>
          <w:szCs w:val="24"/>
          <w:lang w:eastAsia="en-AU"/>
        </w:rPr>
      </w:pPr>
      <w:r>
        <w:rPr>
          <w:sz w:val="24"/>
          <w:szCs w:val="24"/>
          <w:lang w:eastAsia="en-AU"/>
        </w:rPr>
        <w:t>SAG/USDA (2002) Importation of fresh commercial citrus fruit: clementine (</w:t>
      </w:r>
      <w:r>
        <w:rPr>
          <w:i/>
          <w:sz w:val="24"/>
          <w:szCs w:val="24"/>
          <w:lang w:eastAsia="en-AU"/>
        </w:rPr>
        <w:t>Citrus reticulata</w:t>
      </w:r>
      <w:r>
        <w:rPr>
          <w:sz w:val="24"/>
          <w:szCs w:val="24"/>
          <w:lang w:eastAsia="en-AU"/>
        </w:rPr>
        <w:t xml:space="preserve"> Blanco var. </w:t>
      </w:r>
      <w:r>
        <w:rPr>
          <w:i/>
          <w:sz w:val="24"/>
          <w:szCs w:val="24"/>
          <w:lang w:eastAsia="en-AU"/>
        </w:rPr>
        <w:t>clementine</w:t>
      </w:r>
      <w:r>
        <w:rPr>
          <w:sz w:val="24"/>
          <w:szCs w:val="24"/>
          <w:lang w:eastAsia="en-AU"/>
        </w:rPr>
        <w:t>), mandarin (</w:t>
      </w:r>
      <w:r>
        <w:rPr>
          <w:i/>
          <w:sz w:val="24"/>
          <w:szCs w:val="24"/>
          <w:lang w:eastAsia="en-AU"/>
        </w:rPr>
        <w:t>Citrus reticulata</w:t>
      </w:r>
      <w:r>
        <w:rPr>
          <w:sz w:val="24"/>
          <w:szCs w:val="24"/>
          <w:lang w:eastAsia="en-AU"/>
        </w:rPr>
        <w:t xml:space="preserve"> Blanco) and tangerine (</w:t>
      </w:r>
      <w:r>
        <w:rPr>
          <w:i/>
          <w:sz w:val="24"/>
          <w:szCs w:val="24"/>
          <w:lang w:eastAsia="en-AU"/>
        </w:rPr>
        <w:t>Citrus reticulata</w:t>
      </w:r>
      <w:r>
        <w:rPr>
          <w:sz w:val="24"/>
          <w:szCs w:val="24"/>
          <w:lang w:eastAsia="en-AU"/>
        </w:rPr>
        <w:t xml:space="preserve"> Blanco) from </w:t>
      </w:r>
      <w:smartTag w:uri="urn:schemas-microsoft-com:office:smarttags" w:element="country-region">
        <w:r>
          <w:rPr>
            <w:sz w:val="24"/>
            <w:szCs w:val="24"/>
            <w:lang w:eastAsia="en-AU"/>
          </w:rPr>
          <w:t>Chile</w:t>
        </w:r>
      </w:smartTag>
      <w:r>
        <w:rPr>
          <w:sz w:val="24"/>
          <w:szCs w:val="24"/>
          <w:lang w:eastAsia="en-AU"/>
        </w:rPr>
        <w:t xml:space="preserve"> into the </w:t>
      </w:r>
      <w:smartTag w:uri="urn:schemas-microsoft-com:office:smarttags" w:element="place">
        <w:smartTag w:uri="urn:schemas-microsoft-com:office:smarttags" w:element="country-region">
          <w:r>
            <w:rPr>
              <w:sz w:val="24"/>
              <w:szCs w:val="24"/>
              <w:lang w:eastAsia="en-AU"/>
            </w:rPr>
            <w:t>United States</w:t>
          </w:r>
        </w:smartTag>
      </w:smartTag>
      <w:r>
        <w:rPr>
          <w:sz w:val="24"/>
          <w:szCs w:val="24"/>
          <w:lang w:eastAsia="en-AU"/>
        </w:rPr>
        <w:t xml:space="preserve">. A pathway initiated plant pest risk assessment. Draft March 2002. Departamento Protección Agrícola, Servicio Agrícola Ganadera (Santiago, Chile) and United States Department of Agriculture, Plant Protection and Quarantine (Riverdale, Maryland). </w:t>
      </w:r>
      <w:hyperlink r:id="rId189" w:history="1">
        <w:r>
          <w:rPr>
            <w:rStyle w:val="Hyperlink"/>
            <w:color w:val="auto"/>
            <w:sz w:val="24"/>
            <w:szCs w:val="24"/>
            <w:lang w:eastAsia="en-AU"/>
          </w:rPr>
          <w:t>http://www.aphis.usda.gov/ppq/pra/clclementine.pdf</w:t>
        </w:r>
      </w:hyperlink>
      <w:r>
        <w:rPr>
          <w:sz w:val="24"/>
          <w:szCs w:val="24"/>
          <w:lang w:eastAsia="en-AU"/>
        </w:rPr>
        <w:t xml:space="preserve"> Accessed March 2011.</w:t>
      </w:r>
    </w:p>
    <w:p>
      <w:pPr>
        <w:autoSpaceDE w:val="0"/>
        <w:autoSpaceDN w:val="0"/>
        <w:spacing w:before="120" w:after="120" w:line="300" w:lineRule="atLeast"/>
        <w:jc w:val="left"/>
        <w:rPr>
          <w:lang w:eastAsia="en-AU"/>
        </w:rPr>
      </w:pPr>
      <w:r>
        <w:rPr>
          <w:lang w:eastAsia="en-AU"/>
        </w:rPr>
        <w:t xml:space="preserve">Sambath S, Joshi KC (2004) Bionomics of </w:t>
      </w:r>
      <w:r>
        <w:rPr>
          <w:i/>
          <w:iCs/>
          <w:lang w:eastAsia="en-AU"/>
        </w:rPr>
        <w:t xml:space="preserve">Spirama retorta </w:t>
      </w:r>
      <w:r>
        <w:rPr>
          <w:lang w:eastAsia="en-AU"/>
        </w:rPr>
        <w:t xml:space="preserve">Cram. (Lepidoptera: Noctuidae). </w:t>
      </w:r>
      <w:r>
        <w:rPr>
          <w:i/>
          <w:iCs/>
          <w:lang w:eastAsia="en-AU"/>
        </w:rPr>
        <w:t xml:space="preserve">Indian Journal of Entomology </w:t>
      </w:r>
      <w:r>
        <w:rPr>
          <w:lang w:eastAsia="en-AU"/>
        </w:rPr>
        <w:t>66: 102–106.</w:t>
      </w:r>
    </w:p>
    <w:p>
      <w:pPr>
        <w:spacing w:before="120" w:after="120" w:line="300" w:lineRule="atLeast"/>
        <w:jc w:val="left"/>
      </w:pPr>
      <w:r>
        <w:t xml:space="preserve">Santini D, Rolle L, Mannini F (2009) Control of grape berry mechanical properties modifications due to GFLV by mean of texture analysis. </w:t>
      </w:r>
      <w:r>
        <w:rPr>
          <w:i/>
        </w:rPr>
        <w:t>Extended abstracts of the 16th meeting of ICVG in Dijon, 31 August–4 September 2009</w:t>
      </w:r>
      <w:r>
        <w:t xml:space="preserve"> 258–259. ICVG, </w:t>
      </w:r>
      <w:smartTag w:uri="urn:schemas-microsoft-com:office:smarttags" w:element="country-region">
        <w:smartTag w:uri="urn:schemas-microsoft-com:office:smarttags" w:element="place">
          <w:r>
            <w:t>Switzerland</w:t>
          </w:r>
        </w:smartTag>
      </w:smartTag>
      <w:r>
        <w:t>.</w:t>
      </w:r>
    </w:p>
    <w:p>
      <w:pPr>
        <w:spacing w:before="120" w:after="120" w:line="300" w:lineRule="atLeast"/>
        <w:jc w:val="left"/>
        <w:rPr>
          <w:bCs/>
          <w:lang w:eastAsia="en-AU"/>
        </w:rPr>
      </w:pPr>
      <w:r>
        <w:rPr>
          <w:lang w:eastAsia="en-AU"/>
        </w:rPr>
        <w:t xml:space="preserve">Santos MT, Mansinho A, Correia PK, Sequeira OA, Nolasco G (2000) </w:t>
      </w:r>
      <w:r>
        <w:rPr>
          <w:bCs/>
          <w:lang w:eastAsia="en-AU"/>
        </w:rPr>
        <w:t xml:space="preserve">Multiple detection of grapevine filamentous viruses in Portugal, by RT-PCR from DS-RNA templates. </w:t>
      </w:r>
      <w:r>
        <w:rPr>
          <w:bCs/>
          <w:u w:val="single"/>
          <w:lang w:eastAsia="en-AU"/>
        </w:rPr>
        <w:t>http://www.icvg.ch/data/abstrb.pdf</w:t>
      </w:r>
      <w:r>
        <w:rPr>
          <w:bCs/>
          <w:lang w:eastAsia="en-AU"/>
        </w:rPr>
        <w:t xml:space="preserve"> Accessed September 2010.</w:t>
      </w:r>
    </w:p>
    <w:p>
      <w:pPr>
        <w:spacing w:before="120" w:after="120" w:line="300" w:lineRule="atLeast"/>
        <w:jc w:val="left"/>
      </w:pPr>
      <w:r>
        <w:t xml:space="preserve">Savino V, Gallitelli D, Jankulova M, Rana GL (1977) A comparison of four isolates of </w:t>
      </w:r>
      <w:r>
        <w:rPr>
          <w:i/>
        </w:rPr>
        <w:t>Artichoke Italian latent virus</w:t>
      </w:r>
      <w:r>
        <w:t xml:space="preserve"> (AILV). </w:t>
      </w:r>
      <w:r>
        <w:rPr>
          <w:i/>
        </w:rPr>
        <w:t>Phytopathologia Mediterranea</w:t>
      </w:r>
      <w:r>
        <w:t xml:space="preserve"> 16: 41–50.</w:t>
      </w:r>
    </w:p>
    <w:p>
      <w:pPr>
        <w:spacing w:before="120" w:after="120" w:line="300" w:lineRule="atLeast"/>
        <w:jc w:val="left"/>
      </w:pPr>
      <w:r>
        <w:t xml:space="preserve">Savino V, Martelli GP, D’Onghia AM, Yilmaz MA (1987) </w:t>
      </w:r>
      <w:smartTag w:uri="urn:schemas-microsoft-com:office:smarttags" w:element="country-region">
        <w:smartTag w:uri="urn:schemas-microsoft-com:office:smarttags" w:element="place">
          <w:r>
            <w:t>Turkey</w:t>
          </w:r>
        </w:smartTag>
      </w:smartTag>
      <w:r>
        <w:t xml:space="preserve">. </w:t>
      </w:r>
      <w:r>
        <w:rPr>
          <w:i/>
        </w:rPr>
        <w:t xml:space="preserve">Strawberry latent ringspot virus </w:t>
      </w:r>
      <w:r>
        <w:t>in grapevine</w:t>
      </w:r>
      <w:r>
        <w:rPr>
          <w:i/>
        </w:rPr>
        <w:t>. FAO Plant Protection Bulletin</w:t>
      </w:r>
      <w:r>
        <w:t xml:space="preserve"> 35: 102–104.</w:t>
      </w:r>
    </w:p>
    <w:p>
      <w:pPr>
        <w:spacing w:before="120" w:after="120" w:line="300" w:lineRule="atLeast"/>
        <w:jc w:val="left"/>
      </w:pPr>
      <w:r>
        <w:t xml:space="preserve">Savocchia S, Greer LA, Steel CC (2007) First report of </w:t>
      </w:r>
      <w:r>
        <w:rPr>
          <w:i/>
        </w:rPr>
        <w:t>Phomopsis viticola</w:t>
      </w:r>
      <w:r>
        <w:t xml:space="preserve"> causing bunch rot of grapes in Australia. </w:t>
      </w:r>
      <w:r>
        <w:rPr>
          <w:i/>
        </w:rPr>
        <w:t>Plant Pathology</w:t>
      </w:r>
      <w:r>
        <w:t xml:space="preserve"> 56: 725.</w:t>
      </w:r>
    </w:p>
    <w:p>
      <w:pPr>
        <w:autoSpaceDE w:val="0"/>
        <w:autoSpaceDN w:val="0"/>
        <w:spacing w:before="120" w:after="120" w:line="300" w:lineRule="atLeast"/>
        <w:jc w:val="left"/>
        <w:rPr>
          <w:lang w:eastAsia="en-AU"/>
        </w:rPr>
      </w:pPr>
      <w:r>
        <w:rPr>
          <w:lang w:eastAsia="en-AU"/>
        </w:rPr>
        <w:t xml:space="preserve">Schaefer CW, Panizzi AR (2000) </w:t>
      </w:r>
      <w:r>
        <w:rPr>
          <w:i/>
          <w:iCs/>
          <w:lang w:eastAsia="en-AU"/>
        </w:rPr>
        <w:t xml:space="preserve">Heteroptera of economic importance. </w:t>
      </w:r>
      <w:r>
        <w:rPr>
          <w:lang w:eastAsia="en-AU"/>
        </w:rPr>
        <w:t>CRC Press; Boca Raton, Florida.</w:t>
      </w:r>
    </w:p>
    <w:p>
      <w:pPr>
        <w:autoSpaceDE w:val="0"/>
        <w:autoSpaceDN w:val="0"/>
        <w:spacing w:before="120" w:after="120" w:line="300" w:lineRule="atLeast"/>
        <w:jc w:val="left"/>
      </w:pPr>
      <w:r>
        <w:t xml:space="preserve">Schell S, </w:t>
      </w:r>
      <w:r>
        <w:rPr>
          <w:lang w:eastAsia="en-AU"/>
        </w:rPr>
        <w:t>Lockwood</w:t>
      </w:r>
      <w:r>
        <w:t xml:space="preserve"> J, Schell S, Zimmerman K (2007) Grasshoppers of Wyoming and the West. University of Wyoming. </w:t>
      </w:r>
      <w:r>
        <w:rPr>
          <w:u w:val="single"/>
        </w:rPr>
        <w:t xml:space="preserve">http://www.wygisc.uwyo.edu/grasshopper/ghwywfrm.htm </w:t>
      </w:r>
      <w:r>
        <w:t>Accessed May 2008.</w:t>
      </w:r>
    </w:p>
    <w:p>
      <w:pPr>
        <w:autoSpaceDE w:val="0"/>
        <w:autoSpaceDN w:val="0"/>
        <w:spacing w:before="120" w:after="120" w:line="300" w:lineRule="atLeast"/>
        <w:jc w:val="left"/>
      </w:pPr>
      <w:r>
        <w:t xml:space="preserve">Scheper RWA, Crane DC, Whisson DL, Scott ES (2000) The </w:t>
      </w:r>
      <w:r>
        <w:rPr>
          <w:i/>
        </w:rPr>
        <w:t xml:space="preserve">Diaporthe </w:t>
      </w:r>
      <w:r>
        <w:t xml:space="preserve">teleomorph of </w:t>
      </w:r>
      <w:r>
        <w:rPr>
          <w:i/>
        </w:rPr>
        <w:t xml:space="preserve">Phomopsis </w:t>
      </w:r>
      <w:r>
        <w:t xml:space="preserve">taxon 1 on grapevine. </w:t>
      </w:r>
      <w:r>
        <w:rPr>
          <w:i/>
        </w:rPr>
        <w:t>Mycological Research</w:t>
      </w:r>
      <w:r>
        <w:t xml:space="preserve"> 104: 226–231.</w:t>
      </w:r>
    </w:p>
    <w:p>
      <w:pPr>
        <w:spacing w:before="120" w:after="120" w:line="300" w:lineRule="atLeast"/>
        <w:jc w:val="left"/>
        <w:rPr>
          <w:bCs/>
        </w:rPr>
      </w:pPr>
      <w:r>
        <w:t xml:space="preserve">Schilder A (2011) Diseases of grapes: </w:t>
      </w:r>
      <w:r>
        <w:rPr>
          <w:bCs/>
        </w:rPr>
        <w:t xml:space="preserve">Tomato/tobacco ringspot virus decline – </w:t>
      </w:r>
      <w:r>
        <w:rPr>
          <w:bCs/>
          <w:i/>
        </w:rPr>
        <w:t>Tomato ringspot virus, Tobacco ringspot virus</w:t>
      </w:r>
      <w:r>
        <w:rPr>
          <w:bCs/>
        </w:rPr>
        <w:t xml:space="preserve">. </w:t>
      </w:r>
      <w:r>
        <w:rPr>
          <w:bCs/>
          <w:u w:val="single"/>
        </w:rPr>
        <w:t>http://grapes.msu.edu/ringspot.htm</w:t>
      </w:r>
      <w:r>
        <w:rPr>
          <w:bCs/>
        </w:rPr>
        <w:t xml:space="preserve"> Accessed September 2011.</w:t>
      </w:r>
    </w:p>
    <w:p>
      <w:pPr>
        <w:spacing w:before="120" w:after="120" w:line="300" w:lineRule="atLeast"/>
        <w:jc w:val="left"/>
      </w:pPr>
      <w:r>
        <w:t xml:space="preserve">Schloemann S (2003–2004) </w:t>
      </w:r>
      <w:smartTag w:uri="urn:schemas-microsoft-com:office:smarttags" w:element="place">
        <w:r>
          <w:t>New England</w:t>
        </w:r>
      </w:smartTag>
      <w:r>
        <w:t xml:space="preserve"> small fruit pest management guide. United States Department of Agriculture, Cooperative Extension Service, University of Massachusetts, Amherst.</w:t>
      </w:r>
      <w:r>
        <w:rPr>
          <w:u w:val="single"/>
        </w:rPr>
        <w:t xml:space="preserve"> </w:t>
      </w:r>
      <w:hyperlink r:id="rId190" w:history="1">
        <w:r>
          <w:rPr>
            <w:rStyle w:val="Hyperlink"/>
            <w:color w:val="auto"/>
          </w:rPr>
          <w:t>http://www.umass.edu/fruitadvisor/nesfpmg/</w:t>
        </w:r>
      </w:hyperlink>
      <w:r>
        <w:rPr>
          <w:u w:val="single"/>
        </w:rPr>
        <w:t xml:space="preserve"> </w:t>
      </w:r>
      <w:r>
        <w:t>Accessed November 2010.</w:t>
      </w:r>
    </w:p>
    <w:p>
      <w:pPr>
        <w:spacing w:before="120" w:after="120" w:line="300" w:lineRule="atLeast"/>
        <w:jc w:val="left"/>
      </w:pPr>
      <w:r>
        <w:t xml:space="preserve">Schmidt LS, Ghosoph JM, Margosan DA, Smilanick JL (2006) Mutation at β-Tubulin codon 200 indicated thiabendazole resistance in </w:t>
      </w:r>
      <w:r>
        <w:rPr>
          <w:i/>
        </w:rPr>
        <w:t>Penicillium digitatum</w:t>
      </w:r>
      <w:r>
        <w:t xml:space="preserve"> collected from </w:t>
      </w:r>
      <w:smartTag w:uri="urn:schemas-microsoft-com:office:smarttags" w:element="State">
        <w:smartTag w:uri="urn:schemas-microsoft-com:office:smarttags" w:element="place">
          <w:r>
            <w:t>California</w:t>
          </w:r>
        </w:smartTag>
      </w:smartTag>
      <w:r>
        <w:t xml:space="preserve"> citrus packinghouses. </w:t>
      </w:r>
      <w:r>
        <w:rPr>
          <w:i/>
        </w:rPr>
        <w:t>Plant Disease</w:t>
      </w:r>
      <w:r>
        <w:t xml:space="preserve"> 90: 765</w:t>
      </w:r>
      <w:r>
        <w:rPr>
          <w:bCs/>
        </w:rPr>
        <w:t>–</w:t>
      </w:r>
      <w:r>
        <w:t>770.</w:t>
      </w:r>
    </w:p>
    <w:p>
      <w:pPr>
        <w:pStyle w:val="AQISText"/>
        <w:spacing w:before="120" w:after="120" w:line="300" w:lineRule="atLeast"/>
        <w:jc w:val="left"/>
        <w:rPr>
          <w:sz w:val="24"/>
          <w:szCs w:val="24"/>
          <w:lang w:eastAsia="en-AU"/>
        </w:rPr>
      </w:pPr>
      <w:r>
        <w:rPr>
          <w:sz w:val="24"/>
          <w:szCs w:val="24"/>
          <w:lang w:eastAsia="en-AU"/>
        </w:rPr>
        <w:t>Schneider B, Seemüller E, Smart CD and Kirkpatrick BC (1995) Phylogenetic classification of plant pathogenic mycoplasma-like organisms or phytoplasmas. In</w:t>
      </w:r>
      <w:r>
        <w:rPr>
          <w:i/>
          <w:sz w:val="24"/>
          <w:szCs w:val="24"/>
          <w:lang w:eastAsia="en-AU"/>
        </w:rPr>
        <w:t xml:space="preserve"> </w:t>
      </w:r>
      <w:r>
        <w:rPr>
          <w:sz w:val="24"/>
          <w:szCs w:val="24"/>
          <w:lang w:eastAsia="en-AU"/>
        </w:rPr>
        <w:t>Razin S, Tully JG (eds)</w:t>
      </w:r>
      <w:r>
        <w:rPr>
          <w:i/>
          <w:sz w:val="24"/>
          <w:szCs w:val="24"/>
          <w:lang w:eastAsia="en-AU"/>
        </w:rPr>
        <w:t xml:space="preserve"> Molecular and diagnostic procedures in mycoplasmology </w:t>
      </w:r>
      <w:r>
        <w:rPr>
          <w:sz w:val="24"/>
          <w:szCs w:val="24"/>
          <w:lang w:eastAsia="en-AU"/>
        </w:rPr>
        <w:t>369–380</w:t>
      </w:r>
      <w:r>
        <w:rPr>
          <w:i/>
          <w:sz w:val="24"/>
          <w:szCs w:val="24"/>
          <w:lang w:eastAsia="en-AU"/>
        </w:rPr>
        <w:t>.</w:t>
      </w:r>
      <w:r>
        <w:rPr>
          <w:sz w:val="24"/>
          <w:szCs w:val="24"/>
          <w:lang w:eastAsia="en-AU"/>
        </w:rPr>
        <w:t xml:space="preserve"> Academic Press, San Diego, USA.</w:t>
      </w:r>
    </w:p>
    <w:p>
      <w:pPr>
        <w:spacing w:before="120" w:after="120" w:line="300" w:lineRule="atLeast"/>
        <w:jc w:val="left"/>
      </w:pPr>
      <w:hyperlink r:id="rId191" w:tgtFrame="_blank" w:history="1">
        <w:r>
          <w:t xml:space="preserve">Schoorl JW Jr (1990) A phylogenetic study on Cossidae (Lepidoptera: Ditrysia) based on external adult morphology. </w:t>
        </w:r>
        <w:r>
          <w:rPr>
            <w:i/>
          </w:rPr>
          <w:t>Zoologische Verhandelingen</w:t>
        </w:r>
        <w:r>
          <w:t xml:space="preserve"> 263: 295 pp.</w:t>
        </w:r>
      </w:hyperlink>
    </w:p>
    <w:p>
      <w:pPr>
        <w:spacing w:before="120" w:after="120" w:line="300" w:lineRule="atLeast"/>
        <w:jc w:val="left"/>
      </w:pPr>
      <w:r>
        <w:t xml:space="preserve">Schroers HJ, Žerjav M, Munda A, Halleen F, Crous PW (2008) </w:t>
      </w:r>
      <w:r>
        <w:rPr>
          <w:i/>
        </w:rPr>
        <w:t xml:space="preserve">Cylindrocarpon pauciseptatum </w:t>
      </w:r>
      <w:r>
        <w:t xml:space="preserve">sp. nov., with notes on </w:t>
      </w:r>
      <w:r>
        <w:rPr>
          <w:i/>
        </w:rPr>
        <w:t xml:space="preserve">Cylindrocarpon </w:t>
      </w:r>
      <w:r>
        <w:t xml:space="preserve">species with wide, predominantly 3-septate macroconidia. </w:t>
      </w:r>
      <w:r>
        <w:rPr>
          <w:i/>
        </w:rPr>
        <w:t xml:space="preserve">Mycological Research </w:t>
      </w:r>
      <w:r>
        <w:t>112: 82–92.</w:t>
      </w:r>
    </w:p>
    <w:p>
      <w:pPr>
        <w:spacing w:before="120" w:after="120" w:line="300" w:lineRule="atLeast"/>
        <w:jc w:val="left"/>
      </w:pPr>
      <w:r>
        <w:t xml:space="preserve">Schwartz A (1986) Leaf curl mite in vineyards. </w:t>
      </w:r>
      <w:r>
        <w:rPr>
          <w:i/>
        </w:rPr>
        <w:t>Viticulture and Oenology F. 28</w:t>
      </w:r>
      <w:r>
        <w:t>. South Africa: South Africa Department of Agriculture and Water Supply, South Africa.</w:t>
      </w:r>
    </w:p>
    <w:p>
      <w:pPr>
        <w:tabs>
          <w:tab w:val="left" w:pos="0"/>
        </w:tabs>
        <w:spacing w:before="120" w:after="120" w:line="300" w:lineRule="atLeast"/>
        <w:jc w:val="left"/>
      </w:pPr>
      <w:r>
        <w:t xml:space="preserve">Schwinghamer M, Schilg M, Moore K, Knights T, Bambach R, Southwell R, Kumari S, Srivastava M, Wratten K (2007) Virus situation in chickpea, faba beans and canola. Grains Research and Development Corporation. </w:t>
      </w:r>
      <w:hyperlink r:id="rId192" w:history="1">
        <w:r>
          <w:rPr>
            <w:rStyle w:val="Hyperlink"/>
            <w:color w:val="auto"/>
          </w:rPr>
          <w:t>http://www.grdc.com.au/director/events/onfarmtrials?item_id=4829BB0CA9AC5A109CF7A53B484E5905&amp;pageNumber=2</w:t>
        </w:r>
      </w:hyperlink>
      <w:r>
        <w:t xml:space="preserve"> Accessed January 2010.</w:t>
      </w:r>
    </w:p>
    <w:p>
      <w:pPr>
        <w:tabs>
          <w:tab w:val="left" w:pos="0"/>
        </w:tabs>
        <w:spacing w:before="120" w:after="120" w:line="300" w:lineRule="atLeast"/>
        <w:jc w:val="left"/>
        <w:rPr>
          <w:lang w:val="de-DE"/>
        </w:rPr>
      </w:pPr>
      <w:r>
        <w:t xml:space="preserve">Seaver FJ (1911) Studies of </w:t>
      </w:r>
      <w:smartTag w:uri="urn:schemas-microsoft-com:office:smarttags" w:element="State">
        <w:smartTag w:uri="urn:schemas-microsoft-com:office:smarttags" w:element="place">
          <w:r>
            <w:t>Colorado</w:t>
          </w:r>
        </w:smartTag>
      </w:smartTag>
      <w:r>
        <w:t xml:space="preserve"> fungi: I. Discomycetes. </w:t>
      </w:r>
      <w:r>
        <w:rPr>
          <w:i/>
          <w:lang w:val="de-DE"/>
        </w:rPr>
        <w:t xml:space="preserve">Mycologia </w:t>
      </w:r>
      <w:r>
        <w:rPr>
          <w:lang w:val="de-DE"/>
        </w:rPr>
        <w:t>3: 57–66.</w:t>
      </w:r>
    </w:p>
    <w:p>
      <w:pPr>
        <w:spacing w:before="120" w:after="120" w:line="300" w:lineRule="atLeast"/>
        <w:jc w:val="left"/>
      </w:pPr>
      <w:r>
        <w:t xml:space="preserve">Seemuller E, Schneider B, Ma UR (1994) Phylogenetic classification of phytopathogenic mollicutes by sequence analysis of 16S ribosomal DNA. </w:t>
      </w:r>
      <w:r>
        <w:rPr>
          <w:i/>
        </w:rPr>
        <w:t>International Journal of Systematic Bacteriology</w:t>
      </w:r>
      <w:r>
        <w:t xml:space="preserve"> 44: 440–446.</w:t>
      </w:r>
    </w:p>
    <w:p>
      <w:pPr>
        <w:spacing w:before="120" w:after="120" w:line="300" w:lineRule="atLeast"/>
        <w:jc w:val="left"/>
      </w:pPr>
      <w:r>
        <w:t xml:space="preserve">Seljak G (2010) A checklist of scale insects of Slovenia. </w:t>
      </w:r>
      <w:r>
        <w:rPr>
          <w:i/>
        </w:rPr>
        <w:t>Entomologia Hellenica</w:t>
      </w:r>
      <w:r>
        <w:t xml:space="preserve"> 19: 99–113.</w:t>
      </w:r>
    </w:p>
    <w:p>
      <w:pPr>
        <w:spacing w:before="120" w:after="120" w:line="300" w:lineRule="atLeast"/>
        <w:jc w:val="left"/>
      </w:pPr>
      <w:r>
        <w:t xml:space="preserve">Sequeira OA, Mendonça A (1992) Certification of grapevine in </w:t>
      </w:r>
      <w:smartTag w:uri="urn:schemas-microsoft-com:office:smarttags" w:element="country-region">
        <w:smartTag w:uri="urn:schemas-microsoft-com:office:smarttags" w:element="place">
          <w:r>
            <w:t>Portugal</w:t>
          </w:r>
        </w:smartTag>
      </w:smartTag>
      <w:r>
        <w:t xml:space="preserve">. In </w:t>
      </w:r>
      <w:r>
        <w:rPr>
          <w:i/>
        </w:rPr>
        <w:t>Grapevine viruses and certification in EEC countries: state of the art.</w:t>
      </w:r>
      <w:r>
        <w:t xml:space="preserve"> CIHEAM, Bari, Italy. </w:t>
      </w:r>
    </w:p>
    <w:p>
      <w:pPr>
        <w:autoSpaceDE w:val="0"/>
        <w:autoSpaceDN w:val="0"/>
        <w:spacing w:before="120" w:after="120" w:line="300" w:lineRule="atLeast"/>
        <w:jc w:val="left"/>
        <w:rPr>
          <w:lang w:eastAsia="en-AU"/>
        </w:rPr>
      </w:pPr>
      <w:r>
        <w:rPr>
          <w:lang w:eastAsia="en-AU"/>
        </w:rPr>
        <w:t>Serfontein</w:t>
      </w:r>
      <w:r>
        <w:t xml:space="preserve"> </w:t>
      </w:r>
      <w:r>
        <w:rPr>
          <w:lang w:eastAsia="en-AU"/>
        </w:rPr>
        <w:t>S, Serfontein</w:t>
      </w:r>
      <w:r>
        <w:t xml:space="preserve"> TJ, </w:t>
      </w:r>
      <w:smartTag w:uri="urn:schemas-microsoft-com:office:smarttags" w:element="place">
        <w:smartTag w:uri="urn:schemas-microsoft-com:office:smarttags" w:element="City">
          <w:r>
            <w:rPr>
              <w:lang w:eastAsia="en-AU"/>
            </w:rPr>
            <w:t>Botha</w:t>
          </w:r>
        </w:smartTag>
        <w:r>
          <w:rPr>
            <w:lang w:eastAsia="en-AU"/>
          </w:rPr>
          <w:t xml:space="preserve"> </w:t>
        </w:r>
        <w:smartTag w:uri="urn:schemas-microsoft-com:office:smarttags" w:element="State">
          <w:r>
            <w:t>W</w:t>
          </w:r>
          <w:r>
            <w:rPr>
              <w:lang w:eastAsia="en-AU"/>
            </w:rPr>
            <w:t>I</w:t>
          </w:r>
        </w:smartTag>
      </w:smartTag>
      <w:r>
        <w:t xml:space="preserve">, </w:t>
      </w:r>
      <w:r>
        <w:rPr>
          <w:lang w:eastAsia="en-AU"/>
        </w:rPr>
        <w:t>S</w:t>
      </w:r>
      <w:r>
        <w:t xml:space="preserve">taphorst JL (1997) </w:t>
      </w:r>
      <w:r>
        <w:rPr>
          <w:lang w:eastAsia="en-AU"/>
        </w:rPr>
        <w:t xml:space="preserve">The isolation and characterisation of </w:t>
      </w:r>
      <w:r>
        <w:rPr>
          <w:i/>
          <w:lang w:eastAsia="en-AU"/>
        </w:rPr>
        <w:t>Xylophilus ampelinus</w:t>
      </w:r>
      <w:r>
        <w:rPr>
          <w:lang w:eastAsia="en-AU"/>
        </w:rPr>
        <w:t xml:space="preserve">. </w:t>
      </w:r>
      <w:r>
        <w:rPr>
          <w:i/>
          <w:lang w:eastAsia="en-AU"/>
        </w:rPr>
        <w:t>Vitis</w:t>
      </w:r>
      <w:r>
        <w:rPr>
          <w:lang w:eastAsia="en-AU"/>
        </w:rPr>
        <w:t xml:space="preserve"> 36: 209–210.</w:t>
      </w:r>
    </w:p>
    <w:p>
      <w:pPr>
        <w:autoSpaceDE w:val="0"/>
        <w:autoSpaceDN w:val="0"/>
        <w:spacing w:before="120" w:after="120" w:line="300" w:lineRule="atLeast"/>
        <w:jc w:val="left"/>
      </w:pPr>
      <w:r>
        <w:t xml:space="preserve">Sergeeva V, Nair T, Spooner-Hart R (2001) </w:t>
      </w:r>
      <w:r>
        <w:rPr>
          <w:i/>
        </w:rPr>
        <w:t>Fungi recorded on grapevines during the course of an industry service on Botrytis monitoring and fungicide resistance</w:t>
      </w:r>
      <w:r>
        <w:t>. Annual Technical Issue, Australian and New Zealand Grapegrower and Winemaker</w:t>
      </w:r>
      <w:r>
        <w:rPr>
          <w:rFonts w:ascii="Arial" w:hAnsi="Arial" w:cs="Arial"/>
        </w:rPr>
        <w:t xml:space="preserve">, </w:t>
      </w:r>
      <w:r>
        <w:t>South Australia.</w:t>
      </w:r>
    </w:p>
    <w:p>
      <w:pPr>
        <w:spacing w:before="120" w:after="120" w:line="300" w:lineRule="atLeast"/>
        <w:jc w:val="left"/>
      </w:pPr>
      <w:r>
        <w:t xml:space="preserve">Sergeeva V, Priest M, Nair NG (2005) Species of </w:t>
      </w:r>
      <w:r>
        <w:rPr>
          <w:i/>
          <w:iCs/>
        </w:rPr>
        <w:t>Pestalotiopsis</w:t>
      </w:r>
      <w:r>
        <w:t xml:space="preserve"> and related genera occurring on grapevines in Australia. </w:t>
      </w:r>
      <w:r>
        <w:rPr>
          <w:i/>
          <w:iCs/>
        </w:rPr>
        <w:t>Australasian Plant Pathology</w:t>
      </w:r>
      <w:r>
        <w:t xml:space="preserve"> </w:t>
      </w:r>
      <w:r>
        <w:rPr>
          <w:bCs/>
        </w:rPr>
        <w:t>34:</w:t>
      </w:r>
      <w:r>
        <w:t xml:space="preserve"> 255–258.</w:t>
      </w:r>
    </w:p>
    <w:p>
      <w:pPr>
        <w:spacing w:before="120" w:after="120" w:line="300" w:lineRule="atLeast"/>
        <w:jc w:val="left"/>
      </w:pPr>
      <w:r>
        <w:t xml:space="preserve">Serra S, Borgo M, Zanzotto A (2000) Investigation into the presence of fungi associated with esca of young vines. </w:t>
      </w:r>
      <w:r>
        <w:rPr>
          <w:i/>
        </w:rPr>
        <w:t xml:space="preserve">Phytopathologia Meditteranea </w:t>
      </w:r>
      <w:r>
        <w:t>39: 21–25.</w:t>
      </w:r>
    </w:p>
    <w:p>
      <w:pPr>
        <w:spacing w:before="120" w:after="120" w:line="300" w:lineRule="atLeast"/>
        <w:jc w:val="left"/>
      </w:pPr>
      <w:r>
        <w:t>S</w:t>
      </w:r>
      <w:smartTag w:uri="urn:schemas-microsoft-com:office:smarttags" w:element="PersonName">
        <w:r>
          <w:t>eu</w:t>
        </w:r>
      </w:smartTag>
      <w:r>
        <w:t xml:space="preserve">ng-Tae K, Jung MP, Kim HS, Shin JH, Lim JH, Kim TW, Lee JH (2006) Insect fauna of adjacent areas of DMZ in Korea. </w:t>
      </w:r>
      <w:r>
        <w:rPr>
          <w:i/>
        </w:rPr>
        <w:t>Journal of Economical and Field Biology</w:t>
      </w:r>
      <w:r>
        <w:t xml:space="preserve"> 29: 125</w:t>
      </w:r>
      <w:r>
        <w:rPr>
          <w:snapToGrid w:val="0"/>
        </w:rPr>
        <w:t>–</w:t>
      </w:r>
      <w:r>
        <w:t>141.</w:t>
      </w:r>
    </w:p>
    <w:p>
      <w:pPr>
        <w:autoSpaceDE w:val="0"/>
        <w:autoSpaceDN w:val="0"/>
        <w:spacing w:before="120" w:after="120" w:line="300" w:lineRule="atLeast"/>
        <w:jc w:val="left"/>
      </w:pPr>
      <w:r>
        <w:t>Sforza R, Clair D, Daire X, Larrue J, Boudon-Padi</w:t>
      </w:r>
      <w:smartTag w:uri="urn:schemas-microsoft-com:office:smarttags" w:element="PersonName">
        <w:r>
          <w:t>eu</w:t>
        </w:r>
      </w:smartTag>
      <w:r>
        <w:t xml:space="preserve"> E (1998) The role of </w:t>
      </w:r>
      <w:r>
        <w:rPr>
          <w:i/>
        </w:rPr>
        <w:t>Hyalesthes obsoletus</w:t>
      </w:r>
      <w:r>
        <w:t xml:space="preserve"> (Hemiptera: Cixiidae) in the occurrence of Bois noir of grapevines in France. </w:t>
      </w:r>
      <w:r>
        <w:rPr>
          <w:i/>
        </w:rPr>
        <w:t>Journal of Phytopathology</w:t>
      </w:r>
      <w:r>
        <w:t xml:space="preserve"> 146: 549–556.</w:t>
      </w:r>
    </w:p>
    <w:p>
      <w:pPr>
        <w:spacing w:before="120" w:after="120" w:line="300" w:lineRule="atLeast"/>
        <w:jc w:val="left"/>
      </w:pPr>
      <w:r>
        <w:t xml:space="preserve">Shao-Hua L (2012) Grape production in China. FAO Corporate Document Repository. </w:t>
      </w:r>
      <w:hyperlink r:id="rId193" w:history="1">
        <w:r>
          <w:rPr>
            <w:u w:val="single"/>
          </w:rPr>
          <w:t>http://www.fao.org/docrep/003/x6897e/x6897e05.htm</w:t>
        </w:r>
      </w:hyperlink>
      <w:r>
        <w:t xml:space="preserve"> Accessed February 2012.</w:t>
      </w:r>
    </w:p>
    <w:p>
      <w:pPr>
        <w:spacing w:before="120" w:after="120" w:line="300" w:lineRule="atLeast"/>
        <w:jc w:val="left"/>
      </w:pPr>
      <w:r>
        <w:t xml:space="preserve">Sharma RC, Sharma S (2006) Short rotation forestry for industrial and rural development. </w:t>
      </w:r>
      <w:r>
        <w:rPr>
          <w:i/>
        </w:rPr>
        <w:t>Proceedings of the IUFRO-ISTS-UHF International Conference on World Perspective on Short Rotation Forestry for Industrial and Rural Development,</w:t>
      </w:r>
      <w:r>
        <w:t xml:space="preserve"> Nauni, Solan, India, 7–13 September 2006 pp. 364-370. Westville Publishing House, New Delhi, India.</w:t>
      </w:r>
    </w:p>
    <w:p>
      <w:pPr>
        <w:spacing w:before="120" w:after="120" w:line="300" w:lineRule="atLeast"/>
        <w:jc w:val="left"/>
      </w:pPr>
      <w:r>
        <w:t>Sharma RL, Kaul JL (1989) Host range of brown rot fungi (</w:t>
      </w:r>
      <w:r>
        <w:rPr>
          <w:i/>
        </w:rPr>
        <w:t>Monilinia</w:t>
      </w:r>
      <w:r>
        <w:t xml:space="preserve"> spp.) in </w:t>
      </w:r>
      <w:smartTag w:uri="urn:schemas-microsoft-com:office:smarttags" w:element="country-region">
        <w:smartTag w:uri="urn:schemas-microsoft-com:office:smarttags" w:element="place">
          <w:r>
            <w:t>India</w:t>
          </w:r>
        </w:smartTag>
      </w:smartTag>
      <w:r>
        <w:t xml:space="preserve">. </w:t>
      </w:r>
      <w:r>
        <w:rPr>
          <w:i/>
        </w:rPr>
        <w:t>Plant</w:t>
      </w:r>
      <w:r>
        <w:t xml:space="preserve"> </w:t>
      </w:r>
      <w:r>
        <w:rPr>
          <w:i/>
        </w:rPr>
        <w:t>Disease Research</w:t>
      </w:r>
      <w:r>
        <w:t xml:space="preserve"> 4: 177–178.</w:t>
      </w:r>
    </w:p>
    <w:p>
      <w:pPr>
        <w:spacing w:before="120" w:after="120" w:line="300" w:lineRule="atLeast"/>
        <w:jc w:val="left"/>
      </w:pPr>
      <w:r>
        <w:t xml:space="preserve">Shim JO, Cho KD, Hahn KD, </w:t>
      </w:r>
      <w:r>
        <w:rPr>
          <w:i/>
        </w:rPr>
        <w:t>et al.</w:t>
      </w:r>
      <w:r>
        <w:t xml:space="preserve"> (2002) Blue mold of pear caused by </w:t>
      </w:r>
      <w:r>
        <w:rPr>
          <w:i/>
        </w:rPr>
        <w:t xml:space="preserve">Penicillium aurantiogriseum </w:t>
      </w:r>
      <w:r>
        <w:t xml:space="preserve">in Korea. </w:t>
      </w:r>
      <w:r>
        <w:rPr>
          <w:i/>
        </w:rPr>
        <w:t>Mycobiology</w:t>
      </w:r>
      <w:r>
        <w:t xml:space="preserve"> 30: 105–106.</w:t>
      </w:r>
    </w:p>
    <w:p>
      <w:pPr>
        <w:spacing w:before="120" w:after="120" w:line="300" w:lineRule="atLeast"/>
        <w:jc w:val="left"/>
      </w:pPr>
      <w:r>
        <w:t xml:space="preserve">Shivas RG (1989) Fungal and bacterial diseases of plants in Western Australia. </w:t>
      </w:r>
      <w:r>
        <w:rPr>
          <w:i/>
        </w:rPr>
        <w:t xml:space="preserve">Journal of the Royal Society of </w:t>
      </w:r>
      <w:smartTag w:uri="urn:schemas-microsoft-com:office:smarttags" w:element="State">
        <w:smartTag w:uri="urn:schemas-microsoft-com:office:smarttags" w:element="place">
          <w:r>
            <w:rPr>
              <w:i/>
            </w:rPr>
            <w:t>Western Australia</w:t>
          </w:r>
        </w:smartTag>
      </w:smartTag>
      <w:r>
        <w:t xml:space="preserve"> 72: 1–62.</w:t>
      </w:r>
    </w:p>
    <w:p>
      <w:pPr>
        <w:spacing w:before="120" w:after="120" w:line="300" w:lineRule="atLeast"/>
        <w:jc w:val="left"/>
      </w:pPr>
      <w:r>
        <w:t xml:space="preserve">Shivas RG, Tan YP (2009) A taxonomic re-assessment of </w:t>
      </w:r>
      <w:r>
        <w:rPr>
          <w:i/>
        </w:rPr>
        <w:t>Colletotrichum acutatum</w:t>
      </w:r>
      <w:r>
        <w:t xml:space="preserve">, introducing </w:t>
      </w:r>
      <w:r>
        <w:rPr>
          <w:i/>
        </w:rPr>
        <w:t>C. fioriniae</w:t>
      </w:r>
      <w:r>
        <w:t xml:space="preserve"> comb. et stat. nov. and </w:t>
      </w:r>
      <w:r>
        <w:rPr>
          <w:i/>
        </w:rPr>
        <w:t>C. simmondsii</w:t>
      </w:r>
      <w:r>
        <w:t xml:space="preserve"> sp. nov. </w:t>
      </w:r>
      <w:r>
        <w:rPr>
          <w:i/>
        </w:rPr>
        <w:t>Fungi Diversity</w:t>
      </w:r>
      <w:r>
        <w:t xml:space="preserve"> 39: 111</w:t>
      </w:r>
      <w:r>
        <w:rPr>
          <w:bCs/>
        </w:rPr>
        <w:t>–</w:t>
      </w:r>
      <w:r>
        <w:t>122.</w:t>
      </w:r>
    </w:p>
    <w:p>
      <w:pPr>
        <w:spacing w:before="120" w:after="120" w:line="300" w:lineRule="atLeast"/>
        <w:jc w:val="left"/>
      </w:pPr>
      <w:r>
        <w:t xml:space="preserve">Siegel JP, Lacey LA, Higbee BS, Noble PM, Fritts RJ (2006) Effect of application rates and abiotic factors on </w:t>
      </w:r>
      <w:r>
        <w:rPr>
          <w:i/>
        </w:rPr>
        <w:t>Steinernema carpocapsae</w:t>
      </w:r>
      <w:r>
        <w:t xml:space="preserve"> for control of overwintering Navel orangeworm (Lepidoptera: Pyralidae, </w:t>
      </w:r>
      <w:r>
        <w:rPr>
          <w:i/>
        </w:rPr>
        <w:t>Amyelois transitella</w:t>
      </w:r>
      <w:r>
        <w:t xml:space="preserve">) in pistachios. </w:t>
      </w:r>
      <w:r>
        <w:rPr>
          <w:i/>
        </w:rPr>
        <w:t>Biological Control</w:t>
      </w:r>
      <w:r>
        <w:t xml:space="preserve"> 36: 324–330.</w:t>
      </w:r>
    </w:p>
    <w:p>
      <w:pPr>
        <w:autoSpaceDE w:val="0"/>
        <w:autoSpaceDN w:val="0"/>
        <w:spacing w:before="120" w:after="120" w:line="300" w:lineRule="atLeast"/>
        <w:jc w:val="left"/>
      </w:pPr>
      <w:r>
        <w:t xml:space="preserve">Silverside AJ (2006) </w:t>
      </w:r>
      <w:r>
        <w:rPr>
          <w:i/>
        </w:rPr>
        <w:t>Cicadella viridis</w:t>
      </w:r>
      <w:r>
        <w:t xml:space="preserve"> (L.) (a leafhopper). </w:t>
      </w:r>
      <w:r>
        <w:rPr>
          <w:u w:val="single"/>
        </w:rPr>
        <w:t>http://bioref.lastdragon.org/Hemiptera/Cicadella_viridis.html</w:t>
      </w:r>
      <w:r>
        <w:t xml:space="preserve"> Accessed October 2011.</w:t>
      </w:r>
    </w:p>
    <w:p>
      <w:pPr>
        <w:spacing w:before="120" w:after="120" w:line="300" w:lineRule="atLeast"/>
        <w:jc w:val="left"/>
      </w:pPr>
      <w:r>
        <w:t xml:space="preserve">Simmonds JH (1966) </w:t>
      </w:r>
      <w:r>
        <w:rPr>
          <w:i/>
        </w:rPr>
        <w:t>Host index of plant diseases in Queensland.</w:t>
      </w:r>
      <w:r>
        <w:t xml:space="preserve"> Queensland Department of Primary Industries, Brisbane.</w:t>
      </w:r>
    </w:p>
    <w:p>
      <w:pPr>
        <w:spacing w:before="120" w:after="120" w:line="300" w:lineRule="atLeast"/>
        <w:jc w:val="left"/>
      </w:pPr>
      <w:r>
        <w:t xml:space="preserve">Sinclair WA, Lyon HH, Johnson WT (1987) </w:t>
      </w:r>
      <w:r>
        <w:rPr>
          <w:i/>
        </w:rPr>
        <w:t xml:space="preserve">Diseases of trees and shrubs. </w:t>
      </w:r>
      <w:r>
        <w:t>Cornell University Press, Ithaca, NY USA 575 pp.</w:t>
      </w:r>
    </w:p>
    <w:p>
      <w:pPr>
        <w:autoSpaceDE w:val="0"/>
        <w:autoSpaceDN w:val="0"/>
        <w:spacing w:before="120" w:after="120" w:line="300" w:lineRule="atLeast"/>
        <w:jc w:val="left"/>
      </w:pPr>
      <w:r>
        <w:rPr>
          <w:lang w:eastAsia="en-AU"/>
        </w:rPr>
        <w:t>Siswanto, Muhamad R, Omar D, Karmawatic E (2008)</w:t>
      </w:r>
      <w:r>
        <w:t xml:space="preserve"> Dispersion pattern of </w:t>
      </w:r>
      <w:r>
        <w:rPr>
          <w:i/>
        </w:rPr>
        <w:t>Helopeltis antonii</w:t>
      </w:r>
      <w:r>
        <w:t xml:space="preserve"> signoret (Hemiptera: Miridae) on cashew plantation. </w:t>
      </w:r>
      <w:r>
        <w:rPr>
          <w:i/>
        </w:rPr>
        <w:t>Indonesian Journal of Agriculture</w:t>
      </w:r>
      <w:r>
        <w:t xml:space="preserve"> 1: 103–108.</w:t>
      </w:r>
    </w:p>
    <w:p>
      <w:pPr>
        <w:autoSpaceDE w:val="0"/>
        <w:autoSpaceDN w:val="0"/>
        <w:spacing w:before="120" w:after="120" w:line="300" w:lineRule="atLeast"/>
        <w:jc w:val="left"/>
        <w:rPr>
          <w:lang w:eastAsia="en-AU"/>
        </w:rPr>
      </w:pPr>
      <w:r>
        <w:rPr>
          <w:lang w:eastAsia="en-AU"/>
        </w:rPr>
        <w:t xml:space="preserve">Sivanesan A, Holliday P (1972) </w:t>
      </w:r>
      <w:r>
        <w:rPr>
          <w:i/>
          <w:lang w:eastAsia="en-AU"/>
        </w:rPr>
        <w:t>Xylaria-polymorpha</w:t>
      </w:r>
      <w:r>
        <w:rPr>
          <w:lang w:eastAsia="en-AU"/>
        </w:rPr>
        <w:t>. CMI (Commonwealth Mycological Institute) Descriptions of Pathogenic Fungi and Bacteria 36.</w:t>
      </w:r>
    </w:p>
    <w:p>
      <w:pPr>
        <w:spacing w:before="120" w:after="120" w:line="300" w:lineRule="atLeast"/>
        <w:jc w:val="left"/>
      </w:pPr>
      <w:r>
        <w:t xml:space="preserve">Sivichai S, Jones EBG, Hywel-Jones NL (2000) Fungal colonisation of wood in a freshwater stream at Khao Yai National Park, Thailand. </w:t>
      </w:r>
      <w:r>
        <w:rPr>
          <w:i/>
          <w:iCs/>
        </w:rPr>
        <w:t>Fungal Diversity</w:t>
      </w:r>
      <w:r>
        <w:t xml:space="preserve"> </w:t>
      </w:r>
      <w:r>
        <w:rPr>
          <w:bCs/>
        </w:rPr>
        <w:t>5:</w:t>
      </w:r>
      <w:r>
        <w:t xml:space="preserve"> 71–88.</w:t>
      </w:r>
    </w:p>
    <w:p>
      <w:pPr>
        <w:spacing w:before="120" w:after="120" w:line="300" w:lineRule="atLeast"/>
        <w:jc w:val="left"/>
      </w:pPr>
      <w:r>
        <w:t xml:space="preserve">Smith D, Papacek DF, Murray DAH (1988) The use of </w:t>
      </w:r>
      <w:r>
        <w:rPr>
          <w:i/>
        </w:rPr>
        <w:t>Leptomastix dactylopii</w:t>
      </w:r>
      <w:r>
        <w:t xml:space="preserve"> Howard (Hymenoptera: Encyrtidae) to control </w:t>
      </w:r>
      <w:r>
        <w:rPr>
          <w:i/>
        </w:rPr>
        <w:t>Planococcus citri</w:t>
      </w:r>
      <w:r>
        <w:t xml:space="preserve"> (Risso) (Hemiptera: Ps</w:t>
      </w:r>
      <w:smartTag w:uri="urn:schemas-microsoft-com:office:smarttags" w:element="PersonName">
        <w:r>
          <w:t>eu</w:t>
        </w:r>
      </w:smartTag>
      <w:r>
        <w:t xml:space="preserve">dococcidae) in </w:t>
      </w:r>
      <w:smartTag w:uri="urn:schemas-microsoft-com:office:smarttags" w:element="State">
        <w:smartTag w:uri="urn:schemas-microsoft-com:office:smarttags" w:element="place">
          <w:r>
            <w:t>Queensland</w:t>
          </w:r>
        </w:smartTag>
      </w:smartTag>
      <w:r>
        <w:t xml:space="preserve"> citrus orchards. </w:t>
      </w:r>
      <w:smartTag w:uri="urn:schemas-microsoft-com:office:smarttags" w:element="State">
        <w:smartTag w:uri="urn:schemas-microsoft-com:office:smarttags" w:element="place">
          <w:r>
            <w:rPr>
              <w:i/>
            </w:rPr>
            <w:t>Queensland</w:t>
          </w:r>
        </w:smartTag>
      </w:smartTag>
      <w:r>
        <w:rPr>
          <w:i/>
        </w:rPr>
        <w:t xml:space="preserve"> Journal of Agricultural and Animal Sciences</w:t>
      </w:r>
      <w:r>
        <w:t xml:space="preserve"> 45: 157–164. </w:t>
      </w:r>
    </w:p>
    <w:p>
      <w:pPr>
        <w:spacing w:before="120" w:after="120" w:line="300" w:lineRule="atLeast"/>
        <w:jc w:val="left"/>
      </w:pPr>
      <w:r>
        <w:t xml:space="preserve">Smith ESC (1996) Control of longicorn beetles in Mango trees. Northern Territory Department of Primary Industries, Darwin. </w:t>
      </w:r>
      <w:r>
        <w:rPr>
          <w:i/>
        </w:rPr>
        <w:t>Agnote</w:t>
      </w:r>
      <w:r>
        <w:t xml:space="preserve"> 685: 1–2</w:t>
      </w:r>
    </w:p>
    <w:p>
      <w:pPr>
        <w:autoSpaceDE w:val="0"/>
        <w:autoSpaceDN w:val="0"/>
        <w:spacing w:before="120" w:after="120" w:line="300" w:lineRule="atLeast"/>
        <w:jc w:val="left"/>
      </w:pPr>
      <w:r>
        <w:t xml:space="preserve">Smith IM, McNamara DG, Scott PR, Holderness M (1997) </w:t>
      </w:r>
      <w:r>
        <w:rPr>
          <w:i/>
        </w:rPr>
        <w:t>Quarantine pests for Europe. Second Edition. Data sheets on quarantine pests for the European Union and for the European and Mediterranean Plant Protection Organization.</w:t>
      </w:r>
      <w:r>
        <w:t xml:space="preserve"> CABI/EPPO, Wallingford, UK.</w:t>
      </w:r>
    </w:p>
    <w:p>
      <w:pPr>
        <w:spacing w:before="120" w:after="120" w:line="300" w:lineRule="atLeast"/>
        <w:jc w:val="left"/>
      </w:pPr>
      <w:r>
        <w:t>Smith LM, Stafford EM (1948) The bud mite and the erin</w:t>
      </w:r>
      <w:smartTag w:uri="urn:schemas-microsoft-com:office:smarttags" w:element="PersonName">
        <w:r>
          <w:t>eu</w:t>
        </w:r>
      </w:smartTag>
      <w:r>
        <w:t xml:space="preserve">m mite of grapes. </w:t>
      </w:r>
      <w:r>
        <w:rPr>
          <w:i/>
        </w:rPr>
        <w:t>Hilgardia</w:t>
      </w:r>
      <w:r>
        <w:t xml:space="preserve"> 18: 317–334.</w:t>
      </w:r>
    </w:p>
    <w:p>
      <w:pPr>
        <w:spacing w:before="120" w:after="120" w:line="300" w:lineRule="atLeast"/>
        <w:jc w:val="left"/>
        <w:rPr>
          <w:snapToGrid w:val="0"/>
        </w:rPr>
      </w:pPr>
      <w:r>
        <w:rPr>
          <w:snapToGrid w:val="0"/>
        </w:rPr>
        <w:t xml:space="preserve">Solomon JD (1995) </w:t>
      </w:r>
      <w:r>
        <w:rPr>
          <w:i/>
          <w:snapToGrid w:val="0"/>
        </w:rPr>
        <w:t>Guide of insect borers of North American broadleaf trees and shrubs</w:t>
      </w:r>
      <w:r>
        <w:rPr>
          <w:snapToGrid w:val="0"/>
        </w:rPr>
        <w:t>. Agriculture Handbook 706. US Department of Agriculture, Forest Service, Washington DC.</w:t>
      </w:r>
    </w:p>
    <w:p>
      <w:pPr>
        <w:spacing w:before="120" w:after="120" w:line="300" w:lineRule="atLeast"/>
        <w:jc w:val="left"/>
      </w:pPr>
      <w:r>
        <w:t xml:space="preserve">Sosnowski MR, Lardner R, Wicks TJ, Scott ES (2007) The influence of grapevine cultivar and isolate of </w:t>
      </w:r>
      <w:r>
        <w:rPr>
          <w:i/>
        </w:rPr>
        <w:t>Eutypa lata</w:t>
      </w:r>
      <w:r>
        <w:t xml:space="preserve"> on wood and foliar symptoms. </w:t>
      </w:r>
      <w:r>
        <w:rPr>
          <w:i/>
        </w:rPr>
        <w:t>Plant Disease</w:t>
      </w:r>
      <w:r>
        <w:t xml:space="preserve"> 91: 924–931.</w:t>
      </w:r>
    </w:p>
    <w:p>
      <w:pPr>
        <w:spacing w:before="120" w:after="120" w:line="300" w:lineRule="atLeast"/>
        <w:jc w:val="left"/>
      </w:pPr>
      <w:r>
        <w:t xml:space="preserve">Spadaro D, Pellegrino C, Garibaldi A, Gullino ML (2011) Development of SCAR primers for the detection of </w:t>
      </w:r>
      <w:r>
        <w:rPr>
          <w:i/>
        </w:rPr>
        <w:t xml:space="preserve">Cadophora luteo-olivacea </w:t>
      </w:r>
      <w:r>
        <w:t xml:space="preserve">on kiwifruit and pome fruit and of </w:t>
      </w:r>
      <w:r>
        <w:rPr>
          <w:i/>
        </w:rPr>
        <w:t xml:space="preserve">Cadophora malorum </w:t>
      </w:r>
      <w:r>
        <w:t xml:space="preserve">on pome fruit. </w:t>
      </w:r>
      <w:r>
        <w:rPr>
          <w:i/>
        </w:rPr>
        <w:t xml:space="preserve">Phytopathologia Mediterranea </w:t>
      </w:r>
      <w:r>
        <w:t>50: 430–441.</w:t>
      </w:r>
    </w:p>
    <w:p>
      <w:pPr>
        <w:autoSpaceDE w:val="0"/>
        <w:autoSpaceDN w:val="0"/>
        <w:spacing w:before="120" w:after="120" w:line="300" w:lineRule="atLeast"/>
        <w:jc w:val="left"/>
      </w:pPr>
      <w:r>
        <w:t xml:space="preserve">Sparapano L, Bruno G, Ciccarone C, Graniti A (2000) Infection of grapevines by some fungi associated with esca. I. </w:t>
      </w:r>
      <w:r>
        <w:rPr>
          <w:i/>
        </w:rPr>
        <w:t>Fomitiporia punctata</w:t>
      </w:r>
      <w:r>
        <w:t xml:space="preserve"> as a wood-rot induce. </w:t>
      </w:r>
      <w:r>
        <w:rPr>
          <w:i/>
        </w:rPr>
        <w:t xml:space="preserve">Phytopathologia Mediterranea </w:t>
      </w:r>
      <w:r>
        <w:t>39: 46–52.</w:t>
      </w:r>
    </w:p>
    <w:p>
      <w:pPr>
        <w:autoSpaceDE w:val="0"/>
        <w:autoSpaceDN w:val="0"/>
        <w:spacing w:before="120" w:after="120" w:line="300" w:lineRule="atLeast"/>
        <w:jc w:val="left"/>
        <w:rPr>
          <w:lang w:eastAsia="en-AU"/>
        </w:rPr>
      </w:pPr>
      <w:r>
        <w:rPr>
          <w:lang w:eastAsia="en-AU"/>
        </w:rPr>
        <w:t xml:space="preserve">Srivastava RP (1997) </w:t>
      </w:r>
      <w:r>
        <w:rPr>
          <w:i/>
          <w:iCs/>
          <w:lang w:eastAsia="en-AU"/>
        </w:rPr>
        <w:t>Mango Insect Pest Management.</w:t>
      </w:r>
      <w:r>
        <w:rPr>
          <w:iCs/>
          <w:lang w:eastAsia="en-AU"/>
        </w:rPr>
        <w:t xml:space="preserve"> </w:t>
      </w:r>
      <w:r>
        <w:rPr>
          <w:lang w:eastAsia="en-AU"/>
        </w:rPr>
        <w:t>First edition). International Book Distributing Co., Lucknow, India.</w:t>
      </w:r>
    </w:p>
    <w:p>
      <w:pPr>
        <w:autoSpaceDE w:val="0"/>
        <w:autoSpaceDN w:val="0"/>
        <w:spacing w:before="120" w:after="120" w:line="300" w:lineRule="atLeast"/>
        <w:jc w:val="left"/>
        <w:rPr>
          <w:lang w:eastAsia="en-AU"/>
        </w:rPr>
      </w:pPr>
      <w:r>
        <w:rPr>
          <w:lang w:eastAsia="en-AU"/>
        </w:rPr>
        <w:t xml:space="preserve">Srivastava RP, Verghese A (1985) Record of a new mealy bug, </w:t>
      </w:r>
      <w:r>
        <w:rPr>
          <w:i/>
          <w:lang w:eastAsia="en-AU"/>
        </w:rPr>
        <w:t>Perissopn</w:t>
      </w:r>
      <w:smartTag w:uri="urn:schemas-microsoft-com:office:smarttags" w:element="PersonName">
        <w:r>
          <w:rPr>
            <w:i/>
            <w:lang w:eastAsia="en-AU"/>
          </w:rPr>
          <w:t>eu</w:t>
        </w:r>
      </w:smartTag>
      <w:r>
        <w:rPr>
          <w:i/>
          <w:lang w:eastAsia="en-AU"/>
        </w:rPr>
        <w:t>mon ferox</w:t>
      </w:r>
      <w:r>
        <w:rPr>
          <w:lang w:eastAsia="en-AU"/>
        </w:rPr>
        <w:t xml:space="preserve"> Newstead (Margarodidae: Homoptera) on mango from </w:t>
      </w:r>
      <w:smartTag w:uri="urn:schemas-microsoft-com:office:smarttags" w:element="place">
        <w:smartTag w:uri="urn:schemas-microsoft-com:office:smarttags" w:element="City">
          <w:r>
            <w:rPr>
              <w:lang w:eastAsia="en-AU"/>
            </w:rPr>
            <w:t>Uttar Pradesh</w:t>
          </w:r>
        </w:smartTag>
        <w:r>
          <w:rPr>
            <w:lang w:eastAsia="en-AU"/>
          </w:rPr>
          <w:t xml:space="preserve">, </w:t>
        </w:r>
        <w:smartTag w:uri="urn:schemas-microsoft-com:office:smarttags" w:element="country-region">
          <w:r>
            <w:rPr>
              <w:lang w:eastAsia="en-AU"/>
            </w:rPr>
            <w:t>India</w:t>
          </w:r>
        </w:smartTag>
      </w:smartTag>
      <w:r>
        <w:rPr>
          <w:lang w:eastAsia="en-AU"/>
        </w:rPr>
        <w:t xml:space="preserve">. </w:t>
      </w:r>
      <w:r>
        <w:rPr>
          <w:i/>
          <w:lang w:eastAsia="en-AU"/>
        </w:rPr>
        <w:t xml:space="preserve">Entomon </w:t>
      </w:r>
      <w:r>
        <w:rPr>
          <w:lang w:eastAsia="en-AU"/>
        </w:rPr>
        <w:t>10: 184.</w:t>
      </w:r>
    </w:p>
    <w:p>
      <w:pPr>
        <w:autoSpaceDE w:val="0"/>
        <w:autoSpaceDN w:val="0"/>
        <w:spacing w:before="120" w:after="120" w:line="300" w:lineRule="atLeast"/>
        <w:jc w:val="left"/>
      </w:pPr>
      <w:r>
        <w:t>Stathas GJ, Kontodimas DC (2001) Ecological</w:t>
      </w:r>
      <w:r>
        <w:rPr>
          <w:kern w:val="36"/>
        </w:rPr>
        <w:t xml:space="preserve"> data of the scale </w:t>
      </w:r>
      <w:r>
        <w:rPr>
          <w:i/>
          <w:kern w:val="36"/>
        </w:rPr>
        <w:t>Targionia vitis</w:t>
      </w:r>
      <w:r>
        <w:rPr>
          <w:kern w:val="36"/>
        </w:rPr>
        <w:t xml:space="preserve"> on grapes in Southern Greece. </w:t>
      </w:r>
      <w:r>
        <w:rPr>
          <w:i/>
        </w:rPr>
        <w:t>Annales de l'Institut phytopathologique Benaki</w:t>
      </w:r>
      <w:r>
        <w:t xml:space="preserve"> 19: 134–139.</w:t>
      </w:r>
    </w:p>
    <w:p>
      <w:pPr>
        <w:autoSpaceDE w:val="0"/>
        <w:autoSpaceDN w:val="0"/>
        <w:spacing w:before="120" w:after="120" w:line="300" w:lineRule="atLeast"/>
        <w:jc w:val="left"/>
        <w:rPr>
          <w:lang w:val="de-DE"/>
        </w:rPr>
      </w:pPr>
      <w:r>
        <w:t xml:space="preserve">Steffek R, Reisenzein H, Zeisner N (2006) Analysis of pest risk from grapevine Flavescence dorée Phytoplasma to Austrian viticulture. </w:t>
      </w:r>
      <w:r>
        <w:rPr>
          <w:i/>
          <w:lang w:val="de-DE"/>
        </w:rPr>
        <w:t>EPPO Bulletin</w:t>
      </w:r>
      <w:r>
        <w:rPr>
          <w:lang w:val="de-DE"/>
        </w:rPr>
        <w:t xml:space="preserve"> 37: 191–203.</w:t>
      </w:r>
    </w:p>
    <w:p>
      <w:pPr>
        <w:autoSpaceDE w:val="0"/>
        <w:autoSpaceDN w:val="0"/>
        <w:spacing w:before="120" w:after="120" w:line="300" w:lineRule="atLeast"/>
        <w:jc w:val="left"/>
      </w:pPr>
      <w:r>
        <w:rPr>
          <w:lang w:val="de-DE"/>
        </w:rPr>
        <w:t>Stellmach G, Querfurth G (1978) Untersuchungen zur serologie, pathologie und thermo-libilitat mehrerer Raben-isolate des Himbeeringflecken-virus (</w:t>
      </w:r>
      <w:r>
        <w:rPr>
          <w:i/>
          <w:lang w:val="de-DE"/>
        </w:rPr>
        <w:t>Raspberry latent virus)</w:t>
      </w:r>
      <w:r>
        <w:rPr>
          <w:lang w:val="de-DE"/>
        </w:rPr>
        <w:t xml:space="preserve">. </w:t>
      </w:r>
      <w:r>
        <w:rPr>
          <w:i/>
        </w:rPr>
        <w:t>Weinberg und Keller</w:t>
      </w:r>
      <w:r>
        <w:t xml:space="preserve"> 25: 128–136.</w:t>
      </w:r>
    </w:p>
    <w:p>
      <w:pPr>
        <w:autoSpaceDE w:val="0"/>
        <w:autoSpaceDN w:val="0"/>
        <w:spacing w:before="120" w:after="120" w:line="300" w:lineRule="atLeast"/>
        <w:jc w:val="left"/>
      </w:pPr>
      <w:hyperlink r:id="rId194" w:history="1">
        <w:r>
          <w:t>Stern VM, Johnson JA</w:t>
        </w:r>
      </w:hyperlink>
      <w:r>
        <w:t xml:space="preserve"> (1984) Biology and control of the Grape bud beetle, </w:t>
      </w:r>
      <w:r>
        <w:rPr>
          <w:i/>
        </w:rPr>
        <w:t xml:space="preserve">Glyptoscelis squamulata </w:t>
      </w:r>
      <w:r>
        <w:t xml:space="preserve">(Coleoptera: Chrysomelidae), in southern </w:t>
      </w:r>
      <w:smartTag w:uri="urn:schemas-microsoft-com:office:smarttags" w:element="place">
        <w:smartTag w:uri="urn:schemas-microsoft-com:office:smarttags" w:element="State">
          <w:r>
            <w:t>California</w:t>
          </w:r>
        </w:smartTag>
      </w:smartTag>
      <w:r>
        <w:t xml:space="preserve"> table grapes. </w:t>
      </w:r>
      <w:r>
        <w:rPr>
          <w:i/>
        </w:rPr>
        <w:t>Journal of Economic Entomology</w:t>
      </w:r>
      <w:r>
        <w:t xml:space="preserve"> 77: 1327–1334.</w:t>
      </w:r>
    </w:p>
    <w:p>
      <w:pPr>
        <w:tabs>
          <w:tab w:val="left" w:pos="0"/>
        </w:tabs>
        <w:spacing w:before="120" w:after="120" w:line="300" w:lineRule="atLeast"/>
        <w:jc w:val="left"/>
      </w:pPr>
      <w:r>
        <w:t xml:space="preserve">Stirling GR, Stanton JM, Marshall JM (1992) The importance of plant-parasitic nematodes to Australian and </w:t>
      </w:r>
      <w:smartTag w:uri="urn:schemas-microsoft-com:office:smarttags" w:element="country-region">
        <w:smartTag w:uri="urn:schemas-microsoft-com:office:smarttags" w:element="place">
          <w:r>
            <w:t>New Zealand</w:t>
          </w:r>
        </w:smartTag>
      </w:smartTag>
      <w:r>
        <w:t xml:space="preserve"> agriculture. </w:t>
      </w:r>
      <w:r>
        <w:rPr>
          <w:i/>
        </w:rPr>
        <w:t>Australasian Plant Pathology</w:t>
      </w:r>
      <w:r>
        <w:t xml:space="preserve"> 21: 104–115.</w:t>
      </w:r>
    </w:p>
    <w:p>
      <w:pPr>
        <w:autoSpaceDE w:val="0"/>
        <w:autoSpaceDN w:val="0"/>
        <w:spacing w:before="120" w:after="120" w:line="300" w:lineRule="atLeast"/>
        <w:jc w:val="left"/>
      </w:pPr>
      <w:r>
        <w:t xml:space="preserve">Stobbs LW, van Schagen JG (1984) Occurrence of </w:t>
      </w:r>
      <w:r>
        <w:rPr>
          <w:i/>
        </w:rPr>
        <w:t>Tomato black ring virus</w:t>
      </w:r>
      <w:r>
        <w:t xml:space="preserve"> on grapevine in </w:t>
      </w:r>
      <w:smartTag w:uri="urn:schemas-microsoft-com:office:smarttags" w:element="place">
        <w:r>
          <w:t>Southern Ontario</w:t>
        </w:r>
      </w:smartTag>
      <w:r>
        <w:t xml:space="preserve">. </w:t>
      </w:r>
      <w:r>
        <w:rPr>
          <w:i/>
        </w:rPr>
        <w:t>Canadian Plant Disease Survey</w:t>
      </w:r>
      <w:r>
        <w:t xml:space="preserve"> 64: 3–4.</w:t>
      </w:r>
    </w:p>
    <w:p>
      <w:pPr>
        <w:autoSpaceDE w:val="0"/>
        <w:autoSpaceDN w:val="0"/>
        <w:spacing w:before="120" w:after="120" w:line="300" w:lineRule="atLeast"/>
        <w:jc w:val="left"/>
      </w:pPr>
      <w:r>
        <w:t>Stracener CL (1931) Economic importance of the salt-marsh caterpillar (</w:t>
      </w:r>
      <w:r>
        <w:rPr>
          <w:i/>
          <w:iCs/>
        </w:rPr>
        <w:t>Estigmene acraea</w:t>
      </w:r>
      <w:r>
        <w:t xml:space="preserve"> Drury) in Louisiana. </w:t>
      </w:r>
      <w:r>
        <w:rPr>
          <w:i/>
        </w:rPr>
        <w:t>Journal of Economic Entomology</w:t>
      </w:r>
      <w:r>
        <w:t xml:space="preserve"> 24: 835</w:t>
      </w:r>
      <w:r>
        <w:rPr>
          <w:bCs/>
        </w:rPr>
        <w:t>–</w:t>
      </w:r>
      <w:r>
        <w:t>838.</w:t>
      </w:r>
    </w:p>
    <w:p>
      <w:pPr>
        <w:spacing w:before="120" w:after="120" w:line="300" w:lineRule="atLeast"/>
        <w:jc w:val="left"/>
      </w:pPr>
      <w:r>
        <w:t xml:space="preserve">Stukely MJC, Webster JL, Ciampini JA, Kerp NL, Colquhoun IJ, Dunstan WA, Hardy GE St. J (2007) A new homothallic </w:t>
      </w:r>
      <w:r>
        <w:rPr>
          <w:i/>
        </w:rPr>
        <w:t>Phytophthora</w:t>
      </w:r>
      <w:r>
        <w:t xml:space="preserve"> from the jarrah forest in </w:t>
      </w:r>
      <w:smartTag w:uri="urn:schemas-microsoft-com:office:smarttags" w:element="State">
        <w:smartTag w:uri="urn:schemas-microsoft-com:office:smarttags" w:element="place">
          <w:r>
            <w:t>Western Australia</w:t>
          </w:r>
        </w:smartTag>
      </w:smartTag>
      <w:r>
        <w:t xml:space="preserve">. </w:t>
      </w:r>
      <w:r>
        <w:rPr>
          <w:i/>
        </w:rPr>
        <w:t>Australasian Plant Disease Notes</w:t>
      </w:r>
      <w:r>
        <w:t xml:space="preserve"> 2: 49–51.</w:t>
      </w:r>
    </w:p>
    <w:p>
      <w:pPr>
        <w:spacing w:before="120" w:after="120" w:line="300" w:lineRule="atLeast"/>
        <w:jc w:val="left"/>
      </w:pPr>
      <w:r>
        <w:t xml:space="preserve">Suhag LS, Kaushik JC, Duhan JC (1982) Etiology and epidemiology of fungal foliar diseases on grapevine. </w:t>
      </w:r>
      <w:r>
        <w:rPr>
          <w:i/>
          <w:iCs/>
        </w:rPr>
        <w:t>Indian Journal of Mycology and Plant Pathology</w:t>
      </w:r>
      <w:r>
        <w:t xml:space="preserve"> </w:t>
      </w:r>
      <w:r>
        <w:rPr>
          <w:bCs/>
        </w:rPr>
        <w:t>12:</w:t>
      </w:r>
      <w:r>
        <w:t xml:space="preserve"> 191–197.</w:t>
      </w:r>
    </w:p>
    <w:p>
      <w:pPr>
        <w:autoSpaceDE w:val="0"/>
        <w:autoSpaceDN w:val="0"/>
        <w:spacing w:before="120" w:after="120" w:line="300" w:lineRule="atLeast"/>
        <w:jc w:val="left"/>
      </w:pPr>
      <w:r>
        <w:t xml:space="preserve">Summerell BA, Leslie JF, Liew ECY, Laurence MH, Bullock S, Petrovic T, Bentley AR, Howard CG, Peterson SA, Walsh JL, Burgess LW (2011) </w:t>
      </w:r>
      <w:r>
        <w:rPr>
          <w:i/>
        </w:rPr>
        <w:t>Fusarium</w:t>
      </w:r>
      <w:r>
        <w:t xml:space="preserve"> species associated with plants in </w:t>
      </w:r>
      <w:smartTag w:uri="urn:schemas-microsoft-com:office:smarttags" w:element="country-region">
        <w:smartTag w:uri="urn:schemas-microsoft-com:office:smarttags" w:element="place">
          <w:r>
            <w:t>Australia</w:t>
          </w:r>
        </w:smartTag>
      </w:smartTag>
      <w:r>
        <w:t xml:space="preserve">. </w:t>
      </w:r>
      <w:r>
        <w:rPr>
          <w:i/>
        </w:rPr>
        <w:t>Fungal Diversity</w:t>
      </w:r>
      <w:r>
        <w:t xml:space="preserve"> 46: 1–27.</w:t>
      </w:r>
    </w:p>
    <w:p>
      <w:pPr>
        <w:autoSpaceDE w:val="0"/>
        <w:autoSpaceDN w:val="0"/>
        <w:spacing w:before="120" w:after="120" w:line="300" w:lineRule="atLeast"/>
        <w:jc w:val="left"/>
      </w:pPr>
      <w:r>
        <w:t xml:space="preserve">Sun YZ, Qi J, Li H (1992) A preliminary report on </w:t>
      </w:r>
      <w:r>
        <w:rPr>
          <w:i/>
        </w:rPr>
        <w:t>Scelodonta lewisii</w:t>
      </w:r>
      <w:r>
        <w:t xml:space="preserve"> Baly. </w:t>
      </w:r>
      <w:r>
        <w:rPr>
          <w:i/>
        </w:rPr>
        <w:t>Plant Protection</w:t>
      </w:r>
      <w:r>
        <w:t xml:space="preserve"> 18: 1617.</w:t>
      </w:r>
    </w:p>
    <w:p>
      <w:pPr>
        <w:autoSpaceDE w:val="0"/>
        <w:autoSpaceDN w:val="0"/>
        <w:spacing w:before="120" w:after="120" w:line="300" w:lineRule="atLeast"/>
        <w:jc w:val="left"/>
      </w:pPr>
      <w:bookmarkStart w:id="139" w:name="top"/>
      <w:r>
        <w:t>Sundararaju D</w:t>
      </w:r>
      <w:bookmarkEnd w:id="139"/>
      <w:r>
        <w:fldChar w:fldCharType="begin"/>
      </w:r>
      <w:r>
        <w:instrText xml:space="preserve"> HYPERLINK "http://www.indianjournals.com/ijor.aspx?target=ijor:jer&amp;volume=24&amp;issue=1&amp;article=011" \l "afn001" </w:instrText>
      </w:r>
      <w:r>
        <w:fldChar w:fldCharType="separate"/>
      </w:r>
      <w:r>
        <w:t>1</w:t>
      </w:r>
      <w:r>
        <w:fldChar w:fldCharType="end"/>
      </w:r>
      <w:r>
        <w:t xml:space="preserve">, Babu PCS (2000) Improved mass culture technique for the neem mosquito bug, </w:t>
      </w:r>
      <w:r>
        <w:rPr>
          <w:i/>
        </w:rPr>
        <w:t>Helopeltis antonii</w:t>
      </w:r>
      <w:r>
        <w:t xml:space="preserve"> Signoret (Heteroptera: Miridae). </w:t>
      </w:r>
      <w:r>
        <w:rPr>
          <w:i/>
        </w:rPr>
        <w:t>Journal of Entomological Research</w:t>
      </w:r>
      <w:r>
        <w:t xml:space="preserve"> 24: 73</w:t>
      </w:r>
      <w:r>
        <w:rPr>
          <w:bCs/>
        </w:rPr>
        <w:t>–</w:t>
      </w:r>
      <w:r>
        <w:t>82.</w:t>
      </w:r>
    </w:p>
    <w:p>
      <w:pPr>
        <w:autoSpaceDE w:val="0"/>
        <w:autoSpaceDN w:val="0"/>
        <w:spacing w:before="120" w:after="120" w:line="300" w:lineRule="atLeast"/>
        <w:jc w:val="left"/>
        <w:rPr>
          <w:bCs/>
        </w:rPr>
      </w:pPr>
      <w:r>
        <w:rPr>
          <w:bCs/>
        </w:rPr>
        <w:t xml:space="preserve">Sweetingham M (1983) Studies on the nature and pathogenicity of soilborne </w:t>
      </w:r>
      <w:r>
        <w:rPr>
          <w:bCs/>
          <w:i/>
        </w:rPr>
        <w:t xml:space="preserve">Cylindrocarpon </w:t>
      </w:r>
      <w:r>
        <w:rPr>
          <w:bCs/>
        </w:rPr>
        <w:t xml:space="preserve">spp. Ph.D. Thesis, </w:t>
      </w:r>
      <w:smartTag w:uri="urn:schemas-microsoft-com:office:smarttags" w:element="place">
        <w:smartTag w:uri="urn:schemas-microsoft-com:office:smarttags" w:element="PlaceType">
          <w:r>
            <w:rPr>
              <w:bCs/>
            </w:rPr>
            <w:t>University</w:t>
          </w:r>
        </w:smartTag>
        <w:r>
          <w:rPr>
            <w:bCs/>
          </w:rPr>
          <w:t xml:space="preserve"> of </w:t>
        </w:r>
        <w:smartTag w:uri="urn:schemas-microsoft-com:office:smarttags" w:element="PlaceName">
          <w:r>
            <w:rPr>
              <w:bCs/>
            </w:rPr>
            <w:t>Tasmania</w:t>
          </w:r>
        </w:smartTag>
      </w:smartTag>
      <w:r>
        <w:rPr>
          <w:bCs/>
        </w:rPr>
        <w:t>.</w:t>
      </w:r>
    </w:p>
    <w:p>
      <w:pPr>
        <w:autoSpaceDE w:val="0"/>
        <w:autoSpaceDN w:val="0"/>
        <w:spacing w:before="120" w:after="120" w:line="300" w:lineRule="atLeast"/>
        <w:jc w:val="left"/>
      </w:pPr>
      <w:r>
        <w:t xml:space="preserve">Tan SD, Wei JD, Lan RX (1998) Analysis on the similarity of the structure of the litchi and longan pest communities. </w:t>
      </w:r>
      <w:r>
        <w:rPr>
          <w:i/>
        </w:rPr>
        <w:t>Guangxi Science and Technology of Tropical Crops</w:t>
      </w:r>
      <w:r>
        <w:t xml:space="preserve"> 69: 4</w:t>
      </w:r>
      <w:r>
        <w:softHyphen/>
        <w:t>10.</w:t>
      </w:r>
    </w:p>
    <w:p>
      <w:pPr>
        <w:spacing w:before="120" w:after="120" w:line="300" w:lineRule="atLeast"/>
        <w:jc w:val="left"/>
        <w:rPr>
          <w:bCs/>
        </w:rPr>
      </w:pPr>
      <w:r>
        <w:rPr>
          <w:bCs/>
        </w:rPr>
        <w:t xml:space="preserve">Tandon PL, Verghese A (1987) New insect pests of certain fruit crops. </w:t>
      </w:r>
      <w:r>
        <w:rPr>
          <w:bCs/>
          <w:i/>
        </w:rPr>
        <w:t>Indian Journal of Horticulture</w:t>
      </w:r>
      <w:r>
        <w:rPr>
          <w:bCs/>
        </w:rPr>
        <w:t xml:space="preserve"> 44: 121</w:t>
      </w:r>
      <w:r>
        <w:t>–</w:t>
      </w:r>
      <w:r>
        <w:rPr>
          <w:bCs/>
        </w:rPr>
        <w:t>122.</w:t>
      </w:r>
    </w:p>
    <w:p>
      <w:pPr>
        <w:spacing w:before="120" w:after="120" w:line="300" w:lineRule="atLeast"/>
        <w:jc w:val="left"/>
        <w:rPr>
          <w:bCs/>
        </w:rPr>
      </w:pPr>
      <w:r>
        <w:rPr>
          <w:bCs/>
        </w:rPr>
        <w:t xml:space="preserve">Tanne E, Orenstein S (1997) Identification and typing of grapevine phytoplasma amplified by graft transmission to periwinkle. </w:t>
      </w:r>
      <w:r>
        <w:rPr>
          <w:bCs/>
          <w:i/>
        </w:rPr>
        <w:t xml:space="preserve">Vitis </w:t>
      </w:r>
      <w:r>
        <w:rPr>
          <w:bCs/>
        </w:rPr>
        <w:t>36: 35–38.</w:t>
      </w:r>
    </w:p>
    <w:p>
      <w:pPr>
        <w:spacing w:before="120" w:after="120" w:line="300" w:lineRule="atLeast"/>
        <w:jc w:val="left"/>
        <w:rPr>
          <w:bCs/>
        </w:rPr>
      </w:pPr>
      <w:r>
        <w:rPr>
          <w:bCs/>
        </w:rPr>
        <w:t xml:space="preserve">Taralashvii LV (1989) </w:t>
      </w:r>
      <w:r>
        <w:rPr>
          <w:bCs/>
          <w:i/>
        </w:rPr>
        <w:t>Sinoxylon perforans</w:t>
      </w:r>
      <w:r>
        <w:rPr>
          <w:bCs/>
        </w:rPr>
        <w:t xml:space="preserve"> on the grapevine. </w:t>
      </w:r>
      <w:r>
        <w:rPr>
          <w:bCs/>
          <w:i/>
        </w:rPr>
        <w:t>Zashchita rastenii</w:t>
      </w:r>
      <w:r>
        <w:rPr>
          <w:bCs/>
        </w:rPr>
        <w:t xml:space="preserve"> (Translated).</w:t>
      </w:r>
    </w:p>
    <w:p>
      <w:pPr>
        <w:spacing w:before="120" w:after="120" w:line="300" w:lineRule="atLeast"/>
        <w:jc w:val="left"/>
        <w:rPr>
          <w:bCs/>
        </w:rPr>
      </w:pPr>
      <w:r>
        <w:rPr>
          <w:bCs/>
        </w:rPr>
        <w:t xml:space="preserve">Taylor A, ST Hardy GE, Wood P, Burgess T (2005) Identification and pathogenicity of </w:t>
      </w:r>
      <w:r>
        <w:rPr>
          <w:bCs/>
          <w:i/>
        </w:rPr>
        <w:t>Botryosphaeria</w:t>
      </w:r>
      <w:r>
        <w:rPr>
          <w:bCs/>
        </w:rPr>
        <w:t xml:space="preserve"> species associated with Grapevine decline in Western Australia. </w:t>
      </w:r>
      <w:r>
        <w:rPr>
          <w:bCs/>
          <w:i/>
        </w:rPr>
        <w:t xml:space="preserve">Australasian Plant Pathology </w:t>
      </w:r>
      <w:r>
        <w:rPr>
          <w:bCs/>
        </w:rPr>
        <w:t>34: 187–195.</w:t>
      </w:r>
    </w:p>
    <w:p>
      <w:pPr>
        <w:autoSpaceDE w:val="0"/>
        <w:autoSpaceDN w:val="0"/>
        <w:spacing w:before="120" w:after="120" w:line="300" w:lineRule="atLeast"/>
        <w:jc w:val="left"/>
        <w:rPr>
          <w:bCs/>
        </w:rPr>
      </w:pPr>
      <w:r>
        <w:rPr>
          <w:bCs/>
        </w:rPr>
        <w:t xml:space="preserve">Taylor CE, Chambers J, </w:t>
      </w:r>
      <w:smartTag w:uri="urn:schemas-microsoft-com:office:smarttags" w:element="place">
        <w:smartTag w:uri="urn:schemas-microsoft-com:office:smarttags" w:element="City">
          <w:r>
            <w:rPr>
              <w:bCs/>
            </w:rPr>
            <w:t>Pattullo</w:t>
          </w:r>
        </w:smartTag>
        <w:r>
          <w:rPr>
            <w:bCs/>
          </w:rPr>
          <w:t xml:space="preserve"> </w:t>
        </w:r>
        <w:smartTag w:uri="urn:schemas-microsoft-com:office:smarttags" w:element="State">
          <w:r>
            <w:rPr>
              <w:bCs/>
            </w:rPr>
            <w:t>WI</w:t>
          </w:r>
        </w:smartTag>
      </w:smartTag>
      <w:r>
        <w:rPr>
          <w:bCs/>
        </w:rPr>
        <w:t xml:space="preserve"> (1965) The effect of </w:t>
      </w:r>
      <w:r>
        <w:rPr>
          <w:bCs/>
          <w:i/>
        </w:rPr>
        <w:t>Tomato black ring virus</w:t>
      </w:r>
      <w:r>
        <w:rPr>
          <w:bCs/>
        </w:rPr>
        <w:t xml:space="preserve"> on the growth and yield of Malling exploit raspberry. </w:t>
      </w:r>
      <w:r>
        <w:rPr>
          <w:bCs/>
          <w:i/>
        </w:rPr>
        <w:t>Horticultural Research</w:t>
      </w:r>
      <w:r>
        <w:rPr>
          <w:bCs/>
        </w:rPr>
        <w:t xml:space="preserve"> 5: 19–24. </w:t>
      </w:r>
    </w:p>
    <w:p>
      <w:pPr>
        <w:pStyle w:val="Default"/>
        <w:spacing w:before="120" w:after="120" w:line="300" w:lineRule="atLeast"/>
        <w:jc w:val="left"/>
        <w:rPr>
          <w:color w:val="auto"/>
        </w:rPr>
      </w:pPr>
      <w:r>
        <w:rPr>
          <w:color w:val="auto"/>
        </w:rPr>
        <w:t xml:space="preserve">Taylor RH (1962) Grapevine viruses in Victoria. </w:t>
      </w:r>
      <w:r>
        <w:rPr>
          <w:i/>
          <w:iCs/>
          <w:color w:val="auto"/>
        </w:rPr>
        <w:t xml:space="preserve">Journal of Agriculture, </w:t>
      </w:r>
      <w:smartTag w:uri="urn:schemas-microsoft-com:office:smarttags" w:element="State">
        <w:smartTag w:uri="urn:schemas-microsoft-com:office:smarttags" w:element="place">
          <w:r>
            <w:rPr>
              <w:color w:val="auto"/>
            </w:rPr>
            <w:t>Victoria</w:t>
          </w:r>
        </w:smartTag>
      </w:smartTag>
      <w:r>
        <w:rPr>
          <w:color w:val="auto"/>
        </w:rPr>
        <w:t xml:space="preserve"> 60: 336. </w:t>
      </w:r>
    </w:p>
    <w:p>
      <w:pPr>
        <w:spacing w:before="120" w:after="120" w:line="300" w:lineRule="atLeast"/>
        <w:jc w:val="left"/>
      </w:pPr>
      <w:r>
        <w:t xml:space="preserve">Taylor RH, Hewitt WB (1964) Properties and serological relationships of Australian and Californian soil-borne viruses of the grapevine and </w:t>
      </w:r>
      <w:r>
        <w:rPr>
          <w:i/>
          <w:iCs/>
        </w:rPr>
        <w:t>Arabis mosaic virus</w:t>
      </w:r>
      <w:r>
        <w:t xml:space="preserve">. </w:t>
      </w:r>
      <w:r>
        <w:rPr>
          <w:i/>
          <w:iCs/>
        </w:rPr>
        <w:t xml:space="preserve">Australian Journal of Agricultural Research </w:t>
      </w:r>
      <w:r>
        <w:t>15: 571.</w:t>
      </w:r>
    </w:p>
    <w:p>
      <w:pPr>
        <w:spacing w:before="120" w:after="120" w:line="300" w:lineRule="atLeast"/>
        <w:jc w:val="left"/>
        <w:rPr>
          <w:bCs/>
        </w:rPr>
      </w:pPr>
      <w:r>
        <w:rPr>
          <w:bCs/>
        </w:rPr>
        <w:t xml:space="preserve">Teakle DS (1968) </w:t>
      </w:r>
      <w:r>
        <w:rPr>
          <w:bCs/>
          <w:i/>
        </w:rPr>
        <w:t>Sowbane mosaic virus</w:t>
      </w:r>
      <w:r>
        <w:rPr>
          <w:bCs/>
        </w:rPr>
        <w:t xml:space="preserve"> infecting </w:t>
      </w:r>
      <w:r>
        <w:rPr>
          <w:bCs/>
          <w:i/>
        </w:rPr>
        <w:t>Chenopodium trigonon</w:t>
      </w:r>
      <w:r>
        <w:rPr>
          <w:bCs/>
        </w:rPr>
        <w:t xml:space="preserve"> in </w:t>
      </w:r>
      <w:smartTag w:uri="urn:schemas-microsoft-com:office:smarttags" w:element="State">
        <w:smartTag w:uri="urn:schemas-microsoft-com:office:smarttags" w:element="place">
          <w:r>
            <w:rPr>
              <w:bCs/>
            </w:rPr>
            <w:t>Queensland</w:t>
          </w:r>
        </w:smartTag>
      </w:smartTag>
      <w:r>
        <w:rPr>
          <w:bCs/>
        </w:rPr>
        <w:t xml:space="preserve">. </w:t>
      </w:r>
      <w:r>
        <w:rPr>
          <w:bCs/>
          <w:i/>
        </w:rPr>
        <w:t>Australian Journal of Biological Sciences</w:t>
      </w:r>
      <w:r>
        <w:rPr>
          <w:bCs/>
        </w:rPr>
        <w:t xml:space="preserve"> 21: 649</w:t>
      </w:r>
      <w:r>
        <w:t>–</w:t>
      </w:r>
      <w:r>
        <w:rPr>
          <w:bCs/>
        </w:rPr>
        <w:t>53.</w:t>
      </w:r>
    </w:p>
    <w:p>
      <w:pPr>
        <w:spacing w:before="120" w:after="120" w:line="300" w:lineRule="atLeast"/>
        <w:jc w:val="left"/>
        <w:rPr>
          <w:bCs/>
        </w:rPr>
      </w:pPr>
      <w:r>
        <w:rPr>
          <w:bCs/>
        </w:rPr>
        <w:t xml:space="preserve">Teakle DS (1988) </w:t>
      </w:r>
      <w:r>
        <w:rPr>
          <w:bCs/>
          <w:i/>
        </w:rPr>
        <w:t xml:space="preserve">Tobacco necrosis necrovirus. </w:t>
      </w:r>
      <w:r>
        <w:rPr>
          <w:bCs/>
        </w:rPr>
        <w:t>In</w:t>
      </w:r>
      <w:r>
        <w:rPr>
          <w:bCs/>
          <w:i/>
        </w:rPr>
        <w:t xml:space="preserve"> </w:t>
      </w:r>
      <w:r>
        <w:rPr>
          <w:bCs/>
        </w:rPr>
        <w:t>Buchen-Osmond C, Crabtree K, Gibbs A, McLean G (eds)</w:t>
      </w:r>
      <w:r>
        <w:rPr>
          <w:bCs/>
          <w:i/>
        </w:rPr>
        <w:t xml:space="preserve"> Viruses of Plants in Australia </w:t>
      </w:r>
      <w:r>
        <w:rPr>
          <w:bCs/>
        </w:rPr>
        <w:t>490</w:t>
      </w:r>
      <w:r>
        <w:t>–</w:t>
      </w:r>
      <w:r>
        <w:rPr>
          <w:bCs/>
        </w:rPr>
        <w:t>491. Australian National University Printing Service, Canberra.</w:t>
      </w:r>
    </w:p>
    <w:p>
      <w:pPr>
        <w:spacing w:before="120" w:after="120" w:line="300" w:lineRule="atLeast"/>
        <w:jc w:val="left"/>
      </w:pPr>
      <w:r>
        <w:t xml:space="preserve">Terai Y, Kunihi Y, Yansae H (1993) Back-transmission of a grapevine filamentous virus to grapevine seedlings and induction of foliar and berry symptoms in grapevine. </w:t>
      </w:r>
      <w:r>
        <w:rPr>
          <w:i/>
        </w:rPr>
        <w:t>Annals of the Phytopathological Society of Japan</w:t>
      </w:r>
      <w:r>
        <w:t xml:space="preserve"> 53: 423.</w:t>
      </w:r>
    </w:p>
    <w:p>
      <w:pPr>
        <w:spacing w:before="120" w:after="120" w:line="300" w:lineRule="atLeast"/>
        <w:jc w:val="left"/>
      </w:pPr>
      <w:r>
        <w:t xml:space="preserve">Tessmann DJ, Dianese JC, Genta W, Vida JB, Mio M (2004) Grape rust caused by </w:t>
      </w:r>
      <w:r>
        <w:rPr>
          <w:i/>
        </w:rPr>
        <w:t xml:space="preserve">Phakopsora </w:t>
      </w:r>
      <w:smartTag w:uri="urn:schemas-microsoft-com:office:smarttags" w:element="PersonName">
        <w:r>
          <w:rPr>
            <w:i/>
          </w:rPr>
          <w:t>eu</w:t>
        </w:r>
      </w:smartTag>
      <w:r>
        <w:rPr>
          <w:i/>
        </w:rPr>
        <w:t>vitis</w:t>
      </w:r>
      <w:r>
        <w:t xml:space="preserve">, a new disease for Brazil. </w:t>
      </w:r>
      <w:r>
        <w:rPr>
          <w:i/>
        </w:rPr>
        <w:t>Fitopatologia Brasileira</w:t>
      </w:r>
      <w:r>
        <w:t xml:space="preserve"> 29: 338.</w:t>
      </w:r>
    </w:p>
    <w:p>
      <w:pPr>
        <w:spacing w:before="120" w:after="120" w:line="300" w:lineRule="atLeast"/>
        <w:jc w:val="left"/>
      </w:pPr>
      <w:r>
        <w:t xml:space="preserve">Thayer MK (2001) An Australian immigrant in southern </w:t>
      </w:r>
      <w:smartTag w:uri="urn:schemas-microsoft-com:office:smarttags" w:element="State">
        <w:smartTag w:uri="urn:schemas-microsoft-com:office:smarttags" w:element="place">
          <w:r>
            <w:t>California</w:t>
          </w:r>
        </w:smartTag>
      </w:smartTag>
      <w:r>
        <w:t xml:space="preserve">: </w:t>
      </w:r>
      <w:r>
        <w:rPr>
          <w:i/>
        </w:rPr>
        <w:t>Paraphloeostiba gayndahensis</w:t>
      </w:r>
      <w:r>
        <w:t xml:space="preserve"> (Coleoptera: Staphylinidae). </w:t>
      </w:r>
      <w:r>
        <w:rPr>
          <w:i/>
        </w:rPr>
        <w:t>The ESA 2001 Annual Meeting – 2001: An Entomological Odyssey of ESA</w:t>
      </w:r>
      <w:r>
        <w:t>.</w:t>
      </w:r>
      <w:r>
        <w:rPr>
          <w:u w:val="single"/>
        </w:rPr>
        <w:t xml:space="preserve"> </w:t>
      </w:r>
      <w:hyperlink r:id="rId195" w:history="1">
        <w:r>
          <w:rPr>
            <w:u w:val="single"/>
          </w:rPr>
          <w:t>http://esa.confex.com/esa/2001/techprogram/paper_3670.htm</w:t>
        </w:r>
      </w:hyperlink>
      <w:r>
        <w:t xml:space="preserve"> Accessed May 2010.</w:t>
      </w:r>
    </w:p>
    <w:p>
      <w:pPr>
        <w:spacing w:before="120" w:after="120" w:line="300" w:lineRule="atLeast"/>
        <w:jc w:val="left"/>
      </w:pPr>
      <w:r>
        <w:t xml:space="preserve">Thompson RS, Nelson B (2003) </w:t>
      </w:r>
      <w:r>
        <w:rPr>
          <w:iCs/>
        </w:rPr>
        <w:t>The butterflies and moths of Northern Ireland</w:t>
      </w:r>
      <w:r>
        <w:t xml:space="preserve">. </w:t>
      </w:r>
      <w:hyperlink r:id="rId196" w:history="1">
        <w:r>
          <w:rPr>
            <w:rStyle w:val="Hyperlink"/>
            <w:color w:val="auto"/>
          </w:rPr>
          <w:t>http://www.ulstermuseum.org.uk/lepidoptera/species.asp?item=6384</w:t>
        </w:r>
      </w:hyperlink>
      <w:r>
        <w:t xml:space="preserve"> Accessed December 2010.</w:t>
      </w:r>
    </w:p>
    <w:p>
      <w:pPr>
        <w:spacing w:before="120" w:after="120" w:line="300" w:lineRule="atLeast"/>
        <w:jc w:val="left"/>
      </w:pPr>
      <w:r>
        <w:t xml:space="preserve">Thormann </w:t>
      </w:r>
      <w:smartTag w:uri="urn:schemas-microsoft-com:office:smarttags" w:element="State">
        <w:r>
          <w:t>MN</w:t>
        </w:r>
      </w:smartTag>
      <w:r>
        <w:t xml:space="preserve">, Rice AV (2007) Fungi from peatlands. </w:t>
      </w:r>
      <w:r>
        <w:rPr>
          <w:i/>
        </w:rPr>
        <w:t>Fungal Diversity</w:t>
      </w:r>
      <w:r>
        <w:t xml:space="preserve"> 24: 241–299.</w:t>
      </w:r>
    </w:p>
    <w:p>
      <w:pPr>
        <w:spacing w:before="120" w:after="120" w:line="300" w:lineRule="atLeast"/>
        <w:jc w:val="left"/>
      </w:pPr>
      <w:r>
        <w:t xml:space="preserve">Thorn RG, Moncalvo J-M, Redhead SA, Lodge DJ, Martin MP (2005) A new poroid species of </w:t>
      </w:r>
      <w:r>
        <w:rPr>
          <w:i/>
        </w:rPr>
        <w:t>Resupinatus</w:t>
      </w:r>
      <w:r>
        <w:t xml:space="preserve"> from Puerto Rico, with a reassessment of the cyphelloid genus </w:t>
      </w:r>
      <w:r>
        <w:rPr>
          <w:i/>
        </w:rPr>
        <w:t>Stigmatolemma</w:t>
      </w:r>
      <w:r>
        <w:t xml:space="preserve">. </w:t>
      </w:r>
      <w:r>
        <w:rPr>
          <w:i/>
        </w:rPr>
        <w:t>Mycologia</w:t>
      </w:r>
      <w:r>
        <w:t xml:space="preserve"> 97: 1140–1151.</w:t>
      </w:r>
    </w:p>
    <w:p>
      <w:pPr>
        <w:spacing w:before="120" w:after="120" w:line="300" w:lineRule="atLeast"/>
        <w:jc w:val="left"/>
      </w:pPr>
      <w:r>
        <w:t xml:space="preserve">Tomazic I, Petrovic N, Korosec-Koruza Z (2005) Effects of rugose wood and GLRaV-1 on yield of cv. 'Refosk' grapevines. </w:t>
      </w:r>
      <w:r>
        <w:rPr>
          <w:i/>
          <w:iCs/>
        </w:rPr>
        <w:t>Acta Agriculturae Slovenica</w:t>
      </w:r>
      <w:r>
        <w:t>. 85, 91–96.</w:t>
      </w:r>
    </w:p>
    <w:p>
      <w:pPr>
        <w:spacing w:before="120" w:after="120" w:line="300" w:lineRule="atLeast"/>
        <w:jc w:val="left"/>
      </w:pPr>
      <w:r>
        <w:t xml:space="preserve">Tomazic I, Korošec-Koruza Z, Koruza, B (2000) GLRaV-1 and stem pitting disease – two factors affecting the yield of grapevine cv. Refosk. In </w:t>
      </w:r>
      <w:r>
        <w:rPr>
          <w:i/>
        </w:rPr>
        <w:t xml:space="preserve">Extended Abstracts of the 13th Meeting of ICVG, March 12–18, 2000 Adelaide, Australia </w:t>
      </w:r>
      <w:r>
        <w:t xml:space="preserve">159–161. ICVG, </w:t>
      </w:r>
      <w:smartTag w:uri="urn:schemas-microsoft-com:office:smarttags" w:element="country-region">
        <w:smartTag w:uri="urn:schemas-microsoft-com:office:smarttags" w:element="place">
          <w:r>
            <w:t>Switzerland</w:t>
          </w:r>
        </w:smartTag>
      </w:smartTag>
      <w:r>
        <w:t xml:space="preserve">. </w:t>
      </w:r>
    </w:p>
    <w:p>
      <w:pPr>
        <w:spacing w:before="120" w:after="120" w:line="300" w:lineRule="atLeast"/>
        <w:jc w:val="left"/>
      </w:pPr>
      <w:r>
        <w:t xml:space="preserve">Tomlinson JA, Faithful EM, Webb MJW, Fraser RSS and </w:t>
      </w:r>
      <w:smartTag w:uri="urn:schemas-microsoft-com:office:smarttags" w:element="place">
        <w:smartTag w:uri="urn:schemas-microsoft-com:office:smarttags" w:element="City">
          <w:r>
            <w:t>Seeley</w:t>
          </w:r>
        </w:smartTag>
        <w:r>
          <w:t xml:space="preserve"> </w:t>
        </w:r>
        <w:smartTag w:uri="urn:schemas-microsoft-com:office:smarttags" w:element="State">
          <w:r>
            <w:t>ND</w:t>
          </w:r>
        </w:smartTag>
      </w:smartTag>
      <w:r>
        <w:t xml:space="preserve"> (1983) </w:t>
      </w:r>
      <w:r>
        <w:rPr>
          <w:i/>
        </w:rPr>
        <w:t>Chenopodium necrosis</w:t>
      </w:r>
      <w:r>
        <w:t xml:space="preserve">: a distinctive strain of </w:t>
      </w:r>
      <w:r>
        <w:rPr>
          <w:i/>
        </w:rPr>
        <w:t>Tobacco necrosis virus</w:t>
      </w:r>
      <w:r>
        <w:t xml:space="preserve"> isolated from river water. </w:t>
      </w:r>
      <w:r>
        <w:rPr>
          <w:i/>
        </w:rPr>
        <w:t xml:space="preserve">Annals of Applied Biology </w:t>
      </w:r>
      <w:r>
        <w:t>102: 135–147.</w:t>
      </w:r>
    </w:p>
    <w:p>
      <w:pPr>
        <w:spacing w:before="120" w:after="120" w:line="300" w:lineRule="atLeast"/>
        <w:jc w:val="left"/>
      </w:pPr>
      <w:r>
        <w:t xml:space="preserve">Tovar FJ, Hardy GEStJ, Robinson RM, Burgess T (2008) Testing the wood decay capacity of fungi commonly observed on </w:t>
      </w:r>
      <w:r>
        <w:rPr>
          <w:i/>
        </w:rPr>
        <w:t>Eucalyptus globulus</w:t>
      </w:r>
      <w:r>
        <w:t xml:space="preserve"> coppice stumps. In </w:t>
      </w:r>
      <w:r>
        <w:rPr>
          <w:i/>
        </w:rPr>
        <w:t>ICPP 2008 9th International Congress of Plant Pathology, 24–29 August, Torino, Italy</w:t>
      </w:r>
      <w:r>
        <w:t>.</w:t>
      </w:r>
    </w:p>
    <w:p>
      <w:pPr>
        <w:spacing w:before="120" w:after="120" w:line="300" w:lineRule="atLeast"/>
        <w:jc w:val="left"/>
      </w:pPr>
      <w:r>
        <w:t xml:space="preserve">Trdani S, Valič N (2004) Contribution to the knowledge on bionomics of </w:t>
      </w:r>
      <w:r>
        <w:rPr>
          <w:i/>
        </w:rPr>
        <w:t>Byctiscus betulae</w:t>
      </w:r>
      <w:r>
        <w:t xml:space="preserve"> L. (Coleoptera, Curculionidae) on grapevine. </w:t>
      </w:r>
      <w:r>
        <w:rPr>
          <w:i/>
        </w:rPr>
        <w:t>Acta Agriculturae Slovenica</w:t>
      </w:r>
      <w:r>
        <w:t xml:space="preserve"> 83: 37–43.</w:t>
      </w:r>
    </w:p>
    <w:p>
      <w:pPr>
        <w:spacing w:before="120" w:after="120" w:line="300" w:lineRule="atLeast"/>
        <w:jc w:val="left"/>
      </w:pPr>
      <w:r>
        <w:t xml:space="preserve">Trindade LC, Lima MF, Ferreira MASV (2005) Molecular characterization of Brazilian strains of </w:t>
      </w:r>
      <w:r>
        <w:rPr>
          <w:i/>
        </w:rPr>
        <w:t>Xanthomonas campestris</w:t>
      </w:r>
      <w:r>
        <w:t xml:space="preserve"> pv. </w:t>
      </w:r>
      <w:r>
        <w:rPr>
          <w:i/>
        </w:rPr>
        <w:t>viticola</w:t>
      </w:r>
      <w:r>
        <w:t xml:space="preserve"> by rep-PCR fingerprinting. </w:t>
      </w:r>
      <w:r>
        <w:rPr>
          <w:i/>
        </w:rPr>
        <w:t>Fitopatologia</w:t>
      </w:r>
      <w:r>
        <w:t xml:space="preserve"> </w:t>
      </w:r>
      <w:r>
        <w:rPr>
          <w:i/>
        </w:rPr>
        <w:t>Brasileira</w:t>
      </w:r>
      <w:r>
        <w:t xml:space="preserve"> 30: 46–54.</w:t>
      </w:r>
    </w:p>
    <w:p>
      <w:pPr>
        <w:autoSpaceDE w:val="0"/>
        <w:autoSpaceDN w:val="0"/>
        <w:spacing w:before="120" w:after="120" w:line="300" w:lineRule="atLeast"/>
        <w:jc w:val="left"/>
      </w:pPr>
      <w:r>
        <w:t xml:space="preserve">Trouillas FP, Gubler WD (2010) Pathogenicity of Diatrypaceae species in grapevines in </w:t>
      </w:r>
      <w:smartTag w:uri="urn:schemas-microsoft-com:office:smarttags" w:element="State">
        <w:smartTag w:uri="urn:schemas-microsoft-com:office:smarttags" w:element="place">
          <w:r>
            <w:t>California</w:t>
          </w:r>
        </w:smartTag>
      </w:smartTag>
      <w:r>
        <w:t xml:space="preserve">. </w:t>
      </w:r>
      <w:r>
        <w:rPr>
          <w:i/>
        </w:rPr>
        <w:t>Plant Disease</w:t>
      </w:r>
      <w:r>
        <w:t xml:space="preserve"> 94: 867–872.</w:t>
      </w:r>
    </w:p>
    <w:p>
      <w:pPr>
        <w:spacing w:before="120" w:after="120" w:line="300" w:lineRule="atLeast"/>
        <w:jc w:val="left"/>
      </w:pPr>
      <w:r>
        <w:t xml:space="preserve">Trouillas FP, Pitt WM, Sosnowski M, Peduto F, Huang H, Loschiavo A, Savocchia S, Steel C, Scott E, Gubler WD (2010) Diatrypaceae associated with grapevine canker diseases in South Australia and New South Wales. </w:t>
      </w:r>
      <w:r>
        <w:rPr>
          <w:i/>
        </w:rPr>
        <w:t>Phytopathologia Mediterranea</w:t>
      </w:r>
      <w:r>
        <w:t xml:space="preserve"> 49: 107–108.</w:t>
      </w:r>
    </w:p>
    <w:p>
      <w:pPr>
        <w:spacing w:before="120" w:after="120" w:line="300" w:lineRule="atLeast"/>
        <w:jc w:val="left"/>
      </w:pPr>
      <w:r>
        <w:t xml:space="preserve">Trouillas FP, Pitt WM, Sosnowski MR, Huang R, Peduto F, Loschiavo A, Savocchia S, Scott ES (2011) Taxonomy and DNA phylogeny of Diatrypaceae associated with </w:t>
      </w:r>
      <w:r>
        <w:rPr>
          <w:i/>
        </w:rPr>
        <w:t>Vitis vinifera</w:t>
      </w:r>
      <w:r>
        <w:t xml:space="preserve"> and other woody plants in </w:t>
      </w:r>
      <w:smartTag w:uri="urn:schemas-microsoft-com:office:smarttags" w:element="country-region">
        <w:smartTag w:uri="urn:schemas-microsoft-com:office:smarttags" w:element="place">
          <w:r>
            <w:t>Australia</w:t>
          </w:r>
        </w:smartTag>
      </w:smartTag>
      <w:r>
        <w:t xml:space="preserve">. </w:t>
      </w:r>
      <w:r>
        <w:rPr>
          <w:i/>
        </w:rPr>
        <w:t>Fungal Diversity</w:t>
      </w:r>
      <w:r>
        <w:t xml:space="preserve"> 49: 203–223.</w:t>
      </w:r>
    </w:p>
    <w:p>
      <w:pPr>
        <w:spacing w:before="120" w:after="120" w:line="300" w:lineRule="atLeast"/>
        <w:jc w:val="left"/>
      </w:pPr>
      <w:r>
        <w:t xml:space="preserve">Tsui CKM, Hyde KD, Fukushima K (2003) Fungi on submerged wood in the Koito River, Japan. </w:t>
      </w:r>
      <w:r>
        <w:rPr>
          <w:i/>
        </w:rPr>
        <w:t>Mycoscience</w:t>
      </w:r>
      <w:r>
        <w:t xml:space="preserve"> 44: 55–59.</w:t>
      </w:r>
    </w:p>
    <w:p>
      <w:pPr>
        <w:autoSpaceDE w:val="0"/>
        <w:autoSpaceDN w:val="0"/>
        <w:spacing w:before="120" w:after="120" w:line="300" w:lineRule="atLeast"/>
        <w:jc w:val="left"/>
      </w:pPr>
      <w:r>
        <w:t xml:space="preserve">Tzanetakis IE, Postman JD, Gergerich RC and Martin RR (2006) A virus between families: nucleotide sequence and evolution of </w:t>
      </w:r>
      <w:r>
        <w:rPr>
          <w:i/>
        </w:rPr>
        <w:t>Strawberry latent ringspot virus.</w:t>
      </w:r>
      <w:r>
        <w:t xml:space="preserve"> </w:t>
      </w:r>
      <w:r>
        <w:rPr>
          <w:i/>
        </w:rPr>
        <w:t>Virus Research</w:t>
      </w:r>
      <w:r>
        <w:t xml:space="preserve"> 121: 199–204.</w:t>
      </w:r>
    </w:p>
    <w:p>
      <w:pPr>
        <w:spacing w:before="120" w:after="120" w:line="300" w:lineRule="atLeast"/>
        <w:jc w:val="left"/>
      </w:pPr>
      <w:r>
        <w:t xml:space="preserve">Uecker FA, Kuo K-C (1992) A new </w:t>
      </w:r>
      <w:r>
        <w:rPr>
          <w:i/>
        </w:rPr>
        <w:t xml:space="preserve">Phomopsis </w:t>
      </w:r>
      <w:r>
        <w:t xml:space="preserve">with long paraphyses. </w:t>
      </w:r>
      <w:r>
        <w:rPr>
          <w:i/>
        </w:rPr>
        <w:t>Mycotaxon</w:t>
      </w:r>
      <w:r>
        <w:t xml:space="preserve"> 44: 425-433.</w:t>
      </w:r>
    </w:p>
    <w:p>
      <w:pPr>
        <w:spacing w:before="120" w:after="120" w:line="300" w:lineRule="atLeast"/>
        <w:jc w:val="left"/>
      </w:pPr>
      <w:r>
        <w:t xml:space="preserve">Ullrich CI, Kleespies RG, Enders M, Koch E (2009) Biology of the black rot pathogen, </w:t>
      </w:r>
      <w:r>
        <w:rPr>
          <w:i/>
        </w:rPr>
        <w:t>Guignardia bidwellii</w:t>
      </w:r>
      <w:r>
        <w:t xml:space="preserve">, its development in susceptible leaves of grapevine </w:t>
      </w:r>
      <w:r>
        <w:rPr>
          <w:i/>
        </w:rPr>
        <w:t>Vitis vinifera</w:t>
      </w:r>
      <w:r>
        <w:t xml:space="preserve">. </w:t>
      </w:r>
      <w:r>
        <w:rPr>
          <w:i/>
        </w:rPr>
        <w:t>Journal Fur Kulturflanzen</w:t>
      </w:r>
      <w:r>
        <w:t xml:space="preserve"> 61: 82–90.</w:t>
      </w:r>
    </w:p>
    <w:p>
      <w:pPr>
        <w:spacing w:before="120" w:after="120" w:line="300" w:lineRule="atLeast"/>
        <w:jc w:val="left"/>
      </w:pPr>
      <w:r>
        <w:t xml:space="preserve">University of Illinois (2001) Black rot of grape. </w:t>
      </w:r>
      <w:r>
        <w:rPr>
          <w:i/>
        </w:rPr>
        <w:t>Report on Plant Disease</w:t>
      </w:r>
      <w:r>
        <w:t xml:space="preserve"> 703: 1–4.</w:t>
      </w:r>
    </w:p>
    <w:p>
      <w:pPr>
        <w:autoSpaceDE w:val="0"/>
        <w:autoSpaceDN w:val="0"/>
        <w:spacing w:before="120" w:after="120" w:line="300" w:lineRule="atLeast"/>
        <w:jc w:val="left"/>
      </w:pPr>
      <w:r>
        <w:t xml:space="preserve">University of Illinois (2004) Cottony Maple Scale, </w:t>
      </w:r>
      <w:r>
        <w:rPr>
          <w:i/>
        </w:rPr>
        <w:t xml:space="preserve">Pulvinaria innumerabilis </w:t>
      </w:r>
      <w:hyperlink r:id="rId197" w:history="1">
        <w:r>
          <w:rPr>
            <w:rStyle w:val="Hyperlink"/>
            <w:color w:val="auto"/>
          </w:rPr>
          <w:t>http://ipm.illinois.edu/landturf/insects/cottony_maple_scale/index.html</w:t>
        </w:r>
      </w:hyperlink>
      <w:r>
        <w:rPr>
          <w:u w:val="single"/>
        </w:rPr>
        <w:t xml:space="preserve"> </w:t>
      </w:r>
      <w:r>
        <w:t>Accessed August 2011.</w:t>
      </w:r>
    </w:p>
    <w:p>
      <w:pPr>
        <w:autoSpaceDE w:val="0"/>
        <w:autoSpaceDN w:val="0"/>
        <w:spacing w:before="120" w:after="120" w:line="300" w:lineRule="atLeast"/>
        <w:jc w:val="left"/>
      </w:pPr>
      <w:r>
        <w:t xml:space="preserve">Untiveros M, Perez-Egusquiza Z, Clover G (2010) PCR assays for the detection of members of the genus Ilarvirus and family Bromoviridae. </w:t>
      </w:r>
      <w:r>
        <w:rPr>
          <w:i/>
        </w:rPr>
        <w:t xml:space="preserve">Journal of Virological Methods </w:t>
      </w:r>
      <w:r>
        <w:t>165: 97–104.</w:t>
      </w:r>
    </w:p>
    <w:p>
      <w:pPr>
        <w:spacing w:before="120" w:after="120" w:line="300" w:lineRule="atLeast"/>
        <w:jc w:val="left"/>
      </w:pPr>
      <w:r>
        <w:t xml:space="preserve">Úrbez -Torres JR, Peduto F, Striegler RK, Urrea-Romero KE, Rupe JC, </w:t>
      </w:r>
      <w:smartTag w:uri="urn:schemas-microsoft-com:office:smarttags" w:element="Street">
        <w:smartTag w:uri="urn:schemas-microsoft-com:office:smarttags" w:element="address">
          <w:r>
            <w:t>Cartwright RD</w:t>
          </w:r>
        </w:smartTag>
      </w:smartTag>
      <w:r>
        <w:t xml:space="preserve">, Gubler WD (2012) Characterization of fungal pathogens associated with grapevine trunk diseases in </w:t>
      </w:r>
      <w:smartTag w:uri="urn:schemas-microsoft-com:office:smarttags" w:element="State">
        <w:r>
          <w:t>Arkansas</w:t>
        </w:r>
      </w:smartTag>
      <w:r>
        <w:t xml:space="preserve"> and </w:t>
      </w:r>
      <w:smartTag w:uri="urn:schemas-microsoft-com:office:smarttags" w:element="State">
        <w:smartTag w:uri="urn:schemas-microsoft-com:office:smarttags" w:element="place">
          <w:r>
            <w:t>Missouri</w:t>
          </w:r>
        </w:smartTag>
      </w:smartTag>
      <w:r>
        <w:t xml:space="preserve">. </w:t>
      </w:r>
      <w:r>
        <w:rPr>
          <w:i/>
        </w:rPr>
        <w:t>Fungal Diversity</w:t>
      </w:r>
      <w:r>
        <w:t xml:space="preserve"> 52: 169–189.</w:t>
      </w:r>
    </w:p>
    <w:p>
      <w:pPr>
        <w:spacing w:before="120" w:after="120" w:line="300" w:lineRule="atLeast"/>
        <w:jc w:val="left"/>
        <w:rPr>
          <w:bCs/>
        </w:rPr>
      </w:pPr>
      <w:r>
        <w:rPr>
          <w:bCs/>
        </w:rPr>
        <w:t xml:space="preserve">Úrbez-Torres JR (2011) The status of Botryosphaeriaceae species infecting grapevines. </w:t>
      </w:r>
      <w:r>
        <w:rPr>
          <w:i/>
        </w:rPr>
        <w:t>Phytopathologia Mediterranea</w:t>
      </w:r>
      <w:r>
        <w:t xml:space="preserve"> </w:t>
      </w:r>
      <w:r>
        <w:rPr>
          <w:bCs/>
        </w:rPr>
        <w:t>50: (Supplement) S5−S45.</w:t>
      </w:r>
    </w:p>
    <w:p>
      <w:pPr>
        <w:spacing w:before="120" w:after="120" w:line="300" w:lineRule="atLeast"/>
        <w:jc w:val="left"/>
      </w:pPr>
      <w:r>
        <w:t xml:space="preserve">Úrbez-Torres JR, Gubler WD (2009) Pathogenicity of Botryosphaeriaceae species isolated from grapevine cankers in California. </w:t>
      </w:r>
      <w:r>
        <w:rPr>
          <w:i/>
        </w:rPr>
        <w:t>Plant Disease</w:t>
      </w:r>
      <w:r>
        <w:t xml:space="preserve"> 93: 584–592.</w:t>
      </w:r>
    </w:p>
    <w:p>
      <w:pPr>
        <w:spacing w:before="120" w:after="120" w:line="300" w:lineRule="atLeast"/>
        <w:jc w:val="left"/>
      </w:pPr>
      <w:r>
        <w:t xml:space="preserve">Úrbez-Torres JR, Leavitt GM, Voegel TM, Gubler WD (2006) Identification and distribution of </w:t>
      </w:r>
      <w:r>
        <w:rPr>
          <w:i/>
        </w:rPr>
        <w:t>Botryosphaeria</w:t>
      </w:r>
      <w:r>
        <w:t xml:space="preserve"> spp. associated with grapevine cankers in </w:t>
      </w:r>
      <w:smartTag w:uri="urn:schemas-microsoft-com:office:smarttags" w:element="State">
        <w:smartTag w:uri="urn:schemas-microsoft-com:office:smarttags" w:element="place">
          <w:r>
            <w:t>California</w:t>
          </w:r>
        </w:smartTag>
      </w:smartTag>
      <w:r>
        <w:t xml:space="preserve">. </w:t>
      </w:r>
      <w:r>
        <w:rPr>
          <w:i/>
        </w:rPr>
        <w:t>Plant Disease</w:t>
      </w:r>
      <w:r>
        <w:t xml:space="preserve"> 90: 1490–1503.</w:t>
      </w:r>
    </w:p>
    <w:p>
      <w:pPr>
        <w:spacing w:before="120" w:after="120" w:line="300" w:lineRule="atLeast"/>
        <w:jc w:val="left"/>
      </w:pPr>
      <w:r>
        <w:t xml:space="preserve">Úrbez-Torres JR, Peduto F, Gubler WD (2010a) First report of grapevine cankers caused by </w:t>
      </w:r>
      <w:r>
        <w:rPr>
          <w:i/>
        </w:rPr>
        <w:t>Lasiodiplodia crassispora</w:t>
      </w:r>
      <w:r>
        <w:t xml:space="preserve"> and </w:t>
      </w:r>
      <w:r>
        <w:rPr>
          <w:i/>
        </w:rPr>
        <w:t>Neofusicoccum mediterran</w:t>
      </w:r>
      <w:smartTag w:uri="urn:schemas-microsoft-com:office:smarttags" w:element="PersonName">
        <w:r>
          <w:rPr>
            <w:i/>
          </w:rPr>
          <w:t>eu</w:t>
        </w:r>
      </w:smartTag>
      <w:r>
        <w:rPr>
          <w:i/>
        </w:rPr>
        <w:t>m</w:t>
      </w:r>
      <w:r>
        <w:t xml:space="preserve"> in </w:t>
      </w:r>
      <w:smartTag w:uri="urn:schemas-microsoft-com:office:smarttags" w:element="State">
        <w:smartTag w:uri="urn:schemas-microsoft-com:office:smarttags" w:element="place">
          <w:r>
            <w:t>California</w:t>
          </w:r>
        </w:smartTag>
      </w:smartTag>
      <w:r>
        <w:t xml:space="preserve">. </w:t>
      </w:r>
      <w:r>
        <w:rPr>
          <w:i/>
        </w:rPr>
        <w:t>Plant Disease</w:t>
      </w:r>
      <w:r>
        <w:t xml:space="preserve"> 94: 785.</w:t>
      </w:r>
    </w:p>
    <w:p>
      <w:pPr>
        <w:spacing w:before="120" w:after="120" w:line="300" w:lineRule="atLeast"/>
        <w:jc w:val="left"/>
      </w:pPr>
      <w:r>
        <w:t xml:space="preserve">Úrbez-Torres JR, Peduto F, Rooney-Latham S, Gubler WD (2010b) First report of </w:t>
      </w:r>
      <w:r>
        <w:rPr>
          <w:i/>
        </w:rPr>
        <w:t xml:space="preserve">Diplodia corticola </w:t>
      </w:r>
      <w:r>
        <w:t>causing grapevine (</w:t>
      </w:r>
      <w:r>
        <w:rPr>
          <w:i/>
        </w:rPr>
        <w:t>Vitis vinifera</w:t>
      </w:r>
      <w:r>
        <w:t>) cankers and trunk cankers and dieback of canyon live oak (</w:t>
      </w:r>
      <w:r>
        <w:rPr>
          <w:i/>
        </w:rPr>
        <w:t>Quercus chrysolepis</w:t>
      </w:r>
      <w:r>
        <w:t xml:space="preserve">) in </w:t>
      </w:r>
      <w:smartTag w:uri="urn:schemas-microsoft-com:office:smarttags" w:element="State">
        <w:smartTag w:uri="urn:schemas-microsoft-com:office:smarttags" w:element="place">
          <w:r>
            <w:t>California</w:t>
          </w:r>
        </w:smartTag>
      </w:smartTag>
      <w:r>
        <w:t xml:space="preserve">. </w:t>
      </w:r>
      <w:r>
        <w:rPr>
          <w:i/>
        </w:rPr>
        <w:t xml:space="preserve">Plant Disease </w:t>
      </w:r>
      <w:r>
        <w:t>94: 785.</w:t>
      </w:r>
    </w:p>
    <w:p>
      <w:pPr>
        <w:autoSpaceDE w:val="0"/>
        <w:autoSpaceDN w:val="0"/>
        <w:spacing w:before="120" w:after="120" w:line="300" w:lineRule="atLeast"/>
        <w:jc w:val="left"/>
      </w:pPr>
      <w:r>
        <w:t>USDA (1995) Importation of Japanese Unshu orange fruits (</w:t>
      </w:r>
      <w:r>
        <w:rPr>
          <w:i/>
        </w:rPr>
        <w:t>Citrus reticulate</w:t>
      </w:r>
      <w:r>
        <w:t xml:space="preserve"> Blanco var. </w:t>
      </w:r>
      <w:r>
        <w:rPr>
          <w:i/>
        </w:rPr>
        <w:t xml:space="preserve">unshu </w:t>
      </w:r>
      <w:r>
        <w:t xml:space="preserve">Swingle) into citrus producing states. </w:t>
      </w:r>
      <w:smartTag w:uri="urn:schemas-microsoft-com:office:smarttags" w:element="place">
        <w:r>
          <w:t>Pest</w:t>
        </w:r>
      </w:smartTag>
      <w:r>
        <w:t xml:space="preserve"> risk assessment. </w:t>
      </w:r>
      <w:hyperlink r:id="rId198" w:history="1">
        <w:r>
          <w:rPr>
            <w:rStyle w:val="Hyperlink"/>
            <w:color w:val="auto"/>
          </w:rPr>
          <w:t>http://naldc.nal.usda.gov/download/CAT11065905/PDF</w:t>
        </w:r>
      </w:hyperlink>
      <w:r>
        <w:t xml:space="preserve"> Accessed February 2012.</w:t>
      </w:r>
    </w:p>
    <w:p>
      <w:pPr>
        <w:spacing w:before="120" w:after="120" w:line="300" w:lineRule="atLeast"/>
        <w:jc w:val="left"/>
      </w:pPr>
      <w:r>
        <w:t xml:space="preserve">USDA (2005) </w:t>
      </w:r>
      <w:r>
        <w:rPr>
          <w:i/>
        </w:rPr>
        <w:t>Qualitative pathway-initiated risk assessment of the importation of fresh table grape</w:t>
      </w:r>
      <w:r>
        <w:t xml:space="preserve">s </w:t>
      </w:r>
      <w:r>
        <w:rPr>
          <w:i/>
          <w:iCs/>
        </w:rPr>
        <w:t>Vitis vinifera</w:t>
      </w:r>
      <w:r>
        <w:rPr>
          <w:i/>
        </w:rPr>
        <w:t xml:space="preserve"> L.</w:t>
      </w:r>
      <w:r>
        <w:t xml:space="preserve"> </w:t>
      </w:r>
      <w:r>
        <w:rPr>
          <w:i/>
        </w:rPr>
        <w:t>from Namibia into the United States</w:t>
      </w:r>
      <w:r>
        <w:t>. Animal and Plant Health Inspection Service, United States Department of Agriculture, Raleigh.</w:t>
      </w:r>
    </w:p>
    <w:p>
      <w:pPr>
        <w:spacing w:before="120" w:after="120" w:line="300" w:lineRule="atLeast"/>
        <w:jc w:val="left"/>
      </w:pPr>
      <w:r>
        <w:t xml:space="preserve">Uyemoto JK (1975) A severe outbreak of virus-induced grapevine decline in cascade grapes in </w:t>
      </w:r>
      <w:smartTag w:uri="urn:schemas-microsoft-com:office:smarttags" w:element="State">
        <w:smartTag w:uri="urn:schemas-microsoft-com:office:smarttags" w:element="place">
          <w:r>
            <w:t>New York</w:t>
          </w:r>
        </w:smartTag>
      </w:smartTag>
      <w:r>
        <w:t xml:space="preserve">. </w:t>
      </w:r>
      <w:r>
        <w:rPr>
          <w:i/>
        </w:rPr>
        <w:t>Plant Disease Reporter</w:t>
      </w:r>
      <w:r>
        <w:t xml:space="preserve"> 59: 98–101. </w:t>
      </w:r>
    </w:p>
    <w:p>
      <w:pPr>
        <w:tabs>
          <w:tab w:val="left" w:pos="0"/>
        </w:tabs>
        <w:spacing w:before="120" w:after="120" w:line="300" w:lineRule="atLeast"/>
        <w:jc w:val="left"/>
        <w:rPr>
          <w:rStyle w:val="Strong"/>
          <w:b w:val="0"/>
        </w:rPr>
      </w:pPr>
      <w:r>
        <w:rPr>
          <w:rStyle w:val="Strong"/>
          <w:b w:val="0"/>
        </w:rPr>
        <w:t xml:space="preserve">Uyemoto JK, Martelli GP, Rowhani (2009) Grapevine viruses, virus like diseases and other disorders. In </w:t>
      </w:r>
      <w:r>
        <w:rPr>
          <w:rStyle w:val="Strong"/>
          <w:b w:val="0"/>
          <w:i/>
        </w:rPr>
        <w:t>Virus diseases of plants: Grape, potato, and wheat image collection and teaching resource</w:t>
      </w:r>
      <w:r>
        <w:rPr>
          <w:rStyle w:val="Strong"/>
          <w:b w:val="0"/>
        </w:rPr>
        <w:t xml:space="preserve"> CD-Rom. APS Press, </w:t>
      </w:r>
      <w:smartTag w:uri="urn:schemas-microsoft-com:office:smarttags" w:element="place">
        <w:smartTag w:uri="urn:schemas-microsoft-com:office:smarttags" w:element="City">
          <w:r>
            <w:rPr>
              <w:rStyle w:val="Strong"/>
              <w:b w:val="0"/>
            </w:rPr>
            <w:t>St. Paul</w:t>
          </w:r>
        </w:smartTag>
        <w:r>
          <w:rPr>
            <w:rStyle w:val="Strong"/>
            <w:b w:val="0"/>
          </w:rPr>
          <w:t xml:space="preserve">, </w:t>
        </w:r>
        <w:smartTag w:uri="urn:schemas-microsoft-com:office:smarttags" w:element="State">
          <w:r>
            <w:rPr>
              <w:rStyle w:val="Strong"/>
              <w:b w:val="0"/>
            </w:rPr>
            <w:t>MN</w:t>
          </w:r>
        </w:smartTag>
        <w:r>
          <w:rPr>
            <w:rStyle w:val="Strong"/>
            <w:b w:val="0"/>
          </w:rPr>
          <w:t xml:space="preserve"> </w:t>
        </w:r>
        <w:smartTag w:uri="urn:schemas-microsoft-com:office:smarttags" w:element="PostalCode">
          <w:r>
            <w:rPr>
              <w:rStyle w:val="Strong"/>
              <w:b w:val="0"/>
            </w:rPr>
            <w:t>55121</w:t>
          </w:r>
        </w:smartTag>
      </w:smartTag>
      <w:r>
        <w:rPr>
          <w:rStyle w:val="Strong"/>
          <w:b w:val="0"/>
        </w:rPr>
        <w:t>.</w:t>
      </w:r>
    </w:p>
    <w:p>
      <w:pPr>
        <w:spacing w:before="120" w:after="120" w:line="300" w:lineRule="atLeast"/>
        <w:jc w:val="left"/>
      </w:pPr>
      <w:r>
        <w:t xml:space="preserve">Uyemoto JK, Taschenberg EF, Hummer DK (1977) Isolation and identification of a strain of </w:t>
      </w:r>
      <w:r>
        <w:rPr>
          <w:i/>
        </w:rPr>
        <w:t>Grapevine Bulgarian latent virus</w:t>
      </w:r>
      <w:r>
        <w:t xml:space="preserve"> in concord grapevine in New York State. </w:t>
      </w:r>
      <w:r>
        <w:rPr>
          <w:i/>
        </w:rPr>
        <w:t>Plant Disease</w:t>
      </w:r>
      <w:r>
        <w:t xml:space="preserve"> </w:t>
      </w:r>
      <w:r>
        <w:rPr>
          <w:i/>
        </w:rPr>
        <w:t>Reporter</w:t>
      </w:r>
      <w:r>
        <w:t xml:space="preserve"> 61: 949–953.</w:t>
      </w:r>
    </w:p>
    <w:p>
      <w:pPr>
        <w:spacing w:before="120" w:after="120" w:line="300" w:lineRule="atLeast"/>
        <w:jc w:val="left"/>
      </w:pPr>
      <w:r>
        <w:t xml:space="preserve">Vaartaja O (1965) New </w:t>
      </w:r>
      <w:r>
        <w:rPr>
          <w:i/>
        </w:rPr>
        <w:t>Pythium</w:t>
      </w:r>
      <w:r>
        <w:t xml:space="preserve"> Species from South Australia. </w:t>
      </w:r>
      <w:r>
        <w:rPr>
          <w:i/>
        </w:rPr>
        <w:t>Mycologia</w:t>
      </w:r>
      <w:r>
        <w:t xml:space="preserve"> 57: 417–430.</w:t>
      </w:r>
    </w:p>
    <w:p>
      <w:pPr>
        <w:spacing w:before="120" w:after="120" w:line="300" w:lineRule="atLeast"/>
        <w:jc w:val="left"/>
      </w:pPr>
      <w:r>
        <w:t xml:space="preserve">Van Guilder HD, Vrana KE, Freeman WM (2008) Twenty-five years of quantitative PCR for gene expression analysis. </w:t>
      </w:r>
      <w:r>
        <w:rPr>
          <w:i/>
        </w:rPr>
        <w:t xml:space="preserve">Biotechniques </w:t>
      </w:r>
      <w:r>
        <w:t>44: 619–626.</w:t>
      </w:r>
    </w:p>
    <w:p>
      <w:pPr>
        <w:tabs>
          <w:tab w:val="left" w:pos="0"/>
        </w:tabs>
        <w:spacing w:before="120" w:after="120" w:line="300" w:lineRule="atLeast"/>
        <w:jc w:val="left"/>
      </w:pPr>
      <w:r>
        <w:t xml:space="preserve">Van </w:t>
      </w:r>
      <w:hyperlink r:id="rId199" w:history="1">
        <w:r>
          <w:t>Niekerk</w:t>
        </w:r>
      </w:hyperlink>
      <w:r>
        <w:t xml:space="preserve"> JM</w:t>
      </w:r>
      <w:bookmarkStart w:id="140" w:name="aff-1"/>
      <w:bookmarkEnd w:id="140"/>
      <w:r>
        <w:t xml:space="preserve">, </w:t>
      </w:r>
      <w:hyperlink r:id="rId200" w:history="1">
        <w:r>
          <w:t>Crous</w:t>
        </w:r>
      </w:hyperlink>
      <w:r>
        <w:t xml:space="preserve"> PW, </w:t>
      </w:r>
      <w:hyperlink r:id="rId201" w:history="1">
        <w:r>
          <w:t>Groenewald</w:t>
        </w:r>
      </w:hyperlink>
      <w:r>
        <w:t xml:space="preserve"> JZ, </w:t>
      </w:r>
      <w:hyperlink r:id="rId202" w:history="1">
        <w:r>
          <w:t>Fourie</w:t>
        </w:r>
      </w:hyperlink>
      <w:r>
        <w:t xml:space="preserve"> PH, </w:t>
      </w:r>
      <w:hyperlink r:id="rId203" w:history="1">
        <w:r>
          <w:t>Halleen</w:t>
        </w:r>
      </w:hyperlink>
      <w:r>
        <w:t xml:space="preserve"> F (2004) DNA phylogeny, morphology and pathogenicity of </w:t>
      </w:r>
      <w:r>
        <w:rPr>
          <w:i/>
          <w:iCs/>
        </w:rPr>
        <w:t>Botryosphaeria</w:t>
      </w:r>
      <w:r>
        <w:t xml:space="preserve"> species on grapevines. </w:t>
      </w:r>
      <w:r>
        <w:rPr>
          <w:i/>
        </w:rPr>
        <w:t>Mycologia</w:t>
      </w:r>
      <w:r>
        <w:t xml:space="preserve"> 96: 781–798.</w:t>
      </w:r>
    </w:p>
    <w:p>
      <w:pPr>
        <w:spacing w:before="120" w:after="120" w:line="300" w:lineRule="atLeast"/>
        <w:jc w:val="left"/>
      </w:pPr>
      <w:r>
        <w:t xml:space="preserve">Van Niekerk JM, Groenewald JZ, Farr DF, Fourie PH, Halleen F, Crous PW (2005) Reassessment of </w:t>
      </w:r>
      <w:r>
        <w:rPr>
          <w:i/>
        </w:rPr>
        <w:t>Phomopsis</w:t>
      </w:r>
      <w:r>
        <w:t xml:space="preserve"> species on grapevines. </w:t>
      </w:r>
      <w:r>
        <w:rPr>
          <w:i/>
        </w:rPr>
        <w:t>Australasian Plant Pathology</w:t>
      </w:r>
      <w:r>
        <w:t xml:space="preserve"> 34: 27–39.</w:t>
      </w:r>
    </w:p>
    <w:p>
      <w:pPr>
        <w:autoSpaceDE w:val="0"/>
        <w:autoSpaceDN w:val="0"/>
        <w:spacing w:before="120" w:after="120" w:line="300" w:lineRule="atLeast"/>
        <w:jc w:val="left"/>
      </w:pPr>
      <w:r>
        <w:rPr>
          <w:bCs/>
        </w:rPr>
        <w:t xml:space="preserve">Varela CP, Fernández VR, Casal OA, Vázquez JPM (2011) </w:t>
      </w:r>
      <w:r>
        <w:t xml:space="preserve">First report of cankers and dieback caused by </w:t>
      </w:r>
      <w:r>
        <w:rPr>
          <w:i/>
          <w:iCs/>
        </w:rPr>
        <w:t>Neofusicoccum mediterran</w:t>
      </w:r>
      <w:smartTag w:uri="urn:schemas-microsoft-com:office:smarttags" w:element="PersonName">
        <w:r>
          <w:rPr>
            <w:i/>
            <w:iCs/>
          </w:rPr>
          <w:t>eu</w:t>
        </w:r>
      </w:smartTag>
      <w:r>
        <w:rPr>
          <w:i/>
          <w:iCs/>
        </w:rPr>
        <w:t>m</w:t>
      </w:r>
      <w:r>
        <w:t xml:space="preserve"> and </w:t>
      </w:r>
      <w:r>
        <w:rPr>
          <w:i/>
          <w:iCs/>
        </w:rPr>
        <w:t>Diplodia corticola</w:t>
      </w:r>
      <w:r>
        <w:t xml:space="preserve"> on grapevine in Spain. </w:t>
      </w:r>
      <w:r>
        <w:rPr>
          <w:i/>
        </w:rPr>
        <w:t>Plant Disease</w:t>
      </w:r>
      <w:r>
        <w:t xml:space="preserve"> 95: 1,315.2.</w:t>
      </w:r>
    </w:p>
    <w:p>
      <w:pPr>
        <w:autoSpaceDE w:val="0"/>
        <w:autoSpaceDN w:val="0"/>
        <w:spacing w:before="120" w:after="120" w:line="300" w:lineRule="atLeast"/>
        <w:jc w:val="left"/>
        <w:rPr>
          <w:bCs/>
        </w:rPr>
      </w:pPr>
      <w:r>
        <w:rPr>
          <w:bCs/>
        </w:rPr>
        <w:t xml:space="preserve">Varela LG, Smith RJ, Cooper ML, Hoenisch RW (2010) European grapevine moth, </w:t>
      </w:r>
      <w:r>
        <w:rPr>
          <w:bCs/>
          <w:i/>
        </w:rPr>
        <w:t>Lobesia botrana</w:t>
      </w:r>
      <w:r>
        <w:rPr>
          <w:bCs/>
        </w:rPr>
        <w:t xml:space="preserve">, in Practical winery and vineyard. </w:t>
      </w:r>
      <w:smartTag w:uri="urn:schemas-microsoft-com:office:smarttags" w:element="place">
        <w:smartTag w:uri="urn:schemas-microsoft-com:office:smarttags" w:element="PlaceName">
          <w:r>
            <w:rPr>
              <w:bCs/>
              <w:i/>
            </w:rPr>
            <w:t>Napa</w:t>
          </w:r>
        </w:smartTag>
        <w:r>
          <w:rPr>
            <w:bCs/>
            <w:i/>
          </w:rPr>
          <w:t xml:space="preserve"> </w:t>
        </w:r>
        <w:smartTag w:uri="urn:schemas-microsoft-com:office:smarttags" w:element="PlaceType">
          <w:r>
            <w:rPr>
              <w:bCs/>
              <w:i/>
            </w:rPr>
            <w:t>Valley</w:t>
          </w:r>
        </w:smartTag>
      </w:smartTag>
      <w:r>
        <w:rPr>
          <w:bCs/>
          <w:i/>
        </w:rPr>
        <w:t xml:space="preserve"> Vineyards,</w:t>
      </w:r>
      <w:r>
        <w:rPr>
          <w:bCs/>
        </w:rPr>
        <w:t xml:space="preserve"> Mar/April: 1–5.</w:t>
      </w:r>
    </w:p>
    <w:p>
      <w:pPr>
        <w:spacing w:before="120" w:after="120" w:line="300" w:lineRule="atLeast"/>
        <w:jc w:val="left"/>
      </w:pPr>
      <w:r>
        <w:t xml:space="preserve">Varga K, Kolber M, Martini M (2000) Phytoplasma identification in Hungarian grapevines by two nested-PCR systems. </w:t>
      </w:r>
      <w:r>
        <w:rPr>
          <w:i/>
        </w:rPr>
        <w:t xml:space="preserve">Extended Abstracts of the 13th Meeting of ICVG, March 12–18, 2000 Adelaide, Australia </w:t>
      </w:r>
      <w:r>
        <w:t xml:space="preserve">113–115. ICVG, </w:t>
      </w:r>
      <w:smartTag w:uri="urn:schemas-microsoft-com:office:smarttags" w:element="country-region">
        <w:smartTag w:uri="urn:schemas-microsoft-com:office:smarttags" w:element="place">
          <w:r>
            <w:t>Switzerland</w:t>
          </w:r>
        </w:smartTag>
      </w:smartTag>
      <w:r>
        <w:t>.</w:t>
      </w:r>
    </w:p>
    <w:p>
      <w:pPr>
        <w:autoSpaceDE w:val="0"/>
        <w:autoSpaceDN w:val="0"/>
        <w:spacing w:before="120" w:after="120" w:line="300" w:lineRule="atLeast"/>
        <w:jc w:val="left"/>
      </w:pPr>
      <w:r>
        <w:t xml:space="preserve">Vasiliu-Oromulu L, Barbuceanu D, Ion S (2009) The ecological study of thrips populations in a southern Romanian vineyard (Insecta: Thysanoptera). </w:t>
      </w:r>
      <w:r>
        <w:rPr>
          <w:i/>
        </w:rPr>
        <w:t>Acta Entomologica Serbica</w:t>
      </w:r>
      <w:r>
        <w:t xml:space="preserve"> 14: 1–11.</w:t>
      </w:r>
    </w:p>
    <w:p>
      <w:pPr>
        <w:spacing w:before="120" w:after="120" w:line="300" w:lineRule="atLeast"/>
        <w:jc w:val="left"/>
      </w:pPr>
      <w:r>
        <w:t xml:space="preserve">Vasilyeva LN, Stephenson SL (2006) Pyrenomycetes of the Great Smoky Mountains National Park. III. </w:t>
      </w:r>
      <w:r>
        <w:rPr>
          <w:i/>
        </w:rPr>
        <w:t>Cryptosphaeria</w:t>
      </w:r>
      <w:r>
        <w:t xml:space="preserve">, </w:t>
      </w:r>
      <w:r>
        <w:rPr>
          <w:i/>
        </w:rPr>
        <w:t>Eutypa</w:t>
      </w:r>
      <w:r>
        <w:t xml:space="preserve"> and </w:t>
      </w:r>
      <w:r>
        <w:rPr>
          <w:i/>
        </w:rPr>
        <w:t>Eutypella</w:t>
      </w:r>
      <w:r>
        <w:t xml:space="preserve"> (Diatrypaceae). </w:t>
      </w:r>
      <w:r>
        <w:rPr>
          <w:i/>
        </w:rPr>
        <w:t>Fungal Diversity</w:t>
      </w:r>
      <w:r>
        <w:t xml:space="preserve"> 22: 243–254.</w:t>
      </w:r>
    </w:p>
    <w:p>
      <w:pPr>
        <w:autoSpaceDE w:val="0"/>
        <w:autoSpaceDN w:val="0"/>
        <w:spacing w:before="120" w:after="120" w:line="300" w:lineRule="atLeast"/>
        <w:jc w:val="left"/>
        <w:rPr>
          <w:lang w:eastAsia="en-AU"/>
        </w:rPr>
      </w:pPr>
      <w:r>
        <w:rPr>
          <w:lang w:eastAsia="en-AU"/>
        </w:rPr>
        <w:t xml:space="preserve">Voigt E (1974) Damage to vines in Hungary by the caterpillars of the cabbage moth </w:t>
      </w:r>
      <w:r>
        <w:rPr>
          <w:i/>
          <w:lang w:eastAsia="en-AU"/>
        </w:rPr>
        <w:t>Mamestra brassicae</w:t>
      </w:r>
      <w:r>
        <w:rPr>
          <w:lang w:eastAsia="en-AU"/>
        </w:rPr>
        <w:t xml:space="preserve">. </w:t>
      </w:r>
      <w:r>
        <w:rPr>
          <w:i/>
          <w:iCs/>
          <w:lang w:eastAsia="en-AU"/>
        </w:rPr>
        <w:t xml:space="preserve">Weinberg und Keller </w:t>
      </w:r>
      <w:r>
        <w:rPr>
          <w:lang w:eastAsia="en-AU"/>
        </w:rPr>
        <w:t>21: 281–288.</w:t>
      </w:r>
    </w:p>
    <w:p>
      <w:pPr>
        <w:spacing w:before="120" w:after="120" w:line="300" w:lineRule="atLeast"/>
        <w:jc w:val="left"/>
      </w:pPr>
      <w:r>
        <w:t xml:space="preserve">Waite H, Beggs S, Dark H, Kwak P, Murrells G (2005) The effects of different post hot water treatment cool down protocols on dormant cuttings of </w:t>
      </w:r>
      <w:r>
        <w:rPr>
          <w:i/>
        </w:rPr>
        <w:t>Vitis vinifera</w:t>
      </w:r>
      <w:r>
        <w:t xml:space="preserve"> cultivars. </w:t>
      </w:r>
      <w:r>
        <w:rPr>
          <w:i/>
        </w:rPr>
        <w:t>Phytopathologia</w:t>
      </w:r>
      <w:r>
        <w:t xml:space="preserve"> </w:t>
      </w:r>
      <w:r>
        <w:rPr>
          <w:i/>
        </w:rPr>
        <w:t>Mediterranea</w:t>
      </w:r>
      <w:r>
        <w:t xml:space="preserve"> 44: 119 </w:t>
      </w:r>
    </w:p>
    <w:p>
      <w:pPr>
        <w:autoSpaceDE w:val="0"/>
        <w:autoSpaceDN w:val="0"/>
        <w:spacing w:before="120" w:after="120" w:line="300" w:lineRule="atLeast"/>
        <w:jc w:val="left"/>
      </w:pPr>
      <w:r>
        <w:t xml:space="preserve">Walker J (1990) </w:t>
      </w:r>
      <w:r>
        <w:rPr>
          <w:i/>
        </w:rPr>
        <w:t>Verticillium albo-atrum</w:t>
      </w:r>
      <w:r>
        <w:t xml:space="preserve"> in </w:t>
      </w:r>
      <w:smartTag w:uri="urn:schemas-microsoft-com:office:smarttags" w:element="country-region">
        <w:smartTag w:uri="urn:schemas-microsoft-com:office:smarttags" w:element="place">
          <w:r>
            <w:t>Australia</w:t>
          </w:r>
        </w:smartTag>
      </w:smartTag>
      <w:r>
        <w:t xml:space="preserve">: a case study of information confusion in plant pathology. </w:t>
      </w:r>
      <w:r>
        <w:rPr>
          <w:i/>
        </w:rPr>
        <w:t>Australasian Plant Pathology</w:t>
      </w:r>
      <w:r>
        <w:t xml:space="preserve"> 19: 57–67.</w:t>
      </w:r>
    </w:p>
    <w:p>
      <w:pPr>
        <w:autoSpaceDE w:val="0"/>
        <w:autoSpaceDN w:val="0"/>
        <w:spacing w:before="120" w:after="120" w:line="300" w:lineRule="atLeast"/>
        <w:jc w:val="left"/>
      </w:pPr>
      <w:r>
        <w:t xml:space="preserve">Walker K (2006) Brownheaded leafroller </w:t>
      </w:r>
      <w:r>
        <w:rPr>
          <w:rStyle w:val="Emphasis"/>
        </w:rPr>
        <w:t>(Ctenops</w:t>
      </w:r>
      <w:smartTag w:uri="urn:schemas-microsoft-com:office:smarttags" w:element="PersonName">
        <w:r>
          <w:rPr>
            <w:rStyle w:val="Emphasis"/>
          </w:rPr>
          <w:t>eu</w:t>
        </w:r>
      </w:smartTag>
      <w:r>
        <w:rPr>
          <w:rStyle w:val="Emphasis"/>
        </w:rPr>
        <w:t>stis obliquana)</w:t>
      </w:r>
      <w:r>
        <w:t xml:space="preserve"> </w:t>
      </w:r>
      <w:smartTag w:uri="urn:schemas-microsoft-com:office:smarttags" w:element="place">
        <w:r>
          <w:t>Pest</w:t>
        </w:r>
      </w:smartTag>
      <w:r>
        <w:t xml:space="preserve"> and Diseases Image Library. </w:t>
      </w:r>
      <w:r>
        <w:rPr>
          <w:u w:val="single"/>
        </w:rPr>
        <w:t>http://www.padil.gov.au</w:t>
      </w:r>
      <w:r>
        <w:t xml:space="preserve"> Accessed April 2011.</w:t>
      </w:r>
    </w:p>
    <w:p>
      <w:pPr>
        <w:spacing w:before="120" w:after="120" w:line="300" w:lineRule="atLeast"/>
        <w:ind w:right="1059"/>
        <w:jc w:val="left"/>
      </w:pPr>
      <w:r>
        <w:t xml:space="preserve">Waller JM, Bigger M, Hillocks RJ (2007) </w:t>
      </w:r>
      <w:r>
        <w:rPr>
          <w:i/>
        </w:rPr>
        <w:t>Coffee pests, diseases and their management</w:t>
      </w:r>
      <w:r>
        <w:t>. CABI, Wallingford, UK.</w:t>
      </w:r>
    </w:p>
    <w:p>
      <w:pPr>
        <w:spacing w:before="120" w:after="120" w:line="300" w:lineRule="atLeast"/>
        <w:ind w:right="1059"/>
        <w:jc w:val="left"/>
      </w:pPr>
      <w:r>
        <w:t xml:space="preserve">Walter B (1997) Effects of viruses on grape and its products. II. </w:t>
      </w:r>
      <w:r>
        <w:rPr>
          <w:i/>
        </w:rPr>
        <w:t xml:space="preserve">Fanleaf virus </w:t>
      </w:r>
      <w:r>
        <w:t xml:space="preserve">and </w:t>
      </w:r>
      <w:r>
        <w:rPr>
          <w:i/>
        </w:rPr>
        <w:t>nepovirus</w:t>
      </w:r>
      <w:r>
        <w:t xml:space="preserve">. </w:t>
      </w:r>
      <w:r>
        <w:rPr>
          <w:i/>
        </w:rPr>
        <w:t>Progres Agricole et Viticole</w:t>
      </w:r>
      <w:r>
        <w:t xml:space="preserve"> 114: 54–58.</w:t>
      </w:r>
    </w:p>
    <w:p>
      <w:pPr>
        <w:spacing w:before="120" w:after="120" w:line="300" w:lineRule="atLeast"/>
        <w:jc w:val="left"/>
      </w:pPr>
      <w:r>
        <w:t xml:space="preserve">Walter B, Martelli G (1998) Consideration on grapevine selection and certification. </w:t>
      </w:r>
      <w:r>
        <w:rPr>
          <w:i/>
          <w:iCs/>
        </w:rPr>
        <w:t xml:space="preserve">Vitis </w:t>
      </w:r>
      <w:r>
        <w:t>37: 87–90.</w:t>
      </w:r>
    </w:p>
    <w:p>
      <w:pPr>
        <w:spacing w:before="120" w:after="120" w:line="300" w:lineRule="atLeast"/>
        <w:jc w:val="left"/>
      </w:pPr>
      <w:r>
        <w:t xml:space="preserve">Walton VM, Amy J, Dreves AJ, Gent DH, James DG, Martin RR, Chambers, U Skinkis PA (2007) Relationship between rust mites </w:t>
      </w:r>
      <w:r>
        <w:rPr>
          <w:i/>
        </w:rPr>
        <w:t>Calepitrimerus vitis</w:t>
      </w:r>
      <w:r>
        <w:t xml:space="preserve"> (Nalepa), bud mites </w:t>
      </w:r>
      <w:r>
        <w:rPr>
          <w:i/>
        </w:rPr>
        <w:t>Colomerus vitis</w:t>
      </w:r>
      <w:r>
        <w:t xml:space="preserve"> (Pagenstecher) [Acari: Eriophyidae] and short shoot syndrome in Oregon vineyards. </w:t>
      </w:r>
      <w:r>
        <w:rPr>
          <w:i/>
        </w:rPr>
        <w:t>International Journal of Acarology</w:t>
      </w:r>
      <w:r>
        <w:t xml:space="preserve"> 33: 307–318.</w:t>
      </w:r>
    </w:p>
    <w:p>
      <w:pPr>
        <w:autoSpaceDE w:val="0"/>
        <w:autoSpaceDN w:val="0"/>
        <w:spacing w:before="120" w:after="120" w:line="300" w:lineRule="atLeast"/>
        <w:jc w:val="left"/>
        <w:rPr>
          <w:bCs/>
          <w:lang w:eastAsia="en-AU"/>
        </w:rPr>
      </w:pPr>
      <w:r>
        <w:rPr>
          <w:bCs/>
          <w:lang w:eastAsia="en-AU"/>
        </w:rPr>
        <w:t xml:space="preserve">Walton VM, Pringle KL (2004) Vine mealybug, </w:t>
      </w:r>
      <w:r>
        <w:rPr>
          <w:bCs/>
          <w:i/>
          <w:lang w:eastAsia="en-AU"/>
        </w:rPr>
        <w:t>Planococcus ficus</w:t>
      </w:r>
      <w:r>
        <w:rPr>
          <w:bCs/>
          <w:lang w:eastAsia="en-AU"/>
        </w:rPr>
        <w:t xml:space="preserve"> (Signoret) (Hemiptera: Pseudococcidae), a key pest in South African vineyards – A review. </w:t>
      </w:r>
      <w:r>
        <w:rPr>
          <w:bCs/>
          <w:i/>
          <w:lang w:eastAsia="en-AU"/>
        </w:rPr>
        <w:t xml:space="preserve">South African Journal of Enology Viticulture </w:t>
      </w:r>
      <w:r>
        <w:rPr>
          <w:bCs/>
          <w:lang w:eastAsia="en-AU"/>
        </w:rPr>
        <w:t>25: 54–62.</w:t>
      </w:r>
    </w:p>
    <w:p>
      <w:pPr>
        <w:autoSpaceDE w:val="0"/>
        <w:autoSpaceDN w:val="0"/>
        <w:spacing w:before="120" w:after="120" w:line="300" w:lineRule="atLeast"/>
        <w:jc w:val="left"/>
        <w:rPr>
          <w:lang w:eastAsia="en-AU"/>
        </w:rPr>
      </w:pPr>
      <w:r>
        <w:rPr>
          <w:lang w:eastAsia="en-AU"/>
        </w:rPr>
        <w:t xml:space="preserve">Warren LO, Tadic M (1970) </w:t>
      </w:r>
      <w:r>
        <w:rPr>
          <w:iCs/>
          <w:lang w:eastAsia="en-AU"/>
        </w:rPr>
        <w:t xml:space="preserve">The Fall webworm, </w:t>
      </w:r>
      <w:r>
        <w:rPr>
          <w:i/>
          <w:iCs/>
          <w:lang w:eastAsia="en-AU"/>
        </w:rPr>
        <w:t>Hyphantria cunea</w:t>
      </w:r>
      <w:r>
        <w:rPr>
          <w:iCs/>
          <w:lang w:eastAsia="en-AU"/>
        </w:rPr>
        <w:t xml:space="preserve"> (Drury).</w:t>
      </w:r>
      <w:r>
        <w:rPr>
          <w:i/>
          <w:iCs/>
          <w:lang w:eastAsia="en-AU"/>
        </w:rPr>
        <w:t xml:space="preserve"> </w:t>
      </w:r>
      <w:r>
        <w:rPr>
          <w:lang w:eastAsia="en-AU"/>
        </w:rPr>
        <w:t>Agricultural experiment station, Division of Agriculture; University of Arkansas, Fayetteville, USA.</w:t>
      </w:r>
    </w:p>
    <w:p>
      <w:pPr>
        <w:autoSpaceDE w:val="0"/>
        <w:autoSpaceDN w:val="0"/>
        <w:spacing w:before="120" w:after="120" w:line="300" w:lineRule="atLeast"/>
        <w:jc w:val="left"/>
      </w:pPr>
      <w:r>
        <w:t xml:space="preserve">Waterhouse DF (1993) </w:t>
      </w:r>
      <w:r>
        <w:rPr>
          <w:i/>
        </w:rPr>
        <w:t>The Major Arthropod Pests and Weeds of Agriculture in Southeast Asia</w:t>
      </w:r>
      <w:r>
        <w:t>. ACIAR Monograph No. 21. Australian Centre for International Agricultural Research, Canberra, Australia.</w:t>
      </w:r>
    </w:p>
    <w:p>
      <w:pPr>
        <w:autoSpaceDE w:val="0"/>
        <w:autoSpaceDN w:val="0"/>
        <w:spacing w:before="120" w:after="120" w:line="300" w:lineRule="atLeast"/>
        <w:jc w:val="left"/>
      </w:pPr>
      <w:r>
        <w:t xml:space="preserve">Waterhouse DF, Sands DPA (2001) </w:t>
      </w:r>
      <w:r>
        <w:rPr>
          <w:i/>
        </w:rPr>
        <w:t xml:space="preserve">Classical biological control of arthropods in Australia. </w:t>
      </w:r>
      <w:r>
        <w:t>Australian Centre for International Agricultural Research, Canberra, Australia.</w:t>
      </w:r>
    </w:p>
    <w:p>
      <w:pPr>
        <w:autoSpaceDE w:val="0"/>
        <w:autoSpaceDN w:val="0"/>
        <w:spacing w:before="120" w:after="120" w:line="300" w:lineRule="atLeast"/>
        <w:jc w:val="left"/>
      </w:pPr>
      <w:r>
        <w:t xml:space="preserve">Watson GW (2005) </w:t>
      </w:r>
      <w:r>
        <w:rPr>
          <w:bCs/>
        </w:rPr>
        <w:t>Arthropods of economic importance – Diaspididae of the world</w:t>
      </w:r>
      <w:r>
        <w:t xml:space="preserve">. In Ulenberg SA (ed) </w:t>
      </w:r>
      <w:r>
        <w:rPr>
          <w:i/>
        </w:rPr>
        <w:t xml:space="preserve">Arthropods of economic importance. </w:t>
      </w:r>
      <w:r>
        <w:t xml:space="preserve">Natural History Museum, London. </w:t>
      </w:r>
      <w:r>
        <w:rPr>
          <w:u w:val="single"/>
        </w:rPr>
        <w:t>http://nlbif.eti.uva.nl/bis/diaspididae.php</w:t>
      </w:r>
      <w:r>
        <w:t xml:space="preserve"> Accessed March 2010.</w:t>
      </w:r>
    </w:p>
    <w:p>
      <w:pPr>
        <w:pStyle w:val="References"/>
        <w:spacing w:before="120" w:line="300" w:lineRule="atLeast"/>
        <w:ind w:left="540" w:hanging="539"/>
        <w:jc w:val="left"/>
        <w:rPr>
          <w:rFonts w:ascii="Times New Roman" w:hAnsi="Times New Roman"/>
          <w:sz w:val="24"/>
          <w:szCs w:val="24"/>
        </w:rPr>
      </w:pPr>
      <w:r>
        <w:rPr>
          <w:rFonts w:ascii="Times New Roman" w:hAnsi="Times New Roman"/>
          <w:sz w:val="24"/>
          <w:szCs w:val="24"/>
        </w:rPr>
        <w:t>Weaver RJ (1976)</w:t>
      </w:r>
      <w:r>
        <w:rPr>
          <w:rFonts w:ascii="Times New Roman" w:hAnsi="Times New Roman"/>
          <w:i/>
          <w:sz w:val="24"/>
          <w:szCs w:val="24"/>
        </w:rPr>
        <w:t xml:space="preserve"> Grape growing.</w:t>
      </w:r>
      <w:r>
        <w:rPr>
          <w:rFonts w:ascii="Times New Roman" w:hAnsi="Times New Roman"/>
          <w:sz w:val="24"/>
          <w:szCs w:val="24"/>
        </w:rPr>
        <w:t xml:space="preserve"> John Wiley and Sons, </w:t>
      </w:r>
      <w:smartTag w:uri="urn:schemas-microsoft-com:office:smarttags" w:element="country-region">
        <w:smartTag w:uri="urn:schemas-microsoft-com:office:smarttags" w:element="place">
          <w:r>
            <w:rPr>
              <w:rFonts w:ascii="Times New Roman" w:hAnsi="Times New Roman"/>
              <w:sz w:val="24"/>
              <w:szCs w:val="24"/>
            </w:rPr>
            <w:t>USA</w:t>
          </w:r>
        </w:smartTag>
      </w:smartTag>
      <w:r>
        <w:rPr>
          <w:rFonts w:ascii="Times New Roman" w:hAnsi="Times New Roman"/>
          <w:sz w:val="24"/>
          <w:szCs w:val="24"/>
        </w:rPr>
        <w:t>.</w:t>
      </w:r>
    </w:p>
    <w:p>
      <w:pPr>
        <w:autoSpaceDE w:val="0"/>
        <w:autoSpaceDN w:val="0"/>
        <w:spacing w:before="120" w:after="120" w:line="300" w:lineRule="atLeast"/>
        <w:jc w:val="left"/>
      </w:pPr>
      <w:r>
        <w:t xml:space="preserve">Webb SE (2003) Insect management in grapes. ENY-802, one of a series of the Department of Entomology and Nematology, Florida Cooperative Extension Service, Institute of Food and Agricultural Sciences, University of Florida. </w:t>
      </w:r>
      <w:hyperlink r:id="rId204" w:history="1">
        <w:r>
          <w:rPr>
            <w:rStyle w:val="Hyperlink"/>
            <w:color w:val="auto"/>
          </w:rPr>
          <w:t>http://edis.ifas.ufl.edu</w:t>
        </w:r>
      </w:hyperlink>
      <w:r>
        <w:rPr>
          <w:u w:val="single"/>
        </w:rPr>
        <w:t>.</w:t>
      </w:r>
      <w:r>
        <w:t xml:space="preserve"> Accessed March 2012.</w:t>
      </w:r>
    </w:p>
    <w:p>
      <w:pPr>
        <w:spacing w:before="120" w:after="120" w:line="300" w:lineRule="atLeast"/>
        <w:jc w:val="left"/>
        <w:rPr>
          <w:snapToGrid w:val="0"/>
        </w:rPr>
      </w:pPr>
      <w:r>
        <w:rPr>
          <w:snapToGrid w:val="0"/>
        </w:rPr>
        <w:t xml:space="preserve">Weber E, Golino D, Rowhani A (2002) Laboratory testing for grapevine diseases. </w:t>
      </w:r>
      <w:r>
        <w:rPr>
          <w:i/>
          <w:snapToGrid w:val="0"/>
        </w:rPr>
        <w:t>Practical Winery and Vineyard Journal</w:t>
      </w:r>
      <w:r>
        <w:rPr>
          <w:snapToGrid w:val="0"/>
        </w:rPr>
        <w:t xml:space="preserve">. </w:t>
      </w:r>
      <w:r>
        <w:rPr>
          <w:snapToGrid w:val="0"/>
          <w:u w:val="single"/>
        </w:rPr>
        <w:t>http://www.practicalwinery.com/janfeb02p13.htm</w:t>
      </w:r>
      <w:r>
        <w:rPr>
          <w:snapToGrid w:val="0"/>
        </w:rPr>
        <w:t xml:space="preserve"> Accessed September 2011.</w:t>
      </w:r>
    </w:p>
    <w:p>
      <w:pPr>
        <w:spacing w:before="120" w:after="120" w:line="300" w:lineRule="atLeast"/>
        <w:jc w:val="left"/>
      </w:pPr>
      <w:r>
        <w:t xml:space="preserve">Weber E, Golino DA, Rowhani A (1993) Leafroll disease of grapevine. </w:t>
      </w:r>
      <w:r>
        <w:rPr>
          <w:i/>
        </w:rPr>
        <w:t>Practical Winery and Vineyard</w:t>
      </w:r>
      <w:r>
        <w:t xml:space="preserve"> 13: 21–25.</w:t>
      </w:r>
    </w:p>
    <w:p>
      <w:pPr>
        <w:spacing w:before="120" w:after="120" w:line="300" w:lineRule="atLeast"/>
        <w:jc w:val="left"/>
      </w:pPr>
      <w:r>
        <w:t xml:space="preserve">Wei T, Clover G (2008) Use of primers with 5′ non-complementary sequences in RT-PCR for the detection of nepovirus subgroups A and B. </w:t>
      </w:r>
      <w:r>
        <w:rPr>
          <w:i/>
        </w:rPr>
        <w:t>Journal of Virological Methods</w:t>
      </w:r>
      <w:r>
        <w:t xml:space="preserve"> 153: 16–21.</w:t>
      </w:r>
    </w:p>
    <w:p>
      <w:pPr>
        <w:spacing w:before="120" w:after="120" w:line="300" w:lineRule="atLeast"/>
        <w:jc w:val="left"/>
      </w:pPr>
      <w:r>
        <w:t xml:space="preserve">Weinert MP, Shivas RG, Pitkethley RN, Daly AM (2003) First record of grapevine leaf rust in the </w:t>
      </w:r>
      <w:smartTag w:uri="urn:schemas-microsoft-com:office:smarttags" w:element="State">
        <w:r>
          <w:t>Northern Territory</w:t>
        </w:r>
      </w:smartTag>
      <w:r>
        <w:t xml:space="preserve">, </w:t>
      </w:r>
      <w:smartTag w:uri="urn:schemas-microsoft-com:office:smarttags" w:element="country-region">
        <w:smartTag w:uri="urn:schemas-microsoft-com:office:smarttags" w:element="place">
          <w:r>
            <w:t>Australia</w:t>
          </w:r>
        </w:smartTag>
      </w:smartTag>
      <w:r>
        <w:t xml:space="preserve">. </w:t>
      </w:r>
      <w:r>
        <w:rPr>
          <w:i/>
          <w:iCs/>
        </w:rPr>
        <w:t>Australasian Plant Pathology</w:t>
      </w:r>
      <w:r>
        <w:t xml:space="preserve"> </w:t>
      </w:r>
      <w:r>
        <w:rPr>
          <w:bCs/>
        </w:rPr>
        <w:t>32</w:t>
      </w:r>
      <w:r>
        <w:t>: 117–118.</w:t>
      </w:r>
    </w:p>
    <w:p>
      <w:pPr>
        <w:spacing w:before="120" w:after="120" w:line="300" w:lineRule="atLeast"/>
        <w:ind w:right="1059"/>
        <w:jc w:val="left"/>
        <w:rPr>
          <w:rStyle w:val="gsa1"/>
          <w:color w:val="auto"/>
        </w:rPr>
      </w:pPr>
      <w:r>
        <w:rPr>
          <w:rStyle w:val="gsa1"/>
          <w:color w:val="auto"/>
        </w:rPr>
        <w:t xml:space="preserve">Weintraub PG, Jones P (2010) </w:t>
      </w:r>
      <w:r>
        <w:rPr>
          <w:rStyle w:val="gsa1"/>
          <w:i/>
          <w:color w:val="auto"/>
        </w:rPr>
        <w:t xml:space="preserve">Phytoplasmas: genomes, plant hosts and vectors. </w:t>
      </w:r>
      <w:r>
        <w:rPr>
          <w:rStyle w:val="gsa1"/>
          <w:color w:val="auto"/>
        </w:rPr>
        <w:t>CAB International,</w:t>
      </w:r>
      <w:r>
        <w:t xml:space="preserve"> Wallingford, UK</w:t>
      </w:r>
    </w:p>
    <w:p>
      <w:pPr>
        <w:spacing w:before="120" w:after="120" w:line="300" w:lineRule="atLeast"/>
        <w:jc w:val="left"/>
        <w:rPr>
          <w:lang w:eastAsia="en-AU"/>
        </w:rPr>
      </w:pPr>
      <w:r>
        <w:rPr>
          <w:lang w:eastAsia="en-AU"/>
        </w:rPr>
        <w:t xml:space="preserve">Weiss MJ, McDonald G (1998) European earwig, </w:t>
      </w:r>
      <w:r>
        <w:rPr>
          <w:i/>
          <w:lang w:eastAsia="en-AU"/>
        </w:rPr>
        <w:t>Forficula auricularia</w:t>
      </w:r>
      <w:r>
        <w:rPr>
          <w:lang w:eastAsia="en-AU"/>
        </w:rPr>
        <w:t xml:space="preserve"> L. (Dermaptera: Forficulidae), as a predator of the Redlegged earth mite, </w:t>
      </w:r>
      <w:r>
        <w:rPr>
          <w:i/>
          <w:lang w:eastAsia="en-AU"/>
        </w:rPr>
        <w:t>Halotyd</w:t>
      </w:r>
      <w:smartTag w:uri="urn:schemas-microsoft-com:office:smarttags" w:element="PersonName">
        <w:r>
          <w:rPr>
            <w:i/>
            <w:lang w:eastAsia="en-AU"/>
          </w:rPr>
          <w:t>eu</w:t>
        </w:r>
      </w:smartTag>
      <w:r>
        <w:rPr>
          <w:i/>
          <w:lang w:eastAsia="en-AU"/>
        </w:rPr>
        <w:t>s destructor</w:t>
      </w:r>
      <w:r>
        <w:rPr>
          <w:lang w:eastAsia="en-AU"/>
        </w:rPr>
        <w:t xml:space="preserve"> (Tucker) (Acarina: Penthaleidae). </w:t>
      </w:r>
      <w:r>
        <w:rPr>
          <w:i/>
          <w:lang w:eastAsia="en-AU"/>
        </w:rPr>
        <w:t>Australian Journal of Entomology</w:t>
      </w:r>
      <w:r>
        <w:rPr>
          <w:lang w:eastAsia="en-AU"/>
        </w:rPr>
        <w:t xml:space="preserve"> 37: 183–185.</w:t>
      </w:r>
    </w:p>
    <w:p>
      <w:pPr>
        <w:pStyle w:val="AQISText"/>
        <w:spacing w:before="120" w:after="120" w:line="300" w:lineRule="atLeast"/>
        <w:jc w:val="left"/>
        <w:rPr>
          <w:sz w:val="24"/>
          <w:szCs w:val="24"/>
          <w:lang w:eastAsia="en-AU"/>
        </w:rPr>
      </w:pPr>
      <w:r>
        <w:rPr>
          <w:sz w:val="24"/>
          <w:szCs w:val="24"/>
          <w:lang w:eastAsia="en-AU"/>
        </w:rPr>
        <w:t xml:space="preserve">Werner R, Mühlbach HP, Büttner C (1997) Detection of </w:t>
      </w:r>
      <w:r>
        <w:rPr>
          <w:i/>
          <w:iCs/>
          <w:sz w:val="24"/>
          <w:szCs w:val="24"/>
          <w:lang w:eastAsia="en-AU"/>
        </w:rPr>
        <w:t xml:space="preserve">Cherry leafroll nepovirus </w:t>
      </w:r>
      <w:r>
        <w:rPr>
          <w:sz w:val="24"/>
          <w:szCs w:val="24"/>
          <w:lang w:eastAsia="en-AU"/>
        </w:rPr>
        <w:t xml:space="preserve">(CLRV) in birch, beech and petunia by immuno-capture RT-PCR using a conserved primer pair. </w:t>
      </w:r>
      <w:r>
        <w:rPr>
          <w:i/>
          <w:iCs/>
          <w:sz w:val="24"/>
          <w:szCs w:val="24"/>
          <w:lang w:eastAsia="en-AU"/>
        </w:rPr>
        <w:t xml:space="preserve">European Journal of </w:t>
      </w:r>
      <w:smartTag w:uri="urn:schemas-microsoft-com:office:smarttags" w:element="place">
        <w:r>
          <w:rPr>
            <w:i/>
            <w:iCs/>
            <w:sz w:val="24"/>
            <w:szCs w:val="24"/>
            <w:lang w:eastAsia="en-AU"/>
          </w:rPr>
          <w:t>Forest</w:t>
        </w:r>
      </w:smartTag>
      <w:r>
        <w:rPr>
          <w:i/>
          <w:iCs/>
          <w:sz w:val="24"/>
          <w:szCs w:val="24"/>
          <w:lang w:eastAsia="en-AU"/>
        </w:rPr>
        <w:t xml:space="preserve"> Pathology </w:t>
      </w:r>
      <w:r>
        <w:rPr>
          <w:sz w:val="24"/>
          <w:szCs w:val="24"/>
          <w:lang w:eastAsia="en-AU"/>
        </w:rPr>
        <w:t>27: 309–318</w:t>
      </w:r>
    </w:p>
    <w:p>
      <w:pPr>
        <w:spacing w:before="120" w:after="120" w:line="300" w:lineRule="atLeast"/>
        <w:jc w:val="left"/>
      </w:pPr>
      <w:r>
        <w:t>Wetzel T, Ebel R, Moury B, Le Gall O, Endisch S, R</w:t>
      </w:r>
      <w:smartTag w:uri="urn:schemas-microsoft-com:office:smarttags" w:element="PersonName">
        <w:r>
          <w:t>eu</w:t>
        </w:r>
      </w:smartTag>
      <w:r>
        <w:t xml:space="preserve">stle GM, Krczal G (2006). Sequence analysis of grapevine isolates of </w:t>
      </w:r>
      <w:r>
        <w:rPr>
          <w:i/>
        </w:rPr>
        <w:t>Raspberry ringspot nepovirus.</w:t>
      </w:r>
      <w:r>
        <w:t xml:space="preserve"> </w:t>
      </w:r>
      <w:r>
        <w:rPr>
          <w:i/>
        </w:rPr>
        <w:t>Archives of Virology</w:t>
      </w:r>
      <w:r>
        <w:t xml:space="preserve"> 151: 599–606.</w:t>
      </w:r>
    </w:p>
    <w:p>
      <w:pPr>
        <w:pStyle w:val="AQISText"/>
        <w:spacing w:before="120" w:after="120" w:line="300" w:lineRule="atLeast"/>
        <w:jc w:val="left"/>
        <w:rPr>
          <w:sz w:val="24"/>
          <w:szCs w:val="24"/>
          <w:lang w:eastAsia="en-AU"/>
        </w:rPr>
      </w:pPr>
      <w:r>
        <w:rPr>
          <w:sz w:val="24"/>
          <w:szCs w:val="24"/>
          <w:lang w:eastAsia="en-AU"/>
        </w:rPr>
        <w:t>Wetzel T, Jardak R, M</w:t>
      </w:r>
      <w:smartTag w:uri="urn:schemas-microsoft-com:office:smarttags" w:element="PersonName">
        <w:r>
          <w:rPr>
            <w:sz w:val="24"/>
            <w:szCs w:val="24"/>
            <w:lang w:eastAsia="en-AU"/>
          </w:rPr>
          <w:t>eu</w:t>
        </w:r>
      </w:smartTag>
      <w:r>
        <w:rPr>
          <w:sz w:val="24"/>
          <w:szCs w:val="24"/>
          <w:lang w:eastAsia="en-AU"/>
        </w:rPr>
        <w:t>nier L, Ghorbel A, R</w:t>
      </w:r>
      <w:smartTag w:uri="urn:schemas-microsoft-com:office:smarttags" w:element="PersonName">
        <w:r>
          <w:rPr>
            <w:sz w:val="24"/>
            <w:szCs w:val="24"/>
            <w:lang w:eastAsia="en-AU"/>
          </w:rPr>
          <w:t>eu</w:t>
        </w:r>
      </w:smartTag>
      <w:r>
        <w:rPr>
          <w:sz w:val="24"/>
          <w:szCs w:val="24"/>
          <w:lang w:eastAsia="en-AU"/>
        </w:rPr>
        <w:t xml:space="preserve">stle GM, Krczal G (2002) Simultaneous RT/PCR detection and differentiation of </w:t>
      </w:r>
      <w:r>
        <w:rPr>
          <w:i/>
          <w:sz w:val="24"/>
          <w:szCs w:val="24"/>
          <w:lang w:eastAsia="en-AU"/>
        </w:rPr>
        <w:t xml:space="preserve">Arabis mosaic </w:t>
      </w:r>
      <w:r>
        <w:rPr>
          <w:sz w:val="24"/>
          <w:szCs w:val="24"/>
          <w:lang w:eastAsia="en-AU"/>
        </w:rPr>
        <w:t xml:space="preserve">and </w:t>
      </w:r>
      <w:r>
        <w:rPr>
          <w:i/>
          <w:sz w:val="24"/>
          <w:szCs w:val="24"/>
          <w:lang w:eastAsia="en-AU"/>
        </w:rPr>
        <w:t>Grapevine fanleaf nepoviruses</w:t>
      </w:r>
      <w:r>
        <w:rPr>
          <w:sz w:val="24"/>
          <w:szCs w:val="24"/>
          <w:lang w:eastAsia="en-AU"/>
        </w:rPr>
        <w:t xml:space="preserve"> in grapevines with a single pair of primers. </w:t>
      </w:r>
      <w:r>
        <w:rPr>
          <w:i/>
          <w:iCs/>
          <w:sz w:val="24"/>
          <w:szCs w:val="24"/>
          <w:lang w:eastAsia="en-AU"/>
        </w:rPr>
        <w:t xml:space="preserve">Journal of Virological Methods </w:t>
      </w:r>
      <w:r>
        <w:rPr>
          <w:sz w:val="24"/>
          <w:szCs w:val="24"/>
          <w:lang w:eastAsia="en-AU"/>
        </w:rPr>
        <w:t>101: 63–69.</w:t>
      </w:r>
    </w:p>
    <w:p>
      <w:pPr>
        <w:spacing w:before="120" w:after="120" w:line="300" w:lineRule="atLeast"/>
        <w:jc w:val="left"/>
      </w:pPr>
      <w:r>
        <w:t xml:space="preserve">Wetzel T, Kraczal G (2007) Molecular biology of </w:t>
      </w:r>
      <w:r>
        <w:rPr>
          <w:i/>
        </w:rPr>
        <w:t xml:space="preserve">Raspberry ringspot nepovirus. Plant Viruses </w:t>
      </w:r>
      <w:r>
        <w:t>1: 45–51.</w:t>
      </w:r>
    </w:p>
    <w:p>
      <w:pPr>
        <w:spacing w:before="120" w:after="120" w:line="300" w:lineRule="atLeast"/>
        <w:jc w:val="left"/>
      </w:pPr>
      <w:r>
        <w:t xml:space="preserve">Whalley AJS, Watling R (1980) </w:t>
      </w:r>
      <w:r>
        <w:rPr>
          <w:i/>
        </w:rPr>
        <w:t xml:space="preserve">Daldinia concentrical </w:t>
      </w:r>
      <w:r>
        <w:t xml:space="preserve">versus </w:t>
      </w:r>
      <w:r>
        <w:rPr>
          <w:i/>
        </w:rPr>
        <w:t>Daldinia vernicosa</w:t>
      </w:r>
      <w:r>
        <w:t xml:space="preserve">. </w:t>
      </w:r>
      <w:r>
        <w:rPr>
          <w:i/>
        </w:rPr>
        <w:t xml:space="preserve">Transactions of the British Mycological Society </w:t>
      </w:r>
      <w:r>
        <w:t>74: 399–406.</w:t>
      </w:r>
    </w:p>
    <w:p>
      <w:pPr>
        <w:autoSpaceDE w:val="0"/>
        <w:autoSpaceDN w:val="0"/>
        <w:spacing w:before="120" w:after="120" w:line="300" w:lineRule="atLeast"/>
        <w:jc w:val="left"/>
      </w:pPr>
      <w:r>
        <w:t xml:space="preserve">Wheeler AG, Stimmel JF (1988) Heteroptera overwintering in magnolia leaf litter in </w:t>
      </w:r>
      <w:smartTag w:uri="urn:schemas-microsoft-com:office:smarttags" w:element="State">
        <w:smartTag w:uri="urn:schemas-microsoft-com:office:smarttags" w:element="place">
          <w:r>
            <w:t>Pennsylvania</w:t>
          </w:r>
        </w:smartTag>
      </w:smartTag>
      <w:r>
        <w:t xml:space="preserve">. </w:t>
      </w:r>
      <w:r>
        <w:rPr>
          <w:i/>
        </w:rPr>
        <w:t xml:space="preserve">Entomological News </w:t>
      </w:r>
      <w:r>
        <w:t>99: 65–71.</w:t>
      </w:r>
    </w:p>
    <w:p>
      <w:pPr>
        <w:spacing w:before="120" w:after="120" w:line="300" w:lineRule="atLeast"/>
        <w:jc w:val="left"/>
      </w:pPr>
      <w:r>
        <w:t xml:space="preserve">White CL (2010) </w:t>
      </w:r>
      <w:r>
        <w:rPr>
          <w:i/>
        </w:rPr>
        <w:t>The characterization of the basidiomycetes and other fungi associated with esca of grapevines in South Africa.</w:t>
      </w:r>
      <w:r>
        <w:t xml:space="preserve"> MSc Thesis, Stellenbosch University.</w:t>
      </w:r>
    </w:p>
    <w:p>
      <w:pPr>
        <w:autoSpaceDE w:val="0"/>
        <w:autoSpaceDN w:val="0"/>
        <w:spacing w:before="120" w:after="120" w:line="300" w:lineRule="atLeast"/>
        <w:jc w:val="left"/>
      </w:pPr>
      <w:r>
        <w:rPr>
          <w:bCs/>
        </w:rPr>
        <w:t>White IM, Elson-</w:t>
      </w:r>
      <w:r>
        <w:t>Harris</w:t>
      </w:r>
      <w:r>
        <w:rPr>
          <w:bCs/>
        </w:rPr>
        <w:t xml:space="preserve"> MM (1992)</w:t>
      </w:r>
      <w:r>
        <w:t xml:space="preserve"> </w:t>
      </w:r>
      <w:r>
        <w:rPr>
          <w:i/>
        </w:rPr>
        <w:t xml:space="preserve">Fruit flies of economic significance: their identification and </w:t>
      </w:r>
      <w:r>
        <w:rPr>
          <w:bCs/>
          <w:i/>
        </w:rPr>
        <w:t>bionomics</w:t>
      </w:r>
      <w:r>
        <w:t xml:space="preserve">. CAB International, </w:t>
      </w:r>
      <w:smartTag w:uri="urn:schemas-microsoft-com:office:smarttags" w:element="City">
        <w:r>
          <w:t>Wallingford</w:t>
        </w:r>
      </w:smartTag>
      <w:r>
        <w:t xml:space="preserve">, </w:t>
      </w:r>
      <w:smartTag w:uri="urn:schemas-microsoft-com:office:smarttags" w:element="City">
        <w:r>
          <w:t>Oxon</w:t>
        </w:r>
      </w:smartTag>
      <w:r>
        <w:t xml:space="preserve">, </w:t>
      </w:r>
      <w:smartTag w:uri="urn:schemas-microsoft-com:office:smarttags" w:element="country-region">
        <w:r>
          <w:t>UK</w:t>
        </w:r>
      </w:smartTag>
      <w:r>
        <w:t xml:space="preserve"> and the </w:t>
      </w:r>
      <w:smartTag w:uri="urn:schemas-microsoft-com:office:smarttags" w:element="PlaceName">
        <w:r>
          <w:t>Australian</w:t>
        </w:r>
      </w:smartTag>
      <w:r>
        <w:t xml:space="preserve"> </w:t>
      </w:r>
      <w:smartTag w:uri="urn:schemas-microsoft-com:office:smarttags" w:element="PlaceType">
        <w:r>
          <w:t>Center</w:t>
        </w:r>
      </w:smartTag>
      <w:r>
        <w:t xml:space="preserve"> for Agricultural Research, </w:t>
      </w:r>
      <w:smartTag w:uri="urn:schemas-microsoft-com:office:smarttags" w:element="place">
        <w:smartTag w:uri="urn:schemas-microsoft-com:office:smarttags" w:element="City">
          <w:r>
            <w:t>Canberra</w:t>
          </w:r>
        </w:smartTag>
        <w:r>
          <w:t xml:space="preserve">, </w:t>
        </w:r>
        <w:smartTag w:uri="urn:schemas-microsoft-com:office:smarttags" w:element="country-region">
          <w:r>
            <w:t>Australia</w:t>
          </w:r>
        </w:smartTag>
      </w:smartTag>
      <w:r>
        <w:t>.</w:t>
      </w:r>
    </w:p>
    <w:p>
      <w:pPr>
        <w:spacing w:before="120" w:after="120" w:line="300" w:lineRule="atLeast"/>
        <w:jc w:val="left"/>
        <w:rPr>
          <w:bCs/>
        </w:rPr>
      </w:pPr>
      <w:r>
        <w:rPr>
          <w:bCs/>
        </w:rPr>
        <w:t xml:space="preserve">Whitelaw-Weckert MA (2008) Interactions between </w:t>
      </w:r>
      <w:r>
        <w:rPr>
          <w:bCs/>
          <w:i/>
        </w:rPr>
        <w:t>Cylindrocarpon macrodidymum</w:t>
      </w:r>
      <w:r>
        <w:rPr>
          <w:bCs/>
        </w:rPr>
        <w:t xml:space="preserve">, </w:t>
      </w:r>
      <w:r>
        <w:rPr>
          <w:bCs/>
          <w:i/>
        </w:rPr>
        <w:t xml:space="preserve">Streptomyces </w:t>
      </w:r>
      <w:r>
        <w:rPr>
          <w:bCs/>
        </w:rPr>
        <w:t xml:space="preserve">spp. MW555 and </w:t>
      </w:r>
      <w:r>
        <w:rPr>
          <w:bCs/>
          <w:i/>
        </w:rPr>
        <w:t>Vitis vinifera</w:t>
      </w:r>
      <w:r>
        <w:rPr>
          <w:bCs/>
        </w:rPr>
        <w:t>. International Conference on Biotic Plant Interactions, Brisbane 27–29th March. University of Queensland, Brisbane.</w:t>
      </w:r>
    </w:p>
    <w:p>
      <w:pPr>
        <w:spacing w:before="120" w:after="120" w:line="300" w:lineRule="atLeast"/>
        <w:jc w:val="left"/>
        <w:rPr>
          <w:bCs/>
        </w:rPr>
      </w:pPr>
      <w:r>
        <w:rPr>
          <w:bCs/>
        </w:rPr>
        <w:t xml:space="preserve">Whitelaw-Weckert MA, Curtin S, Huang R, Steel CC, Blanchard CL and Roffey P (2007a) Phylogenetic relationships and pathogenicity of grape isolates of </w:t>
      </w:r>
      <w:r>
        <w:rPr>
          <w:bCs/>
          <w:i/>
        </w:rPr>
        <w:t>Colletotrichum acutatum</w:t>
      </w:r>
      <w:r>
        <w:rPr>
          <w:bCs/>
        </w:rPr>
        <w:t xml:space="preserve"> in sub-tropical Australia. </w:t>
      </w:r>
      <w:r>
        <w:rPr>
          <w:bCs/>
          <w:i/>
        </w:rPr>
        <w:t>Plant Pathology</w:t>
      </w:r>
      <w:r>
        <w:rPr>
          <w:bCs/>
        </w:rPr>
        <w:t xml:space="preserve"> 56: 448–463.</w:t>
      </w:r>
    </w:p>
    <w:p>
      <w:pPr>
        <w:spacing w:before="120" w:after="120" w:line="300" w:lineRule="atLeast"/>
        <w:jc w:val="left"/>
        <w:rPr>
          <w:bCs/>
        </w:rPr>
      </w:pPr>
      <w:r>
        <w:rPr>
          <w:bCs/>
        </w:rPr>
        <w:t xml:space="preserve">Whitelaw-Weckert MA, Nair NG, Lamont R, Alonso M, Priest MJ, Huang R (2007b) Root infection of </w:t>
      </w:r>
      <w:r>
        <w:rPr>
          <w:bCs/>
          <w:i/>
        </w:rPr>
        <w:t>Vitis vinifera</w:t>
      </w:r>
      <w:r>
        <w:rPr>
          <w:bCs/>
        </w:rPr>
        <w:t xml:space="preserve"> by </w:t>
      </w:r>
      <w:r>
        <w:rPr>
          <w:bCs/>
          <w:i/>
        </w:rPr>
        <w:t>Cylindrocarpon liriodendri</w:t>
      </w:r>
      <w:r>
        <w:rPr>
          <w:bCs/>
        </w:rPr>
        <w:t xml:space="preserve"> in Australia. </w:t>
      </w:r>
      <w:r>
        <w:rPr>
          <w:bCs/>
          <w:i/>
        </w:rPr>
        <w:t>Australasian Plant Pathology</w:t>
      </w:r>
      <w:r>
        <w:rPr>
          <w:bCs/>
        </w:rPr>
        <w:t xml:space="preserve"> 36: 403–406.</w:t>
      </w:r>
    </w:p>
    <w:p>
      <w:pPr>
        <w:autoSpaceDE w:val="0"/>
        <w:autoSpaceDN w:val="0"/>
        <w:spacing w:before="120" w:after="120" w:line="300" w:lineRule="atLeast"/>
        <w:jc w:val="left"/>
      </w:pPr>
      <w:r>
        <w:rPr>
          <w:bCs/>
        </w:rPr>
        <w:t>Whitelaw-Weckert MA</w:t>
      </w:r>
      <w:r>
        <w:t xml:space="preserve">, Whitelaw ES, Rogiers SY, Quirk L, Clark AC, Huang CX (2011) Bacterial inflorescence rot of grapevine caused by </w:t>
      </w:r>
      <w:r>
        <w:rPr>
          <w:i/>
          <w:iCs/>
        </w:rPr>
        <w:t>Ps</w:t>
      </w:r>
      <w:smartTag w:uri="urn:schemas-microsoft-com:office:smarttags" w:element="PersonName">
        <w:r>
          <w:rPr>
            <w:i/>
            <w:iCs/>
          </w:rPr>
          <w:t>eu</w:t>
        </w:r>
      </w:smartTag>
      <w:r>
        <w:rPr>
          <w:i/>
          <w:iCs/>
        </w:rPr>
        <w:t>domonas syringae</w:t>
      </w:r>
      <w:r>
        <w:t xml:space="preserve"> pv. </w:t>
      </w:r>
      <w:r>
        <w:rPr>
          <w:i/>
        </w:rPr>
        <w:t>syringae.</w:t>
      </w:r>
      <w:r>
        <w:t xml:space="preserve"> </w:t>
      </w:r>
      <w:r>
        <w:rPr>
          <w:i/>
          <w:iCs/>
        </w:rPr>
        <w:t>Plant Pathology</w:t>
      </w:r>
      <w:r>
        <w:t xml:space="preserve"> 60: 325–357.</w:t>
      </w:r>
    </w:p>
    <w:p>
      <w:pPr>
        <w:spacing w:before="120" w:after="120" w:line="300" w:lineRule="atLeast"/>
        <w:jc w:val="left"/>
        <w:rPr>
          <w:bCs/>
        </w:rPr>
      </w:pPr>
      <w:r>
        <w:rPr>
          <w:bCs/>
        </w:rPr>
        <w:t xml:space="preserve">Wicks T, Hall B (1990) Evaluation of phosphonic (phosphorous) acid to control </w:t>
      </w:r>
      <w:r>
        <w:rPr>
          <w:bCs/>
          <w:i/>
        </w:rPr>
        <w:t>Phytophthora cambivora</w:t>
      </w:r>
      <w:r>
        <w:rPr>
          <w:bCs/>
        </w:rPr>
        <w:t xml:space="preserve"> on almond and cherry in South Australia. </w:t>
      </w:r>
      <w:r>
        <w:rPr>
          <w:bCs/>
          <w:i/>
        </w:rPr>
        <w:t>Australasian Plant Pathology</w:t>
      </w:r>
      <w:r>
        <w:rPr>
          <w:bCs/>
        </w:rPr>
        <w:t xml:space="preserve"> 19: 132–133.</w:t>
      </w:r>
    </w:p>
    <w:p>
      <w:pPr>
        <w:spacing w:before="120" w:after="120" w:line="300" w:lineRule="atLeast"/>
        <w:jc w:val="left"/>
      </w:pPr>
      <w:r>
        <w:t>Wilcox WF (2003) Grapes: Black rot (</w:t>
      </w:r>
      <w:r>
        <w:rPr>
          <w:i/>
        </w:rPr>
        <w:t>Guignardia bidwellii</w:t>
      </w:r>
      <w:r>
        <w:t xml:space="preserve"> (Ellis) Viala and Ravaz). </w:t>
      </w:r>
      <w:hyperlink r:id="rId205" w:history="1">
        <w:r>
          <w:rPr>
            <w:rStyle w:val="Hyperlink"/>
            <w:color w:val="auto"/>
          </w:rPr>
          <w:t>http://www.nysipm.cornell.edu/factsheets/grapes/diseses/grape_br.pdf</w:t>
        </w:r>
      </w:hyperlink>
      <w:r>
        <w:t xml:space="preserve"> Accessed December 2011.</w:t>
      </w:r>
    </w:p>
    <w:p>
      <w:pPr>
        <w:autoSpaceDE w:val="0"/>
        <w:autoSpaceDN w:val="0"/>
        <w:spacing w:before="120" w:after="120" w:line="300" w:lineRule="atLeast"/>
        <w:jc w:val="left"/>
      </w:pPr>
      <w:r>
        <w:t xml:space="preserve">Willems A, Gillis M, Kersters K, Broecke L van den, Ley Jde (1987) The taxonomic position of </w:t>
      </w:r>
      <w:r>
        <w:rPr>
          <w:i/>
        </w:rPr>
        <w:t>Xanthomonas ampelina</w:t>
      </w:r>
      <w:r>
        <w:t xml:space="preserve">. </w:t>
      </w:r>
      <w:r>
        <w:rPr>
          <w:i/>
        </w:rPr>
        <w:t>Bulletin OEPP</w:t>
      </w:r>
      <w:r>
        <w:t xml:space="preserve"> 17: 237–240.</w:t>
      </w:r>
    </w:p>
    <w:p>
      <w:pPr>
        <w:autoSpaceDE w:val="0"/>
        <w:autoSpaceDN w:val="0"/>
        <w:spacing w:before="120" w:after="120" w:line="300" w:lineRule="atLeast"/>
        <w:jc w:val="left"/>
      </w:pPr>
      <w:r>
        <w:t xml:space="preserve">Williams DJ (1982) The distribution of the mealybug genus </w:t>
      </w:r>
      <w:r>
        <w:rPr>
          <w:i/>
        </w:rPr>
        <w:t>Planococcus</w:t>
      </w:r>
      <w:r>
        <w:t xml:space="preserve"> (Hemiptera: Ps</w:t>
      </w:r>
      <w:smartTag w:uri="urn:schemas-microsoft-com:office:smarttags" w:element="PersonName">
        <w:r>
          <w:t>eu</w:t>
        </w:r>
      </w:smartTag>
      <w:r>
        <w:t xml:space="preserve">dococcidae) in Melanesia, Polynesia and </w:t>
      </w:r>
      <w:smartTag w:uri="urn:schemas-microsoft-com:office:smarttags" w:element="country-region">
        <w:smartTag w:uri="urn:schemas-microsoft-com:office:smarttags" w:element="place">
          <w:r>
            <w:t>Kiribati</w:t>
          </w:r>
        </w:smartTag>
      </w:smartTag>
      <w:r>
        <w:t xml:space="preserve">. </w:t>
      </w:r>
      <w:r>
        <w:rPr>
          <w:i/>
        </w:rPr>
        <w:t>Bulletin of Entomological Research</w:t>
      </w:r>
      <w:r>
        <w:t xml:space="preserve"> 72: 441–455.</w:t>
      </w:r>
    </w:p>
    <w:p>
      <w:pPr>
        <w:autoSpaceDE w:val="0"/>
        <w:autoSpaceDN w:val="0"/>
        <w:spacing w:before="120" w:after="120" w:line="300" w:lineRule="atLeast"/>
        <w:jc w:val="left"/>
      </w:pPr>
      <w:r>
        <w:t xml:space="preserve">Williams RN, Fickle DS, Welty C, Ellis M (2011) Insects and mites of grapes in Ohio and Midwest. Department of Entomology, Ohio State University. </w:t>
      </w:r>
      <w:hyperlink r:id="rId206" w:history="1">
        <w:r>
          <w:rPr>
            <w:rStyle w:val="Hyperlink"/>
            <w:color w:val="auto"/>
          </w:rPr>
          <w:t>http://www.oardc.ohio-state.edu/grapeipm/index.htm</w:t>
        </w:r>
      </w:hyperlink>
      <w:r>
        <w:t xml:space="preserve"> Accessed February 2011.</w:t>
      </w:r>
    </w:p>
    <w:p>
      <w:pPr>
        <w:spacing w:before="120" w:after="120" w:line="300" w:lineRule="atLeast"/>
        <w:jc w:val="left"/>
      </w:pPr>
      <w:r>
        <w:t xml:space="preserve">Winkler AJ, Cook JA, Kliewer WM, Lider AL (1974) </w:t>
      </w:r>
      <w:r>
        <w:rPr>
          <w:i/>
        </w:rPr>
        <w:t>General Viticulture</w:t>
      </w:r>
      <w:r>
        <w:t xml:space="preserve">. Berkely and Los Angeles, California. University of California Press Ltd, London, England. </w:t>
      </w:r>
    </w:p>
    <w:p>
      <w:pPr>
        <w:spacing w:before="120" w:after="120" w:line="300" w:lineRule="atLeast"/>
        <w:jc w:val="left"/>
      </w:pPr>
      <w:r>
        <w:t xml:space="preserve">Wong DH, Barbetti MJ, Sivasithamparam (1985) Fungi associated with root rot of subterranean clover in </w:t>
      </w:r>
      <w:smartTag w:uri="urn:schemas-microsoft-com:office:smarttags" w:element="State">
        <w:smartTag w:uri="urn:schemas-microsoft-com:office:smarttags" w:element="place">
          <w:r>
            <w:t>Western Australia</w:t>
          </w:r>
        </w:smartTag>
      </w:smartTag>
      <w:r>
        <w:t xml:space="preserve">. </w:t>
      </w:r>
      <w:r>
        <w:rPr>
          <w:i/>
        </w:rPr>
        <w:t>Australian Journal of Experimental Agriculture</w:t>
      </w:r>
      <w:r>
        <w:t xml:space="preserve"> 25: 574–579.</w:t>
      </w:r>
    </w:p>
    <w:p>
      <w:pPr>
        <w:autoSpaceDE w:val="0"/>
        <w:autoSpaceDN w:val="0"/>
        <w:spacing w:before="120" w:after="120" w:line="300" w:lineRule="atLeast"/>
        <w:jc w:val="left"/>
      </w:pPr>
      <w:r>
        <w:t xml:space="preserve">Woodham RC, Krake LR (1984) Grapevine vein necrosis disease detected in rootstocks in </w:t>
      </w:r>
      <w:smartTag w:uri="urn:schemas-microsoft-com:office:smarttags" w:element="country-region">
        <w:smartTag w:uri="urn:schemas-microsoft-com:office:smarttags" w:element="place">
          <w:r>
            <w:t>Australia</w:t>
          </w:r>
        </w:smartTag>
      </w:smartTag>
      <w:r>
        <w:t xml:space="preserve">. </w:t>
      </w:r>
      <w:r>
        <w:rPr>
          <w:i/>
        </w:rPr>
        <w:t>Journal of the Australian Institute of Agricultural Science</w:t>
      </w:r>
      <w:r>
        <w:t xml:space="preserve"> 50: 58–60.</w:t>
      </w:r>
    </w:p>
    <w:p>
      <w:pPr>
        <w:spacing w:before="120" w:after="120" w:line="300" w:lineRule="atLeast"/>
        <w:jc w:val="left"/>
      </w:pPr>
      <w:r>
        <w:t xml:space="preserve">Woodham RC, Krake LR, Cellier, KM (1983) The effect of Grapevine leafroll plus Yellow speckle disease on annual growth, yield and quality of grapes from Cabernet Franc under two pruning systems. </w:t>
      </w:r>
      <w:r>
        <w:rPr>
          <w:i/>
          <w:iCs/>
        </w:rPr>
        <w:t xml:space="preserve">Vitis </w:t>
      </w:r>
      <w:r>
        <w:t>22: 324–330.</w:t>
      </w:r>
    </w:p>
    <w:p>
      <w:pPr>
        <w:autoSpaceDE w:val="0"/>
        <w:autoSpaceDN w:val="0"/>
        <w:spacing w:before="120" w:after="120" w:line="300" w:lineRule="atLeast"/>
        <w:jc w:val="left"/>
      </w:pPr>
      <w:r>
        <w:t xml:space="preserve">Wright LC, James DG, Reyna V, Del Conte SC, Gingras S, Landolt P, Brooks T (2010) Species composition of cutworm (Lepidoptera: Noctuidae) larvae in south central Washington vineyards. </w:t>
      </w:r>
      <w:r>
        <w:rPr>
          <w:i/>
        </w:rPr>
        <w:t xml:space="preserve">Annals of the Entomological Society of </w:t>
      </w:r>
      <w:smartTag w:uri="urn:schemas-microsoft-com:office:smarttags" w:element="country-region">
        <w:smartTag w:uri="urn:schemas-microsoft-com:office:smarttags" w:element="place">
          <w:r>
            <w:rPr>
              <w:i/>
            </w:rPr>
            <w:t>America</w:t>
          </w:r>
        </w:smartTag>
      </w:smartTag>
      <w:r>
        <w:t xml:space="preserve"> 103: 592–596.</w:t>
      </w:r>
    </w:p>
    <w:p>
      <w:pPr>
        <w:spacing w:after="120" w:line="300" w:lineRule="atLeast"/>
        <w:jc w:val="left"/>
      </w:pPr>
      <w:r>
        <w:t xml:space="preserve">WTO (World Trade Organisation) (1995) Agreement on the application of sanitary and phytosanitary measures. World Trade Organisation, </w:t>
      </w:r>
      <w:smartTag w:uri="urn:schemas-microsoft-com:office:smarttags" w:element="City">
        <w:smartTag w:uri="urn:schemas-microsoft-com:office:smarttags" w:element="place">
          <w:r>
            <w:t>Geneva</w:t>
          </w:r>
        </w:smartTag>
      </w:smartTag>
      <w:r>
        <w:t xml:space="preserve">. </w:t>
      </w:r>
      <w:hyperlink r:id="rId207" w:history="1">
        <w:r>
          <w:rPr>
            <w:rStyle w:val="Hyperlink"/>
            <w:color w:val="auto"/>
          </w:rPr>
          <w:t>http://www.wto.org/english/tratop_e/sps_e/spsagr_e.htm</w:t>
        </w:r>
      </w:hyperlink>
      <w:r>
        <w:t xml:space="preserve"> Accessed July 2012.</w:t>
      </w:r>
    </w:p>
    <w:p>
      <w:pPr>
        <w:autoSpaceDE w:val="0"/>
        <w:autoSpaceDN w:val="0"/>
        <w:spacing w:before="120" w:after="120" w:line="300" w:lineRule="atLeast"/>
        <w:jc w:val="left"/>
      </w:pPr>
      <w:r>
        <w:t xml:space="preserve">Wunderlich N, Steel CC, Ash G, Raman H, Savocchia S (2008) Identification of </w:t>
      </w:r>
      <w:r>
        <w:rPr>
          <w:i/>
        </w:rPr>
        <w:t>Botryosphaeria</w:t>
      </w:r>
      <w:r>
        <w:t xml:space="preserve"> spp. and first report of </w:t>
      </w:r>
      <w:r>
        <w:rPr>
          <w:i/>
        </w:rPr>
        <w:t>Dothiorella viticola</w:t>
      </w:r>
      <w:r>
        <w:t xml:space="preserve"> (</w:t>
      </w:r>
      <w:r>
        <w:rPr>
          <w:i/>
        </w:rPr>
        <w:t>Botryosphaeria viticola</w:t>
      </w:r>
      <w:r>
        <w:t xml:space="preserve">) associated with bunch rot in Australia. In </w:t>
      </w:r>
      <w:r>
        <w:rPr>
          <w:i/>
        </w:rPr>
        <w:t>Proceedings of the 6th International Workshop on Grapevine Trunk Diseases, Florence, Italy, 1–3 September</w:t>
      </w:r>
      <w:r>
        <w:t xml:space="preserve">. </w:t>
      </w:r>
      <w:smartTag w:uri="urn:schemas-microsoft-com:office:smarttags" w:element="PlaceName">
        <w:r>
          <w:t>Firenze</w:t>
        </w:r>
      </w:smartTag>
      <w:r>
        <w:t xml:space="preserve"> </w:t>
      </w:r>
      <w:smartTag w:uri="urn:schemas-microsoft-com:office:smarttags" w:element="PlaceType">
        <w:r>
          <w:t>University</w:t>
        </w:r>
      </w:smartTag>
      <w:r>
        <w:t xml:space="preserve"> </w:t>
      </w:r>
      <w:smartTag w:uri="urn:schemas-microsoft-com:office:smarttags" w:element="place">
        <w:smartTag w:uri="urn:schemas-microsoft-com:office:smarttags" w:element="City">
          <w:r>
            <w:t>Press</w:t>
          </w:r>
        </w:smartTag>
        <w:r>
          <w:t xml:space="preserve">, </w:t>
        </w:r>
        <w:smartTag w:uri="urn:schemas-microsoft-com:office:smarttags" w:element="country-region">
          <w:r>
            <w:t>Italy</w:t>
          </w:r>
        </w:smartTag>
      </w:smartTag>
      <w:r>
        <w:t>.</w:t>
      </w:r>
    </w:p>
    <w:p>
      <w:pPr>
        <w:autoSpaceDE w:val="0"/>
        <w:autoSpaceDN w:val="0"/>
        <w:spacing w:before="120" w:after="120" w:line="300" w:lineRule="atLeast"/>
        <w:jc w:val="left"/>
      </w:pPr>
      <w:r>
        <w:t xml:space="preserve">Yang X, Zhou J, Wang F, Cui M (1995) A study on the feeding habits of the larvae of two species of longicorn (Anoplophora) to different tree species.  </w:t>
      </w:r>
      <w:r>
        <w:rPr>
          <w:i/>
        </w:rPr>
        <w:t xml:space="preserve">Journal of Northwestern Forestry College </w:t>
      </w:r>
      <w:r>
        <w:t>10: 1–6 (in Chinese) (Abstract only).</w:t>
      </w:r>
    </w:p>
    <w:p>
      <w:pPr>
        <w:spacing w:before="120" w:after="120" w:line="300" w:lineRule="atLeast"/>
        <w:ind w:right="1059"/>
        <w:jc w:val="left"/>
      </w:pPr>
      <w:r>
        <w:t xml:space="preserve">Yoshikawa N, Iida H, Goto S, Magome H, Takahashi T, Terai Y (1997) </w:t>
      </w:r>
      <w:r>
        <w:rPr>
          <w:i/>
        </w:rPr>
        <w:t>Grapevine berry inner necrosis</w:t>
      </w:r>
      <w:r>
        <w:t xml:space="preserve">, a new trichovirus: comparative studies with several known trichoviruses. </w:t>
      </w:r>
      <w:r>
        <w:rPr>
          <w:i/>
        </w:rPr>
        <w:t>Archives of Virology</w:t>
      </w:r>
      <w:r>
        <w:t xml:space="preserve"> 142: 1351–1363.</w:t>
      </w:r>
    </w:p>
    <w:p>
      <w:pPr>
        <w:pStyle w:val="NormalWeb"/>
        <w:spacing w:before="120" w:beforeAutospacing="0" w:after="120" w:afterAutospacing="0" w:line="300" w:lineRule="atLeast"/>
        <w:jc w:val="left"/>
        <w:rPr>
          <w:rFonts w:ascii="Times New Roman" w:hAnsi="Times New Roman" w:cs="Times New Roman"/>
        </w:rPr>
      </w:pPr>
      <w:r>
        <w:rPr>
          <w:rFonts w:ascii="Times New Roman" w:hAnsi="Times New Roman" w:cs="Times New Roman"/>
        </w:rPr>
        <w:t xml:space="preserve">Yuan ZQ (1996) </w:t>
      </w:r>
      <w:r>
        <w:rPr>
          <w:rFonts w:ascii="Times New Roman" w:hAnsi="Times New Roman" w:cs="Times New Roman"/>
          <w:bCs/>
        </w:rPr>
        <w:t xml:space="preserve">Fungi and associated tree diseases in </w:t>
      </w:r>
      <w:smartTag w:uri="urn:schemas-microsoft-com:office:smarttags" w:element="place">
        <w:smartTag w:uri="urn:schemas-microsoft-com:office:smarttags" w:element="City">
          <w:r>
            <w:rPr>
              <w:rFonts w:ascii="Times New Roman" w:hAnsi="Times New Roman" w:cs="Times New Roman"/>
              <w:bCs/>
            </w:rPr>
            <w:t>Melville Island</w:t>
          </w:r>
        </w:smartTag>
        <w:r>
          <w:rPr>
            <w:rFonts w:ascii="Times New Roman" w:hAnsi="Times New Roman" w:cs="Times New Roman"/>
            <w:bCs/>
          </w:rPr>
          <w:t xml:space="preserve">, </w:t>
        </w:r>
        <w:smartTag w:uri="urn:schemas-microsoft-com:office:smarttags" w:element="State">
          <w:r>
            <w:rPr>
              <w:rFonts w:ascii="Times New Roman" w:hAnsi="Times New Roman" w:cs="Times New Roman"/>
              <w:bCs/>
            </w:rPr>
            <w:t>Northern Territory</w:t>
          </w:r>
        </w:smartTag>
        <w:r>
          <w:rPr>
            <w:rFonts w:ascii="Times New Roman" w:hAnsi="Times New Roman" w:cs="Times New Roman"/>
            <w:bCs/>
          </w:rPr>
          <w:t xml:space="preserve">, </w:t>
        </w:r>
        <w:smartTag w:uri="urn:schemas-microsoft-com:office:smarttags" w:element="country-region">
          <w:r>
            <w:rPr>
              <w:rFonts w:ascii="Times New Roman" w:hAnsi="Times New Roman" w:cs="Times New Roman"/>
              <w:bCs/>
            </w:rPr>
            <w:t>Australia</w:t>
          </w:r>
        </w:smartTag>
      </w:smartTag>
      <w:r>
        <w:rPr>
          <w:rFonts w:ascii="Times New Roman" w:hAnsi="Times New Roman" w:cs="Times New Roman"/>
        </w:rPr>
        <w:t xml:space="preserve">. </w:t>
      </w:r>
      <w:r>
        <w:rPr>
          <w:rFonts w:ascii="Times New Roman" w:hAnsi="Times New Roman" w:cs="Times New Roman"/>
          <w:i/>
        </w:rPr>
        <w:t>Australian Systematic Botany</w:t>
      </w:r>
      <w:r>
        <w:rPr>
          <w:rFonts w:ascii="Times New Roman" w:hAnsi="Times New Roman" w:cs="Times New Roman"/>
        </w:rPr>
        <w:t xml:space="preserve"> 9: 337–360.</w:t>
      </w:r>
    </w:p>
    <w:p>
      <w:pPr>
        <w:spacing w:before="120" w:after="120" w:line="300" w:lineRule="atLeast"/>
        <w:jc w:val="left"/>
      </w:pPr>
      <w:r>
        <w:t xml:space="preserve">Zalom FG, Bolda MP, Phillips PA (2008) Insects and mites (Leaf rollers). In </w:t>
      </w:r>
      <w:r>
        <w:rPr>
          <w:i/>
        </w:rPr>
        <w:t>UC IPM: Pest management guidelines: Strawberry</w:t>
      </w:r>
      <w:r>
        <w:t>. University of California.</w:t>
      </w:r>
      <w:r>
        <w:rPr>
          <w:i/>
        </w:rPr>
        <w:t xml:space="preserve"> </w:t>
      </w:r>
      <w:hyperlink r:id="rId208" w:history="1">
        <w:r>
          <w:rPr>
            <w:u w:val="single"/>
          </w:rPr>
          <w:t>http://www.ipm.ucdavis.edu/PMG/r734500311.html</w:t>
        </w:r>
      </w:hyperlink>
      <w:r>
        <w:t xml:space="preserve"> Accessed March 2012.</w:t>
      </w:r>
    </w:p>
    <w:p>
      <w:pPr>
        <w:spacing w:before="120" w:after="120" w:line="300" w:lineRule="atLeast"/>
        <w:jc w:val="left"/>
      </w:pPr>
      <w:r>
        <w:t xml:space="preserve">Zhang L, French R and Langenberg WG (1993) Molecular cloning and sequencing of the coat protein gene of a Nebraskan isolate of Tobacco necrosis virus: the deduced coat protein sequence has only moderate homology with those of strain A and strain D. </w:t>
      </w:r>
      <w:r>
        <w:rPr>
          <w:i/>
        </w:rPr>
        <w:t>Archives of Virology</w:t>
      </w:r>
      <w:r>
        <w:t xml:space="preserve"> 132: 291–305.</w:t>
      </w:r>
    </w:p>
    <w:p>
      <w:pPr>
        <w:autoSpaceDE w:val="0"/>
        <w:autoSpaceDN w:val="0"/>
        <w:spacing w:before="120" w:after="120" w:line="300" w:lineRule="atLeast"/>
        <w:jc w:val="left"/>
      </w:pPr>
      <w:r>
        <w:t>Zhang YP (2005)</w:t>
      </w:r>
      <w:r>
        <w:rPr>
          <w:i/>
        </w:rPr>
        <w:t xml:space="preserve"> Identification and Control of Pests and Diseases of Table Grape</w:t>
      </w:r>
      <w:r>
        <w:t xml:space="preserve">. Jindun Press, Beijing, China. </w:t>
      </w:r>
    </w:p>
    <w:p>
      <w:pPr>
        <w:autoSpaceDE w:val="0"/>
        <w:autoSpaceDN w:val="0"/>
        <w:spacing w:before="120" w:after="120" w:line="300" w:lineRule="atLeast"/>
        <w:jc w:val="left"/>
        <w:rPr>
          <w:lang w:eastAsia="en-AU"/>
        </w:rPr>
      </w:pPr>
      <w:r>
        <w:rPr>
          <w:lang w:eastAsia="en-AU"/>
        </w:rPr>
        <w:t xml:space="preserve">Zhao Y, Wei W, Lee IM, Shao J, Suo X, Davis RE (2009) Construction of an interactive online phytoplasma classification tool, </w:t>
      </w:r>
      <w:r>
        <w:rPr>
          <w:i/>
          <w:lang w:eastAsia="en-AU"/>
        </w:rPr>
        <w:t>i</w:t>
      </w:r>
      <w:r>
        <w:rPr>
          <w:lang w:eastAsia="en-AU"/>
        </w:rPr>
        <w:t xml:space="preserve">Classifier, and its application in analysis of peach X-disease phytoplasma group (16SrIII). </w:t>
      </w:r>
      <w:r>
        <w:rPr>
          <w:i/>
          <w:lang w:eastAsia="en-AU"/>
        </w:rPr>
        <w:t xml:space="preserve">International Journal of Systemic and Evolutionary Microbiology </w:t>
      </w:r>
      <w:r>
        <w:rPr>
          <w:lang w:eastAsia="en-AU"/>
        </w:rPr>
        <w:t>59: 2572–2593.</w:t>
      </w:r>
    </w:p>
    <w:p>
      <w:pPr>
        <w:autoSpaceDE w:val="0"/>
        <w:autoSpaceDN w:val="0"/>
        <w:spacing w:before="120" w:line="280" w:lineRule="atLeast"/>
        <w:jc w:val="left"/>
      </w:pPr>
      <w:r>
        <w:t xml:space="preserve">Zhou ZL (1991) Studies on the behaviour and control measures of grape clear-wing moth. </w:t>
      </w:r>
      <w:r>
        <w:rPr>
          <w:i/>
          <w:iCs/>
        </w:rPr>
        <w:t>Acta Phytophylactica Sinica</w:t>
      </w:r>
      <w:r>
        <w:t xml:space="preserve"> </w:t>
      </w:r>
      <w:r>
        <w:rPr>
          <w:bCs/>
        </w:rPr>
        <w:t>18:</w:t>
      </w:r>
      <w:r>
        <w:t xml:space="preserve"> 45–48.</w:t>
      </w:r>
    </w:p>
    <w:p>
      <w:pPr>
        <w:autoSpaceDE w:val="0"/>
        <w:autoSpaceDN w:val="0"/>
        <w:spacing w:before="120" w:line="280" w:lineRule="atLeast"/>
        <w:jc w:val="left"/>
        <w:rPr>
          <w:lang w:eastAsia="en-AU"/>
        </w:rPr>
      </w:pPr>
      <w:r>
        <w:t xml:space="preserve">Zhu LZ, Li Y, Li JF, Chen ZZ (2006) Prevention and control of grape spike-stalk brown spot </w:t>
      </w:r>
      <w:r>
        <w:rPr>
          <w:i/>
          <w:iCs/>
        </w:rPr>
        <w:t xml:space="preserve">(Alternaria viticola) </w:t>
      </w:r>
      <w:r>
        <w:t xml:space="preserve">in the southeast areas of </w:t>
      </w:r>
      <w:smartTag w:uri="urn:schemas-microsoft-com:office:smarttags" w:element="State">
        <w:smartTag w:uri="urn:schemas-microsoft-com:office:smarttags" w:element="place">
          <w:r>
            <w:t>Shandong</w:t>
          </w:r>
        </w:smartTag>
      </w:smartTag>
      <w:r>
        <w:t xml:space="preserve"> province. </w:t>
      </w:r>
      <w:r>
        <w:rPr>
          <w:i/>
          <w:iCs/>
        </w:rPr>
        <w:t xml:space="preserve">Sino-overseas Grapes and Grapevine </w:t>
      </w:r>
      <w:r>
        <w:t>1: 1 (abstract only).</w:t>
      </w:r>
    </w:p>
    <w:p>
      <w:pPr>
        <w:spacing w:before="120" w:line="280" w:lineRule="atLeast"/>
        <w:jc w:val="left"/>
      </w:pPr>
      <w:r>
        <w:t xml:space="preserve">Zimmermann D, Bass P, Legin R, Walter B (1990) </w:t>
      </w:r>
      <w:r>
        <w:rPr>
          <w:bCs/>
          <w:lang w:eastAsia="en-AU"/>
        </w:rPr>
        <w:t>Characterization</w:t>
      </w:r>
      <w:r>
        <w:t xml:space="preserve"> and serological detection of four closterovirus-like particles associated with grapevine leafroll disease. </w:t>
      </w:r>
      <w:r>
        <w:rPr>
          <w:i/>
        </w:rPr>
        <w:t>Journal of Phytopathology</w:t>
      </w:r>
      <w:r>
        <w:t xml:space="preserve"> 130: 205–218.</w:t>
      </w:r>
    </w:p>
    <w:p>
      <w:pPr>
        <w:autoSpaceDE w:val="0"/>
        <w:autoSpaceDN w:val="0"/>
        <w:spacing w:before="120" w:line="280" w:lineRule="atLeast"/>
        <w:jc w:val="left"/>
      </w:pPr>
      <w:r>
        <w:t xml:space="preserve">Zitikaite I, Staniulis J (2009) Isolation and characterization of </w:t>
      </w:r>
      <w:r>
        <w:rPr>
          <w:i/>
        </w:rPr>
        <w:t xml:space="preserve">Tobacco necrosis virus </w:t>
      </w:r>
      <w:r>
        <w:t xml:space="preserve">detected on some vegetable species. </w:t>
      </w:r>
      <w:r>
        <w:rPr>
          <w:i/>
        </w:rPr>
        <w:t>Biologia</w:t>
      </w:r>
      <w:r>
        <w:t xml:space="preserve"> 55: 35–39.</w:t>
      </w:r>
    </w:p>
    <w:p>
      <w:pPr>
        <w:spacing w:before="120" w:line="280" w:lineRule="atLeast"/>
        <w:jc w:val="left"/>
      </w:pPr>
      <w:r>
        <w:t xml:space="preserve">Zorloni A, Prati S, Bianco PA and Belli G (2006) Transmission of </w:t>
      </w:r>
      <w:r>
        <w:rPr>
          <w:i/>
        </w:rPr>
        <w:t xml:space="preserve">Grapevine virus A </w:t>
      </w:r>
      <w:r>
        <w:t xml:space="preserve">and </w:t>
      </w:r>
      <w:r>
        <w:rPr>
          <w:i/>
        </w:rPr>
        <w:t>Grapevine leafroll-associated virus 3</w:t>
      </w:r>
      <w:r>
        <w:t xml:space="preserve"> by </w:t>
      </w:r>
      <w:r>
        <w:rPr>
          <w:i/>
        </w:rPr>
        <w:t>Heliococcus bohemicus</w:t>
      </w:r>
      <w:r>
        <w:t xml:space="preserve">. </w:t>
      </w:r>
      <w:r>
        <w:rPr>
          <w:i/>
        </w:rPr>
        <w:t>Journal of Plant Pathology</w:t>
      </w:r>
      <w:r>
        <w:t xml:space="preserve"> 88: 325–328.</w:t>
      </w:r>
    </w:p>
    <w:p>
      <w:pPr>
        <w:spacing w:before="120" w:line="280" w:lineRule="atLeast"/>
        <w:jc w:val="left"/>
      </w:pPr>
      <w:r>
        <w:t xml:space="preserve">Zorloni A, Quaglino F, Mori N, Zanini G, Bianco PA (2011) ‘Bois noir’ Phytoplasma can be transmitted to healthy </w:t>
      </w:r>
      <w:r>
        <w:rPr>
          <w:i/>
        </w:rPr>
        <w:t>Vitis vinifera</w:t>
      </w:r>
      <w:r>
        <w:t xml:space="preserve"> L. plants by rootstocks. </w:t>
      </w:r>
      <w:r>
        <w:rPr>
          <w:i/>
        </w:rPr>
        <w:t>Bulletin of Insectology</w:t>
      </w:r>
      <w:r>
        <w:t xml:space="preserve"> 64: S185–S186.</w:t>
      </w:r>
    </w:p>
    <w:p>
      <w:pPr>
        <w:spacing w:before="120" w:line="280" w:lineRule="atLeast"/>
        <w:jc w:val="left"/>
      </w:pPr>
      <w:r>
        <w:t>Zunnoon-Khan S, Arocha-Rosete Y, Scott J, Crosby W, Bertaccini A, Michelutti R (2010) First report of ‘</w:t>
      </w:r>
      <w:r>
        <w:rPr>
          <w:i/>
        </w:rPr>
        <w:t>Candidatus</w:t>
      </w:r>
      <w:r>
        <w:t xml:space="preserve"> Phytoplasma fraxini’ (group 16SrVII phytoplasma) associated with peach disease in Canada. </w:t>
      </w:r>
      <w:r>
        <w:rPr>
          <w:i/>
        </w:rPr>
        <w:t xml:space="preserve">Plant Pathology </w:t>
      </w:r>
      <w:r>
        <w:t>59: 1162.</w:t>
      </w:r>
    </w:p>
    <w:sectPr>
      <w:headerReference w:type="default" r:id="rId209"/>
      <w:headerReference w:type="first" r:id="rId210"/>
      <w:pgSz w:w="11906" w:h="16838" w:code="9"/>
      <w:pgMar w:top="1412" w:right="1412" w:bottom="1412" w:left="141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Palatino (PCL6)">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DJPP J+ Adv P 1964">
    <w:altName w:val="Times New Roman"/>
    <w:panose1 w:val="00000000000000000000"/>
    <w:charset w:val="A2"/>
    <w:family w:val="roman"/>
    <w:notTrueType/>
    <w:pitch w:val="default"/>
    <w:sig w:usb0="00000001" w:usb1="00000000" w:usb2="00000000" w:usb3="00000000" w:csb0="00000011" w:csb1="00000000"/>
  </w:font>
  <w:font w:name="MDJPO D+ Adv P 1968">
    <w:altName w:val="Adv P"/>
    <w:panose1 w:val="00000000000000000000"/>
    <w:charset w:val="00"/>
    <w:family w:val="roman"/>
    <w:notTrueType/>
    <w:pitch w:val="default"/>
    <w:sig w:usb0="000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AdvP7627">
    <w:panose1 w:val="00000000000000000000"/>
    <w:charset w:val="00"/>
    <w:family w:val="roman"/>
    <w:notTrueType/>
    <w:pitch w:val="default"/>
    <w:sig w:usb0="00000003" w:usb1="00000000" w:usb2="00000000" w:usb3="00000000" w:csb0="00000001" w:csb1="00000000"/>
  </w:font>
  <w:font w:name="MetaOT-Medium">
    <w:altName w:val="MetaOT-Mediu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M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pPr>
      <w:pStyle w:val="Footer"/>
      <w:ind w:right="360"/>
      <w:rPr>
        <w:rFonts w:ascii="Arial" w:hAnsi="Arial"/>
        <w:i/>
        <w:sz w:val="18"/>
      </w:rPr>
    </w:pPr>
    <w:r>
      <w:rPr>
        <w:rFonts w:ascii="Arial" w:hAnsi="Arial"/>
        <w:i/>
        <w:sz w:val="18"/>
      </w:rPr>
      <w:t xml:space="preserve">Page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rPr>
        <w:rFonts w:ascii="Helvetica" w:hAnsi="Helvetica"/>
        <w:iCs/>
        <w:sz w:val="20"/>
      </w:rPr>
    </w:pPr>
    <w:r>
      <w:rPr>
        <w:rStyle w:val="PageNumber"/>
        <w:rFonts w:ascii="Helvetica" w:hAnsi="Helvetica"/>
        <w:iCs/>
        <w:sz w:val="20"/>
      </w:rPr>
      <w:fldChar w:fldCharType="begin"/>
    </w:r>
    <w:r>
      <w:rPr>
        <w:rStyle w:val="PageNumber"/>
        <w:rFonts w:ascii="Helvetica" w:hAnsi="Helvetica"/>
        <w:iCs/>
        <w:sz w:val="20"/>
      </w:rPr>
      <w:instrText xml:space="preserve"> PAGE </w:instrText>
    </w:r>
    <w:r>
      <w:rPr>
        <w:rStyle w:val="PageNumber"/>
        <w:rFonts w:ascii="Helvetica" w:hAnsi="Helvetica"/>
        <w:iCs/>
        <w:sz w:val="20"/>
      </w:rPr>
      <w:fldChar w:fldCharType="separate"/>
    </w:r>
    <w:r>
      <w:rPr>
        <w:rStyle w:val="PageNumber"/>
        <w:rFonts w:ascii="Helvetica" w:hAnsi="Helvetica"/>
        <w:iCs/>
        <w:noProof/>
        <w:sz w:val="20"/>
      </w:rPr>
      <w:t>3</w:t>
    </w:r>
    <w:r>
      <w:rPr>
        <w:rStyle w:val="PageNumber"/>
        <w:rFonts w:ascii="Helvetica" w:hAnsi="Helvetica"/>
        <w:iCs/>
        <w:sz w:val="20"/>
      </w:rPr>
      <w:fldChar w:fldCharType="end"/>
    </w:r>
  </w:p>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pPr>
    <w:r>
      <w:rPr>
        <w:rStyle w:val="PageNumber"/>
        <w:rFonts w:ascii="Helvetica" w:hAnsi="Helvetica"/>
        <w:iCs/>
        <w:sz w:val="20"/>
      </w:rPr>
      <w:fldChar w:fldCharType="begin"/>
    </w:r>
    <w:r>
      <w:rPr>
        <w:rStyle w:val="PageNumber"/>
        <w:rFonts w:ascii="Helvetica" w:hAnsi="Helvetica"/>
        <w:iCs/>
        <w:sz w:val="20"/>
      </w:rPr>
      <w:instrText xml:space="preserve"> PAGE </w:instrText>
    </w:r>
    <w:r>
      <w:rPr>
        <w:rStyle w:val="PageNumber"/>
        <w:rFonts w:ascii="Helvetica" w:hAnsi="Helvetica"/>
        <w:iCs/>
        <w:sz w:val="20"/>
      </w:rPr>
      <w:fldChar w:fldCharType="separate"/>
    </w:r>
    <w:r>
      <w:rPr>
        <w:rStyle w:val="PageNumber"/>
        <w:rFonts w:ascii="Helvetica" w:hAnsi="Helvetica"/>
        <w:iCs/>
        <w:noProof/>
        <w:sz w:val="20"/>
      </w:rPr>
      <w:t>21</w:t>
    </w:r>
    <w:r>
      <w:rPr>
        <w:rStyle w:val="PageNumber"/>
        <w:rFonts w:ascii="Helvetica" w:hAnsi="Helvetica"/>
        <w:iCs/>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pPr>
    <w:r>
      <w:rPr>
        <w:rStyle w:val="PageNumber"/>
        <w:rFonts w:ascii="Helvetica" w:hAnsi="Helvetica"/>
        <w:iCs/>
        <w:sz w:val="20"/>
      </w:rPr>
      <w:fldChar w:fldCharType="begin"/>
    </w:r>
    <w:r>
      <w:rPr>
        <w:rStyle w:val="PageNumber"/>
        <w:rFonts w:ascii="Helvetica" w:hAnsi="Helvetica"/>
        <w:iCs/>
        <w:sz w:val="20"/>
      </w:rPr>
      <w:instrText xml:space="preserve"> PAGE </w:instrText>
    </w:r>
    <w:r>
      <w:rPr>
        <w:rStyle w:val="PageNumber"/>
        <w:rFonts w:ascii="Helvetica" w:hAnsi="Helvetica"/>
        <w:iCs/>
        <w:sz w:val="20"/>
      </w:rPr>
      <w:fldChar w:fldCharType="separate"/>
    </w:r>
    <w:r>
      <w:rPr>
        <w:rStyle w:val="PageNumber"/>
        <w:rFonts w:ascii="Helvetica" w:hAnsi="Helvetica"/>
        <w:iCs/>
        <w:noProof/>
        <w:sz w:val="20"/>
      </w:rPr>
      <w:t>14</w:t>
    </w:r>
    <w:r>
      <w:rPr>
        <w:rStyle w:val="PageNumber"/>
        <w:rFonts w:ascii="Helvetica" w:hAnsi="Helvetica"/>
        <w:iCs/>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rPr>
        <w:iCs/>
        <w:szCs w:val="24"/>
      </w:rPr>
    </w:pPr>
    <w:r>
      <w:rPr>
        <w:rStyle w:val="PageNumber"/>
        <w:rFonts w:ascii="Helvetica" w:hAnsi="Helvetica"/>
        <w:iCs/>
        <w:sz w:val="20"/>
      </w:rPr>
      <w:fldChar w:fldCharType="begin"/>
    </w:r>
    <w:r>
      <w:rPr>
        <w:rStyle w:val="PageNumber"/>
        <w:rFonts w:ascii="Helvetica" w:hAnsi="Helvetica"/>
        <w:iCs/>
        <w:sz w:val="20"/>
      </w:rPr>
      <w:instrText xml:space="preserve"> PAGE </w:instrText>
    </w:r>
    <w:r>
      <w:rPr>
        <w:rStyle w:val="PageNumber"/>
        <w:rFonts w:ascii="Helvetica" w:hAnsi="Helvetica"/>
        <w:iCs/>
        <w:sz w:val="20"/>
      </w:rPr>
      <w:fldChar w:fldCharType="separate"/>
    </w:r>
    <w:r>
      <w:rPr>
        <w:rStyle w:val="PageNumber"/>
        <w:rFonts w:ascii="Helvetica" w:hAnsi="Helvetica"/>
        <w:iCs/>
        <w:noProof/>
        <w:sz w:val="20"/>
      </w:rPr>
      <w:t>37</w:t>
    </w:r>
    <w:r>
      <w:rPr>
        <w:rStyle w:val="PageNumber"/>
        <w:rFonts w:ascii="Helvetica" w:hAnsi="Helvetica"/>
        <w:iCs/>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Bdr>
        <w:top w:val="single" w:sz="4" w:space="1" w:color="auto"/>
      </w:pBdr>
      <w:jc w:val="right"/>
      <w:rPr>
        <w:rFonts w:ascii="Helvetica" w:hAnsi="Helvetica"/>
        <w:i/>
        <w:iCs/>
        <w:sz w:val="20"/>
      </w:rPr>
    </w:pPr>
    <w:r>
      <w:rPr>
        <w:rStyle w:val="PageNumber"/>
        <w:rFonts w:ascii="Helvetica" w:hAnsi="Helvetica"/>
        <w:i/>
        <w:iCs/>
        <w:sz w:val="20"/>
      </w:rPr>
      <w:t xml:space="preserve">Page </w:t>
    </w:r>
    <w:r>
      <w:rPr>
        <w:rStyle w:val="PageNumber"/>
        <w:rFonts w:ascii="Helvetica" w:hAnsi="Helvetica"/>
        <w:i/>
        <w:iCs/>
        <w:sz w:val="20"/>
      </w:rPr>
      <w:fldChar w:fldCharType="begin"/>
    </w:r>
    <w:r>
      <w:rPr>
        <w:rStyle w:val="PageNumber"/>
        <w:rFonts w:ascii="Helvetica" w:hAnsi="Helvetica"/>
        <w:i/>
        <w:iCs/>
        <w:sz w:val="20"/>
      </w:rPr>
      <w:instrText xml:space="preserve"> PAGE </w:instrText>
    </w:r>
    <w:r>
      <w:rPr>
        <w:rStyle w:val="PageNumber"/>
        <w:rFonts w:ascii="Helvetica" w:hAnsi="Helvetica"/>
        <w:i/>
        <w:iCs/>
        <w:sz w:val="20"/>
      </w:rPr>
      <w:fldChar w:fldCharType="separate"/>
    </w:r>
    <w:r>
      <w:rPr>
        <w:rStyle w:val="PageNumber"/>
        <w:rFonts w:ascii="Helvetica" w:hAnsi="Helvetica"/>
        <w:i/>
        <w:iCs/>
        <w:noProof/>
        <w:sz w:val="20"/>
      </w:rPr>
      <w:t>40</w:t>
    </w:r>
    <w:r>
      <w:rPr>
        <w:rStyle w:val="PageNumber"/>
        <w:rFonts w:ascii="Helvetica" w:hAnsi="Helvetica"/>
        <w:i/>
        <w:iCs/>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rPr>
        <w:rFonts w:ascii="Helvetica" w:hAnsi="Helvetica"/>
        <w:iCs/>
        <w:sz w:val="20"/>
      </w:rPr>
    </w:pPr>
    <w:r>
      <w:rPr>
        <w:rStyle w:val="PageNumber"/>
        <w:rFonts w:ascii="Helvetica" w:hAnsi="Helvetica"/>
        <w:iCs/>
        <w:sz w:val="20"/>
      </w:rPr>
      <w:fldChar w:fldCharType="begin"/>
    </w:r>
    <w:r>
      <w:rPr>
        <w:rStyle w:val="PageNumber"/>
        <w:rFonts w:ascii="Helvetica" w:hAnsi="Helvetica"/>
        <w:iCs/>
        <w:sz w:val="20"/>
      </w:rPr>
      <w:instrText xml:space="preserve"> PAGE </w:instrText>
    </w:r>
    <w:r>
      <w:rPr>
        <w:rStyle w:val="PageNumber"/>
        <w:rFonts w:ascii="Helvetica" w:hAnsi="Helvetica"/>
        <w:iCs/>
        <w:sz w:val="20"/>
      </w:rPr>
      <w:fldChar w:fldCharType="separate"/>
    </w:r>
    <w:r>
      <w:rPr>
        <w:rStyle w:val="PageNumber"/>
        <w:rFonts w:ascii="Helvetica" w:hAnsi="Helvetica"/>
        <w:iCs/>
        <w:noProof/>
        <w:sz w:val="20"/>
      </w:rPr>
      <w:t>41</w:t>
    </w:r>
    <w:r>
      <w:rPr>
        <w:rStyle w:val="PageNumber"/>
        <w:rFonts w:ascii="Helvetica" w:hAnsi="Helvetica"/>
        <w:iCs/>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right"/>
      <w:rPr>
        <w:iCs/>
        <w:szCs w:val="24"/>
      </w:rPr>
    </w:pPr>
    <w:r>
      <w:rPr>
        <w:rStyle w:val="PageNumber"/>
        <w:iCs/>
        <w:szCs w:val="24"/>
      </w:rPr>
      <w:fldChar w:fldCharType="begin"/>
    </w:r>
    <w:r>
      <w:rPr>
        <w:rStyle w:val="PageNumber"/>
        <w:iCs/>
        <w:szCs w:val="24"/>
      </w:rPr>
      <w:instrText xml:space="preserve"> PAGE </w:instrText>
    </w:r>
    <w:r>
      <w:rPr>
        <w:rStyle w:val="PageNumber"/>
        <w:iCs/>
        <w:szCs w:val="24"/>
      </w:rPr>
      <w:fldChar w:fldCharType="separate"/>
    </w:r>
    <w:r>
      <w:rPr>
        <w:rStyle w:val="PageNumber"/>
        <w:iCs/>
        <w:noProof/>
        <w:szCs w:val="24"/>
      </w:rPr>
      <w:t>38</w:t>
    </w:r>
    <w:r>
      <w:rPr>
        <w:rStyle w:val="PageNumber"/>
        <w:i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 w:id="1">
    <w:p>
      <w:pPr>
        <w:pStyle w:val="FootnoteText"/>
        <w:spacing w:before="80"/>
        <w:rPr>
          <w:rFonts w:cs="Arial"/>
          <w:sz w:val="16"/>
          <w:szCs w:val="16"/>
        </w:rPr>
      </w:pPr>
      <w:r>
        <w:rPr>
          <w:rStyle w:val="FootnoteReference"/>
          <w:rFonts w:cs="Arial"/>
          <w:sz w:val="16"/>
          <w:szCs w:val="16"/>
        </w:rPr>
        <w:footnoteRef/>
      </w:r>
      <w:r>
        <w:rPr>
          <w:rFonts w:cs="Arial"/>
          <w:sz w:val="16"/>
          <w:szCs w:val="16"/>
        </w:rPr>
        <w:t xml:space="preserve"> </w:t>
      </w:r>
      <w:r>
        <w:rPr>
          <w:rFonts w:cs="Arial"/>
          <w:sz w:val="16"/>
          <w:szCs w:val="16"/>
        </w:rPr>
        <w:tab/>
        <w:t>A pest is any species, strain or biotype of plant, animal, or pathogenic agent injurious to plants or plant products (FAO 2009).</w:t>
      </w:r>
    </w:p>
  </w:footnote>
  <w:footnote w:id="2">
    <w:p>
      <w:pPr>
        <w:pStyle w:val="FootnoteText"/>
      </w:pPr>
      <w:r>
        <w:rPr>
          <w:rStyle w:val="FootnoteReference"/>
        </w:rPr>
        <w:footnoteRef/>
      </w:r>
      <w:r>
        <w:t xml:space="preserve"> </w:t>
      </w:r>
      <w:r>
        <w:rPr>
          <w:rFonts w:ascii="Helvetica" w:hAnsi="Helvetica" w:cs="Helvetica"/>
          <w:i/>
          <w:sz w:val="16"/>
          <w:szCs w:val="16"/>
        </w:rPr>
        <w:t>Phakopsora ampelopsidis</w:t>
      </w:r>
      <w:r>
        <w:rPr>
          <w:rFonts w:ascii="Helvetica" w:hAnsi="Helvetica" w:cs="Helvetica"/>
          <w:sz w:val="16"/>
          <w:szCs w:val="16"/>
        </w:rPr>
        <w:t xml:space="preserve"> is the c</w:t>
      </w:r>
      <w:r>
        <w:rPr>
          <w:sz w:val="16"/>
          <w:szCs w:val="16"/>
        </w:rPr>
        <w:t>urrent name of this fungus</w:t>
      </w:r>
    </w:p>
  </w:footnote>
  <w:footnote w:id="3">
    <w:p>
      <w:pPr>
        <w:pStyle w:val="FootnoteText"/>
        <w:spacing w:line="220" w:lineRule="atLeast"/>
        <w:jc w:val="left"/>
        <w:rPr>
          <w:rFonts w:cs="Arial"/>
          <w:sz w:val="16"/>
          <w:szCs w:val="16"/>
        </w:rPr>
      </w:pPr>
      <w:r>
        <w:rPr>
          <w:rFonts w:cs="Arial"/>
          <w:sz w:val="16"/>
          <w:szCs w:val="16"/>
        </w:rPr>
        <w:footnoteRef/>
      </w:r>
      <w:r>
        <w:rPr>
          <w:rFonts w:cs="Arial"/>
          <w:sz w:val="16"/>
          <w:szCs w:val="16"/>
        </w:rPr>
        <w:t xml:space="preserve"> This review considers that certain pathogens (bacteria, phytoplasma, viroids and viruses) may not be excluded from the pathway and remains associated with micropropagated plantlets (tissue culture). In contrast, it considers that fungal or fungal-like pathogens are not on the pathway of micropropagated plantlets.</w:t>
      </w:r>
    </w:p>
  </w:footnote>
  <w:footnote w:id="4">
    <w:p>
      <w:pPr>
        <w:pStyle w:val="FootnoteText"/>
        <w:rPr>
          <w:sz w:val="16"/>
          <w:szCs w:val="16"/>
        </w:rPr>
      </w:pPr>
      <w:r>
        <w:rPr>
          <w:rStyle w:val="FootnoteReference"/>
          <w:sz w:val="16"/>
          <w:szCs w:val="16"/>
        </w:rPr>
        <w:footnoteRef/>
      </w:r>
      <w:r>
        <w:rPr>
          <w:sz w:val="16"/>
          <w:szCs w:val="16"/>
        </w:rPr>
        <w:t xml:space="preserve"> If disease symptoms develop</w:t>
      </w:r>
    </w:p>
  </w:footnote>
  <w:footnote w:id="5">
    <w:p>
      <w:pPr>
        <w:pStyle w:val="FootnoteText"/>
        <w:spacing w:before="20" w:line="240" w:lineRule="atLeast"/>
        <w:rPr>
          <w:sz w:val="16"/>
          <w:szCs w:val="16"/>
        </w:rPr>
      </w:pPr>
      <w:r>
        <w:rPr>
          <w:rStyle w:val="FootnoteReference"/>
          <w:sz w:val="16"/>
          <w:szCs w:val="16"/>
        </w:rPr>
        <w:footnoteRef/>
      </w:r>
      <w:r>
        <w:rPr>
          <w:sz w:val="16"/>
          <w:szCs w:val="16"/>
        </w:rPr>
        <w:t xml:space="preserve"> If disease symptoms develop</w:t>
      </w:r>
    </w:p>
  </w:footnote>
  <w:footnote w:id="6">
    <w:p>
      <w:pPr>
        <w:pStyle w:val="FootnoteText"/>
        <w:spacing w:before="20" w:line="240" w:lineRule="atLeast"/>
        <w:rPr>
          <w:sz w:val="16"/>
          <w:szCs w:val="16"/>
        </w:rPr>
      </w:pPr>
      <w:r>
        <w:rPr>
          <w:rStyle w:val="FootnoteReference"/>
          <w:sz w:val="16"/>
          <w:szCs w:val="16"/>
        </w:rPr>
        <w:footnoteRef/>
      </w:r>
      <w:r>
        <w:rPr>
          <w:sz w:val="16"/>
          <w:szCs w:val="16"/>
        </w:rPr>
        <w:t xml:space="preserve"> No PCR or commercial ELISA test are available, but the disease could possibly be diagnosed based on electron microscopy and biological indexing onto the cultivar Koshu (Martelli 1993).</w:t>
      </w:r>
    </w:p>
  </w:footnote>
  <w:footnote w:id="7">
    <w:p>
      <w:pPr>
        <w:pStyle w:val="FootnoteText"/>
        <w:rPr>
          <w:sz w:val="16"/>
          <w:szCs w:val="16"/>
        </w:rPr>
      </w:pPr>
      <w:r>
        <w:rPr>
          <w:rStyle w:val="FootnoteReference"/>
          <w:sz w:val="16"/>
          <w:szCs w:val="16"/>
        </w:rPr>
        <w:footnoteRef/>
      </w:r>
      <w:r>
        <w:rPr>
          <w:sz w:val="16"/>
          <w:szCs w:val="16"/>
        </w:rPr>
        <w:t xml:space="preserve"> Restricted distribution</w:t>
      </w:r>
    </w:p>
  </w:footnote>
  <w:footnote w:id="8">
    <w:p>
      <w:pPr>
        <w:autoSpaceDE w:val="0"/>
        <w:autoSpaceDN w:val="0"/>
        <w:spacing w:line="240" w:lineRule="atLeast"/>
        <w:rPr>
          <w:rFonts w:ascii="Arial" w:hAnsi="Arial" w:cs="Arial"/>
          <w:sz w:val="16"/>
          <w:szCs w:val="16"/>
        </w:rPr>
      </w:pPr>
      <w:r>
        <w:rPr>
          <w:rStyle w:val="FootnoteReference"/>
          <w:sz w:val="16"/>
          <w:szCs w:val="16"/>
        </w:rPr>
        <w:footnoteRef/>
      </w:r>
      <w:r>
        <w:rPr>
          <w:rFonts w:ascii="Arial" w:hAnsi="Arial" w:cs="Arial"/>
          <w:sz w:val="16"/>
          <w:szCs w:val="16"/>
        </w:rPr>
        <w:t xml:space="preserve"> V. </w:t>
      </w:r>
      <w:r>
        <w:rPr>
          <w:rFonts w:ascii="Arial" w:hAnsi="Arial" w:cs="Arial"/>
          <w:i/>
          <w:sz w:val="16"/>
          <w:szCs w:val="16"/>
        </w:rPr>
        <w:t>campestris</w:t>
      </w:r>
      <w:r>
        <w:rPr>
          <w:rFonts w:ascii="Arial" w:hAnsi="Arial" w:cs="Arial"/>
          <w:sz w:val="16"/>
          <w:szCs w:val="16"/>
        </w:rPr>
        <w:t xml:space="preserve"> pv.</w:t>
      </w:r>
      <w:r>
        <w:rPr>
          <w:rFonts w:ascii="Arial" w:hAnsi="Arial" w:cs="Arial"/>
          <w:i/>
          <w:sz w:val="16"/>
          <w:szCs w:val="16"/>
        </w:rPr>
        <w:t>vitiscarnosae</w:t>
      </w:r>
      <w:r>
        <w:rPr>
          <w:rFonts w:ascii="Arial" w:hAnsi="Arial" w:cs="Arial"/>
          <w:bCs/>
          <w:iCs/>
          <w:color w:val="000000"/>
          <w:sz w:val="16"/>
          <w:szCs w:val="16"/>
        </w:rPr>
        <w:t xml:space="preserve"> attacks </w:t>
      </w:r>
      <w:r>
        <w:rPr>
          <w:rFonts w:ascii="Arial" w:hAnsi="Arial" w:cs="Arial"/>
          <w:bCs/>
          <w:i/>
          <w:iCs/>
          <w:color w:val="000000"/>
          <w:sz w:val="16"/>
          <w:szCs w:val="16"/>
        </w:rPr>
        <w:t>V. carnosa</w:t>
      </w:r>
      <w:r>
        <w:rPr>
          <w:rFonts w:ascii="Arial" w:hAnsi="Arial" w:cs="Arial"/>
          <w:bCs/>
          <w:iCs/>
          <w:color w:val="000000"/>
          <w:sz w:val="16"/>
          <w:szCs w:val="16"/>
        </w:rPr>
        <w:t xml:space="preserve">. </w:t>
      </w:r>
      <w:r>
        <w:rPr>
          <w:rFonts w:ascii="Arial" w:hAnsi="Arial" w:cs="Arial"/>
          <w:bCs/>
          <w:i/>
          <w:iCs/>
          <w:color w:val="000000"/>
          <w:sz w:val="16"/>
          <w:szCs w:val="16"/>
        </w:rPr>
        <w:t>Vitis</w:t>
      </w:r>
      <w:r>
        <w:rPr>
          <w:rFonts w:ascii="Arial" w:hAnsi="Arial" w:cs="Arial"/>
          <w:bCs/>
          <w:iCs/>
          <w:color w:val="000000"/>
          <w:sz w:val="16"/>
          <w:szCs w:val="16"/>
        </w:rPr>
        <w:t xml:space="preserve"> </w:t>
      </w:r>
      <w:r>
        <w:rPr>
          <w:rFonts w:ascii="Arial" w:hAnsi="Arial" w:cs="Arial"/>
          <w:bCs/>
          <w:i/>
          <w:iCs/>
          <w:color w:val="000000"/>
          <w:sz w:val="16"/>
          <w:szCs w:val="16"/>
        </w:rPr>
        <w:t xml:space="preserve">carnosa </w:t>
      </w:r>
      <w:r>
        <w:rPr>
          <w:rFonts w:ascii="Arial" w:hAnsi="Arial" w:cs="Arial"/>
          <w:bCs/>
          <w:iCs/>
          <w:color w:val="000000"/>
          <w:sz w:val="16"/>
          <w:szCs w:val="16"/>
        </w:rPr>
        <w:t xml:space="preserve">is not an important species of </w:t>
      </w:r>
      <w:r>
        <w:rPr>
          <w:rFonts w:ascii="Arial" w:hAnsi="Arial" w:cs="Arial"/>
          <w:bCs/>
          <w:i/>
          <w:iCs/>
          <w:color w:val="000000"/>
          <w:sz w:val="16"/>
          <w:szCs w:val="16"/>
        </w:rPr>
        <w:t xml:space="preserve">Vitis </w:t>
      </w:r>
      <w:r>
        <w:rPr>
          <w:rFonts w:ascii="Arial" w:hAnsi="Arial" w:cs="Arial"/>
          <w:bCs/>
          <w:iCs/>
          <w:color w:val="000000"/>
          <w:sz w:val="16"/>
          <w:szCs w:val="16"/>
        </w:rPr>
        <w:t xml:space="preserve">for commercial viticulture, scion cultivars, rootstocks or in breeding programs and therefore will not be imported into Australia. Additionally, </w:t>
      </w:r>
      <w:r>
        <w:rPr>
          <w:rFonts w:ascii="Arial" w:hAnsi="Arial" w:cs="Arial"/>
          <w:bCs/>
          <w:i/>
          <w:iCs/>
          <w:color w:val="000000"/>
          <w:sz w:val="16"/>
          <w:szCs w:val="16"/>
        </w:rPr>
        <w:t>Vitis</w:t>
      </w:r>
      <w:r>
        <w:rPr>
          <w:rFonts w:ascii="Arial" w:hAnsi="Arial" w:cs="Arial"/>
          <w:bCs/>
          <w:iCs/>
          <w:color w:val="000000"/>
          <w:sz w:val="16"/>
          <w:szCs w:val="16"/>
        </w:rPr>
        <w:t xml:space="preserve"> </w:t>
      </w:r>
      <w:r>
        <w:rPr>
          <w:rFonts w:ascii="Arial" w:hAnsi="Arial" w:cs="Arial"/>
          <w:bCs/>
          <w:i/>
          <w:iCs/>
          <w:color w:val="000000"/>
          <w:sz w:val="16"/>
          <w:szCs w:val="16"/>
        </w:rPr>
        <w:t xml:space="preserve">carnosa </w:t>
      </w:r>
      <w:r>
        <w:rPr>
          <w:rFonts w:ascii="Arial" w:hAnsi="Arial" w:cs="Arial"/>
          <w:bCs/>
          <w:iCs/>
          <w:color w:val="000000"/>
          <w:sz w:val="16"/>
          <w:szCs w:val="16"/>
        </w:rPr>
        <w:t xml:space="preserve">is currently not permitted entry into Australia. Consequently, </w:t>
      </w:r>
      <w:r>
        <w:rPr>
          <w:rFonts w:ascii="Arial" w:hAnsi="Arial" w:cs="Arial"/>
          <w:sz w:val="16"/>
          <w:szCs w:val="16"/>
        </w:rPr>
        <w:t xml:space="preserve">V. </w:t>
      </w:r>
      <w:r>
        <w:rPr>
          <w:rFonts w:ascii="Arial" w:hAnsi="Arial" w:cs="Arial"/>
          <w:i/>
          <w:sz w:val="16"/>
          <w:szCs w:val="16"/>
        </w:rPr>
        <w:t>campestris</w:t>
      </w:r>
      <w:r>
        <w:rPr>
          <w:rFonts w:ascii="Arial" w:hAnsi="Arial" w:cs="Arial"/>
          <w:sz w:val="16"/>
          <w:szCs w:val="16"/>
        </w:rPr>
        <w:t xml:space="preserve"> pv.</w:t>
      </w:r>
      <w:r>
        <w:rPr>
          <w:rFonts w:ascii="Arial" w:hAnsi="Arial" w:cs="Arial"/>
          <w:i/>
          <w:sz w:val="16"/>
          <w:szCs w:val="16"/>
        </w:rPr>
        <w:t>vitiscarnosae</w:t>
      </w:r>
      <w:r>
        <w:rPr>
          <w:rFonts w:ascii="Arial" w:hAnsi="Arial" w:cs="Arial"/>
          <w:bCs/>
          <w:iCs/>
          <w:color w:val="000000"/>
          <w:sz w:val="16"/>
          <w:szCs w:val="16"/>
        </w:rPr>
        <w:t xml:space="preserve"> is not </w:t>
      </w:r>
      <w:r>
        <w:rPr>
          <w:rFonts w:ascii="Arial" w:hAnsi="Arial" w:cs="Arial"/>
          <w:sz w:val="16"/>
          <w:szCs w:val="16"/>
        </w:rPr>
        <w:t>on the pathway.</w:t>
      </w:r>
    </w:p>
  </w:footnote>
  <w:footnote w:id="9">
    <w:p>
      <w:pPr>
        <w:autoSpaceDE w:val="0"/>
        <w:autoSpaceDN w:val="0"/>
        <w:spacing w:line="240" w:lineRule="atLeast"/>
      </w:pPr>
      <w:r>
        <w:rPr>
          <w:rStyle w:val="FootnoteReference"/>
        </w:rPr>
        <w:footnoteRef/>
      </w:r>
      <w:r>
        <w:t xml:space="preserve"> </w:t>
      </w:r>
      <w:r>
        <w:rPr>
          <w:rFonts w:ascii="Arial" w:hAnsi="Arial" w:cs="Arial"/>
          <w:sz w:val="16"/>
          <w:szCs w:val="16"/>
        </w:rPr>
        <w:t xml:space="preserve">V. </w:t>
      </w:r>
      <w:r>
        <w:rPr>
          <w:rFonts w:ascii="Arial" w:hAnsi="Arial" w:cs="Arial"/>
          <w:i/>
          <w:sz w:val="16"/>
          <w:szCs w:val="16"/>
        </w:rPr>
        <w:t>campestris</w:t>
      </w:r>
      <w:r>
        <w:rPr>
          <w:rFonts w:ascii="Arial" w:hAnsi="Arial" w:cs="Arial"/>
          <w:sz w:val="16"/>
          <w:szCs w:val="16"/>
        </w:rPr>
        <w:t xml:space="preserve"> pv. </w:t>
      </w:r>
      <w:r>
        <w:rPr>
          <w:rFonts w:ascii="Arial" w:hAnsi="Arial" w:cs="Arial"/>
          <w:bCs/>
          <w:i/>
          <w:iCs/>
          <w:color w:val="000000"/>
          <w:sz w:val="16"/>
          <w:szCs w:val="16"/>
        </w:rPr>
        <w:t>vitistrifoliae</w:t>
      </w:r>
      <w:r>
        <w:rPr>
          <w:rFonts w:ascii="Arial" w:hAnsi="Arial" w:cs="Arial"/>
          <w:bCs/>
          <w:iCs/>
          <w:color w:val="000000"/>
          <w:sz w:val="16"/>
          <w:szCs w:val="16"/>
        </w:rPr>
        <w:t xml:space="preserve"> attacks </w:t>
      </w:r>
      <w:r>
        <w:rPr>
          <w:rFonts w:ascii="Arial" w:hAnsi="Arial" w:cs="Arial"/>
          <w:bCs/>
          <w:i/>
          <w:iCs/>
          <w:color w:val="000000"/>
          <w:sz w:val="16"/>
          <w:szCs w:val="16"/>
        </w:rPr>
        <w:t>V. trifolia</w:t>
      </w:r>
      <w:r>
        <w:rPr>
          <w:rFonts w:cs="Arial"/>
          <w:bCs/>
          <w:iCs/>
          <w:color w:val="000000"/>
          <w:sz w:val="16"/>
          <w:szCs w:val="16"/>
        </w:rPr>
        <w:t xml:space="preserve">. </w:t>
      </w:r>
      <w:r>
        <w:rPr>
          <w:rFonts w:ascii="Arial" w:hAnsi="Arial" w:cs="Arial"/>
          <w:bCs/>
          <w:i/>
          <w:iCs/>
          <w:color w:val="000000"/>
          <w:sz w:val="16"/>
          <w:szCs w:val="16"/>
        </w:rPr>
        <w:t>Vitis</w:t>
      </w:r>
      <w:r>
        <w:rPr>
          <w:rFonts w:ascii="Arial" w:hAnsi="Arial" w:cs="Arial"/>
          <w:bCs/>
          <w:iCs/>
          <w:color w:val="000000"/>
          <w:sz w:val="16"/>
          <w:szCs w:val="16"/>
        </w:rPr>
        <w:t xml:space="preserve"> </w:t>
      </w:r>
      <w:r>
        <w:rPr>
          <w:rFonts w:ascii="Arial" w:hAnsi="Arial" w:cs="Arial"/>
          <w:bCs/>
          <w:i/>
          <w:iCs/>
          <w:color w:val="000000"/>
          <w:sz w:val="16"/>
          <w:szCs w:val="16"/>
        </w:rPr>
        <w:t xml:space="preserve">trifolia </w:t>
      </w:r>
      <w:r>
        <w:rPr>
          <w:rFonts w:ascii="Arial" w:hAnsi="Arial" w:cs="Arial"/>
          <w:bCs/>
          <w:iCs/>
          <w:color w:val="000000"/>
          <w:sz w:val="16"/>
          <w:szCs w:val="16"/>
        </w:rPr>
        <w:t xml:space="preserve">is not an important species of </w:t>
      </w:r>
      <w:r>
        <w:rPr>
          <w:rFonts w:ascii="Arial" w:hAnsi="Arial" w:cs="Arial"/>
          <w:bCs/>
          <w:i/>
          <w:iCs/>
          <w:color w:val="000000"/>
          <w:sz w:val="16"/>
          <w:szCs w:val="16"/>
        </w:rPr>
        <w:t xml:space="preserve">Vitis </w:t>
      </w:r>
      <w:r>
        <w:rPr>
          <w:rFonts w:ascii="Arial" w:hAnsi="Arial" w:cs="Arial"/>
          <w:bCs/>
          <w:iCs/>
          <w:color w:val="000000"/>
          <w:sz w:val="16"/>
          <w:szCs w:val="16"/>
        </w:rPr>
        <w:t xml:space="preserve">for commercial viticulture, scion cultivars, rootstocks or in breeding programs and therefore will not be imported into Australia. Additionally, </w:t>
      </w:r>
      <w:r>
        <w:rPr>
          <w:rFonts w:ascii="Arial" w:hAnsi="Arial" w:cs="Arial"/>
          <w:bCs/>
          <w:i/>
          <w:iCs/>
          <w:color w:val="000000"/>
          <w:sz w:val="16"/>
          <w:szCs w:val="16"/>
        </w:rPr>
        <w:t>Vitis</w:t>
      </w:r>
      <w:r>
        <w:rPr>
          <w:rFonts w:ascii="Arial" w:hAnsi="Arial" w:cs="Arial"/>
          <w:bCs/>
          <w:iCs/>
          <w:color w:val="000000"/>
          <w:sz w:val="16"/>
          <w:szCs w:val="16"/>
        </w:rPr>
        <w:t xml:space="preserve"> </w:t>
      </w:r>
      <w:r>
        <w:rPr>
          <w:rFonts w:ascii="Arial" w:hAnsi="Arial" w:cs="Arial"/>
          <w:bCs/>
          <w:i/>
          <w:iCs/>
          <w:color w:val="000000"/>
          <w:sz w:val="16"/>
          <w:szCs w:val="16"/>
        </w:rPr>
        <w:t xml:space="preserve">trifolia </w:t>
      </w:r>
      <w:r>
        <w:rPr>
          <w:rFonts w:ascii="Arial" w:hAnsi="Arial" w:cs="Arial"/>
          <w:bCs/>
          <w:iCs/>
          <w:color w:val="000000"/>
          <w:sz w:val="16"/>
          <w:szCs w:val="16"/>
        </w:rPr>
        <w:t xml:space="preserve">is currently not permitted entry into Australia. Consequently, </w:t>
      </w:r>
      <w:r>
        <w:rPr>
          <w:rFonts w:ascii="Arial" w:hAnsi="Arial" w:cs="Arial"/>
          <w:sz w:val="16"/>
          <w:szCs w:val="16"/>
        </w:rPr>
        <w:t xml:space="preserve">V. </w:t>
      </w:r>
      <w:r>
        <w:rPr>
          <w:rFonts w:ascii="Arial" w:hAnsi="Arial" w:cs="Arial"/>
          <w:i/>
          <w:sz w:val="16"/>
          <w:szCs w:val="16"/>
        </w:rPr>
        <w:t>campestris</w:t>
      </w:r>
      <w:r>
        <w:rPr>
          <w:rFonts w:ascii="Arial" w:hAnsi="Arial" w:cs="Arial"/>
          <w:sz w:val="16"/>
          <w:szCs w:val="16"/>
        </w:rPr>
        <w:t xml:space="preserve"> pv.</w:t>
      </w:r>
      <w:r>
        <w:rPr>
          <w:rFonts w:ascii="Arial" w:hAnsi="Arial" w:cs="Arial"/>
          <w:i/>
          <w:sz w:val="16"/>
          <w:szCs w:val="16"/>
        </w:rPr>
        <w:t>vitistrifoliae</w:t>
      </w:r>
      <w:r>
        <w:rPr>
          <w:rFonts w:ascii="Arial" w:hAnsi="Arial" w:cs="Arial"/>
          <w:bCs/>
          <w:iCs/>
          <w:color w:val="000000"/>
          <w:sz w:val="16"/>
          <w:szCs w:val="16"/>
        </w:rPr>
        <w:t xml:space="preserve"> is not </w:t>
      </w:r>
      <w:r>
        <w:rPr>
          <w:rFonts w:ascii="Arial" w:hAnsi="Arial" w:cs="Arial"/>
          <w:sz w:val="16"/>
          <w:szCs w:val="16"/>
        </w:rPr>
        <w:t>on the pathway.</w:t>
      </w:r>
    </w:p>
  </w:footnote>
  <w:footnote w:id="10">
    <w:p>
      <w:pPr>
        <w:autoSpaceDE w:val="0"/>
        <w:autoSpaceDN w:val="0"/>
        <w:spacing w:line="240" w:lineRule="atLeast"/>
        <w:rPr>
          <w:rFonts w:ascii="Arial" w:hAnsi="Arial" w:cs="Arial"/>
        </w:rPr>
      </w:pPr>
      <w:r>
        <w:rPr>
          <w:rStyle w:val="FootnoteReference"/>
        </w:rPr>
        <w:footnoteRef/>
      </w:r>
      <w:r>
        <w:t xml:space="preserve"> </w:t>
      </w:r>
      <w:r>
        <w:rPr>
          <w:rFonts w:ascii="Arial" w:hAnsi="Arial" w:cs="Arial"/>
          <w:bCs/>
          <w:i/>
          <w:iCs/>
          <w:color w:val="000000"/>
          <w:sz w:val="16"/>
          <w:szCs w:val="16"/>
        </w:rPr>
        <w:t xml:space="preserve">Xanthomonas campestris </w:t>
      </w:r>
      <w:r>
        <w:rPr>
          <w:rFonts w:ascii="Arial" w:hAnsi="Arial" w:cs="Arial"/>
          <w:bCs/>
          <w:iCs/>
          <w:color w:val="000000"/>
          <w:sz w:val="16"/>
          <w:szCs w:val="16"/>
        </w:rPr>
        <w:t xml:space="preserve">pv. </w:t>
      </w:r>
      <w:r>
        <w:rPr>
          <w:rFonts w:ascii="Arial" w:hAnsi="Arial" w:cs="Arial"/>
          <w:bCs/>
          <w:i/>
          <w:iCs/>
          <w:color w:val="000000"/>
          <w:sz w:val="16"/>
          <w:szCs w:val="16"/>
        </w:rPr>
        <w:t xml:space="preserve">vitiswoodrowii </w:t>
      </w:r>
      <w:r>
        <w:rPr>
          <w:rFonts w:ascii="Arial" w:hAnsi="Arial" w:cs="Arial"/>
          <w:bCs/>
          <w:iCs/>
          <w:color w:val="000000"/>
          <w:sz w:val="16"/>
          <w:szCs w:val="16"/>
        </w:rPr>
        <w:t xml:space="preserve">attacks </w:t>
      </w:r>
      <w:r>
        <w:rPr>
          <w:rFonts w:ascii="Arial" w:hAnsi="Arial" w:cs="Arial"/>
          <w:bCs/>
          <w:i/>
          <w:iCs/>
          <w:color w:val="000000"/>
          <w:sz w:val="16"/>
          <w:szCs w:val="16"/>
        </w:rPr>
        <w:t>V. woodrowii</w:t>
      </w:r>
      <w:r>
        <w:rPr>
          <w:rFonts w:ascii="Arial" w:hAnsi="Arial" w:cs="Arial"/>
          <w:bCs/>
          <w:iCs/>
          <w:color w:val="000000"/>
          <w:sz w:val="16"/>
          <w:szCs w:val="16"/>
        </w:rPr>
        <w:t>.</w:t>
      </w:r>
      <w:r>
        <w:rPr>
          <w:rFonts w:ascii="Arial" w:hAnsi="Arial" w:cs="Arial"/>
          <w:bCs/>
          <w:i/>
          <w:iCs/>
          <w:color w:val="000000"/>
          <w:sz w:val="16"/>
          <w:szCs w:val="16"/>
        </w:rPr>
        <w:t xml:space="preserve"> Vitis</w:t>
      </w:r>
      <w:r>
        <w:rPr>
          <w:rFonts w:ascii="Arial" w:hAnsi="Arial" w:cs="Arial"/>
          <w:bCs/>
          <w:iCs/>
          <w:color w:val="000000"/>
          <w:sz w:val="16"/>
          <w:szCs w:val="16"/>
        </w:rPr>
        <w:t xml:space="preserve"> </w:t>
      </w:r>
      <w:r>
        <w:rPr>
          <w:rFonts w:ascii="Arial" w:hAnsi="Arial" w:cs="Arial"/>
          <w:bCs/>
          <w:i/>
          <w:iCs/>
          <w:color w:val="000000"/>
          <w:sz w:val="16"/>
          <w:szCs w:val="16"/>
        </w:rPr>
        <w:t xml:space="preserve">woodrowii </w:t>
      </w:r>
      <w:r>
        <w:rPr>
          <w:rFonts w:ascii="Arial" w:hAnsi="Arial" w:cs="Arial"/>
          <w:bCs/>
          <w:iCs/>
          <w:color w:val="000000"/>
          <w:sz w:val="16"/>
          <w:szCs w:val="16"/>
        </w:rPr>
        <w:t xml:space="preserve">is not an important species of </w:t>
      </w:r>
      <w:r>
        <w:rPr>
          <w:rFonts w:ascii="Arial" w:hAnsi="Arial" w:cs="Arial"/>
          <w:bCs/>
          <w:i/>
          <w:iCs/>
          <w:color w:val="000000"/>
          <w:sz w:val="16"/>
          <w:szCs w:val="16"/>
        </w:rPr>
        <w:t xml:space="preserve">Vitis </w:t>
      </w:r>
      <w:r>
        <w:rPr>
          <w:rFonts w:ascii="Arial" w:hAnsi="Arial" w:cs="Arial"/>
          <w:bCs/>
          <w:iCs/>
          <w:color w:val="000000"/>
          <w:sz w:val="16"/>
          <w:szCs w:val="16"/>
        </w:rPr>
        <w:t xml:space="preserve">for commercial viticulture, scion cultivars, rootstocks or in breeding programs and therefore will not be imported into Australia. Additionally, </w:t>
      </w:r>
      <w:r>
        <w:rPr>
          <w:rFonts w:ascii="Arial" w:hAnsi="Arial" w:cs="Arial"/>
          <w:bCs/>
          <w:i/>
          <w:iCs/>
          <w:color w:val="000000"/>
          <w:sz w:val="16"/>
          <w:szCs w:val="16"/>
        </w:rPr>
        <w:t>Vitis</w:t>
      </w:r>
      <w:r>
        <w:rPr>
          <w:rFonts w:ascii="Arial" w:hAnsi="Arial" w:cs="Arial"/>
          <w:bCs/>
          <w:iCs/>
          <w:color w:val="000000"/>
          <w:sz w:val="16"/>
          <w:szCs w:val="16"/>
        </w:rPr>
        <w:t xml:space="preserve"> </w:t>
      </w:r>
      <w:r>
        <w:rPr>
          <w:rFonts w:ascii="Arial" w:hAnsi="Arial" w:cs="Arial"/>
          <w:bCs/>
          <w:i/>
          <w:iCs/>
          <w:color w:val="000000"/>
          <w:sz w:val="16"/>
          <w:szCs w:val="16"/>
        </w:rPr>
        <w:t xml:space="preserve">woodrowii </w:t>
      </w:r>
      <w:r>
        <w:rPr>
          <w:rFonts w:ascii="Arial" w:hAnsi="Arial" w:cs="Arial"/>
          <w:bCs/>
          <w:iCs/>
          <w:color w:val="000000"/>
          <w:sz w:val="16"/>
          <w:szCs w:val="16"/>
        </w:rPr>
        <w:t xml:space="preserve">is currently not permitted entry into Australia. Consequently, </w:t>
      </w:r>
      <w:r>
        <w:rPr>
          <w:rFonts w:ascii="Arial" w:hAnsi="Arial" w:cs="Arial"/>
          <w:sz w:val="16"/>
          <w:szCs w:val="16"/>
        </w:rPr>
        <w:t xml:space="preserve">V. </w:t>
      </w:r>
      <w:r>
        <w:rPr>
          <w:rFonts w:ascii="Arial" w:hAnsi="Arial" w:cs="Arial"/>
          <w:i/>
          <w:sz w:val="16"/>
          <w:szCs w:val="16"/>
        </w:rPr>
        <w:t>campestris</w:t>
      </w:r>
      <w:r>
        <w:rPr>
          <w:rFonts w:ascii="Arial" w:hAnsi="Arial" w:cs="Arial"/>
          <w:sz w:val="16"/>
          <w:szCs w:val="16"/>
        </w:rPr>
        <w:t xml:space="preserve"> pv.</w:t>
      </w:r>
      <w:r>
        <w:rPr>
          <w:rFonts w:ascii="Arial" w:hAnsi="Arial" w:cs="Arial"/>
          <w:i/>
          <w:sz w:val="16"/>
          <w:szCs w:val="16"/>
        </w:rPr>
        <w:t>vitis</w:t>
      </w:r>
      <w:r>
        <w:rPr>
          <w:rFonts w:ascii="Arial" w:hAnsi="Arial" w:cs="Arial"/>
          <w:bCs/>
          <w:i/>
          <w:iCs/>
          <w:color w:val="000000"/>
          <w:sz w:val="16"/>
          <w:szCs w:val="16"/>
        </w:rPr>
        <w:t>woodrowii</w:t>
      </w:r>
      <w:r>
        <w:rPr>
          <w:rFonts w:ascii="Arial" w:hAnsi="Arial" w:cs="Arial"/>
          <w:bCs/>
          <w:iCs/>
          <w:color w:val="000000"/>
          <w:sz w:val="16"/>
          <w:szCs w:val="16"/>
        </w:rPr>
        <w:t xml:space="preserve"> is not </w:t>
      </w:r>
      <w:r>
        <w:rPr>
          <w:rFonts w:ascii="Arial" w:hAnsi="Arial" w:cs="Arial"/>
          <w:sz w:val="16"/>
          <w:szCs w:val="16"/>
        </w:rPr>
        <w:t>on the pathway.</w:t>
      </w:r>
    </w:p>
  </w:footnote>
  <w:footnote w:id="11">
    <w:p>
      <w:pPr>
        <w:autoSpaceDE w:val="0"/>
        <w:autoSpaceDN w:val="0"/>
        <w:spacing w:line="240" w:lineRule="atLeast"/>
        <w:rPr>
          <w:rFonts w:ascii="Arial" w:hAnsi="Arial" w:cs="Arial"/>
          <w:sz w:val="16"/>
          <w:szCs w:val="16"/>
        </w:rPr>
      </w:pPr>
      <w:r>
        <w:rPr>
          <w:rStyle w:val="FootnoteReference"/>
          <w:sz w:val="16"/>
          <w:szCs w:val="16"/>
        </w:rPr>
        <w:footnoteRef/>
      </w:r>
      <w:r>
        <w:rPr>
          <w:rFonts w:ascii="Arial" w:hAnsi="Arial" w:cs="Arial"/>
          <w:sz w:val="16"/>
          <w:szCs w:val="16"/>
        </w:rPr>
        <w:t xml:space="preserve"> </w:t>
      </w:r>
      <w:r>
        <w:rPr>
          <w:rFonts w:ascii="Arial" w:hAnsi="Arial" w:cs="Arial"/>
          <w:sz w:val="16"/>
          <w:szCs w:val="16"/>
          <w:lang w:eastAsia="en-AU"/>
        </w:rPr>
        <w:t xml:space="preserve">Strains of this bacterium are the causal agent of phony peach disease (PPD), plum leaf scald, Pierce's disease (PD) of grapes, citrus variegated chlorosis (CVC) and leaf scorch of almond, coffee, elm, oak, oleander pear, and sycamore (Mizell </w:t>
      </w:r>
      <w:r>
        <w:rPr>
          <w:rFonts w:ascii="Arial" w:hAnsi="Arial" w:cs="Arial"/>
          <w:i/>
          <w:sz w:val="16"/>
          <w:szCs w:val="16"/>
          <w:lang w:eastAsia="en-AU"/>
        </w:rPr>
        <w:t>et al</w:t>
      </w:r>
      <w:r>
        <w:rPr>
          <w:rFonts w:ascii="Arial" w:hAnsi="Arial" w:cs="Arial"/>
          <w:sz w:val="16"/>
          <w:szCs w:val="16"/>
          <w:lang w:eastAsia="en-AU"/>
        </w:rPr>
        <w:t xml:space="preserve">. 2008). Only information on Pierce's disease (PD) grape strain has been used in this section. </w:t>
      </w:r>
    </w:p>
  </w:footnote>
  <w:footnote w:id="12">
    <w:p>
      <w:pPr>
        <w:pStyle w:val="FootnoteText"/>
        <w:rPr>
          <w:rFonts w:ascii="Helvetica" w:hAnsi="Helvetica" w:cs="Helvetica"/>
          <w:szCs w:val="18"/>
        </w:rPr>
      </w:pPr>
      <w:r>
        <w:rPr>
          <w:rStyle w:val="FootnoteReference"/>
        </w:rPr>
        <w:footnoteRef/>
      </w:r>
      <w:r>
        <w:t xml:space="preserve"> </w:t>
      </w:r>
      <w:r>
        <w:rPr>
          <w:rFonts w:ascii="Helvetica" w:hAnsi="Helvetica" w:cs="Helvetica"/>
          <w:i/>
          <w:szCs w:val="18"/>
        </w:rPr>
        <w:t>Fomitporia punctata</w:t>
      </w:r>
      <w:r>
        <w:rPr>
          <w:rFonts w:ascii="Helvetica" w:hAnsi="Helvetica" w:cs="Helvetica"/>
          <w:szCs w:val="18"/>
        </w:rPr>
        <w:t xml:space="preserve"> has been mentioned in literature as being associated with grapevines however, these records of </w:t>
      </w:r>
      <w:r>
        <w:rPr>
          <w:rFonts w:ascii="Helvetica" w:hAnsi="Helvetica" w:cs="Helvetica"/>
          <w:i/>
          <w:szCs w:val="18"/>
        </w:rPr>
        <w:t>Fomitiporia punctata</w:t>
      </w:r>
      <w:r>
        <w:rPr>
          <w:rFonts w:ascii="Helvetica" w:hAnsi="Helvetica" w:cs="Helvetica"/>
          <w:szCs w:val="18"/>
        </w:rPr>
        <w:t xml:space="preserve"> on grapevine have more recently been attributed to </w:t>
      </w:r>
      <w:r>
        <w:rPr>
          <w:rFonts w:ascii="Helvetica" w:hAnsi="Helvetica" w:cs="Helvetica"/>
          <w:i/>
          <w:szCs w:val="18"/>
        </w:rPr>
        <w:t>Fomitiporia mediterranea</w:t>
      </w:r>
      <w:r>
        <w:rPr>
          <w:rFonts w:ascii="Helvetica" w:hAnsi="Helvetica" w:cs="Helvetica"/>
          <w:szCs w:val="18"/>
        </w:rPr>
        <w:t xml:space="preserve"> (Fischer 2002); grapevine is no longer considered a host of this species.</w:t>
      </w:r>
    </w:p>
  </w:footnote>
  <w:footnote w:id="13">
    <w:p>
      <w:pPr>
        <w:pStyle w:val="FootnoteText"/>
      </w:pPr>
      <w:r>
        <w:rPr>
          <w:rStyle w:val="FootnoteReference"/>
        </w:rPr>
        <w:footnoteRef/>
      </w:r>
      <w:r>
        <w:t xml:space="preserve"> </w:t>
      </w:r>
      <w:r>
        <w:rPr>
          <w:sz w:val="16"/>
          <w:szCs w:val="16"/>
        </w:rPr>
        <w:t xml:space="preserve">Listed as </w:t>
      </w:r>
      <w:r>
        <w:rPr>
          <w:i/>
          <w:sz w:val="16"/>
          <w:szCs w:val="16"/>
        </w:rPr>
        <w:t>Phoma vitis</w:t>
      </w:r>
      <w:r>
        <w:rPr>
          <w:sz w:val="16"/>
          <w:szCs w:val="16"/>
        </w:rPr>
        <w:t xml:space="preserve"> (Shivas 1989)</w:t>
      </w:r>
    </w:p>
  </w:footnote>
  <w:footnote w:id="14">
    <w:p>
      <w:pPr>
        <w:autoSpaceDE w:val="0"/>
        <w:autoSpaceDN w:val="0"/>
        <w:spacing w:before="40" w:line="240" w:lineRule="atLeast"/>
        <w:jc w:val="left"/>
        <w:rPr>
          <w:rFonts w:ascii="Helvetica" w:hAnsi="Helvetica" w:cs="Helvetica"/>
          <w:sz w:val="16"/>
          <w:szCs w:val="16"/>
        </w:rPr>
      </w:pPr>
      <w:r>
        <w:rPr>
          <w:rStyle w:val="FootnoteReference"/>
          <w:sz w:val="16"/>
          <w:szCs w:val="16"/>
        </w:rPr>
        <w:footnoteRef/>
      </w:r>
      <w:r>
        <w:rPr>
          <w:sz w:val="16"/>
          <w:szCs w:val="16"/>
        </w:rPr>
        <w:t xml:space="preserve"> </w:t>
      </w:r>
      <w:r>
        <w:rPr>
          <w:rFonts w:ascii="Helvetica" w:hAnsi="Helvetica" w:cs="Helvetica"/>
          <w:sz w:val="16"/>
          <w:szCs w:val="16"/>
        </w:rPr>
        <w:t xml:space="preserve">Taxonomy of this genus has been repeatedly reviewed, with new species described in recent years. Several species of </w:t>
      </w:r>
      <w:r>
        <w:rPr>
          <w:rFonts w:ascii="Helvetica" w:hAnsi="Helvetica" w:cs="Helvetica"/>
          <w:i/>
          <w:sz w:val="16"/>
          <w:szCs w:val="16"/>
        </w:rPr>
        <w:t>Phaeoacremonium</w:t>
      </w:r>
      <w:r>
        <w:rPr>
          <w:rFonts w:ascii="Helvetica" w:hAnsi="Helvetica" w:cs="Helvetica"/>
          <w:sz w:val="16"/>
          <w:szCs w:val="16"/>
        </w:rPr>
        <w:t xml:space="preserve"> have been isolated from grapevines, although their pathogenicity has not been demonstrated for all of them (Aroca and Raposo 2009). Four species (</w:t>
      </w:r>
      <w:r>
        <w:rPr>
          <w:rFonts w:ascii="Helvetica" w:hAnsi="Helvetica" w:cs="Helvetica"/>
          <w:i/>
          <w:sz w:val="16"/>
          <w:szCs w:val="16"/>
        </w:rPr>
        <w:t>P. aleophilum, P. angustius, P. inflatipes</w:t>
      </w:r>
      <w:r>
        <w:rPr>
          <w:rFonts w:ascii="Helvetica" w:hAnsi="Helvetica" w:cs="Helvetica"/>
          <w:sz w:val="16"/>
          <w:szCs w:val="16"/>
        </w:rPr>
        <w:t xml:space="preserve">, and </w:t>
      </w:r>
      <w:r>
        <w:rPr>
          <w:rFonts w:ascii="Helvetica" w:hAnsi="Helvetica" w:cs="Helvetica"/>
          <w:i/>
          <w:sz w:val="16"/>
          <w:szCs w:val="16"/>
        </w:rPr>
        <w:t>P. parasiticum</w:t>
      </w:r>
      <w:r>
        <w:rPr>
          <w:rFonts w:ascii="Helvetica" w:hAnsi="Helvetica" w:cs="Helvetica"/>
          <w:sz w:val="16"/>
          <w:szCs w:val="16"/>
        </w:rPr>
        <w:t xml:space="preserve">) were described based on morphological and cultural characteristics (Crous </w:t>
      </w:r>
      <w:r>
        <w:rPr>
          <w:rFonts w:ascii="Helvetica" w:hAnsi="Helvetica" w:cs="Helvetica"/>
          <w:i/>
          <w:sz w:val="16"/>
          <w:szCs w:val="16"/>
        </w:rPr>
        <w:t>et al</w:t>
      </w:r>
      <w:r>
        <w:rPr>
          <w:rFonts w:ascii="Helvetica" w:hAnsi="Helvetica" w:cs="Helvetica"/>
          <w:sz w:val="16"/>
          <w:szCs w:val="16"/>
        </w:rPr>
        <w:t>. 1996). Two additional species (</w:t>
      </w:r>
      <w:r>
        <w:rPr>
          <w:rFonts w:ascii="Helvetica" w:hAnsi="Helvetica" w:cs="Helvetica"/>
          <w:i/>
          <w:sz w:val="16"/>
          <w:szCs w:val="16"/>
        </w:rPr>
        <w:t xml:space="preserve">P. viticola </w:t>
      </w:r>
      <w:r>
        <w:rPr>
          <w:rFonts w:ascii="Helvetica" w:hAnsi="Helvetica" w:cs="Helvetica"/>
          <w:sz w:val="16"/>
          <w:szCs w:val="16"/>
        </w:rPr>
        <w:t xml:space="preserve">and </w:t>
      </w:r>
      <w:r>
        <w:rPr>
          <w:rFonts w:ascii="Helvetica" w:hAnsi="Helvetica" w:cs="Helvetica"/>
          <w:i/>
          <w:sz w:val="16"/>
          <w:szCs w:val="16"/>
        </w:rPr>
        <w:t>P. mortoniae</w:t>
      </w:r>
      <w:r>
        <w:rPr>
          <w:rFonts w:ascii="Helvetica" w:hAnsi="Helvetica" w:cs="Helvetica"/>
          <w:sz w:val="16"/>
          <w:szCs w:val="16"/>
        </w:rPr>
        <w:t xml:space="preserve">) were described based on phenotypic characters, the internal transcribed spacer (ITS) regions 1 and 2, the 5.8S rDNA (Dupont </w:t>
      </w:r>
      <w:r>
        <w:rPr>
          <w:rFonts w:ascii="Helvetica" w:hAnsi="Helvetica" w:cs="Helvetica"/>
          <w:i/>
          <w:sz w:val="16"/>
          <w:szCs w:val="16"/>
        </w:rPr>
        <w:t>et al</w:t>
      </w:r>
      <w:r>
        <w:rPr>
          <w:rFonts w:ascii="Helvetica" w:hAnsi="Helvetica" w:cs="Helvetica"/>
          <w:sz w:val="16"/>
          <w:szCs w:val="16"/>
        </w:rPr>
        <w:t xml:space="preserve">. 2000) and the b-tubulin gene (Groenewald </w:t>
      </w:r>
      <w:r>
        <w:rPr>
          <w:rFonts w:ascii="Helvetica" w:hAnsi="Helvetica" w:cs="Helvetica"/>
          <w:i/>
          <w:sz w:val="16"/>
          <w:szCs w:val="16"/>
        </w:rPr>
        <w:t>et al</w:t>
      </w:r>
      <w:r>
        <w:rPr>
          <w:rFonts w:ascii="Helvetica" w:hAnsi="Helvetica" w:cs="Helvetica"/>
          <w:sz w:val="16"/>
          <w:szCs w:val="16"/>
        </w:rPr>
        <w:t>. 2001). Subsequent studies based on actin and calmodulin gene regions identified seven additional species (</w:t>
      </w:r>
      <w:r>
        <w:rPr>
          <w:rFonts w:ascii="Helvetica" w:hAnsi="Helvetica" w:cs="Helvetica"/>
          <w:i/>
          <w:sz w:val="16"/>
          <w:szCs w:val="16"/>
        </w:rPr>
        <w:t>P. australiense, P. austroafricanum, P. iranianum, P. krajdenii, P. scolyti, P. subulatum, P. venezuelense</w:t>
      </w:r>
      <w:r>
        <w:rPr>
          <w:rFonts w:ascii="Helvetica" w:hAnsi="Helvetica" w:cs="Helvetica"/>
          <w:sz w:val="16"/>
          <w:szCs w:val="16"/>
        </w:rPr>
        <w:t xml:space="preserve">) from grapevines (Mostert </w:t>
      </w:r>
      <w:r>
        <w:rPr>
          <w:rFonts w:ascii="Helvetica" w:hAnsi="Helvetica" w:cs="Helvetica"/>
          <w:i/>
          <w:sz w:val="16"/>
          <w:szCs w:val="16"/>
        </w:rPr>
        <w:t>et al.</w:t>
      </w:r>
      <w:r>
        <w:rPr>
          <w:rFonts w:ascii="Helvetica" w:hAnsi="Helvetica" w:cs="Helvetica"/>
          <w:sz w:val="16"/>
          <w:szCs w:val="16"/>
        </w:rPr>
        <w:t xml:space="preserve"> 2005, 2006b). Recently, four more species of </w:t>
      </w:r>
      <w:r>
        <w:rPr>
          <w:rFonts w:ascii="Helvetica" w:hAnsi="Helvetica" w:cs="Helvetica"/>
          <w:i/>
          <w:sz w:val="16"/>
          <w:szCs w:val="16"/>
        </w:rPr>
        <w:t>Phaeoacremonium</w:t>
      </w:r>
      <w:r>
        <w:rPr>
          <w:rFonts w:ascii="Helvetica" w:hAnsi="Helvetica" w:cs="Helvetica"/>
          <w:sz w:val="16"/>
          <w:szCs w:val="16"/>
        </w:rPr>
        <w:t xml:space="preserve"> (</w:t>
      </w:r>
      <w:r>
        <w:rPr>
          <w:rFonts w:ascii="Helvetica" w:hAnsi="Helvetica" w:cs="Helvetica"/>
          <w:i/>
          <w:sz w:val="16"/>
          <w:szCs w:val="16"/>
        </w:rPr>
        <w:t>P. croatiense, P. hungaricum, P. sicilianum, P. tuscanum</w:t>
      </w:r>
      <w:r>
        <w:rPr>
          <w:rFonts w:ascii="Helvetica" w:hAnsi="Helvetica" w:cs="Helvetica"/>
          <w:sz w:val="16"/>
          <w:szCs w:val="16"/>
        </w:rPr>
        <w:t xml:space="preserve">) from grapevine has been described (Essakhi </w:t>
      </w:r>
      <w:r>
        <w:rPr>
          <w:rFonts w:ascii="Helvetica" w:hAnsi="Helvetica" w:cs="Helvetica"/>
          <w:i/>
          <w:sz w:val="16"/>
          <w:szCs w:val="16"/>
        </w:rPr>
        <w:t>et al</w:t>
      </w:r>
      <w:r>
        <w:rPr>
          <w:rFonts w:ascii="Helvetica" w:hAnsi="Helvetica" w:cs="Helvetica"/>
          <w:sz w:val="16"/>
          <w:szCs w:val="16"/>
        </w:rPr>
        <w:t xml:space="preserve">. 2008). Additionally, three more species of </w:t>
      </w:r>
      <w:r>
        <w:rPr>
          <w:rFonts w:ascii="Helvetica" w:hAnsi="Helvetica" w:cs="Helvetica"/>
          <w:i/>
          <w:sz w:val="16"/>
          <w:szCs w:val="16"/>
        </w:rPr>
        <w:t>Phaeoacremonium</w:t>
      </w:r>
      <w:r>
        <w:rPr>
          <w:rFonts w:ascii="Helvetica" w:hAnsi="Helvetica" w:cs="Helvetica"/>
          <w:sz w:val="16"/>
          <w:szCs w:val="16"/>
        </w:rPr>
        <w:t xml:space="preserve"> (</w:t>
      </w:r>
      <w:r>
        <w:rPr>
          <w:rFonts w:ascii="Helvetica" w:hAnsi="Helvetica" w:cs="Helvetica"/>
          <w:i/>
          <w:sz w:val="16"/>
          <w:szCs w:val="16"/>
        </w:rPr>
        <w:t>P. alvesii, P. griseorubrum, P. rubrigenum</w:t>
      </w:r>
      <w:r>
        <w:rPr>
          <w:rFonts w:ascii="Helvetica" w:hAnsi="Helvetica" w:cs="Helvetica"/>
          <w:sz w:val="16"/>
          <w:szCs w:val="16"/>
        </w:rPr>
        <w:t xml:space="preserve">) previously known from humans have been reported on grapevines (Essakhi </w:t>
      </w:r>
      <w:r>
        <w:rPr>
          <w:rFonts w:ascii="Helvetica" w:hAnsi="Helvetica" w:cs="Helvetica"/>
          <w:i/>
          <w:sz w:val="16"/>
          <w:szCs w:val="16"/>
        </w:rPr>
        <w:t>et al</w:t>
      </w:r>
      <w:r>
        <w:rPr>
          <w:rFonts w:ascii="Helvetica" w:hAnsi="Helvetica" w:cs="Helvetica"/>
          <w:sz w:val="16"/>
          <w:szCs w:val="16"/>
        </w:rPr>
        <w:t>. 2008). More recently two species (</w:t>
      </w:r>
      <w:r>
        <w:rPr>
          <w:rFonts w:ascii="Helvetica" w:hAnsi="Helvetica" w:cs="Helvetica"/>
          <w:i/>
          <w:sz w:val="16"/>
          <w:szCs w:val="16"/>
        </w:rPr>
        <w:t>P. ciner</w:t>
      </w:r>
      <w:smartTag w:uri="urn:schemas-microsoft-com:office:smarttags" w:element="PersonName">
        <w:r>
          <w:rPr>
            <w:rFonts w:ascii="Helvetica" w:hAnsi="Helvetica" w:cs="Helvetica"/>
            <w:i/>
            <w:sz w:val="16"/>
            <w:szCs w:val="16"/>
          </w:rPr>
          <w:t>eu</w:t>
        </w:r>
      </w:smartTag>
      <w:r>
        <w:rPr>
          <w:rFonts w:ascii="Helvetica" w:hAnsi="Helvetica" w:cs="Helvetica"/>
          <w:i/>
          <w:sz w:val="16"/>
          <w:szCs w:val="16"/>
        </w:rPr>
        <w:t>m, P. hispanicum</w:t>
      </w:r>
      <w:r>
        <w:rPr>
          <w:rFonts w:ascii="Helvetica" w:hAnsi="Helvetica" w:cs="Helvetica"/>
          <w:sz w:val="16"/>
          <w:szCs w:val="16"/>
        </w:rPr>
        <w:t xml:space="preserve">) have been identified based on combined DNA sequences of the actin and b-tubulin genes (Gramaje </w:t>
      </w:r>
      <w:r>
        <w:rPr>
          <w:rFonts w:ascii="Helvetica" w:hAnsi="Helvetica" w:cs="Helvetica"/>
          <w:i/>
          <w:sz w:val="16"/>
          <w:szCs w:val="16"/>
        </w:rPr>
        <w:t>et al.</w:t>
      </w:r>
      <w:r>
        <w:rPr>
          <w:rFonts w:ascii="Helvetica" w:hAnsi="Helvetica" w:cs="Helvetica"/>
          <w:sz w:val="16"/>
          <w:szCs w:val="16"/>
        </w:rPr>
        <w:t xml:space="preserve"> 2009a). </w:t>
      </w:r>
      <w:r>
        <w:rPr>
          <w:rFonts w:ascii="Helvetica" w:hAnsi="Helvetica" w:cs="Helvetica"/>
          <w:i/>
          <w:sz w:val="16"/>
          <w:szCs w:val="16"/>
        </w:rPr>
        <w:t>Phaeoacremonium</w:t>
      </w:r>
      <w:r>
        <w:rPr>
          <w:rFonts w:ascii="Helvetica" w:hAnsi="Helvetica" w:cs="Helvetica"/>
          <w:sz w:val="16"/>
          <w:szCs w:val="16"/>
        </w:rPr>
        <w:t xml:space="preserve"> species occur as part of a disease complex with </w:t>
      </w:r>
      <w:r>
        <w:rPr>
          <w:rFonts w:ascii="Helvetica" w:hAnsi="Helvetica" w:cs="Helvetica"/>
          <w:bCs/>
          <w:i/>
          <w:sz w:val="16"/>
          <w:szCs w:val="16"/>
        </w:rPr>
        <w:t>Phaeomoniella</w:t>
      </w:r>
      <w:r>
        <w:rPr>
          <w:rFonts w:ascii="Helvetica" w:hAnsi="Helvetica" w:cs="Helvetica"/>
          <w:i/>
          <w:sz w:val="16"/>
          <w:szCs w:val="16"/>
        </w:rPr>
        <w:t xml:space="preserve"> chlamydospora</w:t>
      </w:r>
      <w:r>
        <w:rPr>
          <w:rFonts w:ascii="Helvetica" w:hAnsi="Helvetica" w:cs="Helvetica"/>
          <w:sz w:val="16"/>
          <w:szCs w:val="16"/>
        </w:rPr>
        <w:t xml:space="preserve"> causing Petri disease in younger vines and with several basidiomycete species causing esca in older vines (Mugnai </w:t>
      </w:r>
      <w:r>
        <w:rPr>
          <w:rFonts w:ascii="Helvetica" w:hAnsi="Helvetica" w:cs="Helvetica"/>
          <w:i/>
          <w:sz w:val="16"/>
          <w:szCs w:val="16"/>
        </w:rPr>
        <w:t>et al</w:t>
      </w:r>
      <w:r>
        <w:rPr>
          <w:rFonts w:ascii="Helvetica" w:hAnsi="Helvetica" w:cs="Helvetica"/>
          <w:sz w:val="16"/>
          <w:szCs w:val="16"/>
        </w:rPr>
        <w:t>. 1999, Edwards and Pascoe 2004, Fischer 2006).</w:t>
      </w:r>
    </w:p>
  </w:footnote>
  <w:footnote w:id="15">
    <w:p>
      <w:pPr>
        <w:autoSpaceDE w:val="0"/>
        <w:autoSpaceDN w:val="0"/>
        <w:spacing w:line="240" w:lineRule="atLeast"/>
        <w:rPr>
          <w:rFonts w:ascii="Helvetica" w:hAnsi="Helvetica" w:cs="Helvetica"/>
          <w:sz w:val="16"/>
          <w:szCs w:val="16"/>
        </w:rPr>
      </w:pPr>
      <w:r>
        <w:rPr>
          <w:rStyle w:val="FootnoteReference"/>
        </w:rPr>
        <w:footnoteRef/>
      </w:r>
      <w:r>
        <w:rPr>
          <w:rFonts w:ascii="Helvetica" w:hAnsi="Helvetica" w:cs="Helvetica"/>
          <w:szCs w:val="18"/>
        </w:rPr>
        <w:t xml:space="preserve"> </w:t>
      </w:r>
      <w:r>
        <w:rPr>
          <w:rFonts w:ascii="Helvetica" w:hAnsi="Helvetica" w:cs="Helvetica"/>
          <w:sz w:val="16"/>
          <w:szCs w:val="16"/>
        </w:rPr>
        <w:t xml:space="preserve">Recent taxonomic studies partly clarified the situation of </w:t>
      </w:r>
      <w:r>
        <w:rPr>
          <w:rFonts w:ascii="Helvetica" w:hAnsi="Helvetica" w:cs="Helvetica"/>
          <w:i/>
          <w:sz w:val="16"/>
          <w:szCs w:val="16"/>
        </w:rPr>
        <w:t>Phakopsora</w:t>
      </w:r>
      <w:r>
        <w:rPr>
          <w:rFonts w:ascii="Helvetica" w:hAnsi="Helvetica" w:cs="Helvetica"/>
          <w:sz w:val="16"/>
          <w:szCs w:val="16"/>
        </w:rPr>
        <w:t xml:space="preserve"> species causing grapevine rust.</w:t>
      </w:r>
      <w:r>
        <w:rPr>
          <w:rFonts w:ascii="Helvetica" w:hAnsi="Helvetica" w:cs="Helvetica"/>
          <w:i/>
          <w:sz w:val="16"/>
          <w:szCs w:val="16"/>
        </w:rPr>
        <w:t xml:space="preserve"> Phakopsora ampelopsidis</w:t>
      </w:r>
      <w:r>
        <w:rPr>
          <w:rFonts w:ascii="Helvetica" w:hAnsi="Helvetica" w:cs="Helvetica"/>
          <w:sz w:val="16"/>
          <w:szCs w:val="16"/>
        </w:rPr>
        <w:t xml:space="preserve"> was previously identified as the pathogen causing grape leaf rust of </w:t>
      </w:r>
      <w:r>
        <w:rPr>
          <w:rFonts w:ascii="Helvetica" w:hAnsi="Helvetica" w:cs="Helvetica"/>
          <w:i/>
          <w:sz w:val="16"/>
          <w:szCs w:val="16"/>
        </w:rPr>
        <w:t xml:space="preserve">Vitis </w:t>
      </w:r>
      <w:r>
        <w:rPr>
          <w:rFonts w:ascii="Helvetica" w:hAnsi="Helvetica" w:cs="Helvetica"/>
          <w:sz w:val="16"/>
          <w:szCs w:val="16"/>
        </w:rPr>
        <w:t xml:space="preserve">spp., </w:t>
      </w:r>
      <w:r>
        <w:rPr>
          <w:rFonts w:ascii="Helvetica" w:hAnsi="Helvetica" w:cs="Helvetica"/>
          <w:i/>
          <w:sz w:val="16"/>
          <w:szCs w:val="16"/>
        </w:rPr>
        <w:t>Amelopsis brevipendunculata</w:t>
      </w:r>
      <w:r>
        <w:rPr>
          <w:rFonts w:ascii="Helvetica" w:hAnsi="Helvetica" w:cs="Helvetica"/>
          <w:sz w:val="16"/>
          <w:szCs w:val="16"/>
        </w:rPr>
        <w:t xml:space="preserve"> and </w:t>
      </w:r>
      <w:r>
        <w:rPr>
          <w:rFonts w:ascii="Helvetica" w:hAnsi="Helvetica" w:cs="Helvetica"/>
          <w:i/>
          <w:sz w:val="16"/>
          <w:szCs w:val="16"/>
        </w:rPr>
        <w:t xml:space="preserve">Parthenocissus tricuspidata </w:t>
      </w:r>
      <w:r>
        <w:rPr>
          <w:rFonts w:ascii="Helvetica" w:hAnsi="Helvetica" w:cs="Helvetica"/>
          <w:sz w:val="16"/>
          <w:szCs w:val="16"/>
        </w:rPr>
        <w:t xml:space="preserve">(Hiratsuka 1935 cited in Hennessy </w:t>
      </w:r>
      <w:r>
        <w:rPr>
          <w:rFonts w:ascii="Helvetica" w:hAnsi="Helvetica" w:cs="Helvetica"/>
          <w:i/>
          <w:sz w:val="16"/>
          <w:szCs w:val="16"/>
        </w:rPr>
        <w:t>et al</w:t>
      </w:r>
      <w:r>
        <w:rPr>
          <w:rFonts w:ascii="Helvetica" w:hAnsi="Helvetica" w:cs="Helvetica"/>
          <w:sz w:val="16"/>
          <w:szCs w:val="16"/>
        </w:rPr>
        <w:t xml:space="preserve">. 2007). However, recent studies based on differences in host specificity, lifecycle and morphology of </w:t>
      </w:r>
      <w:r>
        <w:rPr>
          <w:rFonts w:ascii="Helvetica" w:hAnsi="Helvetica" w:cs="Helvetica"/>
          <w:i/>
          <w:sz w:val="16"/>
          <w:szCs w:val="16"/>
        </w:rPr>
        <w:t xml:space="preserve">Phakopsora ampelopsidis </w:t>
      </w:r>
      <w:r>
        <w:rPr>
          <w:rFonts w:ascii="Helvetica" w:hAnsi="Helvetica" w:cs="Helvetica"/>
          <w:sz w:val="16"/>
          <w:szCs w:val="16"/>
        </w:rPr>
        <w:t xml:space="preserve">isolated from these hosts indicated that this fungus consists of three taxonomically distinct species (Ono 2000). </w:t>
      </w:r>
      <w:r>
        <w:rPr>
          <w:rFonts w:ascii="Helvetica" w:hAnsi="Helvetica" w:cs="Helvetica"/>
          <w:i/>
          <w:sz w:val="16"/>
          <w:szCs w:val="16"/>
        </w:rPr>
        <w:t>Phakopsora ampelopsidis</w:t>
      </w:r>
      <w:r>
        <w:rPr>
          <w:rFonts w:ascii="Helvetica" w:hAnsi="Helvetica" w:cs="Helvetica"/>
          <w:sz w:val="16"/>
          <w:szCs w:val="16"/>
        </w:rPr>
        <w:t xml:space="preserve"> and </w:t>
      </w:r>
      <w:r>
        <w:rPr>
          <w:rFonts w:ascii="Helvetica" w:hAnsi="Helvetica" w:cs="Helvetica"/>
          <w:i/>
          <w:sz w:val="16"/>
          <w:szCs w:val="16"/>
        </w:rPr>
        <w:t>Phakopsora vitis</w:t>
      </w:r>
      <w:r>
        <w:rPr>
          <w:rFonts w:ascii="Helvetica" w:hAnsi="Helvetica" w:cs="Helvetica"/>
          <w:sz w:val="16"/>
          <w:szCs w:val="16"/>
        </w:rPr>
        <w:t xml:space="preserve"> are host specific and occur on </w:t>
      </w:r>
      <w:r>
        <w:rPr>
          <w:rFonts w:ascii="Helvetica" w:hAnsi="Helvetica" w:cs="Helvetica"/>
          <w:i/>
          <w:sz w:val="16"/>
          <w:szCs w:val="16"/>
        </w:rPr>
        <w:t>Ampelopsis brevipendunculata</w:t>
      </w:r>
      <w:r>
        <w:rPr>
          <w:rFonts w:ascii="Helvetica" w:hAnsi="Helvetica" w:cs="Helvetica"/>
          <w:sz w:val="16"/>
          <w:szCs w:val="16"/>
        </w:rPr>
        <w:t xml:space="preserve"> and </w:t>
      </w:r>
      <w:r>
        <w:rPr>
          <w:rFonts w:ascii="Helvetica" w:hAnsi="Helvetica" w:cs="Helvetica"/>
          <w:i/>
          <w:sz w:val="16"/>
          <w:szCs w:val="16"/>
        </w:rPr>
        <w:t>Parthenocissus tricuspidata</w:t>
      </w:r>
      <w:r>
        <w:rPr>
          <w:rFonts w:ascii="Helvetica" w:hAnsi="Helvetica" w:cs="Helvetica"/>
          <w:sz w:val="16"/>
          <w:szCs w:val="16"/>
        </w:rPr>
        <w:t xml:space="preserve"> respectively (Hennessy </w:t>
      </w:r>
      <w:r>
        <w:rPr>
          <w:rFonts w:ascii="Helvetica" w:hAnsi="Helvetica" w:cs="Helvetica"/>
          <w:i/>
          <w:sz w:val="16"/>
          <w:szCs w:val="16"/>
        </w:rPr>
        <w:t>et al</w:t>
      </w:r>
      <w:r>
        <w:rPr>
          <w:rFonts w:ascii="Helvetica" w:hAnsi="Helvetica" w:cs="Helvetica"/>
          <w:sz w:val="16"/>
          <w:szCs w:val="16"/>
        </w:rPr>
        <w:t xml:space="preserve">. 2007). Therefore </w:t>
      </w:r>
      <w:r>
        <w:rPr>
          <w:rFonts w:ascii="Helvetica" w:hAnsi="Helvetica" w:cs="Helvetica"/>
          <w:i/>
          <w:sz w:val="16"/>
          <w:szCs w:val="16"/>
        </w:rPr>
        <w:t xml:space="preserve">Phakopsora ampelopsidis </w:t>
      </w:r>
      <w:r>
        <w:rPr>
          <w:rFonts w:ascii="Helvetica" w:hAnsi="Helvetica" w:cs="Helvetica"/>
          <w:sz w:val="16"/>
          <w:szCs w:val="16"/>
        </w:rPr>
        <w:t xml:space="preserve">is not considered in this assessment. Based on the work by Ono (2000), the records of </w:t>
      </w:r>
      <w:r>
        <w:rPr>
          <w:rFonts w:ascii="Helvetica" w:hAnsi="Helvetica" w:cs="Helvetica"/>
          <w:i/>
          <w:sz w:val="16"/>
          <w:szCs w:val="16"/>
        </w:rPr>
        <w:t>P. ampelopsidis</w:t>
      </w:r>
      <w:r>
        <w:rPr>
          <w:rFonts w:ascii="Helvetica" w:hAnsi="Helvetica" w:cs="Helvetica"/>
          <w:sz w:val="16"/>
          <w:szCs w:val="16"/>
        </w:rPr>
        <w:t xml:space="preserve"> on </w:t>
      </w:r>
      <w:r>
        <w:rPr>
          <w:rFonts w:ascii="Helvetica" w:hAnsi="Helvetica" w:cs="Helvetica"/>
          <w:i/>
          <w:sz w:val="16"/>
          <w:szCs w:val="16"/>
        </w:rPr>
        <w:t>Vitis</w:t>
      </w:r>
      <w:r>
        <w:rPr>
          <w:rFonts w:ascii="Helvetica" w:hAnsi="Helvetica" w:cs="Helvetica"/>
          <w:sz w:val="16"/>
          <w:szCs w:val="16"/>
        </w:rPr>
        <w:t xml:space="preserve"> species are assumed to be </w:t>
      </w:r>
      <w:r>
        <w:rPr>
          <w:rFonts w:ascii="Helvetica" w:hAnsi="Helvetica" w:cs="Helvetica"/>
          <w:i/>
          <w:sz w:val="16"/>
          <w:szCs w:val="16"/>
        </w:rPr>
        <w:t xml:space="preserve">P. </w:t>
      </w:r>
      <w:smartTag w:uri="urn:schemas-microsoft-com:office:smarttags" w:element="PersonName">
        <w:r>
          <w:rPr>
            <w:rFonts w:ascii="Helvetica" w:hAnsi="Helvetica" w:cs="Helvetica"/>
            <w:i/>
            <w:sz w:val="16"/>
            <w:szCs w:val="16"/>
          </w:rPr>
          <w:t>eu</w:t>
        </w:r>
      </w:smartTag>
      <w:r>
        <w:rPr>
          <w:rFonts w:ascii="Helvetica" w:hAnsi="Helvetica" w:cs="Helvetica"/>
          <w:i/>
          <w:sz w:val="16"/>
          <w:szCs w:val="16"/>
        </w:rPr>
        <w:t>vitis</w:t>
      </w:r>
      <w:r>
        <w:rPr>
          <w:rFonts w:ascii="Helvetica" w:hAnsi="Helvetica" w:cs="Helvetica"/>
          <w:sz w:val="16"/>
          <w:szCs w:val="16"/>
        </w:rPr>
        <w:t>.</w:t>
      </w:r>
    </w:p>
  </w:footnote>
  <w:footnote w:id="16">
    <w:p>
      <w:pPr>
        <w:pStyle w:val="FootnoteText"/>
        <w:spacing w:line="240" w:lineRule="atLeast"/>
      </w:pPr>
      <w:r>
        <w:rPr>
          <w:rStyle w:val="FootnoteReference"/>
        </w:rPr>
        <w:footnoteRef/>
      </w:r>
      <w:r>
        <w:t xml:space="preserve"> </w:t>
      </w:r>
      <w:r>
        <w:rPr>
          <w:rFonts w:ascii="Helvetica" w:hAnsi="Helvetica" w:cs="Helvetica"/>
          <w:i/>
          <w:sz w:val="16"/>
          <w:szCs w:val="16"/>
        </w:rPr>
        <w:t>Phakopsora cronartiiformis</w:t>
      </w:r>
      <w:r>
        <w:rPr>
          <w:rFonts w:ascii="Helvetica" w:hAnsi="Helvetica" w:cs="Helvetica"/>
          <w:sz w:val="16"/>
          <w:szCs w:val="16"/>
        </w:rPr>
        <w:t xml:space="preserve"> has previously been recorded on grapevine, however, further studies indicated that it is host specific and occurs on </w:t>
      </w:r>
      <w:r>
        <w:rPr>
          <w:rFonts w:ascii="Helvetica" w:hAnsi="Helvetica" w:cs="Helvetica"/>
          <w:i/>
          <w:sz w:val="16"/>
          <w:szCs w:val="16"/>
        </w:rPr>
        <w:t>Parthenocissus semicordata</w:t>
      </w:r>
      <w:r>
        <w:rPr>
          <w:rFonts w:ascii="Helvetica" w:hAnsi="Helvetica" w:cs="Helvetica"/>
          <w:sz w:val="16"/>
          <w:szCs w:val="16"/>
        </w:rPr>
        <w:t xml:space="preserve"> (Ono </w:t>
      </w:r>
      <w:r>
        <w:rPr>
          <w:rFonts w:ascii="Helvetica" w:hAnsi="Helvetica" w:cs="Helvetica"/>
          <w:i/>
          <w:sz w:val="16"/>
          <w:szCs w:val="16"/>
        </w:rPr>
        <w:t>et al</w:t>
      </w:r>
      <w:r>
        <w:rPr>
          <w:rFonts w:ascii="Helvetica" w:hAnsi="Helvetica" w:cs="Helvetica"/>
          <w:sz w:val="16"/>
          <w:szCs w:val="16"/>
        </w:rPr>
        <w:t>. 1990).</w:t>
      </w:r>
      <w:r>
        <w:t xml:space="preserve"> </w:t>
      </w:r>
      <w:r>
        <w:rPr>
          <w:rFonts w:ascii="Helvetica" w:hAnsi="Helvetica" w:cs="Helvetica"/>
          <w:sz w:val="16"/>
          <w:szCs w:val="16"/>
        </w:rPr>
        <w:t xml:space="preserve">Therefore </w:t>
      </w:r>
      <w:r>
        <w:rPr>
          <w:rFonts w:ascii="Helvetica" w:hAnsi="Helvetica" w:cs="Helvetica"/>
          <w:i/>
          <w:sz w:val="16"/>
          <w:szCs w:val="16"/>
        </w:rPr>
        <w:t xml:space="preserve">Phakopsora cronartiiformis </w:t>
      </w:r>
      <w:r>
        <w:rPr>
          <w:rFonts w:ascii="Helvetica" w:hAnsi="Helvetica" w:cs="Helvetica"/>
          <w:sz w:val="16"/>
          <w:szCs w:val="16"/>
        </w:rPr>
        <w:t>is not considered in this assessment.</w:t>
      </w:r>
    </w:p>
  </w:footnote>
  <w:footnote w:id="17">
    <w:p>
      <w:pPr>
        <w:pStyle w:val="FootnoteText"/>
        <w:spacing w:line="240" w:lineRule="atLeast"/>
        <w:rPr>
          <w:rFonts w:ascii="Helvetica" w:hAnsi="Helvetica" w:cs="Helvetica"/>
          <w:sz w:val="16"/>
          <w:szCs w:val="16"/>
        </w:rPr>
      </w:pPr>
      <w:r>
        <w:rPr>
          <w:rStyle w:val="FootnoteReference"/>
        </w:rPr>
        <w:footnoteRef/>
      </w:r>
      <w:r>
        <w:t xml:space="preserve"> </w:t>
      </w:r>
      <w:r>
        <w:rPr>
          <w:rFonts w:ascii="Helvetica" w:hAnsi="Helvetica" w:cs="Helvetica"/>
          <w:i/>
          <w:sz w:val="16"/>
          <w:szCs w:val="16"/>
        </w:rPr>
        <w:t xml:space="preserve">Phakopsora </w:t>
      </w:r>
      <w:smartTag w:uri="urn:schemas-microsoft-com:office:smarttags" w:element="PersonName">
        <w:r>
          <w:rPr>
            <w:rFonts w:ascii="Helvetica" w:hAnsi="Helvetica" w:cs="Helvetica"/>
            <w:i/>
            <w:sz w:val="16"/>
            <w:szCs w:val="16"/>
          </w:rPr>
          <w:t>eu</w:t>
        </w:r>
      </w:smartTag>
      <w:r>
        <w:rPr>
          <w:rFonts w:ascii="Helvetica" w:hAnsi="Helvetica" w:cs="Helvetica"/>
          <w:i/>
          <w:sz w:val="16"/>
          <w:szCs w:val="16"/>
        </w:rPr>
        <w:t>vitis</w:t>
      </w:r>
      <w:r>
        <w:rPr>
          <w:rFonts w:ascii="Helvetica" w:hAnsi="Helvetica" w:cs="Helvetica"/>
          <w:sz w:val="16"/>
          <w:szCs w:val="16"/>
        </w:rPr>
        <w:t xml:space="preserve"> was detected in </w:t>
      </w:r>
      <w:smartTag w:uri="urn:schemas-microsoft-com:office:smarttags" w:element="place">
        <w:smartTag w:uri="urn:schemas-microsoft-com:office:smarttags" w:element="City">
          <w:r>
            <w:rPr>
              <w:rFonts w:ascii="Helvetica" w:hAnsi="Helvetica" w:cs="Helvetica"/>
              <w:sz w:val="16"/>
              <w:szCs w:val="16"/>
            </w:rPr>
            <w:t>Darwin</w:t>
          </w:r>
        </w:smartTag>
      </w:smartTag>
      <w:r>
        <w:rPr>
          <w:rFonts w:ascii="Helvetica" w:hAnsi="Helvetica" w:cs="Helvetica"/>
          <w:sz w:val="16"/>
          <w:szCs w:val="16"/>
        </w:rPr>
        <w:t xml:space="preserve"> in 2001 (Weinert </w:t>
      </w:r>
      <w:r>
        <w:rPr>
          <w:rFonts w:ascii="Helvetica" w:hAnsi="Helvetica" w:cs="Helvetica"/>
          <w:i/>
          <w:sz w:val="16"/>
          <w:szCs w:val="16"/>
        </w:rPr>
        <w:t>et al</w:t>
      </w:r>
      <w:r>
        <w:rPr>
          <w:rFonts w:ascii="Helvetica" w:hAnsi="Helvetica" w:cs="Helvetica"/>
          <w:sz w:val="16"/>
          <w:szCs w:val="16"/>
        </w:rPr>
        <w:t xml:space="preserve">. 2003) and declared eradicated in 2006 (Liberato </w:t>
      </w:r>
      <w:r>
        <w:rPr>
          <w:rFonts w:ascii="Helvetica" w:hAnsi="Helvetica" w:cs="Helvetica"/>
          <w:i/>
          <w:sz w:val="16"/>
          <w:szCs w:val="16"/>
        </w:rPr>
        <w:t>et al</w:t>
      </w:r>
      <w:r>
        <w:rPr>
          <w:rFonts w:ascii="Helvetica" w:hAnsi="Helvetica" w:cs="Helvetica"/>
          <w:sz w:val="16"/>
          <w:szCs w:val="16"/>
        </w:rPr>
        <w:t xml:space="preserve">. 2007). </w:t>
      </w:r>
    </w:p>
  </w:footnote>
  <w:footnote w:id="18">
    <w:p>
      <w:pPr>
        <w:pStyle w:val="FootnoteText"/>
        <w:spacing w:line="240" w:lineRule="atLeast"/>
      </w:pPr>
      <w:r>
        <w:rPr>
          <w:rStyle w:val="FootnoteReference"/>
        </w:rPr>
        <w:footnoteRef/>
      </w:r>
      <w:r>
        <w:t xml:space="preserve"> </w:t>
      </w:r>
      <w:r>
        <w:rPr>
          <w:rFonts w:ascii="Helvetica" w:hAnsi="Helvetica" w:cs="Helvetica"/>
          <w:sz w:val="16"/>
          <w:szCs w:val="16"/>
        </w:rPr>
        <w:t xml:space="preserve">Three rust fungi namely </w:t>
      </w:r>
      <w:r>
        <w:rPr>
          <w:rFonts w:ascii="Helvetica" w:hAnsi="Helvetica" w:cs="Helvetica"/>
          <w:i/>
          <w:sz w:val="16"/>
          <w:szCs w:val="16"/>
        </w:rPr>
        <w:t xml:space="preserve">Phakopsora </w:t>
      </w:r>
      <w:smartTag w:uri="urn:schemas-microsoft-com:office:smarttags" w:element="PersonName">
        <w:r>
          <w:rPr>
            <w:rFonts w:ascii="Helvetica" w:hAnsi="Helvetica" w:cs="Helvetica"/>
            <w:i/>
            <w:sz w:val="16"/>
            <w:szCs w:val="16"/>
          </w:rPr>
          <w:t>eu</w:t>
        </w:r>
      </w:smartTag>
      <w:r>
        <w:rPr>
          <w:rFonts w:ascii="Helvetica" w:hAnsi="Helvetica" w:cs="Helvetica"/>
          <w:i/>
          <w:sz w:val="16"/>
          <w:szCs w:val="16"/>
        </w:rPr>
        <w:t xml:space="preserve">vitis </w:t>
      </w:r>
      <w:r>
        <w:rPr>
          <w:rFonts w:ascii="Helvetica" w:hAnsi="Helvetica" w:cs="Helvetica"/>
          <w:sz w:val="16"/>
          <w:szCs w:val="16"/>
        </w:rPr>
        <w:t xml:space="preserve">(Asian grapevine leaf rust), </w:t>
      </w:r>
      <w:r>
        <w:rPr>
          <w:rFonts w:ascii="Helvetica" w:hAnsi="Helvetica" w:cs="Helvetica"/>
          <w:i/>
          <w:sz w:val="16"/>
          <w:szCs w:val="16"/>
        </w:rPr>
        <w:t xml:space="preserve">Phakopsora muscadiniae </w:t>
      </w:r>
      <w:r>
        <w:rPr>
          <w:rFonts w:ascii="Helvetica" w:hAnsi="Helvetica" w:cs="Helvetica"/>
          <w:sz w:val="16"/>
          <w:szCs w:val="16"/>
        </w:rPr>
        <w:t xml:space="preserve">and </w:t>
      </w:r>
      <w:r>
        <w:rPr>
          <w:rFonts w:ascii="Helvetica" w:hAnsi="Helvetica" w:cs="Helvetica"/>
          <w:i/>
          <w:sz w:val="16"/>
          <w:szCs w:val="16"/>
        </w:rPr>
        <w:t xml:space="preserve">Phakopsora uva </w:t>
      </w:r>
      <w:r>
        <w:rPr>
          <w:rFonts w:ascii="Helvetica" w:hAnsi="Helvetica" w:cs="Helvetica"/>
          <w:sz w:val="16"/>
          <w:szCs w:val="16"/>
        </w:rPr>
        <w:t xml:space="preserve">(American grapevine leaf rust) are associated with grapevines in Asian and </w:t>
      </w:r>
      <w:smartTag w:uri="urn:schemas-microsoft-com:office:smarttags" w:element="place">
        <w:smartTag w:uri="urn:schemas-microsoft-com:office:smarttags" w:element="country-region">
          <w:r>
            <w:rPr>
              <w:rFonts w:ascii="Helvetica" w:hAnsi="Helvetica" w:cs="Helvetica"/>
              <w:sz w:val="16"/>
              <w:szCs w:val="16"/>
            </w:rPr>
            <w:t>Americas</w:t>
          </w:r>
        </w:smartTag>
      </w:smartTag>
      <w:r>
        <w:rPr>
          <w:rFonts w:ascii="Helvetica" w:hAnsi="Helvetica" w:cs="Helvetica"/>
          <w:sz w:val="16"/>
          <w:szCs w:val="16"/>
        </w:rPr>
        <w:t xml:space="preserve"> (Chatasiri and Ono 2008). </w:t>
      </w:r>
    </w:p>
  </w:footnote>
  <w:footnote w:id="19">
    <w:p>
      <w:pPr>
        <w:pStyle w:val="FootnoteText"/>
        <w:spacing w:line="240" w:lineRule="atLeast"/>
      </w:pPr>
      <w:r>
        <w:rPr>
          <w:rStyle w:val="FootnoteReference"/>
        </w:rPr>
        <w:footnoteRef/>
      </w:r>
      <w:r>
        <w:t xml:space="preserve"> </w:t>
      </w:r>
      <w:r>
        <w:rPr>
          <w:rFonts w:ascii="Helvetica" w:hAnsi="Helvetica" w:cs="Helvetica"/>
          <w:i/>
          <w:sz w:val="16"/>
          <w:szCs w:val="16"/>
        </w:rPr>
        <w:t xml:space="preserve">Phakopsora vitis </w:t>
      </w:r>
      <w:r>
        <w:rPr>
          <w:rFonts w:ascii="Helvetica" w:hAnsi="Helvetica" w:cs="Helvetica"/>
          <w:sz w:val="16"/>
          <w:szCs w:val="16"/>
        </w:rPr>
        <w:t xml:space="preserve">has previously been recorded on grapevine, however, further studies indicated that this fungus is host specific and occurs on </w:t>
      </w:r>
      <w:r>
        <w:rPr>
          <w:rFonts w:ascii="Helvetica" w:hAnsi="Helvetica" w:cs="Helvetica"/>
          <w:i/>
          <w:sz w:val="16"/>
          <w:szCs w:val="16"/>
        </w:rPr>
        <w:t>Parthenocissus tricuspidata</w:t>
      </w:r>
      <w:r>
        <w:rPr>
          <w:rFonts w:ascii="Helvetica" w:hAnsi="Helvetica" w:cs="Helvetica"/>
          <w:sz w:val="16"/>
          <w:szCs w:val="16"/>
        </w:rPr>
        <w:t xml:space="preserve"> (Hennessy </w:t>
      </w:r>
      <w:r>
        <w:rPr>
          <w:rFonts w:ascii="Helvetica" w:hAnsi="Helvetica" w:cs="Helvetica"/>
          <w:i/>
          <w:sz w:val="16"/>
          <w:szCs w:val="16"/>
        </w:rPr>
        <w:t>et al</w:t>
      </w:r>
      <w:r>
        <w:rPr>
          <w:rFonts w:ascii="Helvetica" w:hAnsi="Helvetica" w:cs="Helvetica"/>
          <w:sz w:val="16"/>
          <w:szCs w:val="16"/>
        </w:rPr>
        <w:t xml:space="preserve">. 2007). Therefore </w:t>
      </w:r>
      <w:r>
        <w:rPr>
          <w:rFonts w:ascii="Helvetica" w:hAnsi="Helvetica" w:cs="Helvetica"/>
          <w:i/>
          <w:sz w:val="16"/>
          <w:szCs w:val="16"/>
        </w:rPr>
        <w:t xml:space="preserve">Phakopsora vitis </w:t>
      </w:r>
      <w:r>
        <w:rPr>
          <w:rFonts w:ascii="Helvetica" w:hAnsi="Helvetica" w:cs="Helvetica"/>
          <w:sz w:val="16"/>
          <w:szCs w:val="16"/>
        </w:rPr>
        <w:t>is not considered in this assessment.</w:t>
      </w:r>
    </w:p>
  </w:footnote>
  <w:footnote w:id="20">
    <w:p>
      <w:pPr>
        <w:pStyle w:val="FootnoteText"/>
        <w:spacing w:line="240" w:lineRule="atLeast"/>
        <w:rPr>
          <w:sz w:val="16"/>
          <w:szCs w:val="16"/>
        </w:rPr>
      </w:pPr>
      <w:r>
        <w:rPr>
          <w:rStyle w:val="FootnoteReference"/>
          <w:sz w:val="16"/>
          <w:szCs w:val="16"/>
        </w:rPr>
        <w:footnoteRef/>
      </w:r>
      <w:r>
        <w:rPr>
          <w:sz w:val="16"/>
          <w:szCs w:val="16"/>
        </w:rPr>
        <w:t xml:space="preserve"> Phytoplasmas are classified on the basis of molecular data obtained from 16S rDNA and other conserved genes into distinct groups, subgroups and species belonging to the newly established ‘</w:t>
      </w:r>
      <w:r>
        <w:rPr>
          <w:i/>
          <w:sz w:val="16"/>
          <w:szCs w:val="16"/>
        </w:rPr>
        <w:t>Candidatus</w:t>
      </w:r>
      <w:r>
        <w:rPr>
          <w:sz w:val="16"/>
          <w:szCs w:val="16"/>
        </w:rPr>
        <w:t xml:space="preserve"> Phytoplasma’ taxon (IRPCM  2004). Initially, differentiation of the phytoplasma was based on the geographical origins of the diseases, the specific hosts and insect vectors and the symptoms exhibited by the host plant. However, given that the same phytoplasma strain may induce different symptoms in different hosts and different strains may share common vectors or cause diseases showing similar symptoms, this approach did not provide an accurate means of phytoplasma classification (Weintraub and Jones 2010). Therefore, the designation of a new/distinct '</w:t>
      </w:r>
      <w:r>
        <w:rPr>
          <w:rStyle w:val="Emphasis"/>
          <w:sz w:val="16"/>
          <w:szCs w:val="16"/>
        </w:rPr>
        <w:t>Candidatus</w:t>
      </w:r>
      <w:r>
        <w:rPr>
          <w:sz w:val="16"/>
          <w:szCs w:val="16"/>
        </w:rPr>
        <w:t xml:space="preserve"> Phytoplasma' species is based on the nucleotide sequence of the 16S rRNA gene.</w:t>
      </w:r>
    </w:p>
  </w:footnote>
  <w:footnote w:id="21">
    <w:p>
      <w:pPr>
        <w:pStyle w:val="FootnoteText"/>
        <w:spacing w:before="40" w:line="240" w:lineRule="atLeast"/>
        <w:jc w:val="left"/>
        <w:rPr>
          <w:sz w:val="16"/>
          <w:szCs w:val="16"/>
        </w:rPr>
      </w:pPr>
      <w:r>
        <w:rPr>
          <w:rStyle w:val="FootnoteReference"/>
          <w:sz w:val="16"/>
          <w:szCs w:val="16"/>
        </w:rPr>
        <w:footnoteRef/>
      </w:r>
      <w:r>
        <w:rPr>
          <w:sz w:val="16"/>
          <w:szCs w:val="16"/>
        </w:rPr>
        <w:t xml:space="preserve"> Phytoplasmas classified in subgroups 16SrI-A, 16SrI-B and 16SrI-C ('</w:t>
      </w:r>
      <w:r>
        <w:rPr>
          <w:rStyle w:val="Emphasis"/>
          <w:sz w:val="16"/>
          <w:szCs w:val="16"/>
        </w:rPr>
        <w:t>Candidatus</w:t>
      </w:r>
      <w:r>
        <w:rPr>
          <w:sz w:val="16"/>
          <w:szCs w:val="16"/>
        </w:rPr>
        <w:t xml:space="preserve"> Phytoplasma asteris'-related strains) are associated with grapevine yellows in several countries (Bianco </w:t>
      </w:r>
      <w:r>
        <w:rPr>
          <w:i/>
          <w:sz w:val="16"/>
          <w:szCs w:val="16"/>
        </w:rPr>
        <w:t>et al</w:t>
      </w:r>
      <w:r>
        <w:rPr>
          <w:sz w:val="16"/>
          <w:szCs w:val="16"/>
        </w:rPr>
        <w:t xml:space="preserve">. 1994; Alma </w:t>
      </w:r>
      <w:r>
        <w:rPr>
          <w:i/>
          <w:sz w:val="16"/>
          <w:szCs w:val="16"/>
        </w:rPr>
        <w:t>et al</w:t>
      </w:r>
      <w:r>
        <w:rPr>
          <w:sz w:val="16"/>
          <w:szCs w:val="16"/>
        </w:rPr>
        <w:t xml:space="preserve">. 1996; Davis </w:t>
      </w:r>
      <w:r>
        <w:rPr>
          <w:i/>
          <w:sz w:val="16"/>
          <w:szCs w:val="16"/>
        </w:rPr>
        <w:t>et al</w:t>
      </w:r>
      <w:r>
        <w:rPr>
          <w:sz w:val="16"/>
          <w:szCs w:val="16"/>
        </w:rPr>
        <w:t>. 1998). 16SrI-B and 16SrI-C have sporadically been found in grapevine (the strains related to ‘</w:t>
      </w:r>
      <w:r>
        <w:rPr>
          <w:i/>
          <w:sz w:val="16"/>
          <w:szCs w:val="16"/>
        </w:rPr>
        <w:t>Ca</w:t>
      </w:r>
      <w:r>
        <w:rPr>
          <w:sz w:val="16"/>
          <w:szCs w:val="16"/>
        </w:rPr>
        <w:t xml:space="preserve">. Phytoplasma asteris’ comprises of a large number of related phytoplasma worldwide, representing the most diverse and widespread phytoplasma group [Lee </w:t>
      </w:r>
      <w:r>
        <w:rPr>
          <w:i/>
          <w:sz w:val="16"/>
          <w:szCs w:val="16"/>
        </w:rPr>
        <w:t>et al</w:t>
      </w:r>
      <w:r>
        <w:rPr>
          <w:sz w:val="16"/>
          <w:szCs w:val="16"/>
        </w:rPr>
        <w:t xml:space="preserve">. 2004a]). Although there is relatively high similarity in the 16S rDNA sequence, the strains in this group occupy diverse ecological niches and show substaintial genetic variation (Firrao </w:t>
      </w:r>
      <w:r>
        <w:rPr>
          <w:i/>
          <w:sz w:val="16"/>
          <w:szCs w:val="16"/>
        </w:rPr>
        <w:t>et al</w:t>
      </w:r>
      <w:r>
        <w:rPr>
          <w:sz w:val="16"/>
          <w:szCs w:val="16"/>
        </w:rPr>
        <w:t xml:space="preserve">. 2005). Earlier studies placed Tomato big bud mycoplasma like organism and Tomato big bud phytoplasma in the ‘Ca. Phytoplasma asteris group’ (Firrao 2004). However, recent studies have placed Tomato big bud phytoplasma in the SrII-D ribosomal group (Constable 2010). </w:t>
      </w:r>
    </w:p>
  </w:footnote>
  <w:footnote w:id="22">
    <w:p>
      <w:pPr>
        <w:pStyle w:val="FootnoteText"/>
        <w:spacing w:before="40" w:line="240" w:lineRule="atLeast"/>
        <w:jc w:val="left"/>
        <w:rPr>
          <w:sz w:val="16"/>
          <w:szCs w:val="16"/>
        </w:rPr>
      </w:pPr>
      <w:r>
        <w:rPr>
          <w:rStyle w:val="FootnoteReference"/>
          <w:sz w:val="16"/>
          <w:szCs w:val="16"/>
        </w:rPr>
        <w:footnoteRef/>
      </w:r>
      <w:r>
        <w:rPr>
          <w:sz w:val="16"/>
          <w:szCs w:val="16"/>
        </w:rPr>
        <w:t xml:space="preserve"> </w:t>
      </w:r>
      <w:r>
        <w:rPr>
          <w:rStyle w:val="Strong"/>
          <w:rFonts w:cs="Arial"/>
          <w:b w:val="0"/>
          <w:sz w:val="16"/>
          <w:szCs w:val="16"/>
        </w:rPr>
        <w:t>Grapevine yellows (GY)</w:t>
      </w:r>
      <w:r>
        <w:rPr>
          <w:rFonts w:cs="Arial"/>
          <w:sz w:val="16"/>
          <w:szCs w:val="16"/>
        </w:rPr>
        <w:t xml:space="preserve"> is a term that is used to refer to any of several grapevine diseases that are currently attributed to infection of grapevine plants by phytoplasmas. Grapevine yellows diseases include flavescence dorée, Palatinate grapevine yellows, and Bois noir (black wood, legno nero), reported in southern Europe and the Mediterranean region; North American grapevine yellows (Virginia grapevine yellows I, Virginia grapevine yellows III, New York grapevine yellows, and grapevine yellows in Canada); Australian grapevine yellows in Australia and New Zealand and Buckland Valley grapevine yellows in Australia; and grapevine yellows diseases that have been reported in other regions including South Africa and Chile.</w:t>
      </w:r>
      <w:r>
        <w:rPr>
          <w:sz w:val="16"/>
          <w:szCs w:val="16"/>
        </w:rPr>
        <w:t xml:space="preserve"> While the symptoms caused by different GY are similar, they show considerable differences in epidemiology due to the different life history of their respective vectors (Boudon-Padieu 2005). All vectors of GY identified so far are leafhoppers and planthoppers (Boudon-Padieu 2005).</w:t>
      </w:r>
    </w:p>
  </w:footnote>
  <w:footnote w:id="23">
    <w:p>
      <w:pPr>
        <w:pStyle w:val="FootnoteText"/>
        <w:spacing w:line="240" w:lineRule="atLeast"/>
        <w:jc w:val="left"/>
        <w:rPr>
          <w:rFonts w:cs="Arial"/>
          <w:sz w:val="16"/>
          <w:szCs w:val="16"/>
        </w:rPr>
      </w:pPr>
      <w:r>
        <w:rPr>
          <w:rStyle w:val="FootnoteReference"/>
          <w:rFonts w:cs="Arial"/>
          <w:sz w:val="16"/>
          <w:szCs w:val="16"/>
        </w:rPr>
        <w:footnoteRef/>
      </w:r>
      <w:r>
        <w:rPr>
          <w:rFonts w:cs="Arial"/>
          <w:sz w:val="16"/>
          <w:szCs w:val="16"/>
        </w:rPr>
        <w:t xml:space="preserve"> Bois Noir (BN) was considered a form of Flavescence doree (FD) phytoplasma with a possible common aetiology (Caudwell 1961). Further studies indicated that BN phytoplasma is different from FD phytoplasma as both phytoplasma have different vectors (Caudwell 1961, Sforza </w:t>
      </w:r>
      <w:r>
        <w:rPr>
          <w:rFonts w:cs="Arial"/>
          <w:i/>
          <w:sz w:val="16"/>
          <w:szCs w:val="16"/>
        </w:rPr>
        <w:t>et al</w:t>
      </w:r>
      <w:r>
        <w:rPr>
          <w:rFonts w:cs="Arial"/>
          <w:sz w:val="16"/>
          <w:szCs w:val="16"/>
        </w:rPr>
        <w:t xml:space="preserve">. 1998). BN phytoplasma is associated with the stolbur group and the name </w:t>
      </w:r>
      <w:r>
        <w:rPr>
          <w:rFonts w:cs="Arial"/>
          <w:i/>
          <w:sz w:val="16"/>
          <w:szCs w:val="16"/>
        </w:rPr>
        <w:t>Candidatus</w:t>
      </w:r>
      <w:r>
        <w:rPr>
          <w:rFonts w:cs="Arial"/>
          <w:sz w:val="16"/>
          <w:szCs w:val="16"/>
        </w:rPr>
        <w:t xml:space="preserve"> Phytoplasma solani has been proposed as it infects various solanaceous plants (Firrao </w:t>
      </w:r>
      <w:r>
        <w:rPr>
          <w:rFonts w:cs="Arial"/>
          <w:i/>
          <w:sz w:val="16"/>
          <w:szCs w:val="16"/>
        </w:rPr>
        <w:t>et al</w:t>
      </w:r>
      <w:r>
        <w:rPr>
          <w:rFonts w:cs="Arial"/>
          <w:sz w:val="16"/>
          <w:szCs w:val="16"/>
        </w:rPr>
        <w:t>. 2005).'</w:t>
      </w:r>
      <w:r>
        <w:rPr>
          <w:rFonts w:cs="Arial"/>
          <w:i/>
          <w:iCs/>
          <w:sz w:val="16"/>
          <w:szCs w:val="16"/>
        </w:rPr>
        <w:t>Candidatus</w:t>
      </w:r>
      <w:r>
        <w:rPr>
          <w:rFonts w:cs="Arial"/>
          <w:sz w:val="16"/>
          <w:szCs w:val="16"/>
        </w:rPr>
        <w:t xml:space="preserve"> Phytoplasma solani'-related strains; have been classified in group 16SrXII (the stolbur phytoplasmas group (STOL)) subgroup A (formerly called subgroup 16SrI-G). Three STOL types I, II and III have been identified </w:t>
      </w:r>
      <w:r>
        <w:rPr>
          <w:rFonts w:cs="Arial"/>
          <w:color w:val="403F3D"/>
          <w:sz w:val="16"/>
          <w:szCs w:val="16"/>
        </w:rPr>
        <w:t xml:space="preserve">and was shown to be associated with distinctive host plants (Langer and Maixner 2004, Berger </w:t>
      </w:r>
      <w:r>
        <w:rPr>
          <w:rFonts w:cs="Arial"/>
          <w:i/>
          <w:color w:val="403F3D"/>
          <w:sz w:val="16"/>
          <w:szCs w:val="16"/>
        </w:rPr>
        <w:t>et al</w:t>
      </w:r>
      <w:r>
        <w:rPr>
          <w:rFonts w:cs="Arial"/>
          <w:color w:val="403F3D"/>
          <w:sz w:val="16"/>
          <w:szCs w:val="16"/>
        </w:rPr>
        <w:t xml:space="preserve">. 2009). </w:t>
      </w:r>
      <w:r>
        <w:rPr>
          <w:rFonts w:cs="Arial"/>
          <w:sz w:val="16"/>
          <w:szCs w:val="16"/>
        </w:rPr>
        <w:t xml:space="preserve">Type I and II are more common in grapevine but both have different alternative hosts (Pacifico </w:t>
      </w:r>
      <w:r>
        <w:rPr>
          <w:rFonts w:cs="Arial"/>
          <w:i/>
          <w:sz w:val="16"/>
          <w:szCs w:val="16"/>
        </w:rPr>
        <w:t>et al</w:t>
      </w:r>
      <w:r>
        <w:rPr>
          <w:rFonts w:cs="Arial"/>
          <w:sz w:val="16"/>
          <w:szCs w:val="16"/>
        </w:rPr>
        <w:t>. 2009).</w:t>
      </w:r>
    </w:p>
  </w:footnote>
  <w:footnote w:id="24">
    <w:p>
      <w:pPr>
        <w:pStyle w:val="FootnoteText"/>
        <w:spacing w:line="240" w:lineRule="atLeast"/>
        <w:jc w:val="left"/>
        <w:rPr>
          <w:i/>
        </w:rPr>
      </w:pPr>
      <w:r>
        <w:rPr>
          <w:rStyle w:val="FootnoteReference"/>
        </w:rPr>
        <w:footnoteRef/>
      </w:r>
      <w:r>
        <w:t xml:space="preserve"> </w:t>
      </w:r>
      <w:r>
        <w:rPr>
          <w:sz w:val="16"/>
          <w:szCs w:val="16"/>
        </w:rPr>
        <w:t>The</w:t>
      </w:r>
      <w:r>
        <w:rPr>
          <w:rFonts w:ascii="AdvP7627" w:hAnsi="AdvP7627" w:cs="AdvP7627"/>
          <w:sz w:val="20"/>
          <w:lang w:eastAsia="en-AU"/>
        </w:rPr>
        <w:t xml:space="preserve"> </w:t>
      </w:r>
      <w:r>
        <w:rPr>
          <w:sz w:val="16"/>
          <w:szCs w:val="16"/>
        </w:rPr>
        <w:t xml:space="preserve">EY phytoplasma (16SrV) group consists of diverse phytoplasma strains, representing the third largest phytoplasma cluster after the aster yellows and X-disease phytoplasma groups (Gundersen </w:t>
      </w:r>
      <w:r>
        <w:rPr>
          <w:i/>
          <w:sz w:val="16"/>
          <w:szCs w:val="16"/>
        </w:rPr>
        <w:t>et al</w:t>
      </w:r>
      <w:r>
        <w:rPr>
          <w:sz w:val="16"/>
          <w:szCs w:val="16"/>
        </w:rPr>
        <w:t xml:space="preserve">. 1996, Lee </w:t>
      </w:r>
      <w:r>
        <w:rPr>
          <w:i/>
          <w:sz w:val="16"/>
          <w:szCs w:val="16"/>
        </w:rPr>
        <w:t>et al</w:t>
      </w:r>
      <w:r>
        <w:rPr>
          <w:sz w:val="16"/>
          <w:szCs w:val="16"/>
        </w:rPr>
        <w:t xml:space="preserve">. 2000). Other EY group phytoplasmas associated with diseases in grapevines include flavescence dorée (FD) and grapevine yellows phytoplasmas in the European grapevine (Bertaccini </w:t>
      </w:r>
      <w:r>
        <w:rPr>
          <w:i/>
          <w:sz w:val="16"/>
          <w:szCs w:val="16"/>
        </w:rPr>
        <w:t>et al</w:t>
      </w:r>
      <w:r>
        <w:rPr>
          <w:sz w:val="16"/>
          <w:szCs w:val="16"/>
        </w:rPr>
        <w:t xml:space="preserve">. 1997, Daire </w:t>
      </w:r>
      <w:r>
        <w:rPr>
          <w:i/>
          <w:sz w:val="16"/>
          <w:szCs w:val="16"/>
        </w:rPr>
        <w:t>et al</w:t>
      </w:r>
      <w:r>
        <w:rPr>
          <w:sz w:val="16"/>
          <w:szCs w:val="16"/>
        </w:rPr>
        <w:t xml:space="preserve">. 1997, Martini </w:t>
      </w:r>
      <w:r>
        <w:rPr>
          <w:i/>
          <w:sz w:val="16"/>
          <w:szCs w:val="16"/>
        </w:rPr>
        <w:t>et al</w:t>
      </w:r>
      <w:r>
        <w:rPr>
          <w:sz w:val="16"/>
          <w:szCs w:val="16"/>
        </w:rPr>
        <w:t xml:space="preserve">. 2002, Seemuller </w:t>
      </w:r>
      <w:r>
        <w:rPr>
          <w:i/>
          <w:sz w:val="16"/>
          <w:szCs w:val="16"/>
        </w:rPr>
        <w:t>et al</w:t>
      </w:r>
      <w:r>
        <w:rPr>
          <w:sz w:val="16"/>
          <w:szCs w:val="16"/>
        </w:rPr>
        <w:t>. 1994). Strains of 16SrV–A detected in grapevines are distinguishable from strains detected in elms indicating that the phytoplasma in the 16SrV group are able to modify their genome according to environmental conditions (Botti and Bertaccini 2007).</w:t>
      </w:r>
    </w:p>
  </w:footnote>
  <w:footnote w:id="25">
    <w:p>
      <w:pPr>
        <w:pStyle w:val="FootnoteText"/>
        <w:spacing w:line="240" w:lineRule="atLeast"/>
        <w:jc w:val="left"/>
        <w:rPr>
          <w:sz w:val="16"/>
          <w:szCs w:val="16"/>
        </w:rPr>
      </w:pPr>
      <w:r>
        <w:rPr>
          <w:rStyle w:val="FootnoteReference"/>
          <w:sz w:val="16"/>
          <w:szCs w:val="16"/>
        </w:rPr>
        <w:footnoteRef/>
      </w:r>
      <w:r>
        <w:rPr>
          <w:sz w:val="16"/>
          <w:szCs w:val="16"/>
        </w:rPr>
        <w:t xml:space="preserve"> </w:t>
      </w:r>
      <w:r>
        <w:rPr>
          <w:rFonts w:ascii="Helvetica" w:hAnsi="Helvetica" w:cs="Helvetica"/>
          <w:sz w:val="16"/>
          <w:szCs w:val="16"/>
        </w:rPr>
        <w:t xml:space="preserve">Flavescence dorée </w:t>
      </w:r>
      <w:r>
        <w:rPr>
          <w:sz w:val="16"/>
          <w:szCs w:val="16"/>
        </w:rPr>
        <w:t xml:space="preserve">is caused by several isolates which belong to the 16SrV-C and -D phytoplasma phylogenetic subgroups (Filippin </w:t>
      </w:r>
      <w:r>
        <w:rPr>
          <w:i/>
          <w:sz w:val="16"/>
          <w:szCs w:val="16"/>
        </w:rPr>
        <w:t>et al</w:t>
      </w:r>
      <w:r>
        <w:rPr>
          <w:sz w:val="16"/>
          <w:szCs w:val="16"/>
        </w:rPr>
        <w:t>. 2009).</w:t>
      </w:r>
      <w:r>
        <w:rPr>
          <w:rFonts w:ascii="Helvetica" w:hAnsi="Helvetica" w:cs="Helvetica"/>
          <w:sz w:val="16"/>
          <w:szCs w:val="16"/>
        </w:rPr>
        <w:t xml:space="preserve"> </w:t>
      </w:r>
      <w:r>
        <w:rPr>
          <w:sz w:val="16"/>
          <w:szCs w:val="16"/>
        </w:rPr>
        <w:t xml:space="preserve">Based on sequence analysis three strain clusters of FD phytoplasma (FD-1, FD-2, FD-3) have been recognized (Arnaud </w:t>
      </w:r>
      <w:r>
        <w:rPr>
          <w:i/>
          <w:sz w:val="16"/>
          <w:szCs w:val="16"/>
        </w:rPr>
        <w:t>et al</w:t>
      </w:r>
      <w:r>
        <w:rPr>
          <w:sz w:val="16"/>
          <w:szCs w:val="16"/>
        </w:rPr>
        <w:t xml:space="preserve">. 2007). FD-1 is restricted to </w:t>
      </w:r>
      <w:smartTag w:uri="urn:schemas-microsoft-com:office:smarttags" w:element="country-region">
        <w:r>
          <w:rPr>
            <w:sz w:val="16"/>
            <w:szCs w:val="16"/>
          </w:rPr>
          <w:t>France</w:t>
        </w:r>
      </w:smartTag>
      <w:r>
        <w:rPr>
          <w:sz w:val="16"/>
          <w:szCs w:val="16"/>
        </w:rPr>
        <w:t xml:space="preserve"> and </w:t>
      </w:r>
      <w:smartTag w:uri="urn:schemas-microsoft-com:office:smarttags" w:element="country-region">
        <w:r>
          <w:rPr>
            <w:sz w:val="16"/>
            <w:szCs w:val="16"/>
          </w:rPr>
          <w:t>Italy</w:t>
        </w:r>
      </w:smartTag>
      <w:r>
        <w:rPr>
          <w:sz w:val="16"/>
          <w:szCs w:val="16"/>
        </w:rPr>
        <w:t xml:space="preserve">, FD-2 is detected in </w:t>
      </w:r>
      <w:smartTag w:uri="urn:schemas-microsoft-com:office:smarttags" w:element="country-region">
        <w:r>
          <w:rPr>
            <w:sz w:val="16"/>
            <w:szCs w:val="16"/>
          </w:rPr>
          <w:t>France</w:t>
        </w:r>
      </w:smartTag>
      <w:r>
        <w:rPr>
          <w:sz w:val="16"/>
          <w:szCs w:val="16"/>
        </w:rPr>
        <w:t xml:space="preserve">, </w:t>
      </w:r>
      <w:smartTag w:uri="urn:schemas-microsoft-com:office:smarttags" w:element="country-region">
        <w:r>
          <w:rPr>
            <w:sz w:val="16"/>
            <w:szCs w:val="16"/>
          </w:rPr>
          <w:t>Italy</w:t>
        </w:r>
      </w:smartTag>
      <w:r>
        <w:rPr>
          <w:sz w:val="16"/>
          <w:szCs w:val="16"/>
        </w:rPr>
        <w:t xml:space="preserve"> and </w:t>
      </w:r>
      <w:smartTag w:uri="urn:schemas-microsoft-com:office:smarttags" w:element="country-region">
        <w:r>
          <w:rPr>
            <w:sz w:val="16"/>
            <w:szCs w:val="16"/>
          </w:rPr>
          <w:t>Spain</w:t>
        </w:r>
      </w:smartTag>
      <w:r>
        <w:rPr>
          <w:sz w:val="16"/>
          <w:szCs w:val="16"/>
        </w:rPr>
        <w:t xml:space="preserve">, whereas FD-3 has been detected in </w:t>
      </w:r>
      <w:smartTag w:uri="urn:schemas-microsoft-com:office:smarttags" w:element="country-region">
        <w:r>
          <w:rPr>
            <w:sz w:val="16"/>
            <w:szCs w:val="16"/>
          </w:rPr>
          <w:t>Italy</w:t>
        </w:r>
      </w:smartTag>
      <w:r>
        <w:rPr>
          <w:sz w:val="16"/>
          <w:szCs w:val="16"/>
        </w:rPr>
        <w:t xml:space="preserve">, </w:t>
      </w:r>
      <w:smartTag w:uri="urn:schemas-microsoft-com:office:smarttags" w:element="country-region">
        <w:r>
          <w:rPr>
            <w:sz w:val="16"/>
            <w:szCs w:val="16"/>
          </w:rPr>
          <w:t>Serbia</w:t>
        </w:r>
      </w:smartTag>
      <w:r>
        <w:rPr>
          <w:sz w:val="16"/>
          <w:szCs w:val="16"/>
        </w:rPr>
        <w:t xml:space="preserve"> and </w:t>
      </w:r>
      <w:smartTag w:uri="urn:schemas-microsoft-com:office:smarttags" w:element="place">
        <w:smartTag w:uri="urn:schemas-microsoft-com:office:smarttags" w:element="country-region">
          <w:r>
            <w:rPr>
              <w:sz w:val="16"/>
              <w:szCs w:val="16"/>
            </w:rPr>
            <w:t>Slovenia</w:t>
          </w:r>
        </w:smartTag>
      </w:smartTag>
      <w:r>
        <w:rPr>
          <w:sz w:val="16"/>
          <w:szCs w:val="16"/>
        </w:rPr>
        <w:t xml:space="preserve"> (Constable 2010). Recent evidence indicates that the German Palatinate grapevine yellows phytoplasma is related to alder-infecting strains and is a member of the flavescence dorée phytoplasma phylogenetic subclade (Arnaud </w:t>
      </w:r>
      <w:r>
        <w:rPr>
          <w:i/>
          <w:sz w:val="16"/>
          <w:szCs w:val="16"/>
        </w:rPr>
        <w:t>et al</w:t>
      </w:r>
      <w:r>
        <w:rPr>
          <w:sz w:val="16"/>
          <w:szCs w:val="16"/>
        </w:rPr>
        <w:t xml:space="preserve">. 2007). Alder yellows and Palatinate grapevine yellows diseases in </w:t>
      </w:r>
      <w:smartTag w:uri="urn:schemas-microsoft-com:office:smarttags" w:element="place">
        <w:r>
          <w:rPr>
            <w:sz w:val="16"/>
            <w:szCs w:val="16"/>
          </w:rPr>
          <w:t>Europe</w:t>
        </w:r>
      </w:smartTag>
      <w:r>
        <w:rPr>
          <w:sz w:val="16"/>
          <w:szCs w:val="16"/>
        </w:rPr>
        <w:t xml:space="preserve"> are also attributed to '</w:t>
      </w:r>
      <w:r>
        <w:rPr>
          <w:rStyle w:val="Emphasis"/>
          <w:sz w:val="16"/>
          <w:szCs w:val="16"/>
        </w:rPr>
        <w:t>Ca.</w:t>
      </w:r>
      <w:r>
        <w:rPr>
          <w:sz w:val="16"/>
          <w:szCs w:val="16"/>
        </w:rPr>
        <w:t xml:space="preserve"> Phytoplasma vitis'- related strains. Phytoplasma strains FD-associated belong to ribosomal subgroups 16SrV-C and 16SrV-D (Botti and Bertaccini 2007). </w:t>
      </w:r>
    </w:p>
  </w:footnote>
  <w:footnote w:id="26">
    <w:p>
      <w:pPr>
        <w:pStyle w:val="FootnoteText"/>
        <w:jc w:val="left"/>
        <w:rPr>
          <w:sz w:val="16"/>
          <w:szCs w:val="16"/>
        </w:rPr>
      </w:pPr>
      <w:r>
        <w:rPr>
          <w:rStyle w:val="FootnoteReference"/>
          <w:sz w:val="16"/>
          <w:szCs w:val="16"/>
        </w:rPr>
        <w:footnoteRef/>
      </w:r>
      <w:r>
        <w:rPr>
          <w:sz w:val="16"/>
          <w:szCs w:val="16"/>
        </w:rPr>
        <w:t xml:space="preserve"> The classification of phytoplasma is continuously reviewed resulting reclassification of some of these phytoplasmas. </w:t>
      </w:r>
    </w:p>
  </w:footnote>
  <w:footnote w:id="27">
    <w:p>
      <w:pPr>
        <w:pStyle w:val="FootnoteText"/>
        <w:spacing w:line="240" w:lineRule="atLeast"/>
        <w:jc w:val="left"/>
        <w:rPr>
          <w:sz w:val="16"/>
          <w:szCs w:val="16"/>
        </w:rPr>
      </w:pPr>
      <w:r>
        <w:rPr>
          <w:rStyle w:val="FootnoteReference"/>
          <w:sz w:val="16"/>
          <w:szCs w:val="16"/>
        </w:rPr>
        <w:footnoteRef/>
      </w:r>
      <w:r>
        <w:rPr>
          <w:sz w:val="16"/>
          <w:szCs w:val="16"/>
        </w:rPr>
        <w:t xml:space="preserve"> </w:t>
      </w:r>
      <w:r>
        <w:rPr>
          <w:rFonts w:ascii="Helvetica" w:hAnsi="Helvetica"/>
          <w:sz w:val="16"/>
          <w:szCs w:val="16"/>
        </w:rPr>
        <w:t xml:space="preserve">Arabis mosaic virus (ArMV) has once been recorded on </w:t>
      </w:r>
      <w:r>
        <w:rPr>
          <w:rFonts w:ascii="Helvetica" w:hAnsi="Helvetica"/>
          <w:i/>
          <w:sz w:val="16"/>
          <w:szCs w:val="16"/>
        </w:rPr>
        <w:t xml:space="preserve">Narcissus </w:t>
      </w:r>
      <w:r>
        <w:rPr>
          <w:rFonts w:ascii="Helvetica" w:hAnsi="Helvetica"/>
          <w:sz w:val="16"/>
          <w:szCs w:val="16"/>
        </w:rPr>
        <w:t xml:space="preserve">species in Australia; however, ArMV has not been recorded in grapes in Australia (Constable and Drew 2004; Constable </w:t>
      </w:r>
      <w:r>
        <w:rPr>
          <w:rFonts w:ascii="Helvetica" w:hAnsi="Helvetica"/>
          <w:i/>
          <w:sz w:val="16"/>
          <w:szCs w:val="16"/>
        </w:rPr>
        <w:t>et al</w:t>
      </w:r>
      <w:r>
        <w:rPr>
          <w:rFonts w:ascii="Helvetica" w:hAnsi="Helvetica"/>
          <w:sz w:val="16"/>
          <w:szCs w:val="16"/>
        </w:rPr>
        <w:t xml:space="preserve">. 2010). ArMV strains may differ in host range, symptom expression and transmissibility by nematode vectors (Jones </w:t>
      </w:r>
      <w:r>
        <w:rPr>
          <w:rFonts w:ascii="Helvetica" w:hAnsi="Helvetica"/>
          <w:i/>
          <w:sz w:val="16"/>
          <w:szCs w:val="16"/>
        </w:rPr>
        <w:t>et al</w:t>
      </w:r>
      <w:r>
        <w:rPr>
          <w:rFonts w:ascii="Helvetica" w:hAnsi="Helvetica"/>
          <w:sz w:val="16"/>
          <w:szCs w:val="16"/>
        </w:rPr>
        <w:t>. 1989).</w:t>
      </w:r>
    </w:p>
  </w:footnote>
  <w:footnote w:id="28">
    <w:p>
      <w:pPr>
        <w:pStyle w:val="FootnoteText"/>
        <w:spacing w:before="40" w:line="240" w:lineRule="atLeast"/>
        <w:rPr>
          <w:rFonts w:ascii="Helvetica" w:hAnsi="Helvetica" w:cs="Helvetica"/>
          <w:bCs/>
          <w:sz w:val="16"/>
          <w:szCs w:val="16"/>
        </w:rPr>
      </w:pPr>
      <w:r>
        <w:rPr>
          <w:rStyle w:val="FootnoteReference"/>
        </w:rPr>
        <w:footnoteRef/>
      </w:r>
      <w:r>
        <w:t xml:space="preserve"> </w:t>
      </w:r>
      <w:r>
        <w:rPr>
          <w:rFonts w:ascii="Helvetica" w:hAnsi="Helvetica"/>
          <w:sz w:val="16"/>
          <w:szCs w:val="16"/>
        </w:rPr>
        <w:t xml:space="preserve">A strain of blueberry leaf mottle virus (BLMoV) related to but different from Grapevine Bulgarian latent virus has been reported infecting grapes in the </w:t>
      </w:r>
      <w:smartTag w:uri="urn:schemas-microsoft-com:office:smarttags" w:element="place">
        <w:smartTag w:uri="urn:schemas-microsoft-com:office:smarttags" w:element="country-region">
          <w:r>
            <w:rPr>
              <w:rFonts w:ascii="Helvetica" w:hAnsi="Helvetica"/>
              <w:sz w:val="16"/>
              <w:szCs w:val="16"/>
            </w:rPr>
            <w:t>USA</w:t>
          </w:r>
        </w:smartTag>
      </w:smartTag>
      <w:r>
        <w:rPr>
          <w:rFonts w:ascii="Helvetica" w:hAnsi="Helvetica"/>
          <w:sz w:val="16"/>
          <w:szCs w:val="16"/>
        </w:rPr>
        <w:t xml:space="preserve"> (Uyemoto </w:t>
      </w:r>
      <w:r>
        <w:rPr>
          <w:rFonts w:ascii="Helvetica" w:hAnsi="Helvetica"/>
          <w:i/>
          <w:sz w:val="16"/>
          <w:szCs w:val="16"/>
        </w:rPr>
        <w:t>et al</w:t>
      </w:r>
      <w:r>
        <w:rPr>
          <w:rFonts w:ascii="Helvetica" w:hAnsi="Helvetica"/>
          <w:sz w:val="16"/>
          <w:szCs w:val="16"/>
        </w:rPr>
        <w:t>. 1977).</w:t>
      </w:r>
    </w:p>
  </w:footnote>
  <w:footnote w:id="29">
    <w:p>
      <w:pPr>
        <w:pStyle w:val="FootnoteText"/>
        <w:spacing w:line="240" w:lineRule="atLeast"/>
        <w:jc w:val="left"/>
        <w:rPr>
          <w:sz w:val="16"/>
          <w:szCs w:val="16"/>
        </w:rPr>
      </w:pPr>
      <w:r>
        <w:rPr>
          <w:rStyle w:val="FootnoteReference"/>
          <w:sz w:val="16"/>
          <w:szCs w:val="16"/>
        </w:rPr>
        <w:footnoteRef/>
      </w:r>
      <w:r>
        <w:rPr>
          <w:sz w:val="16"/>
          <w:szCs w:val="16"/>
        </w:rPr>
        <w:t xml:space="preserve"> </w:t>
      </w:r>
      <w:r>
        <w:rPr>
          <w:rFonts w:ascii="Helvetica" w:hAnsi="Helvetica" w:cs="Helvetica"/>
          <w:bCs/>
          <w:i/>
          <w:sz w:val="16"/>
          <w:szCs w:val="16"/>
        </w:rPr>
        <w:t>Cherry leafroll virus</w:t>
      </w:r>
      <w:r>
        <w:rPr>
          <w:rFonts w:ascii="Helvetica" w:hAnsi="Helvetica" w:cs="Helvetica"/>
          <w:bCs/>
          <w:sz w:val="16"/>
          <w:szCs w:val="16"/>
        </w:rPr>
        <w:t xml:space="preserve"> (CLRV) </w:t>
      </w:r>
      <w:r>
        <w:rPr>
          <w:sz w:val="16"/>
          <w:szCs w:val="16"/>
        </w:rPr>
        <w:t xml:space="preserve">has only been reported from rhubarb (Parmenter </w:t>
      </w:r>
      <w:r>
        <w:rPr>
          <w:i/>
          <w:sz w:val="16"/>
          <w:szCs w:val="16"/>
        </w:rPr>
        <w:t>et al</w:t>
      </w:r>
      <w:r>
        <w:rPr>
          <w:sz w:val="16"/>
          <w:szCs w:val="16"/>
        </w:rPr>
        <w:t xml:space="preserve">. 2009); </w:t>
      </w:r>
      <w:r>
        <w:rPr>
          <w:rFonts w:ascii="Helvetica" w:hAnsi="Helvetica"/>
          <w:sz w:val="16"/>
          <w:szCs w:val="16"/>
        </w:rPr>
        <w:t xml:space="preserve">however, </w:t>
      </w:r>
      <w:r>
        <w:rPr>
          <w:rFonts w:ascii="Helvetica" w:hAnsi="Helvetica" w:cs="Helvetica"/>
          <w:bCs/>
          <w:sz w:val="16"/>
          <w:szCs w:val="16"/>
        </w:rPr>
        <w:t>CLRV</w:t>
      </w:r>
      <w:r>
        <w:rPr>
          <w:rFonts w:ascii="Helvetica" w:hAnsi="Helvetica"/>
          <w:sz w:val="16"/>
          <w:szCs w:val="16"/>
        </w:rPr>
        <w:t xml:space="preserve"> has not been recorded in grapes in Australia (Constable and Drew 2004; Constable </w:t>
      </w:r>
      <w:r>
        <w:rPr>
          <w:rFonts w:ascii="Helvetica" w:hAnsi="Helvetica"/>
          <w:i/>
          <w:sz w:val="16"/>
          <w:szCs w:val="16"/>
        </w:rPr>
        <w:t>et al</w:t>
      </w:r>
      <w:r>
        <w:rPr>
          <w:rFonts w:ascii="Helvetica" w:hAnsi="Helvetica"/>
          <w:sz w:val="16"/>
          <w:szCs w:val="16"/>
        </w:rPr>
        <w:t xml:space="preserve">. 2010). Rhubarb </w:t>
      </w:r>
      <w:r>
        <w:rPr>
          <w:sz w:val="16"/>
          <w:szCs w:val="16"/>
        </w:rPr>
        <w:t xml:space="preserve">isolate was identified using sequencing; the Australian isolate is substantially different from other important strains (Parmenter </w:t>
      </w:r>
      <w:r>
        <w:rPr>
          <w:i/>
          <w:sz w:val="16"/>
          <w:szCs w:val="16"/>
        </w:rPr>
        <w:t>et al</w:t>
      </w:r>
      <w:r>
        <w:rPr>
          <w:sz w:val="16"/>
          <w:szCs w:val="16"/>
        </w:rPr>
        <w:t>. 2009).</w:t>
      </w:r>
      <w:r>
        <w:rPr>
          <w:rFonts w:ascii="Helvetica" w:hAnsi="Helvetica"/>
          <w:sz w:val="16"/>
          <w:szCs w:val="16"/>
        </w:rPr>
        <w:t xml:space="preserve"> </w:t>
      </w:r>
      <w:r>
        <w:rPr>
          <w:sz w:val="16"/>
          <w:szCs w:val="16"/>
          <w:lang w:eastAsia="en-AU"/>
        </w:rPr>
        <w:t xml:space="preserve">CLRV isolates from different </w:t>
      </w:r>
      <w:r>
        <w:rPr>
          <w:iCs/>
          <w:sz w:val="16"/>
          <w:szCs w:val="16"/>
          <w:lang w:eastAsia="en-AU"/>
        </w:rPr>
        <w:t>hosts</w:t>
      </w:r>
      <w:r>
        <w:rPr>
          <w:sz w:val="16"/>
          <w:szCs w:val="16"/>
          <w:lang w:eastAsia="en-AU"/>
        </w:rPr>
        <w:t xml:space="preserve"> may differ in their serological and molecular traits (Jones 1985; Jones </w:t>
      </w:r>
      <w:r>
        <w:rPr>
          <w:i/>
          <w:sz w:val="16"/>
          <w:szCs w:val="16"/>
          <w:lang w:eastAsia="en-AU"/>
        </w:rPr>
        <w:t>et al</w:t>
      </w:r>
      <w:r>
        <w:rPr>
          <w:sz w:val="16"/>
          <w:szCs w:val="16"/>
          <w:lang w:eastAsia="en-AU"/>
        </w:rPr>
        <w:t xml:space="preserve">. 1990; Rebenstorf </w:t>
      </w:r>
      <w:r>
        <w:rPr>
          <w:i/>
          <w:sz w:val="16"/>
          <w:szCs w:val="16"/>
          <w:lang w:eastAsia="en-AU"/>
        </w:rPr>
        <w:t>et al</w:t>
      </w:r>
      <w:r>
        <w:rPr>
          <w:sz w:val="16"/>
          <w:szCs w:val="16"/>
          <w:lang w:eastAsia="en-AU"/>
        </w:rPr>
        <w:t xml:space="preserve">. 2006) as well as in their host specificity and ability to induce symptoms (Jones 1973; Rowhani and Mircetich 1988). CLRV isolates segregate into six major groups based on the primary host: birch and cherry (group A); rhubarb, ash and ground elder (group B); raspberry, sorrel and chive (group C); walnut (groups D1 and D2); and elderberry (group E) (Rebenstorf </w:t>
      </w:r>
      <w:r>
        <w:rPr>
          <w:i/>
          <w:sz w:val="16"/>
          <w:szCs w:val="16"/>
          <w:lang w:eastAsia="en-AU"/>
        </w:rPr>
        <w:t>et al</w:t>
      </w:r>
      <w:r>
        <w:rPr>
          <w:sz w:val="16"/>
          <w:szCs w:val="16"/>
          <w:lang w:eastAsia="en-AU"/>
        </w:rPr>
        <w:t>. 2006).</w:t>
      </w:r>
    </w:p>
  </w:footnote>
  <w:footnote w:id="30">
    <w:p>
      <w:pPr>
        <w:pStyle w:val="FootnoteText"/>
        <w:spacing w:line="240" w:lineRule="atLeast"/>
        <w:jc w:val="left"/>
        <w:rPr>
          <w:sz w:val="16"/>
          <w:szCs w:val="16"/>
        </w:rPr>
      </w:pPr>
      <w:r>
        <w:rPr>
          <w:rStyle w:val="FootnoteReference"/>
          <w:sz w:val="16"/>
          <w:szCs w:val="16"/>
        </w:rPr>
        <w:footnoteRef/>
      </w:r>
      <w:r>
        <w:rPr>
          <w:sz w:val="16"/>
          <w:szCs w:val="16"/>
        </w:rPr>
        <w:t xml:space="preserve"> </w:t>
      </w:r>
      <w:r>
        <w:rPr>
          <w:i/>
          <w:sz w:val="16"/>
          <w:szCs w:val="16"/>
        </w:rPr>
        <w:t>Cucumber mosaic virus</w:t>
      </w:r>
      <w:r>
        <w:rPr>
          <w:sz w:val="16"/>
          <w:szCs w:val="16"/>
        </w:rPr>
        <w:t xml:space="preserve"> (CMV) is recorded in Australia (Carpenter and Luckett 2003, </w:t>
      </w:r>
      <w:r>
        <w:rPr>
          <w:rFonts w:cs="MetaOT-Medium"/>
          <w:sz w:val="16"/>
          <w:szCs w:val="16"/>
        </w:rPr>
        <w:t>Persley and Gambley 2010</w:t>
      </w:r>
      <w:r>
        <w:rPr>
          <w:sz w:val="16"/>
          <w:szCs w:val="16"/>
        </w:rPr>
        <w:t xml:space="preserve">). However, this virus has not been recorded on grapevines in Australia. Grapevine isolates </w:t>
      </w:r>
      <w:r>
        <w:rPr>
          <w:rFonts w:ascii="Helvetica" w:hAnsi="Helvetica" w:cs="Helvetica"/>
          <w:bCs/>
          <w:sz w:val="16"/>
          <w:szCs w:val="16"/>
        </w:rPr>
        <w:t xml:space="preserve">possesses a number of properties differing enough from those of other characterized CMV isolates </w:t>
      </w:r>
      <w:r>
        <w:rPr>
          <w:sz w:val="16"/>
          <w:szCs w:val="16"/>
          <w:lang w:eastAsia="en-AU"/>
        </w:rPr>
        <w:t xml:space="preserve">(Paradies </w:t>
      </w:r>
      <w:r>
        <w:rPr>
          <w:i/>
          <w:sz w:val="16"/>
          <w:szCs w:val="16"/>
          <w:lang w:eastAsia="en-AU"/>
        </w:rPr>
        <w:t>et al</w:t>
      </w:r>
      <w:r>
        <w:rPr>
          <w:sz w:val="16"/>
          <w:szCs w:val="16"/>
          <w:lang w:eastAsia="en-AU"/>
        </w:rPr>
        <w:t>. 2000).</w:t>
      </w:r>
    </w:p>
  </w:footnote>
  <w:footnote w:id="31">
    <w:p>
      <w:pPr>
        <w:pStyle w:val="FootnoteText"/>
        <w:spacing w:line="240" w:lineRule="atLeast"/>
        <w:jc w:val="left"/>
      </w:pPr>
      <w:r>
        <w:rPr>
          <w:rStyle w:val="FootnoteReference"/>
        </w:rPr>
        <w:footnoteRef/>
      </w:r>
      <w:r>
        <w:t xml:space="preserve"> </w:t>
      </w:r>
      <w:r>
        <w:rPr>
          <w:rFonts w:ascii="Helvetica" w:hAnsi="Helvetica" w:cs="Helvetica"/>
          <w:bCs/>
          <w:sz w:val="16"/>
          <w:szCs w:val="16"/>
        </w:rPr>
        <w:t xml:space="preserve">Grapevine fanleaf virus (GFLV) </w:t>
      </w:r>
      <w:r>
        <w:rPr>
          <w:sz w:val="16"/>
          <w:szCs w:val="16"/>
        </w:rPr>
        <w:t xml:space="preserve">has been reported from </w:t>
      </w:r>
      <w:smartTag w:uri="urn:schemas-microsoft-com:office:smarttags" w:element="State">
        <w:r>
          <w:rPr>
            <w:sz w:val="16"/>
            <w:szCs w:val="16"/>
          </w:rPr>
          <w:t>South Australia</w:t>
        </w:r>
      </w:smartTag>
      <w:r>
        <w:rPr>
          <w:sz w:val="16"/>
          <w:szCs w:val="16"/>
        </w:rPr>
        <w:t xml:space="preserve"> and </w:t>
      </w:r>
      <w:smartTag w:uri="urn:schemas-microsoft-com:office:smarttags" w:element="State">
        <w:smartTag w:uri="urn:schemas-microsoft-com:office:smarttags" w:element="place">
          <w:r>
            <w:rPr>
              <w:sz w:val="16"/>
              <w:szCs w:val="16"/>
            </w:rPr>
            <w:t>Victoria</w:t>
          </w:r>
        </w:smartTag>
      </w:smartTag>
      <w:r>
        <w:rPr>
          <w:sz w:val="16"/>
          <w:szCs w:val="16"/>
        </w:rPr>
        <w:t xml:space="preserve"> (Taylor 1962; Taylor and Hewitt 1964; Meagher </w:t>
      </w:r>
      <w:r>
        <w:rPr>
          <w:i/>
          <w:sz w:val="16"/>
          <w:szCs w:val="16"/>
        </w:rPr>
        <w:t xml:space="preserve">et al. </w:t>
      </w:r>
      <w:r>
        <w:rPr>
          <w:sz w:val="16"/>
          <w:szCs w:val="16"/>
        </w:rPr>
        <w:t xml:space="preserve">1976; Cirami </w:t>
      </w:r>
      <w:r>
        <w:rPr>
          <w:i/>
          <w:sz w:val="16"/>
          <w:szCs w:val="16"/>
        </w:rPr>
        <w:t>et al</w:t>
      </w:r>
      <w:r>
        <w:rPr>
          <w:sz w:val="16"/>
          <w:szCs w:val="16"/>
        </w:rPr>
        <w:t xml:space="preserve">. 1988). In </w:t>
      </w:r>
      <w:smartTag w:uri="urn:schemas-microsoft-com:office:smarttags" w:element="State">
        <w:smartTag w:uri="urn:schemas-microsoft-com:office:smarttags" w:element="place">
          <w:r>
            <w:rPr>
              <w:sz w:val="16"/>
              <w:szCs w:val="16"/>
            </w:rPr>
            <w:t>South Australia</w:t>
          </w:r>
        </w:smartTag>
      </w:smartTag>
      <w:r>
        <w:rPr>
          <w:sz w:val="16"/>
          <w:szCs w:val="16"/>
        </w:rPr>
        <w:t xml:space="preserve">, GFLV affected only a small number of grapevines and occurred in the absence of the vector (Cirami </w:t>
      </w:r>
      <w:r>
        <w:rPr>
          <w:i/>
          <w:sz w:val="16"/>
          <w:szCs w:val="16"/>
        </w:rPr>
        <w:t>et al</w:t>
      </w:r>
      <w:r>
        <w:rPr>
          <w:sz w:val="16"/>
          <w:szCs w:val="16"/>
        </w:rPr>
        <w:t xml:space="preserve">. 1988); and in Victoria, GFLV and its vector occurred only in the Rutherglen district and quarantine restriction (due to </w:t>
      </w:r>
      <w:r>
        <w:rPr>
          <w:i/>
          <w:sz w:val="16"/>
          <w:szCs w:val="16"/>
        </w:rPr>
        <w:t>Phyloxera</w:t>
      </w:r>
      <w:r>
        <w:rPr>
          <w:sz w:val="16"/>
          <w:szCs w:val="16"/>
        </w:rPr>
        <w:t xml:space="preserve">) prevented their movement to other regions (Krake </w:t>
      </w:r>
      <w:r>
        <w:rPr>
          <w:i/>
          <w:sz w:val="16"/>
          <w:szCs w:val="16"/>
        </w:rPr>
        <w:t>et al</w:t>
      </w:r>
      <w:r>
        <w:rPr>
          <w:sz w:val="16"/>
          <w:szCs w:val="16"/>
        </w:rPr>
        <w:t xml:space="preserve">. 1999). In recent years, there have been no reports of fanleaf disease in </w:t>
      </w:r>
      <w:smartTag w:uri="urn:schemas-microsoft-com:office:smarttags" w:element="State">
        <w:smartTag w:uri="urn:schemas-microsoft-com:office:smarttags" w:element="place">
          <w:r>
            <w:rPr>
              <w:sz w:val="16"/>
              <w:szCs w:val="16"/>
            </w:rPr>
            <w:t>South Australia</w:t>
          </w:r>
        </w:smartTag>
      </w:smartTag>
      <w:r>
        <w:rPr>
          <w:sz w:val="16"/>
          <w:szCs w:val="16"/>
        </w:rPr>
        <w:t xml:space="preserve"> and Victoria (</w:t>
      </w:r>
      <w:r>
        <w:rPr>
          <w:rFonts w:ascii="Helvetica" w:hAnsi="Helvetica"/>
          <w:sz w:val="16"/>
          <w:szCs w:val="16"/>
        </w:rPr>
        <w:t xml:space="preserve">Constable </w:t>
      </w:r>
      <w:r>
        <w:rPr>
          <w:rFonts w:ascii="Helvetica" w:hAnsi="Helvetica"/>
          <w:i/>
          <w:sz w:val="16"/>
          <w:szCs w:val="16"/>
        </w:rPr>
        <w:t>et al</w:t>
      </w:r>
      <w:r>
        <w:rPr>
          <w:rFonts w:ascii="Helvetica" w:hAnsi="Helvetica"/>
          <w:sz w:val="16"/>
          <w:szCs w:val="16"/>
        </w:rPr>
        <w:t xml:space="preserve">. 2010). Specific strains of GFLV cause fanleaf, yellow mosaic and veinbanding diseases. Some isolates are associated with leaf enation, bark pitting, wood pitting and flat trunk diseases (Hewitt </w:t>
      </w:r>
      <w:r>
        <w:rPr>
          <w:rFonts w:ascii="Helvetica" w:hAnsi="Helvetica"/>
          <w:i/>
          <w:sz w:val="16"/>
          <w:szCs w:val="16"/>
        </w:rPr>
        <w:t>et al</w:t>
      </w:r>
      <w:r>
        <w:rPr>
          <w:rFonts w:ascii="Helvetica" w:hAnsi="Helvetica"/>
          <w:sz w:val="16"/>
          <w:szCs w:val="16"/>
        </w:rPr>
        <w:t>. 1970).</w:t>
      </w:r>
    </w:p>
  </w:footnote>
  <w:footnote w:id="32">
    <w:p>
      <w:pPr>
        <w:pStyle w:val="Default"/>
        <w:spacing w:line="240" w:lineRule="atLeast"/>
        <w:jc w:val="left"/>
        <w:rPr>
          <w:rFonts w:ascii="Arial" w:hAnsi="Arial" w:cs="Arial"/>
          <w:color w:val="auto"/>
          <w:sz w:val="16"/>
          <w:szCs w:val="16"/>
        </w:rPr>
      </w:pPr>
      <w:r>
        <w:rPr>
          <w:rStyle w:val="FootnoteReference"/>
          <w:sz w:val="16"/>
          <w:szCs w:val="16"/>
        </w:rPr>
        <w:footnoteRef/>
      </w:r>
      <w:r>
        <w:rPr>
          <w:rFonts w:ascii="Arial" w:hAnsi="Arial" w:cs="Arial"/>
          <w:color w:val="auto"/>
          <w:sz w:val="16"/>
          <w:szCs w:val="16"/>
        </w:rPr>
        <w:t xml:space="preserve"> The grapevine leafroll-associated viruses (GLRaVs) are a group of viruses (at least 9) that cause similar symptoms in infected grapevines (Martinson </w:t>
      </w:r>
      <w:r>
        <w:rPr>
          <w:rFonts w:ascii="Arial" w:hAnsi="Arial" w:cs="Arial"/>
          <w:i/>
          <w:color w:val="auto"/>
          <w:sz w:val="16"/>
          <w:szCs w:val="16"/>
        </w:rPr>
        <w:t>et al</w:t>
      </w:r>
      <w:r>
        <w:rPr>
          <w:rFonts w:ascii="Arial" w:hAnsi="Arial" w:cs="Arial"/>
          <w:color w:val="auto"/>
          <w:sz w:val="16"/>
          <w:szCs w:val="16"/>
        </w:rPr>
        <w:t xml:space="preserve">. 2008). </w:t>
      </w:r>
      <w:r>
        <w:rPr>
          <w:rFonts w:ascii="Helvetica" w:hAnsi="Helvetica" w:cs="Helvetica"/>
          <w:color w:val="auto"/>
          <w:sz w:val="16"/>
          <w:szCs w:val="16"/>
        </w:rPr>
        <w:t>GLRaVs</w:t>
      </w:r>
      <w:r>
        <w:rPr>
          <w:rFonts w:ascii="Arial" w:hAnsi="Arial" w:cs="Arial"/>
          <w:color w:val="auto"/>
          <w:sz w:val="16"/>
          <w:szCs w:val="16"/>
        </w:rPr>
        <w:t xml:space="preserve"> most likely originated in the </w:t>
      </w:r>
      <w:smartTag w:uri="urn:schemas-microsoft-com:office:smarttags" w:element="place">
        <w:r>
          <w:rPr>
            <w:rFonts w:ascii="Arial" w:hAnsi="Arial" w:cs="Arial"/>
            <w:color w:val="auto"/>
            <w:sz w:val="16"/>
            <w:szCs w:val="16"/>
          </w:rPr>
          <w:t>Eastern Mediterranean</w:t>
        </w:r>
      </w:smartTag>
      <w:r>
        <w:rPr>
          <w:rFonts w:ascii="Arial" w:hAnsi="Arial" w:cs="Arial"/>
          <w:color w:val="auto"/>
          <w:sz w:val="16"/>
          <w:szCs w:val="16"/>
        </w:rPr>
        <w:t xml:space="preserve"> region and co-evolved with grapevines, later spreading throughout the world by the movement of infected vines and cuttings (Weber </w:t>
      </w:r>
      <w:r>
        <w:rPr>
          <w:rFonts w:ascii="Arial" w:hAnsi="Arial" w:cs="Arial"/>
          <w:i/>
          <w:color w:val="auto"/>
          <w:sz w:val="16"/>
          <w:szCs w:val="16"/>
        </w:rPr>
        <w:t>et al</w:t>
      </w:r>
      <w:r>
        <w:rPr>
          <w:rFonts w:ascii="Arial" w:hAnsi="Arial" w:cs="Arial"/>
          <w:color w:val="auto"/>
          <w:sz w:val="16"/>
          <w:szCs w:val="16"/>
        </w:rPr>
        <w:t>. 1993).</w:t>
      </w:r>
      <w:r>
        <w:rPr>
          <w:rFonts w:ascii="Helvetica" w:hAnsi="Helvetica" w:cs="Helvetica"/>
          <w:color w:val="auto"/>
          <w:sz w:val="16"/>
          <w:szCs w:val="16"/>
        </w:rPr>
        <w:t xml:space="preserve"> </w:t>
      </w:r>
      <w:r>
        <w:rPr>
          <w:rFonts w:ascii="Arial" w:hAnsi="Arial" w:cs="Arial"/>
          <w:color w:val="auto"/>
          <w:sz w:val="16"/>
          <w:szCs w:val="16"/>
        </w:rPr>
        <w:t>Currently the GLRaV-4,-5, -6 and -9 are considered distinct Ampelovirus species. However based on their genome structure, serological relationships and biology there is a suggestion that the taxonomy will be contracted and that these GLRaV species along with GLRaV-Pr and -De will be considered strains of one species (Martelli 2009).</w:t>
      </w:r>
    </w:p>
  </w:footnote>
  <w:footnote w:id="33">
    <w:p>
      <w:pPr>
        <w:pStyle w:val="Default"/>
        <w:spacing w:before="40" w:line="240" w:lineRule="atLeast"/>
        <w:rPr>
          <w:color w:val="auto"/>
          <w:sz w:val="16"/>
          <w:szCs w:val="16"/>
        </w:rPr>
      </w:pPr>
      <w:r>
        <w:rPr>
          <w:rStyle w:val="FootnoteReference"/>
          <w:sz w:val="16"/>
          <w:szCs w:val="16"/>
        </w:rPr>
        <w:footnoteRef/>
      </w:r>
      <w:r>
        <w:rPr>
          <w:color w:val="auto"/>
          <w:sz w:val="16"/>
          <w:szCs w:val="16"/>
        </w:rPr>
        <w:t xml:space="preserve"> </w:t>
      </w:r>
      <w:r>
        <w:rPr>
          <w:rFonts w:ascii="Helvetica" w:hAnsi="Helvetica" w:cs="Helvetica"/>
          <w:color w:val="auto"/>
          <w:sz w:val="16"/>
          <w:szCs w:val="16"/>
        </w:rPr>
        <w:t xml:space="preserve">GLRaV-De is referred to as GLRaV-10 (Maliogka </w:t>
      </w:r>
      <w:r>
        <w:rPr>
          <w:rFonts w:ascii="Helvetica" w:hAnsi="Helvetica" w:cs="Helvetica"/>
          <w:i/>
          <w:color w:val="auto"/>
          <w:sz w:val="16"/>
          <w:szCs w:val="16"/>
        </w:rPr>
        <w:t>et al</w:t>
      </w:r>
      <w:r>
        <w:rPr>
          <w:rFonts w:ascii="Helvetica" w:hAnsi="Helvetica" w:cs="Helvetica"/>
          <w:color w:val="auto"/>
          <w:sz w:val="16"/>
          <w:szCs w:val="16"/>
        </w:rPr>
        <w:t xml:space="preserve">. 2008a). </w:t>
      </w:r>
    </w:p>
  </w:footnote>
  <w:footnote w:id="34">
    <w:p>
      <w:pPr>
        <w:pStyle w:val="FootnoteText"/>
        <w:spacing w:before="40" w:line="240" w:lineRule="atLeast"/>
        <w:rPr>
          <w:sz w:val="16"/>
          <w:szCs w:val="16"/>
        </w:rPr>
      </w:pPr>
      <w:r>
        <w:rPr>
          <w:rStyle w:val="FootnoteReference"/>
          <w:sz w:val="16"/>
          <w:szCs w:val="16"/>
        </w:rPr>
        <w:footnoteRef/>
      </w:r>
      <w:r>
        <w:rPr>
          <w:sz w:val="16"/>
          <w:szCs w:val="16"/>
        </w:rPr>
        <w:t xml:space="preserve"> </w:t>
      </w:r>
      <w:r>
        <w:rPr>
          <w:rFonts w:ascii="Helvetica" w:hAnsi="Helvetica" w:cs="Helvetica"/>
          <w:sz w:val="16"/>
          <w:szCs w:val="16"/>
        </w:rPr>
        <w:t xml:space="preserve">GLRaV-Pr is referred to as GLRaV-11 (Maliogka </w:t>
      </w:r>
      <w:r>
        <w:rPr>
          <w:rFonts w:ascii="Helvetica" w:hAnsi="Helvetica" w:cs="Helvetica"/>
          <w:i/>
          <w:sz w:val="16"/>
          <w:szCs w:val="16"/>
        </w:rPr>
        <w:t>et al</w:t>
      </w:r>
      <w:r>
        <w:rPr>
          <w:rFonts w:ascii="Helvetica" w:hAnsi="Helvetica" w:cs="Helvetica"/>
          <w:sz w:val="16"/>
          <w:szCs w:val="16"/>
        </w:rPr>
        <w:t>. 2008a).</w:t>
      </w:r>
    </w:p>
  </w:footnote>
  <w:footnote w:id="35">
    <w:p>
      <w:pPr>
        <w:pStyle w:val="FootnoteText"/>
        <w:jc w:val="left"/>
        <w:rPr>
          <w:sz w:val="16"/>
          <w:szCs w:val="16"/>
        </w:rPr>
      </w:pPr>
      <w:r>
        <w:rPr>
          <w:rStyle w:val="FootnoteReference"/>
          <w:sz w:val="16"/>
          <w:szCs w:val="16"/>
        </w:rPr>
        <w:footnoteRef/>
      </w:r>
      <w:r>
        <w:rPr>
          <w:sz w:val="16"/>
          <w:szCs w:val="16"/>
        </w:rPr>
        <w:t xml:space="preserve">  GVC was considered to be related to the Vitiviruses but it is now considered to be a strain of GLRaV-2 (Masri </w:t>
      </w:r>
      <w:r>
        <w:rPr>
          <w:i/>
          <w:sz w:val="16"/>
          <w:szCs w:val="16"/>
        </w:rPr>
        <w:t>et al</w:t>
      </w:r>
      <w:r>
        <w:rPr>
          <w:sz w:val="16"/>
          <w:szCs w:val="16"/>
        </w:rPr>
        <w:t xml:space="preserve">. 2006). GLRAV-2 is present in </w:t>
      </w:r>
      <w:smartTag w:uri="urn:schemas-microsoft-com:office:smarttags" w:element="country-region">
        <w:smartTag w:uri="urn:schemas-microsoft-com:office:smarttags" w:element="place">
          <w:r>
            <w:rPr>
              <w:sz w:val="16"/>
              <w:szCs w:val="16"/>
            </w:rPr>
            <w:t>Australia</w:t>
          </w:r>
        </w:smartTag>
      </w:smartTag>
      <w:r>
        <w:rPr>
          <w:rFonts w:ascii="Helvetica" w:hAnsi="Helvetica" w:cs="Helvetica"/>
          <w:sz w:val="16"/>
          <w:szCs w:val="16"/>
        </w:rPr>
        <w:t xml:space="preserve"> (Constable </w:t>
      </w:r>
      <w:r>
        <w:rPr>
          <w:rFonts w:ascii="Helvetica" w:hAnsi="Helvetica" w:cs="Helvetica"/>
          <w:i/>
          <w:sz w:val="16"/>
          <w:szCs w:val="16"/>
        </w:rPr>
        <w:t>et al.</w:t>
      </w:r>
      <w:r>
        <w:rPr>
          <w:rFonts w:ascii="Helvetica" w:hAnsi="Helvetica" w:cs="Helvetica"/>
          <w:sz w:val="16"/>
          <w:szCs w:val="16"/>
        </w:rPr>
        <w:t xml:space="preserve"> 2010)</w:t>
      </w:r>
    </w:p>
  </w:footnote>
  <w:footnote w:id="36">
    <w:p>
      <w:pPr>
        <w:pStyle w:val="FootnoteText"/>
        <w:spacing w:line="240" w:lineRule="atLeast"/>
        <w:jc w:val="left"/>
        <w:rPr>
          <w:rFonts w:ascii="Helvetica" w:hAnsi="Helvetica" w:cs="Helvetica"/>
          <w:bCs/>
          <w:sz w:val="16"/>
          <w:szCs w:val="16"/>
        </w:rPr>
      </w:pPr>
      <w:r>
        <w:rPr>
          <w:rStyle w:val="FootnoteReference"/>
          <w:sz w:val="16"/>
          <w:szCs w:val="16"/>
        </w:rPr>
        <w:footnoteRef/>
      </w:r>
      <w:r>
        <w:rPr>
          <w:sz w:val="16"/>
          <w:szCs w:val="16"/>
        </w:rPr>
        <w:t xml:space="preserve"> The grapevine strain of RsRSV is serologically very distantly related to the main serotypes Scottish and English. These differences strongly suggest that the grapevine infecting RsRSV may be a different viral species (Jones </w:t>
      </w:r>
      <w:r>
        <w:rPr>
          <w:i/>
          <w:sz w:val="16"/>
          <w:szCs w:val="16"/>
        </w:rPr>
        <w:t>et al</w:t>
      </w:r>
      <w:r>
        <w:rPr>
          <w:sz w:val="16"/>
          <w:szCs w:val="16"/>
        </w:rPr>
        <w:t xml:space="preserve">. 1994; Ebel </w:t>
      </w:r>
      <w:r>
        <w:rPr>
          <w:i/>
          <w:sz w:val="16"/>
          <w:szCs w:val="16"/>
        </w:rPr>
        <w:t>et al</w:t>
      </w:r>
      <w:r>
        <w:rPr>
          <w:sz w:val="16"/>
          <w:szCs w:val="16"/>
        </w:rPr>
        <w:t xml:space="preserve">. 2003). </w:t>
      </w:r>
      <w:r>
        <w:rPr>
          <w:rFonts w:ascii="Helvetica" w:hAnsi="Helvetica" w:cs="Helvetica"/>
          <w:sz w:val="16"/>
          <w:szCs w:val="16"/>
        </w:rPr>
        <w:t xml:space="preserve">The type strain is transmitted by </w:t>
      </w:r>
      <w:r>
        <w:rPr>
          <w:rFonts w:ascii="Helvetica" w:hAnsi="Helvetica" w:cs="Helvetica"/>
          <w:i/>
          <w:sz w:val="16"/>
          <w:szCs w:val="16"/>
        </w:rPr>
        <w:t xml:space="preserve">Longidorus macrosoma </w:t>
      </w:r>
      <w:r>
        <w:rPr>
          <w:rFonts w:ascii="Helvetica" w:hAnsi="Helvetica" w:cs="Helvetica"/>
          <w:sz w:val="16"/>
          <w:szCs w:val="16"/>
        </w:rPr>
        <w:t xml:space="preserve">whereas grapevine strain is transmitted by </w:t>
      </w:r>
      <w:r>
        <w:rPr>
          <w:rFonts w:ascii="Helvetica" w:hAnsi="Helvetica" w:cs="Helvetica"/>
          <w:i/>
          <w:sz w:val="16"/>
          <w:szCs w:val="16"/>
        </w:rPr>
        <w:t xml:space="preserve">Paralongidorus maximus </w:t>
      </w:r>
      <w:r>
        <w:rPr>
          <w:rFonts w:ascii="Helvetica" w:hAnsi="Helvetica" w:cs="Helvetica"/>
          <w:sz w:val="16"/>
          <w:szCs w:val="16"/>
        </w:rPr>
        <w:t xml:space="preserve">(Jones </w:t>
      </w:r>
      <w:r>
        <w:rPr>
          <w:rFonts w:ascii="Helvetica" w:hAnsi="Helvetica" w:cs="Helvetica"/>
          <w:i/>
          <w:sz w:val="16"/>
          <w:szCs w:val="16"/>
        </w:rPr>
        <w:t>et al</w:t>
      </w:r>
      <w:r>
        <w:rPr>
          <w:rFonts w:ascii="Helvetica" w:hAnsi="Helvetica" w:cs="Helvetica"/>
          <w:sz w:val="16"/>
          <w:szCs w:val="16"/>
        </w:rPr>
        <w:t xml:space="preserve">. 1994). </w:t>
      </w:r>
      <w:r>
        <w:rPr>
          <w:rFonts w:ascii="Helvetica" w:hAnsi="Helvetica" w:cs="Helvetica"/>
          <w:bCs/>
          <w:sz w:val="16"/>
          <w:szCs w:val="16"/>
        </w:rPr>
        <w:t xml:space="preserve">Two strains of different virulence occur (Ebel </w:t>
      </w:r>
      <w:r>
        <w:rPr>
          <w:rFonts w:ascii="Helvetica" w:hAnsi="Helvetica" w:cs="Helvetica"/>
          <w:bCs/>
          <w:i/>
          <w:sz w:val="16"/>
          <w:szCs w:val="16"/>
        </w:rPr>
        <w:t>et al</w:t>
      </w:r>
      <w:r>
        <w:rPr>
          <w:rFonts w:ascii="Helvetica" w:hAnsi="Helvetica" w:cs="Helvetica"/>
          <w:bCs/>
          <w:sz w:val="16"/>
          <w:szCs w:val="16"/>
        </w:rPr>
        <w:t xml:space="preserve">. 2003): </w:t>
      </w:r>
      <w:r>
        <w:rPr>
          <w:rFonts w:cs="Arial"/>
          <w:iCs/>
          <w:sz w:val="16"/>
          <w:szCs w:val="16"/>
        </w:rPr>
        <w:t>Raspberry ringspot virus</w:t>
      </w:r>
      <w:r>
        <w:rPr>
          <w:rFonts w:cs="Arial"/>
          <w:sz w:val="16"/>
          <w:szCs w:val="16"/>
        </w:rPr>
        <w:t xml:space="preserve"> – cherry isolate (RpRSV - ch) in Germany and </w:t>
      </w:r>
      <w:r>
        <w:rPr>
          <w:rFonts w:cs="Arial"/>
          <w:iCs/>
          <w:sz w:val="16"/>
          <w:szCs w:val="16"/>
        </w:rPr>
        <w:t>Raspberry ringspot virus</w:t>
      </w:r>
      <w:r>
        <w:rPr>
          <w:rFonts w:cs="Arial"/>
          <w:sz w:val="16"/>
          <w:szCs w:val="16"/>
        </w:rPr>
        <w:t xml:space="preserve"> – RAC815 isolate (RpRSV- RAC815) in Switzerland; both have also been recorded from grapevines (Wetzel </w:t>
      </w:r>
      <w:r>
        <w:rPr>
          <w:rFonts w:cs="Arial"/>
          <w:i/>
          <w:sz w:val="16"/>
          <w:szCs w:val="16"/>
        </w:rPr>
        <w:t xml:space="preserve">et al. </w:t>
      </w:r>
      <w:r>
        <w:rPr>
          <w:rFonts w:cs="Arial"/>
          <w:sz w:val="16"/>
          <w:szCs w:val="16"/>
        </w:rPr>
        <w:t>2006).</w:t>
      </w:r>
    </w:p>
  </w:footnote>
  <w:footnote w:id="37">
    <w:p>
      <w:pPr>
        <w:pStyle w:val="FootnoteText"/>
        <w:spacing w:before="40" w:line="240" w:lineRule="atLeast"/>
        <w:jc w:val="left"/>
        <w:rPr>
          <w:sz w:val="16"/>
          <w:szCs w:val="16"/>
        </w:rPr>
      </w:pPr>
      <w:r>
        <w:rPr>
          <w:rStyle w:val="FootnoteReference"/>
          <w:sz w:val="16"/>
          <w:szCs w:val="16"/>
        </w:rPr>
        <w:footnoteRef/>
      </w:r>
      <w:r>
        <w:rPr>
          <w:sz w:val="16"/>
          <w:szCs w:val="16"/>
        </w:rPr>
        <w:t xml:space="preserve"> </w:t>
      </w:r>
      <w:r>
        <w:rPr>
          <w:rFonts w:ascii="Helvetica" w:hAnsi="Helvetica"/>
          <w:sz w:val="16"/>
          <w:szCs w:val="16"/>
        </w:rPr>
        <w:t xml:space="preserve">Sowbane mosaic virus (SoMV) naturally occurs on </w:t>
      </w:r>
      <w:r>
        <w:rPr>
          <w:rFonts w:ascii="Helvetica" w:hAnsi="Helvetica"/>
          <w:i/>
          <w:sz w:val="16"/>
          <w:szCs w:val="16"/>
        </w:rPr>
        <w:t>Atriplex suberecta, Chenopodium album</w:t>
      </w:r>
      <w:r>
        <w:rPr>
          <w:rFonts w:ascii="Helvetica" w:hAnsi="Helvetica"/>
          <w:sz w:val="16"/>
          <w:szCs w:val="16"/>
        </w:rPr>
        <w:t xml:space="preserve"> and </w:t>
      </w:r>
      <w:r>
        <w:rPr>
          <w:rFonts w:ascii="Helvetica" w:hAnsi="Helvetica"/>
          <w:i/>
          <w:sz w:val="16"/>
          <w:szCs w:val="16"/>
        </w:rPr>
        <w:t>Chenopodium trigonon</w:t>
      </w:r>
      <w:r>
        <w:rPr>
          <w:rFonts w:ascii="Helvetica" w:hAnsi="Helvetica"/>
          <w:sz w:val="16"/>
          <w:szCs w:val="16"/>
        </w:rPr>
        <w:t xml:space="preserve"> in </w:t>
      </w:r>
      <w:smartTag w:uri="urn:schemas-microsoft-com:office:smarttags" w:element="place">
        <w:smartTag w:uri="urn:schemas-microsoft-com:office:smarttags" w:element="country-region">
          <w:r>
            <w:rPr>
              <w:rFonts w:ascii="Helvetica" w:hAnsi="Helvetica"/>
              <w:sz w:val="16"/>
              <w:szCs w:val="16"/>
            </w:rPr>
            <w:t>Australia</w:t>
          </w:r>
        </w:smartTag>
      </w:smartTag>
      <w:r>
        <w:rPr>
          <w:rFonts w:ascii="Helvetica" w:hAnsi="Helvetica"/>
          <w:sz w:val="16"/>
          <w:szCs w:val="16"/>
        </w:rPr>
        <w:t xml:space="preserve"> (Teakle 1968; Guy 1982). However, this virus has not been recorded on grapevines in </w:t>
      </w:r>
      <w:smartTag w:uri="urn:schemas-microsoft-com:office:smarttags" w:element="country-region">
        <w:smartTag w:uri="urn:schemas-microsoft-com:office:smarttags" w:element="place">
          <w:r>
            <w:rPr>
              <w:rFonts w:ascii="Helvetica" w:hAnsi="Helvetica"/>
              <w:sz w:val="16"/>
              <w:szCs w:val="16"/>
            </w:rPr>
            <w:t>Australia</w:t>
          </w:r>
        </w:smartTag>
      </w:smartTag>
      <w:r>
        <w:rPr>
          <w:rFonts w:ascii="Helvetica" w:hAnsi="Helvetica"/>
          <w:sz w:val="16"/>
          <w:szCs w:val="16"/>
        </w:rPr>
        <w:t xml:space="preserve"> (Constable and Drew 2004; Constable </w:t>
      </w:r>
      <w:r>
        <w:rPr>
          <w:rFonts w:ascii="Helvetica" w:hAnsi="Helvetica"/>
          <w:i/>
          <w:sz w:val="16"/>
          <w:szCs w:val="16"/>
        </w:rPr>
        <w:t>et al</w:t>
      </w:r>
      <w:r>
        <w:rPr>
          <w:rFonts w:ascii="Helvetica" w:hAnsi="Helvetica"/>
          <w:sz w:val="16"/>
          <w:szCs w:val="16"/>
        </w:rPr>
        <w:t>. 2010).</w:t>
      </w:r>
    </w:p>
  </w:footnote>
  <w:footnote w:id="38">
    <w:p>
      <w:pPr>
        <w:pStyle w:val="FootnoteText"/>
        <w:spacing w:line="240" w:lineRule="atLeast"/>
        <w:jc w:val="left"/>
        <w:rPr>
          <w:sz w:val="16"/>
          <w:szCs w:val="16"/>
        </w:rPr>
      </w:pPr>
      <w:r>
        <w:rPr>
          <w:rStyle w:val="FootnoteReference"/>
          <w:sz w:val="16"/>
          <w:szCs w:val="16"/>
        </w:rPr>
        <w:footnoteRef/>
      </w:r>
      <w:r>
        <w:rPr>
          <w:sz w:val="16"/>
          <w:szCs w:val="16"/>
        </w:rPr>
        <w:t xml:space="preserve"> In </w:t>
      </w:r>
      <w:smartTag w:uri="urn:schemas-microsoft-com:office:smarttags" w:element="country-region">
        <w:r>
          <w:rPr>
            <w:sz w:val="16"/>
            <w:szCs w:val="16"/>
          </w:rPr>
          <w:t>Australia</w:t>
        </w:r>
      </w:smartTag>
      <w:r>
        <w:rPr>
          <w:sz w:val="16"/>
          <w:szCs w:val="16"/>
        </w:rPr>
        <w:t xml:space="preserve">, SLRSV has only once been reported from Rhubarb in </w:t>
      </w:r>
      <w:smartTag w:uri="urn:schemas-microsoft-com:office:smarttags" w:element="place">
        <w:smartTag w:uri="urn:schemas-microsoft-com:office:smarttags" w:element="State">
          <w:r>
            <w:rPr>
              <w:sz w:val="16"/>
              <w:szCs w:val="16"/>
            </w:rPr>
            <w:t>South Australia</w:t>
          </w:r>
        </w:smartTag>
      </w:smartTag>
      <w:r>
        <w:rPr>
          <w:sz w:val="16"/>
          <w:szCs w:val="16"/>
        </w:rPr>
        <w:t xml:space="preserve"> (Cook and Dubé 1989). As there have been no further reports of this virus in </w:t>
      </w:r>
      <w:smartTag w:uri="urn:schemas-microsoft-com:office:smarttags" w:element="country-region">
        <w:smartTag w:uri="urn:schemas-microsoft-com:office:smarttags" w:element="place">
          <w:r>
            <w:rPr>
              <w:sz w:val="16"/>
              <w:szCs w:val="16"/>
            </w:rPr>
            <w:t>Australia</w:t>
          </w:r>
        </w:smartTag>
      </w:smartTag>
      <w:r>
        <w:rPr>
          <w:sz w:val="16"/>
          <w:szCs w:val="16"/>
        </w:rPr>
        <w:t>, it is considered to be eradicated. The natural vector of SLRSV is also absent from Australia.</w:t>
      </w:r>
    </w:p>
  </w:footnote>
  <w:footnote w:id="39">
    <w:p>
      <w:pPr>
        <w:pStyle w:val="FootnoteText"/>
        <w:spacing w:line="240" w:lineRule="atLeast"/>
        <w:jc w:val="left"/>
        <w:rPr>
          <w:sz w:val="16"/>
          <w:szCs w:val="16"/>
        </w:rPr>
      </w:pPr>
      <w:r>
        <w:rPr>
          <w:rStyle w:val="FootnoteReference"/>
          <w:sz w:val="16"/>
          <w:szCs w:val="16"/>
        </w:rPr>
        <w:footnoteRef/>
      </w:r>
      <w:r>
        <w:rPr>
          <w:sz w:val="16"/>
          <w:szCs w:val="16"/>
        </w:rPr>
        <w:t xml:space="preserve"> The taxonomy of TNV has been revised to recognise that what was originally named TNV is actually a group of related virus species. </w:t>
      </w:r>
      <w:r>
        <w:rPr>
          <w:i/>
          <w:sz w:val="16"/>
          <w:szCs w:val="16"/>
        </w:rPr>
        <w:t xml:space="preserve">Tobacco necrosis virus A </w:t>
      </w:r>
      <w:r>
        <w:rPr>
          <w:sz w:val="16"/>
          <w:szCs w:val="16"/>
        </w:rPr>
        <w:t>(TNV-A) and</w:t>
      </w:r>
      <w:r>
        <w:rPr>
          <w:i/>
          <w:sz w:val="16"/>
          <w:szCs w:val="16"/>
        </w:rPr>
        <w:t xml:space="preserve"> Tobacco necrosis virus D</w:t>
      </w:r>
      <w:r>
        <w:rPr>
          <w:sz w:val="16"/>
          <w:szCs w:val="16"/>
        </w:rPr>
        <w:t xml:space="preserve"> (TNV-D) have been recognised as distinct species in the </w:t>
      </w:r>
      <w:r>
        <w:rPr>
          <w:i/>
          <w:sz w:val="16"/>
          <w:szCs w:val="16"/>
        </w:rPr>
        <w:t>Necrovirus</w:t>
      </w:r>
      <w:r>
        <w:rPr>
          <w:sz w:val="16"/>
          <w:szCs w:val="16"/>
        </w:rPr>
        <w:t xml:space="preserve"> genus (Coutts </w:t>
      </w:r>
      <w:r>
        <w:rPr>
          <w:i/>
          <w:sz w:val="16"/>
          <w:szCs w:val="16"/>
        </w:rPr>
        <w:t>et al</w:t>
      </w:r>
      <w:r>
        <w:rPr>
          <w:sz w:val="16"/>
          <w:szCs w:val="16"/>
        </w:rPr>
        <w:t>. 1991; M</w:t>
      </w:r>
      <w:smartTag w:uri="urn:schemas-microsoft-com:office:smarttags" w:element="PersonName">
        <w:r>
          <w:rPr>
            <w:sz w:val="16"/>
            <w:szCs w:val="16"/>
          </w:rPr>
          <w:t>eu</w:t>
        </w:r>
      </w:smartTag>
      <w:r>
        <w:rPr>
          <w:sz w:val="16"/>
          <w:szCs w:val="16"/>
        </w:rPr>
        <w:t xml:space="preserve">lewaeter </w:t>
      </w:r>
      <w:r>
        <w:rPr>
          <w:i/>
          <w:sz w:val="16"/>
          <w:szCs w:val="16"/>
        </w:rPr>
        <w:t>et al</w:t>
      </w:r>
      <w:r>
        <w:rPr>
          <w:sz w:val="16"/>
          <w:szCs w:val="16"/>
        </w:rPr>
        <w:t xml:space="preserve">. 1990) </w:t>
      </w:r>
      <w:r>
        <w:rPr>
          <w:sz w:val="16"/>
          <w:szCs w:val="16"/>
        </w:rPr>
        <w:fldChar w:fldCharType="begin"/>
      </w:r>
      <w:r>
        <w:rPr>
          <w:sz w:val="16"/>
          <w:szCs w:val="16"/>
        </w:rPr>
        <w:instrText xml:space="preserve"> QUOTE "" </w:instrText>
      </w:r>
      <w:r>
        <w:rPr>
          <w:vanish/>
          <w:sz w:val="16"/>
          <w:szCs w:val="16"/>
        </w:rPr>
        <w:fldChar w:fldCharType="begin"/>
      </w:r>
      <w:r>
        <w:rPr>
          <w:vanish/>
          <w:sz w:val="16"/>
          <w:szCs w:val="16"/>
        </w:rPr>
        <w:instrText xml:space="preserve"> ADDIN PROCITE ÿ\11\05‘\19\02\00\00\00\00\01\00\00ð\0B\00\00EJ:\5CPlant\5CPublications\5CProject C Publications\5CProject_C_References.pdt!Coutts, Rigden, et al. 1991 #3392\01\04\00\06\00àà\00\00\00¿H\00Ø3\14\00\14\00\00\00\01\00\00\00\00\00\00\00\00\00\00\00\10\00\00\00\00\00\00\00\02\00\00\00\00\00\00\00\00\00,\00\00\00\01\00\00\00Lô\12\00=\11J\00,\00\00\00xô\12\00Lô\12\00\06\00àà\00\00\00¿H\00Ø3\14\00\14\00\00\00\01\00\00\00\00\00\00\00\00\00\00\00\10\00\00\00\00\00\00\00\13\00\00\00\00\00\00ÿÿÿÎÃÂwçÃÂw,\00\00\00Dò\12\00.ÄÂw,\00\00\00\00\00\00\00 </w:instrText>
      </w:r>
      <w:r>
        <w:rPr>
          <w:vanish/>
          <w:sz w:val="16"/>
          <w:szCs w:val="16"/>
        </w:rPr>
        <w:fldChar w:fldCharType="end"/>
      </w:r>
      <w:r>
        <w:rPr>
          <w:sz w:val="16"/>
          <w:szCs w:val="16"/>
        </w:rPr>
        <w:fldChar w:fldCharType="end"/>
      </w:r>
      <w:r>
        <w:rPr>
          <w:sz w:val="16"/>
          <w:szCs w:val="16"/>
        </w:rPr>
        <w:t xml:space="preserve">, as have </w:t>
      </w:r>
      <w:r>
        <w:rPr>
          <w:i/>
          <w:sz w:val="16"/>
          <w:szCs w:val="16"/>
        </w:rPr>
        <w:t>Chenopodium necrosis virus</w:t>
      </w:r>
      <w:r>
        <w:rPr>
          <w:sz w:val="16"/>
          <w:szCs w:val="16"/>
        </w:rPr>
        <w:t xml:space="preserve"> (ChNV) and </w:t>
      </w:r>
      <w:r>
        <w:rPr>
          <w:i/>
          <w:sz w:val="16"/>
          <w:szCs w:val="16"/>
        </w:rPr>
        <w:t xml:space="preserve">Olive mild mosaic virus </w:t>
      </w:r>
      <w:r>
        <w:rPr>
          <w:sz w:val="16"/>
          <w:szCs w:val="16"/>
        </w:rPr>
        <w:t xml:space="preserve">(OMMV), which were previously considered TNV isolates (Tomlinson </w:t>
      </w:r>
      <w:r>
        <w:rPr>
          <w:i/>
          <w:sz w:val="16"/>
          <w:szCs w:val="16"/>
        </w:rPr>
        <w:t>et al</w:t>
      </w:r>
      <w:r>
        <w:rPr>
          <w:sz w:val="16"/>
          <w:szCs w:val="16"/>
        </w:rPr>
        <w:t xml:space="preserve">. 1983). TNV isolates from </w:t>
      </w:r>
      <w:smartTag w:uri="urn:schemas-microsoft-com:office:smarttags" w:element="State">
        <w:r>
          <w:rPr>
            <w:sz w:val="16"/>
            <w:szCs w:val="16"/>
          </w:rPr>
          <w:t>Nebraska</w:t>
        </w:r>
      </w:smartTag>
      <w:r>
        <w:rPr>
          <w:sz w:val="16"/>
          <w:szCs w:val="16"/>
        </w:rPr>
        <w:t xml:space="preserve"> and </w:t>
      </w:r>
      <w:smartTag w:uri="urn:schemas-microsoft-com:office:smarttags" w:element="place">
        <w:smartTag w:uri="urn:schemas-microsoft-com:office:smarttags" w:element="City">
          <w:r>
            <w:rPr>
              <w:sz w:val="16"/>
              <w:szCs w:val="16"/>
            </w:rPr>
            <w:t>Toyama</w:t>
          </w:r>
        </w:smartTag>
      </w:smartTag>
      <w:r>
        <w:rPr>
          <w:sz w:val="16"/>
          <w:szCs w:val="16"/>
        </w:rPr>
        <w:t xml:space="preserve"> (TNV-NE and TNV-Toyama) are likely to represent two new species in the genus, but have not yet been officially recognised (Saeki </w:t>
      </w:r>
      <w:r>
        <w:rPr>
          <w:i/>
          <w:sz w:val="16"/>
          <w:szCs w:val="16"/>
        </w:rPr>
        <w:t>et al</w:t>
      </w:r>
      <w:r>
        <w:rPr>
          <w:sz w:val="16"/>
          <w:szCs w:val="16"/>
        </w:rPr>
        <w:t xml:space="preserve">. 2001; Zhang </w:t>
      </w:r>
      <w:r>
        <w:rPr>
          <w:i/>
          <w:sz w:val="16"/>
          <w:szCs w:val="16"/>
        </w:rPr>
        <w:t>et al</w:t>
      </w:r>
      <w:r>
        <w:rPr>
          <w:sz w:val="16"/>
          <w:szCs w:val="16"/>
        </w:rPr>
        <w:t xml:space="preserve">. 1993). </w:t>
      </w:r>
      <w:r>
        <w:rPr>
          <w:sz w:val="16"/>
          <w:szCs w:val="16"/>
        </w:rPr>
        <w:fldChar w:fldCharType="begin"/>
      </w:r>
      <w:r>
        <w:rPr>
          <w:sz w:val="16"/>
          <w:szCs w:val="16"/>
        </w:rPr>
        <w:instrText xml:space="preserve"> QUOTE "" </w:instrText>
      </w:r>
      <w:r>
        <w:rPr>
          <w:vanish/>
          <w:sz w:val="16"/>
          <w:szCs w:val="16"/>
        </w:rPr>
        <w:fldChar w:fldCharType="begin"/>
      </w:r>
      <w:r>
        <w:rPr>
          <w:vanish/>
          <w:sz w:val="16"/>
          <w:szCs w:val="16"/>
        </w:rPr>
        <w:instrText xml:space="preserve"> ADDIN PROCITE ÿ\11\05‘\19\02\00\00\00\00\01\00\00\08\0C\00\00EJ:\5CPlant\5CPublications\5CProject C Publications\5CProject_C_References.pdt#Saeki, Takahashi, et al. 2001 #3416\01\04\00\05\00àà\00\00\00¿H\00Ø3\14\00\14\00\00\00\01\00\00\00\00\00\00\00\00\00\00\00\10\00\00\00\00\00\00\00\02\00\00\00\00\00\00\00\00\00,\00\00\00\01\00\00\00Lô\12\00=\11J\00,\00\00\00xô\12\00Lô\12\00\09\00àà\00\00\00¿H\00Ø3\14\00\14\00\00\00\01\00\00\00\00\00\00\00\00\00\00\00\10\00\00\00\00\00\00\00\13\00\00\00\00\00\00ÿÿÿÎÃÂwçÃÂw,\00\00\00Dò\12\00.ÄÂw,\00\00\00\00\00\00\00 </w:instrText>
      </w:r>
      <w:r>
        <w:rPr>
          <w:vanish/>
          <w:sz w:val="16"/>
          <w:szCs w:val="16"/>
        </w:rPr>
        <w:fldChar w:fldCharType="end"/>
      </w:r>
      <w:r>
        <w:rPr>
          <w:sz w:val="16"/>
          <w:szCs w:val="16"/>
        </w:rPr>
        <w:fldChar w:fldCharType="end"/>
      </w:r>
      <w:r>
        <w:rPr>
          <w:sz w:val="16"/>
          <w:szCs w:val="16"/>
        </w:rPr>
        <w:t>Molecular sequence data indicates that other necroviruses originally labelled ‘</w:t>
      </w:r>
      <w:r>
        <w:rPr>
          <w:i/>
          <w:sz w:val="16"/>
          <w:szCs w:val="16"/>
        </w:rPr>
        <w:t>Tobacco necrosis virus</w:t>
      </w:r>
      <w:r>
        <w:rPr>
          <w:sz w:val="16"/>
          <w:szCs w:val="16"/>
        </w:rPr>
        <w:t xml:space="preserve">’ are likely to be confirmed as distinct species (NCBI 2010). Viruses likely to be strains of TNVs A and D have been recorded in Victoria and Queensland (Finlay and Teakle 1969; Teakle 1988). TNV Nebraska isolate and grape infecting strain has not been recorded in Australia, nor have other TNVs that have since been renamed or have not yet been formally classified (Tomlinson </w:t>
      </w:r>
      <w:r>
        <w:rPr>
          <w:i/>
          <w:sz w:val="16"/>
          <w:szCs w:val="16"/>
        </w:rPr>
        <w:t>et al</w:t>
      </w:r>
      <w:r>
        <w:rPr>
          <w:sz w:val="16"/>
          <w:szCs w:val="16"/>
        </w:rPr>
        <w:t xml:space="preserve">. 1983; Zhang </w:t>
      </w:r>
      <w:r>
        <w:rPr>
          <w:i/>
          <w:sz w:val="16"/>
          <w:szCs w:val="16"/>
        </w:rPr>
        <w:t>et al</w:t>
      </w:r>
      <w:r>
        <w:rPr>
          <w:sz w:val="16"/>
          <w:szCs w:val="16"/>
        </w:rPr>
        <w:t xml:space="preserve">. 1993; Cardoso </w:t>
      </w:r>
      <w:r>
        <w:rPr>
          <w:i/>
          <w:sz w:val="16"/>
          <w:szCs w:val="16"/>
        </w:rPr>
        <w:t>et al</w:t>
      </w:r>
      <w:r>
        <w:rPr>
          <w:sz w:val="16"/>
          <w:szCs w:val="16"/>
        </w:rPr>
        <w:t>. 2005; NCBI 2010).</w:t>
      </w:r>
    </w:p>
  </w:footnote>
  <w:footnote w:id="40">
    <w:p>
      <w:pPr>
        <w:pStyle w:val="FootnoteText"/>
        <w:spacing w:before="40" w:line="240" w:lineRule="atLeast"/>
        <w:jc w:val="left"/>
        <w:rPr>
          <w:sz w:val="16"/>
          <w:szCs w:val="16"/>
        </w:rPr>
      </w:pPr>
      <w:r>
        <w:rPr>
          <w:rStyle w:val="FootnoteReference"/>
          <w:sz w:val="16"/>
          <w:szCs w:val="16"/>
        </w:rPr>
        <w:footnoteRef/>
      </w:r>
      <w:r>
        <w:rPr>
          <w:sz w:val="16"/>
          <w:szCs w:val="16"/>
        </w:rPr>
        <w:t xml:space="preserve"> </w:t>
      </w:r>
      <w:r>
        <w:rPr>
          <w:i/>
          <w:sz w:val="16"/>
          <w:szCs w:val="16"/>
        </w:rPr>
        <w:t>Tomato ring spot virus</w:t>
      </w:r>
      <w:r>
        <w:rPr>
          <w:sz w:val="16"/>
          <w:szCs w:val="16"/>
        </w:rPr>
        <w:t xml:space="preserve"> was reported more than two decades ago in </w:t>
      </w:r>
      <w:r>
        <w:rPr>
          <w:i/>
          <w:sz w:val="16"/>
          <w:szCs w:val="16"/>
        </w:rPr>
        <w:t xml:space="preserve">Pentas lanceolata </w:t>
      </w:r>
      <w:r>
        <w:rPr>
          <w:sz w:val="16"/>
          <w:szCs w:val="16"/>
        </w:rPr>
        <w:t xml:space="preserve">(Egyptian starflower) and </w:t>
      </w:r>
      <w:r>
        <w:rPr>
          <w:rFonts w:ascii="Helvetica" w:hAnsi="Helvetica" w:cs="Helvetica"/>
          <w:bCs/>
          <w:i/>
          <w:sz w:val="16"/>
          <w:szCs w:val="16"/>
        </w:rPr>
        <w:t xml:space="preserve">Cymbidium </w:t>
      </w:r>
      <w:r>
        <w:rPr>
          <w:rFonts w:ascii="Helvetica" w:hAnsi="Helvetica" w:cs="Helvetica"/>
          <w:bCs/>
          <w:sz w:val="16"/>
          <w:szCs w:val="16"/>
        </w:rPr>
        <w:t xml:space="preserve">orchid species </w:t>
      </w:r>
      <w:r>
        <w:rPr>
          <w:sz w:val="16"/>
          <w:szCs w:val="16"/>
        </w:rPr>
        <w:t xml:space="preserve">in </w:t>
      </w:r>
      <w:smartTag w:uri="urn:schemas-microsoft-com:office:smarttags" w:element="State">
        <w:smartTag w:uri="urn:schemas-microsoft-com:office:smarttags" w:element="place">
          <w:r>
            <w:rPr>
              <w:sz w:val="16"/>
              <w:szCs w:val="16"/>
            </w:rPr>
            <w:t>South Australia</w:t>
          </w:r>
        </w:smartTag>
      </w:smartTag>
      <w:r>
        <w:rPr>
          <w:sz w:val="16"/>
          <w:szCs w:val="16"/>
        </w:rPr>
        <w:t xml:space="preserve"> </w:t>
      </w:r>
      <w:r>
        <w:rPr>
          <w:rFonts w:ascii="Helvetica" w:hAnsi="Helvetica"/>
          <w:sz w:val="16"/>
          <w:szCs w:val="16"/>
        </w:rPr>
        <w:t xml:space="preserve">(Chu </w:t>
      </w:r>
      <w:r>
        <w:rPr>
          <w:rFonts w:ascii="Helvetica" w:hAnsi="Helvetica"/>
          <w:i/>
          <w:sz w:val="16"/>
          <w:szCs w:val="16"/>
        </w:rPr>
        <w:t>et al</w:t>
      </w:r>
      <w:r>
        <w:rPr>
          <w:rFonts w:ascii="Helvetica" w:hAnsi="Helvetica"/>
          <w:sz w:val="16"/>
          <w:szCs w:val="16"/>
        </w:rPr>
        <w:t xml:space="preserve">. 1983; Cook and Dubé 1989). The infected plants were removed and it has not since been reported to occur in </w:t>
      </w:r>
      <w:smartTag w:uri="urn:schemas-microsoft-com:office:smarttags" w:element="State">
        <w:r>
          <w:rPr>
            <w:rFonts w:ascii="Helvetica" w:hAnsi="Helvetica"/>
            <w:sz w:val="16"/>
            <w:szCs w:val="16"/>
          </w:rPr>
          <w:t>South Australia</w:t>
        </w:r>
      </w:smartTag>
      <w:r>
        <w:rPr>
          <w:rFonts w:ascii="Helvetica" w:hAnsi="Helvetica"/>
          <w:sz w:val="16"/>
          <w:szCs w:val="16"/>
        </w:rPr>
        <w:t xml:space="preserve"> (Cartwright 2009), suggesting the virus has not spread and is probably absent from </w:t>
      </w:r>
      <w:smartTag w:uri="urn:schemas-microsoft-com:office:smarttags" w:element="country-region">
        <w:smartTag w:uri="urn:schemas-microsoft-com:office:smarttags" w:element="place">
          <w:r>
            <w:rPr>
              <w:rFonts w:ascii="Helvetica" w:hAnsi="Helvetica"/>
              <w:sz w:val="16"/>
              <w:szCs w:val="16"/>
            </w:rPr>
            <w:t>Australia</w:t>
          </w:r>
        </w:smartTag>
      </w:smartTag>
      <w:r>
        <w:rPr>
          <w:rFonts w:ascii="Helvetica" w:hAnsi="Helvetica"/>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rPr>
        <w:rFonts w:ascii="Arial" w:hAnsi="Arial"/>
        <w:sz w:val="18"/>
        <w:u w:val="singl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234.75pt;height:81.75pt;rotation:315;z-index:-251660288;mso-position-horizontal:center;mso-position-horizontal-relative:margin;mso-position-vertical:center;mso-position-vertical-relative:margin" o:allowincell="f" fillcolor="#ddd" stroked="f">
          <v:fill opacity=".5"/>
          <v:textpath style="font-family:&quot;Times New Roman&quot;;font-size:1in" string="DRAFT"/>
          <w10:wrap anchorx="margin" anchory="margin"/>
        </v:shape>
      </w:pict>
    </w:r>
    <w:r>
      <w:rPr>
        <w:rFonts w:ascii="Arial" w:hAnsi="Arial"/>
        <w:sz w:val="18"/>
        <w:u w:val="single"/>
      </w:rPr>
      <w:t>Guidelines for Import Risk Analysis: May 2001 draft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rPr>
        <w:rFonts w:ascii="Helvetica" w:hAnsi="Helvetica"/>
        <w:i/>
        <w:sz w:val="20"/>
        <w:lang w:val="en-GB"/>
      </w:rPr>
    </w:pPr>
    <w:r>
      <w:rPr>
        <w:rFonts w:ascii="Helvetica" w:hAnsi="Helvetica"/>
        <w:i/>
        <w:sz w:val="20"/>
        <w:lang w:val="en-GB"/>
      </w:rPr>
      <w:t xml:space="preserve">Draft review of policy — Grapevine propagative material into </w:t>
    </w:r>
    <w:smartTag w:uri="urn:schemas-microsoft-com:office:smarttags" w:element="place">
      <w:smartTag w:uri="urn:schemas-microsoft-com:office:smarttags" w:element="country-region">
        <w:r>
          <w:rPr>
            <w:rFonts w:ascii="Helvetica" w:hAnsi="Helvetica"/>
            <w:i/>
            <w:sz w:val="20"/>
            <w:lang w:val="en-GB"/>
          </w:rPr>
          <w:t>Australia</w:t>
        </w:r>
      </w:smartTag>
    </w:smartTag>
    <w:r>
      <w:rPr>
        <w:rFonts w:ascii="Helvetica" w:hAnsi="Helvetica"/>
        <w:i/>
        <w:sz w:val="20"/>
        <w:lang w:val="en-GB"/>
      </w:rPr>
      <w:tab/>
      <w:t>Introduction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rPr>
        <w:rFonts w:ascii="Helvetica" w:hAnsi="Helvetica"/>
        <w:i/>
        <w:sz w:val="20"/>
        <w:lang w:val="en-GB"/>
      </w:rPr>
    </w:pPr>
    <w:r>
      <w:rPr>
        <w:rFonts w:ascii="Helvetica" w:hAnsi="Helvetica"/>
        <w:i/>
        <w:sz w:val="20"/>
        <w:lang w:val="en-GB"/>
      </w:rPr>
      <w:t xml:space="preserve">Draft review of policy — Grapevine propagative material into </w:t>
    </w:r>
    <w:smartTag w:uri="urn:schemas-microsoft-com:office:smarttags" w:element="place">
      <w:smartTag w:uri="urn:schemas-microsoft-com:office:smarttags" w:element="country-region">
        <w:r>
          <w:rPr>
            <w:rFonts w:ascii="Helvetica" w:hAnsi="Helvetica"/>
            <w:i/>
            <w:sz w:val="20"/>
            <w:lang w:val="en-GB"/>
          </w:rPr>
          <w:t>Australia</w:t>
        </w:r>
      </w:smartTag>
    </w:smartTag>
    <w:r>
      <w:rPr>
        <w:rFonts w:ascii="Helvetica" w:hAnsi="Helvetica"/>
        <w:i/>
        <w:sz w:val="20"/>
        <w:lang w:val="en-GB"/>
      </w:rPr>
      <w:tab/>
      <w:t>Introduction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rPr>
        <w:rFonts w:ascii="Helvetica" w:hAnsi="Helvetica"/>
        <w:i/>
        <w:sz w:val="20"/>
        <w:lang w:val="en-GB"/>
      </w:rPr>
    </w:pPr>
    <w:r>
      <w:rPr>
        <w:rFonts w:ascii="Helvetica" w:hAnsi="Helvetica"/>
        <w:i/>
        <w:sz w:val="20"/>
        <w:lang w:val="en-GB"/>
      </w:rPr>
      <w:t xml:space="preserve">Draft review of policy — Vitis propagative material into </w:t>
    </w:r>
    <w:smartTag w:uri="urn:schemas-microsoft-com:office:smarttags" w:element="country-region">
      <w:r>
        <w:rPr>
          <w:rFonts w:ascii="Helvetica" w:hAnsi="Helvetica"/>
          <w:i/>
          <w:sz w:val="20"/>
          <w:lang w:val="en-GB"/>
        </w:rPr>
        <w:t>Australia</w:t>
      </w:r>
    </w:smartTag>
    <w:r>
      <w:rPr>
        <w:rFonts w:ascii="Helvetica" w:hAnsi="Helvetica"/>
        <w:i/>
        <w:sz w:val="20"/>
        <w:lang w:val="en-GB"/>
      </w:rPr>
      <w:tab/>
    </w:r>
    <w:smartTag w:uri="urn:schemas-microsoft-com:office:smarttags" w:element="place">
      <w:r>
        <w:rPr>
          <w:rFonts w:ascii="Helvetica" w:hAnsi="Helvetica"/>
          <w:i/>
          <w:sz w:val="20"/>
          <w:lang w:val="en-GB"/>
        </w:rPr>
        <w:t>Pest</w:t>
      </w:r>
    </w:smartTag>
    <w:r>
      <w:rPr>
        <w:rFonts w:ascii="Helvetica" w:hAnsi="Helvetica"/>
        <w:i/>
        <w:sz w:val="20"/>
        <w:lang w:val="en-GB"/>
      </w:rPr>
      <w:t xml:space="preserve"> risk analysis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rPr>
        <w:rFonts w:ascii="Helvetica" w:hAnsi="Helvetica"/>
        <w:i/>
        <w:sz w:val="20"/>
        <w:lang w:val="en-GB"/>
      </w:rPr>
    </w:pPr>
    <w:r>
      <w:rPr>
        <w:rFonts w:ascii="Helvetica" w:hAnsi="Helvetica"/>
        <w:i/>
        <w:sz w:val="20"/>
        <w:lang w:val="en-GB"/>
      </w:rPr>
      <w:t xml:space="preserve">Draft review of policy — Vitis propagative material into </w:t>
    </w:r>
    <w:smartTag w:uri="urn:schemas-microsoft-com:office:smarttags" w:element="country-region">
      <w:r>
        <w:rPr>
          <w:rFonts w:ascii="Helvetica" w:hAnsi="Helvetica"/>
          <w:i/>
          <w:sz w:val="20"/>
          <w:lang w:val="en-GB"/>
        </w:rPr>
        <w:t>Australia</w:t>
      </w:r>
    </w:smartTag>
    <w:r>
      <w:rPr>
        <w:rFonts w:ascii="Helvetica" w:hAnsi="Helvetica"/>
        <w:i/>
        <w:sz w:val="20"/>
        <w:lang w:val="en-GB"/>
      </w:rPr>
      <w:tab/>
    </w:r>
    <w:smartTag w:uri="urn:schemas-microsoft-com:office:smarttags" w:element="place">
      <w:r>
        <w:rPr>
          <w:rFonts w:ascii="Helvetica" w:hAnsi="Helvetica"/>
          <w:i/>
          <w:sz w:val="20"/>
          <w:lang w:val="en-GB"/>
        </w:rPr>
        <w:t>Pest</w:t>
      </w:r>
    </w:smartTag>
    <w:r>
      <w:rPr>
        <w:rFonts w:ascii="Helvetica" w:hAnsi="Helvetica"/>
        <w:i/>
        <w:sz w:val="20"/>
        <w:lang w:val="en-GB"/>
      </w:rPr>
      <w:t xml:space="preserve"> risk analysis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2" type="#_x0000_t136" style="position:absolute;left:0;text-align:left;margin-left:0;margin-top:0;width:234.75pt;height:81.75pt;rotation:315;z-index:-251657216;mso-position-horizontal:center;mso-position-horizontal-relative:margin;mso-position-vertical:center;mso-position-vertical-relative:margin" o:allowincell="f" fillcolor="#ddd" stroked="f">
          <v:fill opacity=".5"/>
          <v:textpath style="font-family:&quot;Times New Roman&quot;;font-size:1in" string="DRAFT"/>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pPr>
    <w:r>
      <w:rPr>
        <w:rFonts w:ascii="Helvetica" w:hAnsi="Helvetica"/>
        <w:i/>
        <w:sz w:val="20"/>
        <w:lang w:val="en-GB"/>
      </w:rPr>
      <w:t xml:space="preserve">Draft review of policy — Vitis propagative material into </w:t>
    </w:r>
    <w:smartTag w:uri="urn:schemas-microsoft-com:office:smarttags" w:element="country-region">
      <w:r>
        <w:rPr>
          <w:rFonts w:ascii="Helvetica" w:hAnsi="Helvetica"/>
          <w:i/>
          <w:sz w:val="20"/>
          <w:lang w:val="en-GB"/>
        </w:rPr>
        <w:t>Australia</w:t>
      </w:r>
    </w:smartTag>
    <w:r>
      <w:rPr>
        <w:rFonts w:ascii="Helvetica" w:hAnsi="Helvetica"/>
        <w:i/>
        <w:sz w:val="20"/>
        <w:lang w:val="en-GB"/>
      </w:rPr>
      <w:tab/>
    </w:r>
    <w:smartTag w:uri="urn:schemas-microsoft-com:office:smarttags" w:element="place">
      <w:r>
        <w:rPr>
          <w:rFonts w:ascii="Helvetica" w:hAnsi="Helvetica"/>
          <w:i/>
          <w:sz w:val="20"/>
          <w:lang w:val="en-GB"/>
        </w:rPr>
        <w:t>Pest</w:t>
      </w:r>
    </w:smartTag>
    <w:r>
      <w:rPr>
        <w:rFonts w:ascii="Helvetica" w:hAnsi="Helvetica"/>
        <w:i/>
        <w:sz w:val="20"/>
        <w:lang w:val="en-GB"/>
      </w:rPr>
      <w:t xml:space="preserve"> risk management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Bdr>
        <w:bottom w:val="single" w:sz="4" w:space="1" w:color="auto"/>
      </w:pBdr>
      <w:rPr>
        <w:rFonts w:ascii="Helvetica" w:hAnsi="Helvetica"/>
        <w:i/>
        <w:sz w:val="20"/>
        <w:lang w:val="en-GB"/>
      </w:rPr>
    </w:pPr>
    <w:r>
      <w:rPr>
        <w:rFonts w:ascii="Helvetica" w:hAnsi="Helvetica"/>
        <w:i/>
        <w:sz w:val="20"/>
        <w:lang w:val="en-GB"/>
      </w:rPr>
      <w:t xml:space="preserve">Draft Report – Pest Risk Analysis for Mangoes from </w:t>
    </w:r>
    <w:smartTag w:uri="urn:schemas-microsoft-com:office:smarttags" w:element="place">
      <w:smartTag w:uri="urn:schemas-microsoft-com:office:smarttags" w:element="country-region">
        <w:r>
          <w:rPr>
            <w:rFonts w:ascii="Helvetica" w:hAnsi="Helvetica"/>
            <w:i/>
            <w:sz w:val="20"/>
            <w:lang w:val="en-GB"/>
          </w:rPr>
          <w:t>Pakistan</w:t>
        </w:r>
      </w:smartTag>
    </w:smartTag>
  </w:p>
  <w:p>
    <w:pPr>
      <w:pStyle w:val="Header"/>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pPr>
    <w:r>
      <w:rPr>
        <w:rFonts w:ascii="Helvetica" w:hAnsi="Helvetica"/>
        <w:i/>
        <w:sz w:val="20"/>
        <w:lang w:val="en-GB"/>
      </w:rPr>
      <w:t>Draft review of policy — Vitis propagative material into Australia</w:t>
    </w:r>
    <w:r>
      <w:rPr>
        <w:rFonts w:ascii="Helvetica" w:hAnsi="Helvetica"/>
        <w:i/>
        <w:sz w:val="20"/>
        <w:lang w:val="en-GB"/>
      </w:rPr>
      <w:tab/>
      <w:t>Conclusion</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pPr>
    <w:r>
      <w:rPr>
        <w:rFonts w:ascii="Helvetica" w:hAnsi="Helvetica"/>
        <w:i/>
        <w:sz w:val="20"/>
        <w:lang w:val="en-GB"/>
      </w:rPr>
      <w:t>Draft review of policy — Vitis propagative material into Australia</w:t>
    </w:r>
    <w:r>
      <w:rPr>
        <w:rFonts w:ascii="Helvetica" w:hAnsi="Helvetica"/>
        <w:i/>
        <w:sz w:val="20"/>
        <w:lang w:val="en-GB"/>
      </w:rPr>
      <w:tab/>
      <w:t>Appendices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51" type="#_x0000_t136" style="position:absolute;left:0;text-align:left;margin-left:0;margin-top:0;width:234.75pt;height:81.75pt;rotation:315;z-index:-251658240;mso-position-horizontal:center;mso-position-horizontal-relative:margin;mso-position-vertical:center;mso-position-vertical-relative:margin" o:allowincell="f" fillcolor="#ddd" stroked="f">
          <v:fill opacity=".5"/>
          <v:textpath style="font-family:&quot;Times New Roman&quot;;font-size:1in"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14040"/>
      </w:tabs>
    </w:pPr>
    <w:r>
      <w:rPr>
        <w:rFonts w:ascii="Helvetica" w:hAnsi="Helvetica"/>
        <w:i/>
        <w:sz w:val="20"/>
        <w:lang w:val="en-GB"/>
      </w:rPr>
      <w:t xml:space="preserve">Draft review of policy — Vitis propagative material into </w:t>
    </w:r>
    <w:smartTag w:uri="urn:schemas-microsoft-com:office:smarttags" w:element="place">
      <w:smartTag w:uri="urn:schemas-microsoft-com:office:smarttags" w:element="country-region">
        <w:r>
          <w:rPr>
            <w:rFonts w:ascii="Helvetica" w:hAnsi="Helvetica"/>
            <w:i/>
            <w:sz w:val="20"/>
            <w:lang w:val="en-GB"/>
          </w:rPr>
          <w:t>Australia</w:t>
        </w:r>
      </w:smartTag>
    </w:smartTag>
    <w:r>
      <w:rPr>
        <w:rFonts w:ascii="Helvetica" w:hAnsi="Helvetica"/>
        <w:i/>
        <w:sz w:val="20"/>
        <w:lang w:val="en-GB"/>
      </w:rPr>
      <w:tab/>
      <w:t>Appendix 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left" w:pos="12960"/>
      </w:tabs>
    </w:pPr>
    <w:r>
      <w:rPr>
        <w:rFonts w:ascii="Helvetica" w:hAnsi="Helvetica"/>
        <w:i/>
        <w:sz w:val="20"/>
        <w:lang w:val="en-GB"/>
      </w:rPr>
      <w:t xml:space="preserve">Draft review of policy — Vitis propagative material into </w:t>
    </w:r>
    <w:smartTag w:uri="urn:schemas-microsoft-com:office:smarttags" w:element="place">
      <w:smartTag w:uri="urn:schemas-microsoft-com:office:smarttags" w:element="country-region">
        <w:r>
          <w:rPr>
            <w:rFonts w:ascii="Helvetica" w:hAnsi="Helvetica"/>
            <w:i/>
            <w:sz w:val="20"/>
            <w:lang w:val="en-GB"/>
          </w:rPr>
          <w:t>Australia</w:t>
        </w:r>
      </w:smartTag>
    </w:smartTag>
    <w:r>
      <w:rPr>
        <w:rFonts w:ascii="Helvetica" w:hAnsi="Helvetica"/>
        <w:i/>
        <w:sz w:val="20"/>
        <w:lang w:val="en-GB"/>
      </w:rPr>
      <w:tab/>
    </w:r>
    <w:r>
      <w:rPr>
        <w:rFonts w:ascii="Helvetica" w:hAnsi="Helvetica"/>
        <w:i/>
        <w:sz w:val="20"/>
        <w:lang w:val="en-GB"/>
      </w:rPr>
      <w:tab/>
      <w:t>Appendix A</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clear" w:pos="8306"/>
      </w:tabs>
    </w:pPr>
    <w:r>
      <w:t xml:space="preserve">Final IRA Report for Fresh Mango Fruit from </w:t>
    </w:r>
    <w:smartTag w:uri="urn:schemas-microsoft-com:office:smarttags" w:element="place">
      <w:smartTag w:uri="urn:schemas-microsoft-com:office:smarttags" w:element="country-region">
        <w:r>
          <w:t>India</w:t>
        </w:r>
      </w:smartTag>
    </w:smartTag>
    <w:r>
      <w:tab/>
      <w:t>Appendix C</w:t>
    </w:r>
  </w:p>
  <w:p>
    <w:pPr>
      <w:pStyle w:val="Header"/>
    </w:pPr>
  </w:p>
  <w:p>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pPr>
    <w:r>
      <w:rPr>
        <w:rFonts w:ascii="Helvetica" w:hAnsi="Helvetica"/>
        <w:i/>
        <w:sz w:val="20"/>
        <w:lang w:val="en-GB"/>
      </w:rPr>
      <w:t>Draft review of policy — Vitis propagative material into Australia</w:t>
    </w:r>
    <w:r>
      <w:rPr>
        <w:rFonts w:ascii="Helvetica" w:hAnsi="Helvetica"/>
        <w:i/>
        <w:sz w:val="20"/>
        <w:lang w:val="en-GB"/>
      </w:rPr>
      <w:tab/>
      <w:t>Appendix B</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clear" w:pos="8306"/>
      </w:tabs>
    </w:pPr>
    <w:r>
      <w:t xml:space="preserve">Final IRA Report for Fresh Mango Fruit from </w:t>
    </w:r>
    <w:smartTag w:uri="urn:schemas-microsoft-com:office:smarttags" w:element="place">
      <w:smartTag w:uri="urn:schemas-microsoft-com:office:smarttags" w:element="country-region">
        <w:r>
          <w:t>India</w:t>
        </w:r>
      </w:smartTag>
    </w:smartTag>
    <w:r>
      <w:t xml:space="preserve">      </w:t>
    </w:r>
    <w:r>
      <w:tab/>
      <w:t>Glossary</w:t>
    </w:r>
  </w:p>
  <w:p>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pPr>
    <w:r>
      <w:rPr>
        <w:rFonts w:ascii="Helvetica" w:hAnsi="Helvetica"/>
        <w:i/>
        <w:sz w:val="20"/>
        <w:lang w:val="en-GB"/>
      </w:rPr>
      <w:t>Draft review of policy — Vitis propagative material into Australia</w:t>
    </w:r>
    <w:r>
      <w:rPr>
        <w:rFonts w:ascii="Helvetica" w:hAnsi="Helvetica"/>
        <w:i/>
        <w:sz w:val="20"/>
        <w:lang w:val="en-GB"/>
      </w:rPr>
      <w:tab/>
      <w:t>Glossary</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pPr>
    <w:r>
      <w:rPr>
        <w:rFonts w:ascii="Helvetica" w:hAnsi="Helvetica"/>
        <w:i/>
        <w:sz w:val="20"/>
        <w:lang w:val="en-GB"/>
      </w:rPr>
      <w:t>Draft review of policy — Vitis propagative material into Australia</w:t>
    </w:r>
    <w:r>
      <w:rPr>
        <w:rFonts w:ascii="Helvetica" w:hAnsi="Helvetica"/>
        <w:i/>
        <w:sz w:val="20"/>
        <w:lang w:val="en-GB"/>
      </w:rPr>
      <w:tab/>
      <w:t>References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left" w:pos="7920"/>
        <w:tab w:val="right" w:pos="14040"/>
      </w:tabs>
    </w:pPr>
    <w:r>
      <w:rPr>
        <w:rFonts w:ascii="Helvetica" w:hAnsi="Helvetica"/>
        <w:i/>
        <w:sz w:val="20"/>
        <w:lang w:val="en-GB"/>
      </w:rPr>
      <w:t>Draft review of policy — Vitis propagative material into Australia</w:t>
    </w:r>
    <w:r>
      <w:rPr>
        <w:rFonts w:ascii="Helvetica" w:hAnsi="Helvetica"/>
        <w:i/>
        <w:sz w:val="20"/>
        <w:lang w:val="en-GB"/>
      </w:rPr>
      <w:tab/>
      <w:t>References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8820"/>
      </w:tabs>
      <w:rPr>
        <w:rFonts w:ascii="Helvetica" w:hAnsi="Helvetica"/>
        <w:i/>
        <w:sz w:val="20"/>
        <w:lang w:val="en-G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8820"/>
      </w:tabs>
      <w:rPr>
        <w:rFonts w:ascii="Helvetica" w:hAnsi="Helvetica"/>
        <w:i/>
        <w:sz w:val="20"/>
        <w:lang w:val="en-GB"/>
      </w:rPr>
    </w:pPr>
    <w:r>
      <w:rPr>
        <w:rFonts w:ascii="Helvetica" w:hAnsi="Helvetica"/>
        <w:i/>
        <w:sz w:val="20"/>
        <w:lang w:val="en-GB"/>
      </w:rPr>
      <w:t xml:space="preserve">Draft review of policy — Grapevine propagative material into </w:t>
    </w:r>
    <w:smartTag w:uri="urn:schemas-microsoft-com:office:smarttags" w:element="place">
      <w:smartTag w:uri="urn:schemas-microsoft-com:office:smarttags" w:element="country-region">
        <w:r>
          <w:rPr>
            <w:rFonts w:ascii="Helvetica" w:hAnsi="Helvetica"/>
            <w:i/>
            <w:sz w:val="20"/>
            <w:lang w:val="en-GB"/>
          </w:rPr>
          <w:t>Australia</w:t>
        </w:r>
      </w:smartTag>
    </w:smartTag>
    <w:r>
      <w:rPr>
        <w:rFonts w:ascii="Helvetica" w:hAnsi="Helvetica"/>
        <w:i/>
        <w:sz w:val="20"/>
        <w:lang w:val="en-GB"/>
      </w:rPr>
      <w:tab/>
      <w:t>Contents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rPr>
        <w:rFonts w:ascii="Helvetica" w:hAnsi="Helvetica"/>
        <w:i/>
        <w:sz w:val="20"/>
        <w:lang w:val="en-GB"/>
      </w:rPr>
    </w:pPr>
    <w:r>
      <w:rPr>
        <w:rFonts w:ascii="Helvetica" w:hAnsi="Helvetica"/>
        <w:i/>
        <w:sz w:val="20"/>
        <w:lang w:val="en-GB"/>
      </w:rPr>
      <w:t xml:space="preserve">Draft review of policy — Grapevine propagative material into </w:t>
    </w:r>
    <w:smartTag w:uri="urn:schemas-microsoft-com:office:smarttags" w:element="place">
      <w:smartTag w:uri="urn:schemas-microsoft-com:office:smarttags" w:element="country-region">
        <w:r>
          <w:rPr>
            <w:rFonts w:ascii="Helvetica" w:hAnsi="Helvetica"/>
            <w:i/>
            <w:sz w:val="20"/>
            <w:lang w:val="en-GB"/>
          </w:rPr>
          <w:t>Australia</w:t>
        </w:r>
      </w:smartTag>
    </w:smartTag>
    <w:r>
      <w:rPr>
        <w:rFonts w:ascii="Helvetica" w:hAnsi="Helvetica"/>
        <w:i/>
        <w:sz w:val="20"/>
        <w:lang w:val="en-GB"/>
      </w:rPr>
      <w:tab/>
      <w:t>Tables and figures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8820"/>
      </w:tabs>
    </w:pPr>
    <w:r>
      <w:rPr>
        <w:rFonts w:ascii="Helvetica" w:hAnsi="Helvetica"/>
        <w:i/>
        <w:sz w:val="20"/>
        <w:lang w:val="en-GB"/>
      </w:rPr>
      <w:t xml:space="preserve">Draft review of policy — Grapevine propagative material into </w:t>
    </w:r>
    <w:smartTag w:uri="urn:schemas-microsoft-com:office:smarttags" w:element="place">
      <w:smartTag w:uri="urn:schemas-microsoft-com:office:smarttags" w:element="country-region">
        <w:r>
          <w:rPr>
            <w:rFonts w:ascii="Helvetica" w:hAnsi="Helvetica"/>
            <w:i/>
            <w:sz w:val="20"/>
            <w:lang w:val="en-GB"/>
          </w:rPr>
          <w:t>Australia</w:t>
        </w:r>
      </w:smartTag>
    </w:smartTag>
    <w:r>
      <w:rPr>
        <w:rFonts w:ascii="Helvetica" w:hAnsi="Helvetica"/>
        <w:i/>
        <w:sz w:val="20"/>
        <w:lang w:val="en-GB"/>
      </w:rPr>
      <w:tab/>
      <w:t>Acronyms and abbreviations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left:0;text-align:left;margin-left:0;margin-top:0;width:234.75pt;height:81.75pt;rotation:315;z-index:-251659264;mso-position-horizontal:center;mso-position-horizontal-relative:margin;mso-position-vertical:center;mso-position-vertical-relative:margin" o:allowincell="f" fillcolor="#ddd" stroked="f">
          <v:fill opacity=".5"/>
          <v:textpath style="font-family:&quot;Times New Roman&quot;;font-size:1in" string="DRAF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rPr>
        <w:lang w:val="en-GB"/>
      </w:rPr>
    </w:pPr>
    <w:r>
      <w:rPr>
        <w:rFonts w:ascii="Helvetica" w:hAnsi="Helvetica"/>
        <w:i/>
        <w:sz w:val="20"/>
        <w:lang w:val="en-GB"/>
      </w:rPr>
      <w:t>Draft review of policy — Grapevine propagative material into Australia</w:t>
    </w:r>
    <w:r>
      <w:rPr>
        <w:rFonts w:ascii="Helvetica" w:hAnsi="Helvetica"/>
        <w:i/>
        <w:sz w:val="20"/>
        <w:lang w:val="en-GB"/>
      </w:rPr>
      <w:tab/>
      <w:t>Summary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8306"/>
        <w:tab w:val="right" w:pos="9000"/>
      </w:tabs>
      <w:rPr>
        <w:rFonts w:ascii="Helvetica" w:hAnsi="Helvetica"/>
        <w:i/>
        <w:sz w:val="20"/>
        <w:lang w:val="en-GB"/>
      </w:rPr>
    </w:pPr>
    <w:r>
      <w:rPr>
        <w:rFonts w:ascii="Helvetica" w:hAnsi="Helvetica"/>
        <w:i/>
        <w:sz w:val="20"/>
        <w:lang w:val="en-GB"/>
      </w:rPr>
      <w:t xml:space="preserve">Draft review of policy — Grapevine propagative material into </w:t>
    </w:r>
    <w:smartTag w:uri="urn:schemas-microsoft-com:office:smarttags" w:element="place">
      <w:smartTag w:uri="urn:schemas-microsoft-com:office:smarttags" w:element="country-region">
        <w:r>
          <w:rPr>
            <w:rFonts w:ascii="Helvetica" w:hAnsi="Helvetica"/>
            <w:i/>
            <w:sz w:val="20"/>
            <w:lang w:val="en-GB"/>
          </w:rPr>
          <w:t>Australia</w:t>
        </w:r>
      </w:smartTag>
    </w:smartTag>
    <w:r>
      <w:rPr>
        <w:rFonts w:ascii="Helvetica" w:hAnsi="Helvetica"/>
        <w:i/>
        <w:sz w:val="20"/>
        <w:lang w:val="en-GB"/>
      </w:rPr>
      <w:tab/>
      <w:t>Summary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4FF"/>
    <w:multiLevelType w:val="multilevel"/>
    <w:tmpl w:val="B80AF110"/>
    <w:lvl w:ilvl="0">
      <w:start w:val="1"/>
      <w:numFmt w:val="decimal"/>
      <w:pStyle w:val="Heading1Egypt"/>
      <w:lvlText w:val="%1."/>
      <w:lvlJc w:val="left"/>
      <w:pPr>
        <w:tabs>
          <w:tab w:val="num" w:pos="360"/>
        </w:tabs>
        <w:ind w:left="360" w:hanging="360"/>
      </w:pPr>
      <w:rPr>
        <w:rFonts w:ascii="Arial" w:hAnsi="Arial" w:hint="default"/>
        <w:b/>
        <w:i w:val="0"/>
        <w:sz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ind w:left="0" w:firstLine="0"/>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1">
    <w:nsid w:val="01A54FCB"/>
    <w:multiLevelType w:val="multilevel"/>
    <w:tmpl w:val="259C4D5E"/>
    <w:lvl w:ilvl="0">
      <w:start w:val="1"/>
      <w:numFmt w:val="upperLetter"/>
      <w:lvlText w:val="Appendix %1."/>
      <w:lvlJc w:val="left"/>
      <w:pPr>
        <w:tabs>
          <w:tab w:val="num" w:pos="2134"/>
        </w:tabs>
        <w:ind w:left="2134" w:hanging="432"/>
      </w:pPr>
      <w:rPr>
        <w:rFonts w:hint="default"/>
      </w:rPr>
    </w:lvl>
    <w:lvl w:ilvl="1">
      <w:start w:val="1"/>
      <w:numFmt w:val="decimal"/>
      <w:pStyle w:val="BAAppend2"/>
      <w:lvlText w:val="%1.%2."/>
      <w:lvlJc w:val="left"/>
      <w:pPr>
        <w:tabs>
          <w:tab w:val="num" w:pos="1116"/>
        </w:tabs>
        <w:ind w:left="111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7E752D5"/>
    <w:multiLevelType w:val="singleLevel"/>
    <w:tmpl w:val="4166359E"/>
    <w:lvl w:ilvl="0">
      <w:start w:val="1"/>
      <w:numFmt w:val="bullet"/>
      <w:lvlText w:val=""/>
      <w:lvlJc w:val="left"/>
      <w:pPr>
        <w:tabs>
          <w:tab w:val="num" w:pos="360"/>
        </w:tabs>
        <w:ind w:left="360" w:hanging="360"/>
      </w:pPr>
      <w:rPr>
        <w:rFonts w:ascii="Symbol" w:hAnsi="Symbol" w:hint="default"/>
        <w:sz w:val="16"/>
      </w:rPr>
    </w:lvl>
  </w:abstractNum>
  <w:abstractNum w:abstractNumId="3">
    <w:nsid w:val="08E84F3B"/>
    <w:multiLevelType w:val="singleLevel"/>
    <w:tmpl w:val="53160486"/>
    <w:lvl w:ilvl="0">
      <w:start w:val="1"/>
      <w:numFmt w:val="lowerRoman"/>
      <w:pStyle w:val="AQISsub2"/>
      <w:lvlText w:val="(%1)"/>
      <w:lvlJc w:val="left"/>
      <w:pPr>
        <w:tabs>
          <w:tab w:val="num" w:pos="737"/>
        </w:tabs>
        <w:ind w:left="737" w:hanging="737"/>
      </w:pPr>
    </w:lvl>
  </w:abstractNum>
  <w:abstractNum w:abstractNumId="4">
    <w:nsid w:val="090B13A5"/>
    <w:multiLevelType w:val="hybridMultilevel"/>
    <w:tmpl w:val="2E827DBA"/>
    <w:lvl w:ilvl="0" w:tplc="09CC4CC6">
      <w:start w:val="1"/>
      <w:numFmt w:val="bullet"/>
      <w:pStyle w:val="Style1dotpoints"/>
      <w:lvlText w:val=""/>
      <w:lvlJc w:val="left"/>
      <w:pPr>
        <w:tabs>
          <w:tab w:val="num" w:pos="720"/>
        </w:tabs>
        <w:ind w:left="720" w:hanging="360"/>
      </w:pPr>
      <w:rPr>
        <w:rFonts w:ascii="Symbol" w:hAnsi="Symbol" w:hint="default"/>
      </w:rPr>
    </w:lvl>
    <w:lvl w:ilvl="1" w:tplc="A2807F64" w:tentative="1">
      <w:start w:val="1"/>
      <w:numFmt w:val="bullet"/>
      <w:lvlText w:val="o"/>
      <w:lvlJc w:val="left"/>
      <w:pPr>
        <w:tabs>
          <w:tab w:val="num" w:pos="1440"/>
        </w:tabs>
        <w:ind w:left="1440" w:hanging="360"/>
      </w:pPr>
      <w:rPr>
        <w:rFonts w:ascii="Courier New" w:hAnsi="Courier New" w:cs="Wingdings" w:hint="default"/>
      </w:rPr>
    </w:lvl>
    <w:lvl w:ilvl="2" w:tplc="823E27FC" w:tentative="1">
      <w:start w:val="1"/>
      <w:numFmt w:val="bullet"/>
      <w:lvlText w:val=""/>
      <w:lvlJc w:val="left"/>
      <w:pPr>
        <w:tabs>
          <w:tab w:val="num" w:pos="2160"/>
        </w:tabs>
        <w:ind w:left="2160" w:hanging="360"/>
      </w:pPr>
      <w:rPr>
        <w:rFonts w:ascii="Wingdings" w:hAnsi="Wingdings" w:hint="default"/>
      </w:rPr>
    </w:lvl>
    <w:lvl w:ilvl="3" w:tplc="6EF4F31E" w:tentative="1">
      <w:start w:val="1"/>
      <w:numFmt w:val="bullet"/>
      <w:lvlText w:val=""/>
      <w:lvlJc w:val="left"/>
      <w:pPr>
        <w:tabs>
          <w:tab w:val="num" w:pos="2880"/>
        </w:tabs>
        <w:ind w:left="2880" w:hanging="360"/>
      </w:pPr>
      <w:rPr>
        <w:rFonts w:ascii="Symbol" w:hAnsi="Symbol" w:hint="default"/>
      </w:rPr>
    </w:lvl>
    <w:lvl w:ilvl="4" w:tplc="61820D2A" w:tentative="1">
      <w:start w:val="1"/>
      <w:numFmt w:val="bullet"/>
      <w:lvlText w:val="o"/>
      <w:lvlJc w:val="left"/>
      <w:pPr>
        <w:tabs>
          <w:tab w:val="num" w:pos="3600"/>
        </w:tabs>
        <w:ind w:left="3600" w:hanging="360"/>
      </w:pPr>
      <w:rPr>
        <w:rFonts w:ascii="Courier New" w:hAnsi="Courier New" w:cs="Wingdings" w:hint="default"/>
      </w:rPr>
    </w:lvl>
    <w:lvl w:ilvl="5" w:tplc="6F1ADBB2" w:tentative="1">
      <w:start w:val="1"/>
      <w:numFmt w:val="bullet"/>
      <w:lvlText w:val=""/>
      <w:lvlJc w:val="left"/>
      <w:pPr>
        <w:tabs>
          <w:tab w:val="num" w:pos="4320"/>
        </w:tabs>
        <w:ind w:left="4320" w:hanging="360"/>
      </w:pPr>
      <w:rPr>
        <w:rFonts w:ascii="Wingdings" w:hAnsi="Wingdings" w:hint="default"/>
      </w:rPr>
    </w:lvl>
    <w:lvl w:ilvl="6" w:tplc="C53C19A2" w:tentative="1">
      <w:start w:val="1"/>
      <w:numFmt w:val="bullet"/>
      <w:lvlText w:val=""/>
      <w:lvlJc w:val="left"/>
      <w:pPr>
        <w:tabs>
          <w:tab w:val="num" w:pos="5040"/>
        </w:tabs>
        <w:ind w:left="5040" w:hanging="360"/>
      </w:pPr>
      <w:rPr>
        <w:rFonts w:ascii="Symbol" w:hAnsi="Symbol" w:hint="default"/>
      </w:rPr>
    </w:lvl>
    <w:lvl w:ilvl="7" w:tplc="E2521936" w:tentative="1">
      <w:start w:val="1"/>
      <w:numFmt w:val="bullet"/>
      <w:lvlText w:val="o"/>
      <w:lvlJc w:val="left"/>
      <w:pPr>
        <w:tabs>
          <w:tab w:val="num" w:pos="5760"/>
        </w:tabs>
        <w:ind w:left="5760" w:hanging="360"/>
      </w:pPr>
      <w:rPr>
        <w:rFonts w:ascii="Courier New" w:hAnsi="Courier New" w:cs="Wingdings" w:hint="default"/>
      </w:rPr>
    </w:lvl>
    <w:lvl w:ilvl="8" w:tplc="B406CC1A" w:tentative="1">
      <w:start w:val="1"/>
      <w:numFmt w:val="bullet"/>
      <w:lvlText w:val=""/>
      <w:lvlJc w:val="left"/>
      <w:pPr>
        <w:tabs>
          <w:tab w:val="num" w:pos="6480"/>
        </w:tabs>
        <w:ind w:left="6480" w:hanging="360"/>
      </w:pPr>
      <w:rPr>
        <w:rFonts w:ascii="Wingdings" w:hAnsi="Wingdings" w:hint="default"/>
      </w:rPr>
    </w:lvl>
  </w:abstractNum>
  <w:abstractNum w:abstractNumId="5">
    <w:nsid w:val="0A5645C5"/>
    <w:multiLevelType w:val="singleLevel"/>
    <w:tmpl w:val="DE424BC0"/>
    <w:lvl w:ilvl="0">
      <w:start w:val="1"/>
      <w:numFmt w:val="bullet"/>
      <w:pStyle w:val="paraChar"/>
      <w:lvlText w:val=""/>
      <w:lvlJc w:val="left"/>
      <w:pPr>
        <w:tabs>
          <w:tab w:val="num" w:pos="360"/>
        </w:tabs>
        <w:ind w:left="360" w:hanging="360"/>
      </w:pPr>
      <w:rPr>
        <w:rFonts w:ascii="Symbol" w:hAnsi="Symbol" w:hint="default"/>
        <w:sz w:val="16"/>
      </w:rPr>
    </w:lvl>
  </w:abstractNum>
  <w:abstractNum w:abstractNumId="6">
    <w:nsid w:val="0D3E4203"/>
    <w:multiLevelType w:val="hybridMultilevel"/>
    <w:tmpl w:val="B7804F4E"/>
    <w:lvl w:ilvl="0" w:tplc="D5026EC2">
      <w:start w:val="1"/>
      <w:numFmt w:val="bullet"/>
      <w:pStyle w:val="Dot"/>
      <w:lvlText w:val=""/>
      <w:lvlJc w:val="left"/>
      <w:pPr>
        <w:tabs>
          <w:tab w:val="num" w:pos="360"/>
        </w:tabs>
        <w:ind w:left="284" w:hanging="284"/>
      </w:pPr>
      <w:rPr>
        <w:rFonts w:ascii="Wingdings" w:hAnsi="Wingdings" w:hint="default"/>
      </w:rPr>
    </w:lvl>
    <w:lvl w:ilvl="1" w:tplc="610211BA">
      <w:start w:val="1"/>
      <w:numFmt w:val="bullet"/>
      <w:lvlText w:val=""/>
      <w:lvlJc w:val="left"/>
      <w:pPr>
        <w:tabs>
          <w:tab w:val="num" w:pos="1440"/>
        </w:tabs>
        <w:ind w:left="1440" w:hanging="360"/>
      </w:pPr>
      <w:rPr>
        <w:rFonts w:ascii="Symbol" w:hAnsi="Symbol"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3C1C70"/>
    <w:multiLevelType w:val="multilevel"/>
    <w:tmpl w:val="04F0B7D2"/>
    <w:styleLink w:val="Bullet"/>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E7D63AA"/>
    <w:multiLevelType w:val="multilevel"/>
    <w:tmpl w:val="04F0B7D2"/>
    <w:numStyleLink w:val="Bullet"/>
  </w:abstractNum>
  <w:abstractNum w:abstractNumId="9">
    <w:nsid w:val="2E221209"/>
    <w:multiLevelType w:val="multilevel"/>
    <w:tmpl w:val="1F266D3A"/>
    <w:styleLink w:val="StyleBulleted11pt"/>
    <w:lvl w:ilvl="0">
      <w:start w:val="1"/>
      <w:numFmt w:val="bullet"/>
      <w:lvlText w:val=""/>
      <w:lvlJc w:val="left"/>
      <w:pPr>
        <w:tabs>
          <w:tab w:val="num" w:pos="680"/>
        </w:tabs>
        <w:ind w:left="680" w:hanging="340"/>
      </w:pPr>
      <w:rPr>
        <w:rFonts w:ascii="Symbol" w:hAnsi="Symbol" w:hint="default"/>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38AE29D2"/>
    <w:multiLevelType w:val="multilevel"/>
    <w:tmpl w:val="2CDE8968"/>
    <w:lvl w:ilvl="0">
      <w:start w:val="1"/>
      <w:numFmt w:val="upperLetter"/>
      <w:pStyle w:val="AppendixHeading1"/>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3F956F08"/>
    <w:multiLevelType w:val="hybridMultilevel"/>
    <w:tmpl w:val="3D4C10B2"/>
    <w:lvl w:ilvl="0" w:tplc="0C090003">
      <w:start w:val="1"/>
      <w:numFmt w:val="bullet"/>
      <w:lvlText w:val=""/>
      <w:lvlJc w:val="right"/>
      <w:pPr>
        <w:ind w:left="717" w:hanging="360"/>
      </w:pPr>
      <w:rPr>
        <w:rFonts w:ascii="Symbol" w:hAnsi="Symbol" w:hint="default"/>
        <w:i/>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13">
    <w:nsid w:val="41645AF0"/>
    <w:multiLevelType w:val="hybridMultilevel"/>
    <w:tmpl w:val="047EC730"/>
    <w:lvl w:ilvl="0" w:tplc="0C090003">
      <w:start w:val="1"/>
      <w:numFmt w:val="bullet"/>
      <w:lvlText w:val=""/>
      <w:lvlJc w:val="right"/>
      <w:pPr>
        <w:ind w:left="717" w:hanging="360"/>
      </w:pPr>
      <w:rPr>
        <w:rFonts w:ascii="Symbol" w:hAnsi="Symbol" w:hint="default"/>
        <w:i/>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4">
    <w:nsid w:val="427A7CD6"/>
    <w:multiLevelType w:val="hybridMultilevel"/>
    <w:tmpl w:val="E9C27EBC"/>
    <w:lvl w:ilvl="0" w:tplc="DBA619AC">
      <w:start w:val="1"/>
      <w:numFmt w:val="bullet"/>
      <w:pStyle w:val="style1dotpoints0"/>
      <w:lvlText w:val=""/>
      <w:lvlJc w:val="left"/>
      <w:pPr>
        <w:tabs>
          <w:tab w:val="num" w:pos="357"/>
        </w:tabs>
        <w:ind w:left="357" w:hanging="357"/>
      </w:pPr>
      <w:rPr>
        <w:rFonts w:ascii="Symbol" w:hAnsi="Symbol" w:hint="default"/>
      </w:rPr>
    </w:lvl>
    <w:lvl w:ilvl="1" w:tplc="8E3409F4" w:tentative="1">
      <w:start w:val="1"/>
      <w:numFmt w:val="bullet"/>
      <w:lvlText w:val="o"/>
      <w:lvlJc w:val="left"/>
      <w:pPr>
        <w:tabs>
          <w:tab w:val="num" w:pos="1440"/>
        </w:tabs>
        <w:ind w:left="1440" w:hanging="360"/>
      </w:pPr>
      <w:rPr>
        <w:rFonts w:ascii="Courier New" w:hAnsi="Courier New" w:cs="Courier New" w:hint="default"/>
      </w:rPr>
    </w:lvl>
    <w:lvl w:ilvl="2" w:tplc="45B0E380" w:tentative="1">
      <w:start w:val="1"/>
      <w:numFmt w:val="bullet"/>
      <w:lvlText w:val=""/>
      <w:lvlJc w:val="left"/>
      <w:pPr>
        <w:tabs>
          <w:tab w:val="num" w:pos="2160"/>
        </w:tabs>
        <w:ind w:left="2160" w:hanging="360"/>
      </w:pPr>
      <w:rPr>
        <w:rFonts w:ascii="Wingdings" w:hAnsi="Wingdings" w:hint="default"/>
      </w:rPr>
    </w:lvl>
    <w:lvl w:ilvl="3" w:tplc="5BC03162" w:tentative="1">
      <w:start w:val="1"/>
      <w:numFmt w:val="bullet"/>
      <w:lvlText w:val=""/>
      <w:lvlJc w:val="left"/>
      <w:pPr>
        <w:tabs>
          <w:tab w:val="num" w:pos="2880"/>
        </w:tabs>
        <w:ind w:left="2880" w:hanging="360"/>
      </w:pPr>
      <w:rPr>
        <w:rFonts w:ascii="Symbol" w:hAnsi="Symbol" w:hint="default"/>
      </w:rPr>
    </w:lvl>
    <w:lvl w:ilvl="4" w:tplc="089ED0F6" w:tentative="1">
      <w:start w:val="1"/>
      <w:numFmt w:val="bullet"/>
      <w:lvlText w:val="o"/>
      <w:lvlJc w:val="left"/>
      <w:pPr>
        <w:tabs>
          <w:tab w:val="num" w:pos="3600"/>
        </w:tabs>
        <w:ind w:left="3600" w:hanging="360"/>
      </w:pPr>
      <w:rPr>
        <w:rFonts w:ascii="Courier New" w:hAnsi="Courier New" w:cs="Courier New" w:hint="default"/>
      </w:rPr>
    </w:lvl>
    <w:lvl w:ilvl="5" w:tplc="0A9C64A6" w:tentative="1">
      <w:start w:val="1"/>
      <w:numFmt w:val="bullet"/>
      <w:lvlText w:val=""/>
      <w:lvlJc w:val="left"/>
      <w:pPr>
        <w:tabs>
          <w:tab w:val="num" w:pos="4320"/>
        </w:tabs>
        <w:ind w:left="4320" w:hanging="360"/>
      </w:pPr>
      <w:rPr>
        <w:rFonts w:ascii="Wingdings" w:hAnsi="Wingdings" w:hint="default"/>
      </w:rPr>
    </w:lvl>
    <w:lvl w:ilvl="6" w:tplc="89E81C8E" w:tentative="1">
      <w:start w:val="1"/>
      <w:numFmt w:val="bullet"/>
      <w:lvlText w:val=""/>
      <w:lvlJc w:val="left"/>
      <w:pPr>
        <w:tabs>
          <w:tab w:val="num" w:pos="5040"/>
        </w:tabs>
        <w:ind w:left="5040" w:hanging="360"/>
      </w:pPr>
      <w:rPr>
        <w:rFonts w:ascii="Symbol" w:hAnsi="Symbol" w:hint="default"/>
      </w:rPr>
    </w:lvl>
    <w:lvl w:ilvl="7" w:tplc="CA940B20" w:tentative="1">
      <w:start w:val="1"/>
      <w:numFmt w:val="bullet"/>
      <w:lvlText w:val="o"/>
      <w:lvlJc w:val="left"/>
      <w:pPr>
        <w:tabs>
          <w:tab w:val="num" w:pos="5760"/>
        </w:tabs>
        <w:ind w:left="5760" w:hanging="360"/>
      </w:pPr>
      <w:rPr>
        <w:rFonts w:ascii="Courier New" w:hAnsi="Courier New" w:cs="Courier New" w:hint="default"/>
      </w:rPr>
    </w:lvl>
    <w:lvl w:ilvl="8" w:tplc="26480D20" w:tentative="1">
      <w:start w:val="1"/>
      <w:numFmt w:val="bullet"/>
      <w:lvlText w:val=""/>
      <w:lvlJc w:val="left"/>
      <w:pPr>
        <w:tabs>
          <w:tab w:val="num" w:pos="6480"/>
        </w:tabs>
        <w:ind w:left="6480" w:hanging="360"/>
      </w:pPr>
      <w:rPr>
        <w:rFonts w:ascii="Wingdings" w:hAnsi="Wingdings" w:hint="default"/>
      </w:rPr>
    </w:lvl>
  </w:abstractNum>
  <w:abstractNum w:abstractNumId="15">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16">
    <w:nsid w:val="468D5CD5"/>
    <w:multiLevelType w:val="singleLevel"/>
    <w:tmpl w:val="CA444706"/>
    <w:lvl w:ilvl="0">
      <w:start w:val="1"/>
      <w:numFmt w:val="bullet"/>
      <w:pStyle w:val="BodyIndent"/>
      <w:lvlText w:val=""/>
      <w:lvlJc w:val="left"/>
      <w:pPr>
        <w:tabs>
          <w:tab w:val="num" w:pos="360"/>
        </w:tabs>
        <w:ind w:left="360" w:hanging="360"/>
      </w:pPr>
      <w:rPr>
        <w:rFonts w:ascii="Symbol" w:hAnsi="Symbol" w:hint="default"/>
      </w:rPr>
    </w:lvl>
  </w:abstractNum>
  <w:abstractNum w:abstractNumId="17">
    <w:nsid w:val="49021CF9"/>
    <w:multiLevelType w:val="hybridMultilevel"/>
    <w:tmpl w:val="602E41E6"/>
    <w:lvl w:ilvl="0" w:tplc="0C090005">
      <w:start w:val="1"/>
      <w:numFmt w:val="bullet"/>
      <w:lvlText w:val=""/>
      <w:lvlJc w:val="left"/>
      <w:pPr>
        <w:tabs>
          <w:tab w:val="num" w:pos="928"/>
        </w:tabs>
        <w:ind w:left="852" w:hanging="284"/>
      </w:pPr>
      <w:rPr>
        <w:rFonts w:ascii="Wingdings" w:hAnsi="Wingdings" w:hint="default"/>
        <w:sz w:val="16"/>
      </w:rPr>
    </w:lvl>
    <w:lvl w:ilvl="1" w:tplc="0C090005">
      <w:start w:val="1"/>
      <w:numFmt w:val="bullet"/>
      <w:lvlText w:val=""/>
      <w:lvlJc w:val="left"/>
      <w:pPr>
        <w:tabs>
          <w:tab w:val="num" w:pos="2008"/>
        </w:tabs>
        <w:ind w:left="2008" w:hanging="360"/>
      </w:pPr>
      <w:rPr>
        <w:rFonts w:ascii="Wingdings" w:hAnsi="Wingdings" w:hint="default"/>
        <w:sz w:val="16"/>
      </w:rPr>
    </w:lvl>
    <w:lvl w:ilvl="2" w:tplc="04090005">
      <w:start w:val="1"/>
      <w:numFmt w:val="bullet"/>
      <w:lvlText w:val=""/>
      <w:lvlJc w:val="left"/>
      <w:pPr>
        <w:tabs>
          <w:tab w:val="num" w:pos="2728"/>
        </w:tabs>
        <w:ind w:left="2728" w:hanging="360"/>
      </w:pPr>
      <w:rPr>
        <w:rFonts w:ascii="Wingdings" w:hAnsi="Wingdings" w:hint="default"/>
      </w:rPr>
    </w:lvl>
    <w:lvl w:ilvl="3" w:tplc="04090001">
      <w:start w:val="1"/>
      <w:numFmt w:val="bullet"/>
      <w:lvlText w:val=""/>
      <w:lvlJc w:val="left"/>
      <w:pPr>
        <w:tabs>
          <w:tab w:val="num" w:pos="3448"/>
        </w:tabs>
        <w:ind w:left="3448" w:hanging="360"/>
      </w:pPr>
      <w:rPr>
        <w:rFonts w:ascii="Symbol" w:hAnsi="Symbol" w:hint="default"/>
      </w:rPr>
    </w:lvl>
    <w:lvl w:ilvl="4" w:tplc="04090003" w:tentative="1">
      <w:start w:val="1"/>
      <w:numFmt w:val="bullet"/>
      <w:lvlText w:val="o"/>
      <w:lvlJc w:val="left"/>
      <w:pPr>
        <w:tabs>
          <w:tab w:val="num" w:pos="4168"/>
        </w:tabs>
        <w:ind w:left="4168" w:hanging="360"/>
      </w:pPr>
      <w:rPr>
        <w:rFonts w:ascii="Courier New" w:hAnsi="Courier New" w:hint="default"/>
      </w:rPr>
    </w:lvl>
    <w:lvl w:ilvl="5" w:tplc="04090005" w:tentative="1">
      <w:start w:val="1"/>
      <w:numFmt w:val="bullet"/>
      <w:lvlText w:val=""/>
      <w:lvlJc w:val="left"/>
      <w:pPr>
        <w:tabs>
          <w:tab w:val="num" w:pos="4888"/>
        </w:tabs>
        <w:ind w:left="4888" w:hanging="360"/>
      </w:pPr>
      <w:rPr>
        <w:rFonts w:ascii="Wingdings" w:hAnsi="Wingdings" w:hint="default"/>
      </w:rPr>
    </w:lvl>
    <w:lvl w:ilvl="6" w:tplc="04090001" w:tentative="1">
      <w:start w:val="1"/>
      <w:numFmt w:val="bullet"/>
      <w:lvlText w:val=""/>
      <w:lvlJc w:val="left"/>
      <w:pPr>
        <w:tabs>
          <w:tab w:val="num" w:pos="5608"/>
        </w:tabs>
        <w:ind w:left="5608" w:hanging="360"/>
      </w:pPr>
      <w:rPr>
        <w:rFonts w:ascii="Symbol" w:hAnsi="Symbol" w:hint="default"/>
      </w:rPr>
    </w:lvl>
    <w:lvl w:ilvl="7" w:tplc="04090003" w:tentative="1">
      <w:start w:val="1"/>
      <w:numFmt w:val="bullet"/>
      <w:lvlText w:val="o"/>
      <w:lvlJc w:val="left"/>
      <w:pPr>
        <w:tabs>
          <w:tab w:val="num" w:pos="6328"/>
        </w:tabs>
        <w:ind w:left="6328" w:hanging="360"/>
      </w:pPr>
      <w:rPr>
        <w:rFonts w:ascii="Courier New" w:hAnsi="Courier New" w:hint="default"/>
      </w:rPr>
    </w:lvl>
    <w:lvl w:ilvl="8" w:tplc="04090005" w:tentative="1">
      <w:start w:val="1"/>
      <w:numFmt w:val="bullet"/>
      <w:lvlText w:val=""/>
      <w:lvlJc w:val="left"/>
      <w:pPr>
        <w:tabs>
          <w:tab w:val="num" w:pos="7048"/>
        </w:tabs>
        <w:ind w:left="7048" w:hanging="360"/>
      </w:pPr>
      <w:rPr>
        <w:rFonts w:ascii="Wingdings" w:hAnsi="Wingdings" w:hint="default"/>
      </w:rPr>
    </w:lvl>
  </w:abstractNum>
  <w:abstractNum w:abstractNumId="18">
    <w:nsid w:val="4C8376EC"/>
    <w:multiLevelType w:val="singleLevel"/>
    <w:tmpl w:val="72E408A2"/>
    <w:lvl w:ilvl="0">
      <w:start w:val="1"/>
      <w:numFmt w:val="bullet"/>
      <w:lvlText w:val=""/>
      <w:lvlJc w:val="left"/>
      <w:pPr>
        <w:tabs>
          <w:tab w:val="num" w:pos="360"/>
        </w:tabs>
        <w:ind w:left="360" w:hanging="360"/>
      </w:pPr>
      <w:rPr>
        <w:rFonts w:ascii="Symbol" w:hAnsi="Symbol" w:hint="default"/>
        <w:sz w:val="16"/>
      </w:rPr>
    </w:lvl>
  </w:abstractNum>
  <w:abstractNum w:abstractNumId="19">
    <w:nsid w:val="4F8903B2"/>
    <w:multiLevelType w:val="multilevel"/>
    <w:tmpl w:val="5CA46EEA"/>
    <w:lvl w:ilvl="0">
      <w:start w:val="1"/>
      <w:numFmt w:val="bullet"/>
      <w:lvlText w:val=""/>
      <w:lvlJc w:val="right"/>
      <w:pPr>
        <w:tabs>
          <w:tab w:val="num" w:pos="432"/>
        </w:tabs>
        <w:ind w:left="432" w:hanging="432"/>
      </w:pPr>
      <w:rPr>
        <w:rFonts w:ascii="Symbol" w:hAnsi="Symbol" w:hint="default"/>
        <w:i/>
      </w:rPr>
    </w:lvl>
    <w:lvl w:ilvl="1">
      <w:start w:val="1"/>
      <w:numFmt w:val="decimal"/>
      <w:lvlText w:val="%1.%2"/>
      <w:lvlJc w:val="left"/>
      <w:pPr>
        <w:tabs>
          <w:tab w:val="num" w:pos="1116"/>
        </w:tabs>
        <w:ind w:left="1116" w:hanging="576"/>
      </w:pPr>
      <w:rPr>
        <w:rFonts w:hint="default"/>
        <w:sz w:val="28"/>
        <w:szCs w:val="28"/>
      </w:rPr>
    </w:lvl>
    <w:lvl w:ilvl="2">
      <w:start w:val="1"/>
      <w:numFmt w:val="decimal"/>
      <w:lvlText w:val="%1.%2.%3"/>
      <w:lvlJc w:val="left"/>
      <w:pPr>
        <w:tabs>
          <w:tab w:val="num" w:pos="862"/>
        </w:tabs>
        <w:ind w:left="862" w:hanging="720"/>
      </w:pPr>
      <w:rPr>
        <w:rFonts w:hint="default"/>
      </w:rPr>
    </w:lvl>
    <w:lvl w:ilvl="3">
      <w:start w:val="1"/>
      <w:numFmt w:val="decimal"/>
      <w:lvlRestart w:val="0"/>
      <w:pStyle w:val="Heading1"/>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50CA1481"/>
    <w:multiLevelType w:val="multilevel"/>
    <w:tmpl w:val="143CB128"/>
    <w:lvl w:ilvl="0">
      <w:start w:val="1"/>
      <w:numFmt w:val="decimal"/>
      <w:pStyle w:val="A1Heading1"/>
      <w:lvlText w:val="%1"/>
      <w:lvlJc w:val="left"/>
      <w:pPr>
        <w:tabs>
          <w:tab w:val="num" w:pos="432"/>
        </w:tabs>
        <w:ind w:left="432" w:hanging="432"/>
      </w:pPr>
      <w:rPr>
        <w:rFonts w:hint="default"/>
      </w:rPr>
    </w:lvl>
    <w:lvl w:ilvl="1">
      <w:start w:val="1"/>
      <w:numFmt w:val="decimal"/>
      <w:pStyle w:val="A1Heading2"/>
      <w:lvlText w:val="%1.%2"/>
      <w:lvlJc w:val="left"/>
      <w:pPr>
        <w:tabs>
          <w:tab w:val="num" w:pos="576"/>
        </w:tabs>
        <w:ind w:left="576" w:hanging="576"/>
      </w:pPr>
      <w:rPr>
        <w:rFonts w:hint="default"/>
      </w:rPr>
    </w:lvl>
    <w:lvl w:ilvl="2">
      <w:start w:val="1"/>
      <w:numFmt w:val="decimal"/>
      <w:pStyle w:val="A1Heading3"/>
      <w:lvlText w:val="%1.%2.%3"/>
      <w:lvlJc w:val="left"/>
      <w:pPr>
        <w:tabs>
          <w:tab w:val="num" w:pos="720"/>
        </w:tabs>
        <w:ind w:left="720" w:hanging="720"/>
      </w:pPr>
      <w:rPr>
        <w:rFonts w:hint="default"/>
        <w:i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2E271CA"/>
    <w:multiLevelType w:val="multilevel"/>
    <w:tmpl w:val="FA3C7DBC"/>
    <w:lvl w:ilvl="0">
      <w:start w:val="1"/>
      <w:numFmt w:val="decimal"/>
      <w:lvlText w:val="%1"/>
      <w:lvlJc w:val="left"/>
      <w:pPr>
        <w:tabs>
          <w:tab w:val="num" w:pos="792"/>
        </w:tabs>
        <w:ind w:left="792" w:hanging="432"/>
      </w:pPr>
      <w:rPr>
        <w:rFonts w:hint="default"/>
      </w:rPr>
    </w:lvl>
    <w:lvl w:ilvl="1">
      <w:start w:val="1"/>
      <w:numFmt w:val="decimal"/>
      <w:pStyle w:val="Heading2"/>
      <w:lvlText w:val="2.%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2">
    <w:nsid w:val="541C7B4C"/>
    <w:multiLevelType w:val="hybridMultilevel"/>
    <w:tmpl w:val="B720BE16"/>
    <w:lvl w:ilvl="0" w:tplc="0C090003">
      <w:start w:val="1"/>
      <w:numFmt w:val="bullet"/>
      <w:lvlText w:val=""/>
      <w:lvlJc w:val="right"/>
      <w:pPr>
        <w:ind w:left="717" w:hanging="360"/>
      </w:pPr>
      <w:rPr>
        <w:rFonts w:ascii="Symbol" w:hAnsi="Symbol" w:hint="default"/>
        <w:i/>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DE9790E"/>
    <w:multiLevelType w:val="hybridMultilevel"/>
    <w:tmpl w:val="A63A8898"/>
    <w:lvl w:ilvl="0" w:tplc="9EA6E5E8">
      <w:start w:val="1"/>
      <w:numFmt w:val="bullet"/>
      <w:pStyle w:val="dot0"/>
      <w:lvlText w:val=""/>
      <w:lvlJc w:val="left"/>
      <w:pPr>
        <w:tabs>
          <w:tab w:val="num" w:pos="567"/>
        </w:tabs>
        <w:ind w:left="567" w:hanging="567"/>
      </w:pPr>
      <w:rPr>
        <w:rFonts w:ascii="Symbol" w:hAnsi="Symbol" w:hint="default"/>
        <w:sz w:val="16"/>
      </w:rPr>
    </w:lvl>
    <w:lvl w:ilvl="1" w:tplc="83F00020">
      <w:start w:val="1"/>
      <w:numFmt w:val="bullet"/>
      <w:lvlText w:val=""/>
      <w:lvlJc w:val="left"/>
      <w:pPr>
        <w:tabs>
          <w:tab w:val="num" w:pos="900"/>
        </w:tabs>
        <w:ind w:left="900" w:hanging="360"/>
      </w:pPr>
      <w:rPr>
        <w:rFonts w:ascii="Symbol" w:hAnsi="Symbol" w:hint="default"/>
        <w:sz w:val="16"/>
      </w:rPr>
    </w:lvl>
    <w:lvl w:ilvl="2" w:tplc="3A261C14">
      <w:start w:val="1"/>
      <w:numFmt w:val="bullet"/>
      <w:lvlText w:val=""/>
      <w:lvlJc w:val="left"/>
      <w:pPr>
        <w:tabs>
          <w:tab w:val="num" w:pos="2160"/>
        </w:tabs>
        <w:ind w:left="2160" w:hanging="360"/>
      </w:pPr>
      <w:rPr>
        <w:rFonts w:ascii="Wingdings" w:hAnsi="Wingdings" w:hint="default"/>
      </w:rPr>
    </w:lvl>
    <w:lvl w:ilvl="3" w:tplc="A11C305A" w:tentative="1">
      <w:start w:val="1"/>
      <w:numFmt w:val="bullet"/>
      <w:lvlText w:val=""/>
      <w:lvlJc w:val="left"/>
      <w:pPr>
        <w:tabs>
          <w:tab w:val="num" w:pos="2880"/>
        </w:tabs>
        <w:ind w:left="2880" w:hanging="360"/>
      </w:pPr>
      <w:rPr>
        <w:rFonts w:ascii="Symbol" w:hAnsi="Symbol" w:hint="default"/>
      </w:rPr>
    </w:lvl>
    <w:lvl w:ilvl="4" w:tplc="54E6784A" w:tentative="1">
      <w:start w:val="1"/>
      <w:numFmt w:val="bullet"/>
      <w:lvlText w:val="o"/>
      <w:lvlJc w:val="left"/>
      <w:pPr>
        <w:tabs>
          <w:tab w:val="num" w:pos="3600"/>
        </w:tabs>
        <w:ind w:left="3600" w:hanging="360"/>
      </w:pPr>
      <w:rPr>
        <w:rFonts w:ascii="Courier New" w:hAnsi="Courier New" w:cs="Courier New" w:hint="default"/>
      </w:rPr>
    </w:lvl>
    <w:lvl w:ilvl="5" w:tplc="38ACA1CE" w:tentative="1">
      <w:start w:val="1"/>
      <w:numFmt w:val="bullet"/>
      <w:lvlText w:val=""/>
      <w:lvlJc w:val="left"/>
      <w:pPr>
        <w:tabs>
          <w:tab w:val="num" w:pos="4320"/>
        </w:tabs>
        <w:ind w:left="4320" w:hanging="360"/>
      </w:pPr>
      <w:rPr>
        <w:rFonts w:ascii="Wingdings" w:hAnsi="Wingdings" w:hint="default"/>
      </w:rPr>
    </w:lvl>
    <w:lvl w:ilvl="6" w:tplc="C2F268D2" w:tentative="1">
      <w:start w:val="1"/>
      <w:numFmt w:val="bullet"/>
      <w:lvlText w:val=""/>
      <w:lvlJc w:val="left"/>
      <w:pPr>
        <w:tabs>
          <w:tab w:val="num" w:pos="5040"/>
        </w:tabs>
        <w:ind w:left="5040" w:hanging="360"/>
      </w:pPr>
      <w:rPr>
        <w:rFonts w:ascii="Symbol" w:hAnsi="Symbol" w:hint="default"/>
      </w:rPr>
    </w:lvl>
    <w:lvl w:ilvl="7" w:tplc="D1CC37AC" w:tentative="1">
      <w:start w:val="1"/>
      <w:numFmt w:val="bullet"/>
      <w:lvlText w:val="o"/>
      <w:lvlJc w:val="left"/>
      <w:pPr>
        <w:tabs>
          <w:tab w:val="num" w:pos="5760"/>
        </w:tabs>
        <w:ind w:left="5760" w:hanging="360"/>
      </w:pPr>
      <w:rPr>
        <w:rFonts w:ascii="Courier New" w:hAnsi="Courier New" w:cs="Courier New" w:hint="default"/>
      </w:rPr>
    </w:lvl>
    <w:lvl w:ilvl="8" w:tplc="2A0EAAA2" w:tentative="1">
      <w:start w:val="1"/>
      <w:numFmt w:val="bullet"/>
      <w:lvlText w:val=""/>
      <w:lvlJc w:val="left"/>
      <w:pPr>
        <w:tabs>
          <w:tab w:val="num" w:pos="6480"/>
        </w:tabs>
        <w:ind w:left="6480" w:hanging="360"/>
      </w:pPr>
      <w:rPr>
        <w:rFonts w:ascii="Wingdings" w:hAnsi="Wingdings" w:hint="default"/>
      </w:rPr>
    </w:lvl>
  </w:abstractNum>
  <w:abstractNum w:abstractNumId="25">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hint="default"/>
        <w:sz w:val="20"/>
      </w:rPr>
    </w:lvl>
  </w:abstractNum>
  <w:abstractNum w:abstractNumId="26">
    <w:nsid w:val="6B10063D"/>
    <w:multiLevelType w:val="hybridMultilevel"/>
    <w:tmpl w:val="EECCB91C"/>
    <w:lvl w:ilvl="0" w:tplc="90885C74">
      <w:start w:val="1"/>
      <w:numFmt w:val="bullet"/>
      <w:lvlText w:val=""/>
      <w:lvlJc w:val="left"/>
      <w:pPr>
        <w:tabs>
          <w:tab w:val="num" w:pos="567"/>
        </w:tabs>
        <w:ind w:left="567" w:hanging="567"/>
      </w:pPr>
      <w:rPr>
        <w:rFonts w:ascii="Symbol" w:hAnsi="Symbol" w:hint="default"/>
        <w:sz w:val="16"/>
      </w:rPr>
    </w:lvl>
    <w:lvl w:ilvl="1" w:tplc="FBDCEF54">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7">
    <w:nsid w:val="6DA812E3"/>
    <w:multiLevelType w:val="hybridMultilevel"/>
    <w:tmpl w:val="64FCB1A4"/>
    <w:lvl w:ilvl="0" w:tplc="FFFFFFFF">
      <w:start w:val="1"/>
      <w:numFmt w:val="bullet"/>
      <w:lvlText w:val=""/>
      <w:lvlJc w:val="left"/>
      <w:pPr>
        <w:ind w:left="360" w:hanging="360"/>
      </w:pPr>
      <w:rPr>
        <w:rFonts w:ascii="Symbol" w:hAnsi="Symbol" w:hint="default"/>
        <w:color w:val="auto"/>
        <w:sz w:val="16"/>
        <w:szCs w:val="16"/>
      </w:rPr>
    </w:lvl>
    <w:lvl w:ilvl="1" w:tplc="0C090003">
      <w:start w:val="1"/>
      <w:numFmt w:val="bullet"/>
      <w:lvlText w:val=""/>
      <w:lvlJc w:val="right"/>
      <w:pPr>
        <w:ind w:left="1080" w:hanging="360"/>
      </w:pPr>
      <w:rPr>
        <w:rFonts w:ascii="Symbol" w:hAnsi="Symbol" w:hint="default"/>
        <w:i/>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FC93C87"/>
    <w:multiLevelType w:val="multilevel"/>
    <w:tmpl w:val="8A12395E"/>
    <w:lvl w:ilvl="0">
      <w:start w:val="1"/>
      <w:numFmt w:val="decimal"/>
      <w:pStyle w:val="BAHeader1"/>
      <w:lvlText w:val="%1"/>
      <w:lvlJc w:val="left"/>
      <w:pPr>
        <w:tabs>
          <w:tab w:val="num" w:pos="432"/>
        </w:tabs>
        <w:ind w:left="432" w:hanging="432"/>
      </w:pPr>
      <w:rPr>
        <w:rFonts w:cs="Times New Roman" w:hint="default"/>
      </w:rPr>
    </w:lvl>
    <w:lvl w:ilvl="1">
      <w:start w:val="1"/>
      <w:numFmt w:val="decimal"/>
      <w:pStyle w:val="BAHeader2"/>
      <w:lvlText w:val="%1.%2"/>
      <w:lvlJc w:val="left"/>
      <w:pPr>
        <w:tabs>
          <w:tab w:val="num" w:pos="576"/>
        </w:tabs>
        <w:ind w:left="576" w:hanging="576"/>
      </w:pPr>
      <w:rPr>
        <w:rFonts w:cs="Times New Roman" w:hint="default"/>
      </w:rPr>
    </w:lvl>
    <w:lvl w:ilvl="2">
      <w:start w:val="1"/>
      <w:numFmt w:val="decimal"/>
      <w:pStyle w:val="BAHeader3"/>
      <w:lvlText w:val="%1.%2.%3"/>
      <w:lvlJc w:val="left"/>
      <w:pPr>
        <w:tabs>
          <w:tab w:val="num" w:pos="1145"/>
        </w:tabs>
        <w:ind w:left="1145"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71A806C4"/>
    <w:multiLevelType w:val="multilevel"/>
    <w:tmpl w:val="8026C670"/>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nsid w:val="72156D3E"/>
    <w:multiLevelType w:val="hybridMultilevel"/>
    <w:tmpl w:val="607CFB34"/>
    <w:lvl w:ilvl="0" w:tplc="0C090003">
      <w:start w:val="1"/>
      <w:numFmt w:val="bullet"/>
      <w:lvlText w:val=""/>
      <w:lvlJc w:val="right"/>
      <w:pPr>
        <w:ind w:left="717" w:hanging="360"/>
      </w:pPr>
      <w:rPr>
        <w:rFonts w:ascii="Symbol" w:hAnsi="Symbol" w:hint="default"/>
        <w:i/>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1">
    <w:nsid w:val="73D80683"/>
    <w:multiLevelType w:val="hybridMultilevel"/>
    <w:tmpl w:val="D50CB452"/>
    <w:lvl w:ilvl="0" w:tplc="0A5EF1F2">
      <w:start w:val="1"/>
      <w:numFmt w:val="bullet"/>
      <w:pStyle w:val="AQISNum"/>
      <w:lvlText w:val=""/>
      <w:lvlJc w:val="left"/>
      <w:pPr>
        <w:tabs>
          <w:tab w:val="num" w:pos="360"/>
        </w:tabs>
        <w:ind w:left="360" w:hanging="360"/>
      </w:pPr>
      <w:rPr>
        <w:rFonts w:ascii="Symbol" w:hAnsi="Symbol" w:hint="default"/>
        <w:sz w:val="16"/>
      </w:rPr>
    </w:lvl>
    <w:lvl w:ilvl="1" w:tplc="610211BA">
      <w:start w:val="1"/>
      <w:numFmt w:val="bullet"/>
      <w:lvlText w:val=""/>
      <w:lvlJc w:val="left"/>
      <w:pPr>
        <w:tabs>
          <w:tab w:val="num" w:pos="644"/>
        </w:tabs>
        <w:ind w:left="644" w:hanging="360"/>
      </w:pPr>
      <w:rPr>
        <w:rFonts w:ascii="Symbol" w:hAnsi="Symbol" w:hint="default"/>
        <w:sz w:val="16"/>
      </w:rPr>
    </w:lvl>
    <w:lvl w:ilvl="2" w:tplc="91BE93C2">
      <w:start w:val="1"/>
      <w:numFmt w:val="bullet"/>
      <w:lvlText w:val=""/>
      <w:lvlJc w:val="left"/>
      <w:pPr>
        <w:tabs>
          <w:tab w:val="num" w:pos="2160"/>
        </w:tabs>
        <w:ind w:left="2160" w:hanging="360"/>
      </w:pPr>
      <w:rPr>
        <w:rFonts w:ascii="Wingdings" w:hAnsi="Wingdings" w:hint="default"/>
      </w:rPr>
    </w:lvl>
    <w:lvl w:ilvl="3" w:tplc="E4542F94" w:tentative="1">
      <w:start w:val="1"/>
      <w:numFmt w:val="bullet"/>
      <w:lvlText w:val=""/>
      <w:lvlJc w:val="left"/>
      <w:pPr>
        <w:tabs>
          <w:tab w:val="num" w:pos="2880"/>
        </w:tabs>
        <w:ind w:left="2880" w:hanging="360"/>
      </w:pPr>
      <w:rPr>
        <w:rFonts w:ascii="Symbol" w:hAnsi="Symbol" w:hint="default"/>
      </w:rPr>
    </w:lvl>
    <w:lvl w:ilvl="4" w:tplc="91D4F63A" w:tentative="1">
      <w:start w:val="1"/>
      <w:numFmt w:val="bullet"/>
      <w:lvlText w:val="o"/>
      <w:lvlJc w:val="left"/>
      <w:pPr>
        <w:tabs>
          <w:tab w:val="num" w:pos="3600"/>
        </w:tabs>
        <w:ind w:left="3600" w:hanging="360"/>
      </w:pPr>
      <w:rPr>
        <w:rFonts w:ascii="Courier New" w:hAnsi="Courier New" w:cs="Courier New" w:hint="default"/>
      </w:rPr>
    </w:lvl>
    <w:lvl w:ilvl="5" w:tplc="DA72C0EC" w:tentative="1">
      <w:start w:val="1"/>
      <w:numFmt w:val="bullet"/>
      <w:lvlText w:val=""/>
      <w:lvlJc w:val="left"/>
      <w:pPr>
        <w:tabs>
          <w:tab w:val="num" w:pos="4320"/>
        </w:tabs>
        <w:ind w:left="4320" w:hanging="360"/>
      </w:pPr>
      <w:rPr>
        <w:rFonts w:ascii="Wingdings" w:hAnsi="Wingdings" w:hint="default"/>
      </w:rPr>
    </w:lvl>
    <w:lvl w:ilvl="6" w:tplc="8DB275D2" w:tentative="1">
      <w:start w:val="1"/>
      <w:numFmt w:val="bullet"/>
      <w:lvlText w:val=""/>
      <w:lvlJc w:val="left"/>
      <w:pPr>
        <w:tabs>
          <w:tab w:val="num" w:pos="5040"/>
        </w:tabs>
        <w:ind w:left="5040" w:hanging="360"/>
      </w:pPr>
      <w:rPr>
        <w:rFonts w:ascii="Symbol" w:hAnsi="Symbol" w:hint="default"/>
      </w:rPr>
    </w:lvl>
    <w:lvl w:ilvl="7" w:tplc="84FAEEBE" w:tentative="1">
      <w:start w:val="1"/>
      <w:numFmt w:val="bullet"/>
      <w:lvlText w:val="o"/>
      <w:lvlJc w:val="left"/>
      <w:pPr>
        <w:tabs>
          <w:tab w:val="num" w:pos="5760"/>
        </w:tabs>
        <w:ind w:left="5760" w:hanging="360"/>
      </w:pPr>
      <w:rPr>
        <w:rFonts w:ascii="Courier New" w:hAnsi="Courier New" w:cs="Courier New" w:hint="default"/>
      </w:rPr>
    </w:lvl>
    <w:lvl w:ilvl="8" w:tplc="9E9AF276" w:tentative="1">
      <w:start w:val="1"/>
      <w:numFmt w:val="bullet"/>
      <w:lvlText w:val=""/>
      <w:lvlJc w:val="left"/>
      <w:pPr>
        <w:tabs>
          <w:tab w:val="num" w:pos="6480"/>
        </w:tabs>
        <w:ind w:left="6480" w:hanging="360"/>
      </w:pPr>
      <w:rPr>
        <w:rFonts w:ascii="Wingdings" w:hAnsi="Wingdings" w:hint="default"/>
      </w:rPr>
    </w:lvl>
  </w:abstractNum>
  <w:abstractNum w:abstractNumId="32">
    <w:nsid w:val="74006CBB"/>
    <w:multiLevelType w:val="singleLevel"/>
    <w:tmpl w:val="63A2D460"/>
    <w:lvl w:ilvl="0">
      <w:start w:val="1"/>
      <w:numFmt w:val="decimal"/>
      <w:pStyle w:val="Table"/>
      <w:lvlText w:val="%1."/>
      <w:lvlJc w:val="left"/>
      <w:pPr>
        <w:tabs>
          <w:tab w:val="num" w:pos="360"/>
        </w:tabs>
        <w:ind w:left="360" w:hanging="360"/>
      </w:pPr>
      <w:rPr>
        <w:rFonts w:ascii="Arial" w:hAnsi="Arial" w:hint="default"/>
        <w:b/>
        <w:i w:val="0"/>
        <w:sz w:val="22"/>
      </w:rPr>
    </w:lvl>
  </w:abstractNum>
  <w:abstractNum w:abstractNumId="33">
    <w:nsid w:val="7B802132"/>
    <w:multiLevelType w:val="hybridMultilevel"/>
    <w:tmpl w:val="0D1656FE"/>
    <w:lvl w:ilvl="0" w:tplc="E4122BDC">
      <w:start w:val="1"/>
      <w:numFmt w:val="decimal"/>
      <w:pStyle w:val="DSUSubparaChar"/>
      <w:lvlText w:val="%1."/>
      <w:lvlJc w:val="left"/>
      <w:pPr>
        <w:tabs>
          <w:tab w:val="num" w:pos="936"/>
        </w:tabs>
        <w:ind w:left="0" w:firstLine="0"/>
      </w:pPr>
      <w:rPr>
        <w:rFonts w:hint="default"/>
      </w:rPr>
    </w:lvl>
    <w:lvl w:ilvl="1" w:tplc="F3769D70">
      <w:start w:val="1"/>
      <w:numFmt w:val="bullet"/>
      <w:lvlText w:val="o"/>
      <w:lvlJc w:val="left"/>
      <w:pPr>
        <w:tabs>
          <w:tab w:val="num" w:pos="1440"/>
        </w:tabs>
        <w:ind w:left="1440" w:hanging="360"/>
      </w:pPr>
      <w:rPr>
        <w:rFonts w:ascii="Courier New" w:hAnsi="Courier New" w:cs="Courier New" w:hint="default"/>
      </w:rPr>
    </w:lvl>
    <w:lvl w:ilvl="2" w:tplc="3AAE6D8A" w:tentative="1">
      <w:start w:val="1"/>
      <w:numFmt w:val="lowerRoman"/>
      <w:lvlText w:val="%3."/>
      <w:lvlJc w:val="right"/>
      <w:pPr>
        <w:tabs>
          <w:tab w:val="num" w:pos="2160"/>
        </w:tabs>
        <w:ind w:left="2160" w:hanging="180"/>
      </w:pPr>
    </w:lvl>
    <w:lvl w:ilvl="3" w:tplc="CF42CB50" w:tentative="1">
      <w:start w:val="1"/>
      <w:numFmt w:val="decimal"/>
      <w:lvlText w:val="%4."/>
      <w:lvlJc w:val="left"/>
      <w:pPr>
        <w:tabs>
          <w:tab w:val="num" w:pos="2880"/>
        </w:tabs>
        <w:ind w:left="2880" w:hanging="360"/>
      </w:pPr>
    </w:lvl>
    <w:lvl w:ilvl="4" w:tplc="55C27F1E" w:tentative="1">
      <w:start w:val="1"/>
      <w:numFmt w:val="lowerLetter"/>
      <w:lvlText w:val="%5."/>
      <w:lvlJc w:val="left"/>
      <w:pPr>
        <w:tabs>
          <w:tab w:val="num" w:pos="3600"/>
        </w:tabs>
        <w:ind w:left="3600" w:hanging="360"/>
      </w:pPr>
    </w:lvl>
    <w:lvl w:ilvl="5" w:tplc="3414526C" w:tentative="1">
      <w:start w:val="1"/>
      <w:numFmt w:val="lowerRoman"/>
      <w:lvlText w:val="%6."/>
      <w:lvlJc w:val="right"/>
      <w:pPr>
        <w:tabs>
          <w:tab w:val="num" w:pos="4320"/>
        </w:tabs>
        <w:ind w:left="4320" w:hanging="180"/>
      </w:pPr>
    </w:lvl>
    <w:lvl w:ilvl="6" w:tplc="7BF01B42" w:tentative="1">
      <w:start w:val="1"/>
      <w:numFmt w:val="decimal"/>
      <w:lvlText w:val="%7."/>
      <w:lvlJc w:val="left"/>
      <w:pPr>
        <w:tabs>
          <w:tab w:val="num" w:pos="5040"/>
        </w:tabs>
        <w:ind w:left="5040" w:hanging="360"/>
      </w:pPr>
    </w:lvl>
    <w:lvl w:ilvl="7" w:tplc="27647580" w:tentative="1">
      <w:start w:val="1"/>
      <w:numFmt w:val="lowerLetter"/>
      <w:lvlText w:val="%8."/>
      <w:lvlJc w:val="left"/>
      <w:pPr>
        <w:tabs>
          <w:tab w:val="num" w:pos="5760"/>
        </w:tabs>
        <w:ind w:left="5760" w:hanging="360"/>
      </w:pPr>
    </w:lvl>
    <w:lvl w:ilvl="8" w:tplc="4800A97C" w:tentative="1">
      <w:start w:val="1"/>
      <w:numFmt w:val="lowerRoman"/>
      <w:lvlText w:val="%9."/>
      <w:lvlJc w:val="right"/>
      <w:pPr>
        <w:tabs>
          <w:tab w:val="num" w:pos="6480"/>
        </w:tabs>
        <w:ind w:left="6480" w:hanging="180"/>
      </w:pPr>
    </w:lvl>
  </w:abstractNum>
  <w:num w:numId="1">
    <w:abstractNumId w:val="3"/>
  </w:num>
  <w:num w:numId="2">
    <w:abstractNumId w:val="32"/>
  </w:num>
  <w:num w:numId="3">
    <w:abstractNumId w:val="33"/>
  </w:num>
  <w:num w:numId="4">
    <w:abstractNumId w:val="0"/>
  </w:num>
  <w:num w:numId="5">
    <w:abstractNumId w:val="5"/>
  </w:num>
  <w:num w:numId="6">
    <w:abstractNumId w:val="25"/>
  </w:num>
  <w:num w:numId="7">
    <w:abstractNumId w:val="21"/>
  </w:num>
  <w:num w:numId="8">
    <w:abstractNumId w:val="10"/>
  </w:num>
  <w:num w:numId="9">
    <w:abstractNumId w:val="2"/>
  </w:num>
  <w:num w:numId="10">
    <w:abstractNumId w:val="7"/>
  </w:num>
  <w:num w:numId="11">
    <w:abstractNumId w:val="8"/>
  </w:num>
  <w:num w:numId="12">
    <w:abstractNumId w:val="27"/>
  </w:num>
  <w:num w:numId="13">
    <w:abstractNumId w:val="16"/>
  </w:num>
  <w:num w:numId="14">
    <w:abstractNumId w:val="18"/>
  </w:num>
  <w:num w:numId="15">
    <w:abstractNumId w:val="20"/>
  </w:num>
  <w:num w:numId="16">
    <w:abstractNumId w:val="4"/>
  </w:num>
  <w:num w:numId="17">
    <w:abstractNumId w:val="12"/>
  </w:num>
  <w:num w:numId="18">
    <w:abstractNumId w:val="15"/>
  </w:num>
  <w:num w:numId="19">
    <w:abstractNumId w:val="23"/>
  </w:num>
  <w:num w:numId="20">
    <w:abstractNumId w:val="14"/>
  </w:num>
  <w:num w:numId="21">
    <w:abstractNumId w:val="9"/>
  </w:num>
  <w:num w:numId="22">
    <w:abstractNumId w:val="1"/>
  </w:num>
  <w:num w:numId="23">
    <w:abstractNumId w:val="24"/>
  </w:num>
  <w:num w:numId="24">
    <w:abstractNumId w:val="31"/>
  </w:num>
  <w:num w:numId="25">
    <w:abstractNumId w:val="19"/>
  </w:num>
  <w:num w:numId="26">
    <w:abstractNumId w:val="26"/>
  </w:num>
  <w:num w:numId="27">
    <w:abstractNumId w:val="28"/>
  </w:num>
  <w:num w:numId="28">
    <w:abstractNumId w:val="29"/>
  </w:num>
  <w:num w:numId="29">
    <w:abstractNumId w:val="11"/>
  </w:num>
  <w:num w:numId="30">
    <w:abstractNumId w:val="6"/>
  </w:num>
  <w:num w:numId="31">
    <w:abstractNumId w:val="13"/>
  </w:num>
  <w:num w:numId="32">
    <w:abstractNumId w:val="30"/>
  </w:num>
  <w:num w:numId="33">
    <w:abstractNumId w:val="22"/>
  </w:num>
  <w:num w:numId="34">
    <w:abstractNumId w:val="17"/>
  </w:num>
  <w:num w:numId="35">
    <w:abstractNumId w:val="21"/>
  </w:num>
  <w:num w:numId="36">
    <w:abstractNumId w:val="21"/>
  </w:num>
  <w:num w:numId="37">
    <w:abstractNumId w:val="21"/>
  </w:num>
  <w:num w:numId="38">
    <w:abstractNumId w:val="2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removePersonalInformation/>
  <w:removeDateAndTime/>
  <w:displayBackgroundShape/>
  <w:embedSystemFonts/>
  <w:hideSpellingErrors/>
  <w:stylePaneFormatFilter w:val="3F01"/>
  <w:defaultTabStop w:val="720"/>
  <w:drawingGridHorizontalSpacing w:val="12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cVars>
    <w:docVar w:name="_AMO_XmlVersion" w:val="Empty"/>
    <w:docVar w:name="Abbott1985" w:val="Empty"/>
  </w:docVar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Address"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djustRightInd w:val="0"/>
      <w:spacing w:line="360" w:lineRule="atLeast"/>
      <w:jc w:val="both"/>
      <w:textAlignment w:val="baseline"/>
    </w:pPr>
    <w:rPr>
      <w:sz w:val="24"/>
      <w:szCs w:val="24"/>
      <w:lang w:eastAsia="en-US"/>
    </w:rPr>
  </w:style>
  <w:style w:type="paragraph" w:styleId="Heading1">
    <w:name w:val="heading 1"/>
    <w:basedOn w:val="Normal"/>
    <w:next w:val="Normal"/>
    <w:link w:val="Heading1Char"/>
    <w:autoRedefine/>
    <w:qFormat/>
    <w:pPr>
      <w:keepNext/>
      <w:numPr>
        <w:ilvl w:val="3"/>
        <w:numId w:val="25"/>
      </w:numPr>
      <w:pBdr>
        <w:bottom w:val="single" w:sz="18" w:space="1" w:color="auto"/>
      </w:pBdr>
      <w:tabs>
        <w:tab w:val="left" w:pos="1260"/>
        <w:tab w:val="left" w:pos="1980"/>
      </w:tabs>
      <w:spacing w:before="240" w:after="120" w:line="280" w:lineRule="atLeast"/>
      <w:outlineLvl w:val="0"/>
    </w:pPr>
    <w:rPr>
      <w:rFonts w:ascii="Arial" w:hAnsi="Arial"/>
      <w:b/>
      <w:sz w:val="32"/>
      <w:szCs w:val="20"/>
    </w:rPr>
  </w:style>
  <w:style w:type="paragraph" w:styleId="Heading2">
    <w:name w:val="heading 2"/>
    <w:aliases w:val="p"/>
    <w:basedOn w:val="Normal"/>
    <w:next w:val="Normal"/>
    <w:link w:val="Heading2Char"/>
    <w:qFormat/>
    <w:pPr>
      <w:keepNext/>
      <w:numPr>
        <w:ilvl w:val="1"/>
        <w:numId w:val="7"/>
      </w:numPr>
      <w:spacing w:before="240" w:after="60"/>
      <w:outlineLvl w:val="1"/>
    </w:pPr>
    <w:rPr>
      <w:rFonts w:ascii="Helvetica" w:hAnsi="Helvetica" w:cs="Arial"/>
      <w:b/>
      <w:bCs/>
      <w:i/>
      <w:iCs/>
      <w:sz w:val="28"/>
      <w:szCs w:val="28"/>
    </w:rPr>
  </w:style>
  <w:style w:type="paragraph" w:styleId="Heading3">
    <w:name w:val="heading 3"/>
    <w:basedOn w:val="Normal"/>
    <w:next w:val="Normal"/>
    <w:link w:val="Heading3Char"/>
    <w:qFormat/>
    <w:pPr>
      <w:keepNext/>
      <w:spacing w:before="240" w:after="120" w:line="300" w:lineRule="atLeast"/>
      <w:outlineLvl w:val="2"/>
    </w:pPr>
    <w:rPr>
      <w:rFonts w:ascii="Arial" w:hAnsi="Arial"/>
      <w:b/>
      <w:sz w:val="28"/>
      <w:szCs w:val="20"/>
    </w:rPr>
  </w:style>
  <w:style w:type="paragraph" w:styleId="Heading4">
    <w:name w:val="heading 4"/>
    <w:basedOn w:val="Normal"/>
    <w:next w:val="Normal"/>
    <w:link w:val="Heading4Char"/>
    <w:qFormat/>
    <w:pPr>
      <w:keepNext/>
      <w:numPr>
        <w:ilvl w:val="3"/>
        <w:numId w:val="7"/>
      </w:numPr>
      <w:spacing w:before="120" w:after="60" w:line="280" w:lineRule="atLeast"/>
      <w:outlineLvl w:val="3"/>
    </w:pPr>
    <w:rPr>
      <w:rFonts w:ascii="Arial" w:hAnsi="Arial"/>
      <w:b/>
      <w:bCs/>
      <w:sz w:val="26"/>
      <w:szCs w:val="28"/>
    </w:rPr>
  </w:style>
  <w:style w:type="paragraph" w:styleId="Heading5">
    <w:name w:val="heading 5"/>
    <w:aliases w:val="s,s1,s2,s3,s4,s5"/>
    <w:basedOn w:val="Normal"/>
    <w:next w:val="Normal"/>
    <w:link w:val="Heading5Char"/>
    <w:qFormat/>
    <w:pPr>
      <w:keepNext/>
      <w:numPr>
        <w:ilvl w:val="4"/>
        <w:numId w:val="25"/>
      </w:numPr>
      <w:spacing w:before="240" w:after="120" w:line="300" w:lineRule="atLeast"/>
      <w:outlineLvl w:val="4"/>
    </w:pPr>
    <w:rPr>
      <w:rFonts w:ascii="Arial" w:hAnsi="Arial"/>
      <w:b/>
      <w:szCs w:val="20"/>
    </w:rPr>
  </w:style>
  <w:style w:type="paragraph" w:styleId="Heading6">
    <w:name w:val="heading 6"/>
    <w:basedOn w:val="Normal"/>
    <w:next w:val="Normal"/>
    <w:link w:val="Heading6Char"/>
    <w:qFormat/>
    <w:pPr>
      <w:keepNext/>
      <w:numPr>
        <w:ilvl w:val="5"/>
        <w:numId w:val="25"/>
      </w:numPr>
      <w:outlineLvl w:val="5"/>
    </w:pPr>
    <w:rPr>
      <w:rFonts w:ascii="Arial" w:hAnsi="Arial"/>
      <w:b/>
      <w:sz w:val="22"/>
      <w:szCs w:val="20"/>
    </w:rPr>
  </w:style>
  <w:style w:type="paragraph" w:styleId="Heading7">
    <w:name w:val="heading 7"/>
    <w:basedOn w:val="Normal"/>
    <w:next w:val="Normal"/>
    <w:link w:val="Heading7Char"/>
    <w:qFormat/>
    <w:pPr>
      <w:keepNext/>
      <w:numPr>
        <w:ilvl w:val="6"/>
        <w:numId w:val="25"/>
      </w:numPr>
      <w:spacing w:before="20" w:after="20" w:line="240" w:lineRule="atLeast"/>
      <w:jc w:val="center"/>
      <w:outlineLvl w:val="6"/>
    </w:pPr>
    <w:rPr>
      <w:rFonts w:ascii="Arial" w:hAnsi="Arial" w:cs="Arial"/>
      <w:b/>
      <w:bCs/>
      <w:sz w:val="20"/>
    </w:rPr>
  </w:style>
  <w:style w:type="paragraph" w:styleId="Heading8">
    <w:name w:val="heading 8"/>
    <w:basedOn w:val="Normal"/>
    <w:next w:val="Normal"/>
    <w:link w:val="Heading8Char"/>
    <w:qFormat/>
    <w:pPr>
      <w:keepNext/>
      <w:numPr>
        <w:ilvl w:val="7"/>
        <w:numId w:val="25"/>
      </w:numPr>
      <w:outlineLvl w:val="7"/>
    </w:pPr>
    <w:rPr>
      <w:rFonts w:ascii="Helvetica" w:hAnsi="Helvetica"/>
      <w:b/>
      <w:bCs/>
      <w:sz w:val="20"/>
    </w:rPr>
  </w:style>
  <w:style w:type="paragraph" w:styleId="Heading9">
    <w:name w:val="heading 9"/>
    <w:basedOn w:val="Normal"/>
    <w:next w:val="Normal"/>
    <w:link w:val="Heading9Char"/>
    <w:qFormat/>
    <w:pPr>
      <w:numPr>
        <w:ilvl w:val="8"/>
        <w:numId w:val="2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QISTable">
    <w:name w:val="AQIS Table"/>
    <w:basedOn w:val="AQISText"/>
    <w:next w:val="AQISText"/>
    <w:pPr>
      <w:tabs>
        <w:tab w:val="num" w:pos="360"/>
      </w:tabs>
      <w:spacing w:before="360" w:after="360"/>
      <w:ind w:left="360" w:hanging="360"/>
      <w:jc w:val="center"/>
    </w:pPr>
    <w:rPr>
      <w:rFonts w:ascii="Arial" w:hAnsi="Arial"/>
      <w:b/>
    </w:rPr>
  </w:style>
  <w:style w:type="paragraph" w:customStyle="1" w:styleId="AQISText">
    <w:name w:val="AQIS Text"/>
    <w:basedOn w:val="Normal"/>
    <w:link w:val="AQISTextChar"/>
    <w:pPr>
      <w:spacing w:before="160" w:line="280" w:lineRule="atLeast"/>
    </w:pPr>
    <w:rPr>
      <w:sz w:val="22"/>
      <w:szCs w:val="20"/>
    </w:rPr>
  </w:style>
  <w:style w:type="paragraph" w:styleId="ListBullet3">
    <w:name w:val="List Bullet 3"/>
    <w:basedOn w:val="Normal"/>
    <w:autoRedefine/>
    <w:pPr>
      <w:tabs>
        <w:tab w:val="num" w:pos="0"/>
      </w:tabs>
      <w:spacing w:before="40" w:after="40" w:line="240" w:lineRule="atLeast"/>
      <w:ind w:left="72"/>
    </w:pPr>
    <w:rPr>
      <w:rFonts w:ascii="Verdana" w:hAnsi="Verdana" w:cs="Arial"/>
      <w:b/>
      <w:sz w:val="18"/>
      <w:szCs w:val="18"/>
    </w:rPr>
  </w:style>
  <w:style w:type="paragraph" w:customStyle="1" w:styleId="AQISBullet">
    <w:name w:val="AQIS Bullet"/>
    <w:basedOn w:val="AQISText"/>
    <w:next w:val="AQISText"/>
    <w:pPr>
      <w:tabs>
        <w:tab w:val="num" w:pos="360"/>
      </w:tabs>
      <w:spacing w:before="60"/>
      <w:ind w:left="360" w:hanging="360"/>
    </w:pPr>
  </w:style>
  <w:style w:type="paragraph" w:customStyle="1" w:styleId="AQISPlate">
    <w:name w:val="AQIS Plate"/>
    <w:basedOn w:val="Normal"/>
    <w:next w:val="Normal"/>
    <w:pPr>
      <w:tabs>
        <w:tab w:val="num" w:pos="720"/>
      </w:tabs>
      <w:spacing w:before="240" w:after="120" w:line="340" w:lineRule="atLeast"/>
      <w:ind w:left="360" w:hanging="360"/>
      <w:jc w:val="center"/>
    </w:pPr>
    <w:rPr>
      <w:b/>
      <w:sz w:val="22"/>
      <w:szCs w:val="20"/>
    </w:rPr>
  </w:style>
  <w:style w:type="paragraph" w:customStyle="1" w:styleId="DotPoint">
    <w:name w:val="DotPoint"/>
    <w:basedOn w:val="Normal"/>
    <w:pPr>
      <w:tabs>
        <w:tab w:val="num" w:pos="1557"/>
      </w:tabs>
      <w:overflowPunct w:val="0"/>
      <w:autoSpaceDE w:val="0"/>
      <w:autoSpaceDN w:val="0"/>
      <w:ind w:left="1557" w:hanging="425"/>
    </w:pPr>
    <w:rPr>
      <w:szCs w:val="20"/>
    </w:rPr>
  </w:style>
  <w:style w:type="paragraph" w:customStyle="1" w:styleId="Table">
    <w:name w:val="Table"/>
    <w:basedOn w:val="Normal"/>
    <w:pPr>
      <w:numPr>
        <w:numId w:val="2"/>
      </w:numPr>
      <w:spacing w:line="340" w:lineRule="atLeast"/>
      <w:jc w:val="center"/>
    </w:pPr>
    <w:rPr>
      <w:rFonts w:ascii="Arial" w:hAnsi="Arial"/>
      <w:b/>
      <w:sz w:val="20"/>
      <w:szCs w:val="20"/>
    </w:rPr>
  </w:style>
  <w:style w:type="paragraph" w:customStyle="1" w:styleId="AQISNum">
    <w:name w:val="AQIS Num"/>
    <w:basedOn w:val="AQISText"/>
    <w:next w:val="AQISText"/>
    <w:link w:val="AQISNumChar"/>
    <w:pPr>
      <w:numPr>
        <w:numId w:val="24"/>
      </w:numPr>
      <w:spacing w:before="60"/>
    </w:pPr>
  </w:style>
  <w:style w:type="paragraph" w:styleId="Title">
    <w:name w:val="Title"/>
    <w:basedOn w:val="Normal"/>
    <w:link w:val="TitleChar"/>
    <w:qFormat/>
    <w:pPr>
      <w:spacing w:before="840" w:after="720"/>
      <w:jc w:val="center"/>
    </w:pPr>
    <w:rPr>
      <w:rFonts w:ascii="Arial" w:hAnsi="Arial"/>
      <w:sz w:val="52"/>
    </w:rPr>
  </w:style>
  <w:style w:type="paragraph" w:styleId="BodyText3">
    <w:name w:val="Body Text 3"/>
    <w:basedOn w:val="Normal"/>
    <w:link w:val="BodyText3Char"/>
    <w:pPr>
      <w:spacing w:before="120" w:after="240" w:line="340" w:lineRule="atLeast"/>
    </w:pPr>
    <w:rPr>
      <w:rFonts w:ascii="Arial" w:hAnsi="Arial"/>
      <w:b/>
      <w:sz w:val="28"/>
      <w:szCs w:val="20"/>
    </w:rPr>
  </w:style>
  <w:style w:type="character" w:styleId="Hyperlink">
    <w:name w:val="Hyperlink"/>
    <w:basedOn w:val="DefaultParagraphFont"/>
    <w:rPr>
      <w:color w:val="0000FF"/>
      <w:u w:val="single"/>
    </w:rPr>
  </w:style>
  <w:style w:type="paragraph" w:customStyle="1" w:styleId="AQIS3">
    <w:name w:val="AQIS3"/>
    <w:basedOn w:val="Normal"/>
    <w:next w:val="AQISText"/>
    <w:pPr>
      <w:keepNext/>
      <w:keepLines/>
      <w:spacing w:before="600" w:after="120" w:line="340" w:lineRule="atLeast"/>
    </w:pPr>
    <w:rPr>
      <w:rFonts w:ascii="Arial" w:hAnsi="Arial"/>
      <w:b/>
      <w:caps/>
      <w:szCs w:val="20"/>
    </w:rPr>
  </w:style>
  <w:style w:type="paragraph" w:styleId="TOC1">
    <w:name w:val="toc 1"/>
    <w:basedOn w:val="Normal"/>
    <w:next w:val="Normal"/>
    <w:autoRedefine/>
    <w:uiPriority w:val="39"/>
    <w:pPr>
      <w:tabs>
        <w:tab w:val="left" w:pos="1080"/>
        <w:tab w:val="left" w:pos="1800"/>
        <w:tab w:val="right" w:leader="dot" w:pos="9000"/>
      </w:tabs>
      <w:spacing w:before="120" w:line="300" w:lineRule="atLeast"/>
      <w:ind w:right="79"/>
      <w:jc w:val="left"/>
    </w:pPr>
    <w:rPr>
      <w:rFonts w:ascii="Verdana" w:hAnsi="Verdana"/>
      <w:b/>
      <w:noProof/>
      <w:sz w:val="20"/>
      <w:szCs w:val="32"/>
    </w:rPr>
  </w:style>
  <w:style w:type="paragraph" w:styleId="TOC2">
    <w:name w:val="toc 2"/>
    <w:basedOn w:val="Normal"/>
    <w:next w:val="Normal"/>
    <w:autoRedefine/>
    <w:uiPriority w:val="39"/>
    <w:pPr>
      <w:tabs>
        <w:tab w:val="left" w:pos="1800"/>
        <w:tab w:val="left" w:pos="1920"/>
        <w:tab w:val="right" w:leader="dot" w:pos="9000"/>
      </w:tabs>
      <w:spacing w:line="340" w:lineRule="atLeast"/>
      <w:ind w:left="720" w:right="82" w:hanging="500"/>
    </w:pPr>
    <w:rPr>
      <w:rFonts w:ascii="Helvetica" w:hAnsi="Helvetica"/>
      <w:smallCaps/>
      <w:noProof/>
      <w:sz w:val="20"/>
      <w:szCs w:val="20"/>
    </w:rPr>
  </w:style>
  <w:style w:type="paragraph" w:styleId="TOC3">
    <w:name w:val="toc 3"/>
    <w:basedOn w:val="Normal"/>
    <w:next w:val="Normal"/>
    <w:autoRedefine/>
    <w:uiPriority w:val="39"/>
    <w:pPr>
      <w:tabs>
        <w:tab w:val="left" w:pos="1440"/>
        <w:tab w:val="right" w:leader="dot" w:pos="9000"/>
      </w:tabs>
      <w:spacing w:line="300" w:lineRule="atLeast"/>
      <w:ind w:left="539" w:right="82"/>
    </w:pPr>
    <w:rPr>
      <w:rFonts w:ascii="Helvetica" w:hAnsi="Helvetica"/>
      <w:noProof/>
      <w:sz w:val="20"/>
      <w:szCs w:val="28"/>
    </w:rPr>
  </w:style>
  <w:style w:type="paragraph" w:customStyle="1" w:styleId="AQISTextCharCharChar">
    <w:name w:val="AQIS Text Char Char Char"/>
    <w:basedOn w:val="Normal"/>
    <w:pPr>
      <w:spacing w:before="160" w:line="280" w:lineRule="atLeast"/>
    </w:pPr>
    <w:rPr>
      <w:sz w:val="22"/>
      <w:lang w:eastAsia="en-AU"/>
    </w:rPr>
  </w:style>
  <w:style w:type="paragraph" w:customStyle="1" w:styleId="AQISTableText">
    <w:name w:val="AQIS Table Text"/>
    <w:basedOn w:val="AQISText"/>
    <w:link w:val="AQISTableTextChar"/>
    <w:pPr>
      <w:spacing w:before="60" w:after="60"/>
    </w:pPr>
    <w:rPr>
      <w:sz w:val="20"/>
    </w:rPr>
  </w:style>
  <w:style w:type="paragraph" w:styleId="Header">
    <w:name w:val="header"/>
    <w:basedOn w:val="Normal"/>
    <w:link w:val="HeaderChar"/>
    <w:pPr>
      <w:tabs>
        <w:tab w:val="center" w:pos="4153"/>
        <w:tab w:val="right" w:pos="8306"/>
      </w:tabs>
      <w:spacing w:line="340" w:lineRule="atLeast"/>
    </w:pPr>
    <w:rPr>
      <w:szCs w:val="20"/>
    </w:rPr>
  </w:style>
  <w:style w:type="paragraph" w:customStyle="1" w:styleId="AQIS6">
    <w:name w:val="AQIS6"/>
    <w:basedOn w:val="AQISText"/>
    <w:next w:val="AQISText"/>
    <w:pPr>
      <w:keepNext/>
      <w:keepLines/>
      <w:spacing w:before="360"/>
    </w:pPr>
    <w:rPr>
      <w:rFonts w:ascii="Arial" w:hAnsi="Arial"/>
      <w:b/>
    </w:rPr>
  </w:style>
  <w:style w:type="paragraph" w:styleId="BodyText2">
    <w:name w:val="Body Text 2"/>
    <w:basedOn w:val="Normal"/>
    <w:link w:val="BodyText2Char"/>
    <w:pPr>
      <w:spacing w:line="288" w:lineRule="auto"/>
    </w:pPr>
    <w:rPr>
      <w:szCs w:val="20"/>
    </w:rPr>
  </w:style>
  <w:style w:type="paragraph" w:styleId="BodyText">
    <w:name w:val="Body Text"/>
    <w:basedOn w:val="Normal"/>
    <w:link w:val="BodyTextChar"/>
    <w:pPr>
      <w:spacing w:before="240" w:after="120" w:line="340" w:lineRule="atLeast"/>
      <w:jc w:val="center"/>
    </w:pPr>
    <w:rPr>
      <w:b/>
      <w:sz w:val="28"/>
      <w:szCs w:val="20"/>
    </w:rPr>
  </w:style>
  <w:style w:type="paragraph" w:customStyle="1" w:styleId="AQISsub2">
    <w:name w:val="AQISsub 2"/>
    <w:basedOn w:val="Normal"/>
    <w:next w:val="Normal"/>
    <w:pPr>
      <w:keepNext/>
      <w:keepLines/>
      <w:numPr>
        <w:ilvl w:val="1"/>
        <w:numId w:val="1"/>
      </w:numPr>
      <w:spacing w:before="120" w:after="60" w:line="340" w:lineRule="atLeast"/>
    </w:pPr>
    <w:rPr>
      <w:rFonts w:ascii="Arial" w:hAnsi="Arial"/>
      <w:b/>
      <w:sz w:val="20"/>
      <w:szCs w:val="20"/>
    </w:rPr>
  </w:style>
  <w:style w:type="paragraph" w:styleId="Footer">
    <w:name w:val="footer"/>
    <w:basedOn w:val="Normal"/>
    <w:link w:val="FooterChar"/>
    <w:pPr>
      <w:tabs>
        <w:tab w:val="center" w:pos="4819"/>
        <w:tab w:val="right" w:pos="9071"/>
      </w:tabs>
      <w:spacing w:line="280" w:lineRule="atLeast"/>
    </w:pPr>
    <w:rPr>
      <w:szCs w:val="20"/>
      <w:lang w:val="en-US"/>
    </w:rPr>
  </w:style>
  <w:style w:type="paragraph" w:customStyle="1" w:styleId="AQIS2">
    <w:name w:val="AQIS2"/>
    <w:basedOn w:val="AQIS1"/>
    <w:pPr>
      <w:pBdr>
        <w:bottom w:val="single" w:sz="8" w:space="1" w:color="auto"/>
      </w:pBdr>
      <w:spacing w:after="480"/>
    </w:pPr>
    <w:rPr>
      <w:sz w:val="26"/>
    </w:rPr>
  </w:style>
  <w:style w:type="paragraph" w:customStyle="1" w:styleId="AQIS1">
    <w:name w:val="AQIS1"/>
    <w:basedOn w:val="Normal"/>
    <w:next w:val="AQISText"/>
    <w:pPr>
      <w:pBdr>
        <w:bottom w:val="single" w:sz="4" w:space="1" w:color="auto"/>
      </w:pBdr>
      <w:spacing w:before="120" w:after="360" w:line="340" w:lineRule="atLeast"/>
      <w:jc w:val="right"/>
    </w:pPr>
    <w:rPr>
      <w:rFonts w:ascii="Arial" w:hAnsi="Arial"/>
      <w:b/>
      <w:caps/>
      <w:sz w:val="28"/>
      <w:szCs w:val="20"/>
    </w:rPr>
  </w:style>
  <w:style w:type="paragraph" w:styleId="BodyTextIndent3">
    <w:name w:val="Body Text Indent 3"/>
    <w:basedOn w:val="Normal"/>
    <w:link w:val="BodyTextIndent3Char"/>
    <w:pPr>
      <w:ind w:left="1440" w:hanging="1440"/>
    </w:pPr>
  </w:style>
  <w:style w:type="paragraph" w:styleId="BodyTextIndent">
    <w:name w:val="Body Text Indent"/>
    <w:basedOn w:val="Normal"/>
    <w:link w:val="BodyTextIndentChar"/>
    <w:pPr>
      <w:spacing w:before="40" w:after="40" w:line="300" w:lineRule="atLeast"/>
      <w:ind w:left="900" w:hanging="543"/>
    </w:pPr>
  </w:style>
  <w:style w:type="character" w:styleId="FootnoteReference">
    <w:name w:val="footnote reference"/>
    <w:basedOn w:val="DefaultParagraphFont"/>
    <w:uiPriority w:val="99"/>
    <w:rPr>
      <w:rFonts w:ascii="Arial" w:hAnsi="Arial"/>
      <w:dstrike w:val="0"/>
      <w:color w:val="auto"/>
      <w:sz w:val="18"/>
      <w:vertAlign w:val="superscript"/>
    </w:rPr>
  </w:style>
  <w:style w:type="paragraph" w:customStyle="1" w:styleId="References">
    <w:name w:val="References"/>
    <w:basedOn w:val="BodyText"/>
    <w:link w:val="ReferencesChar"/>
    <w:pPr>
      <w:widowControl/>
      <w:tabs>
        <w:tab w:val="left" w:pos="567"/>
        <w:tab w:val="left" w:pos="1134"/>
        <w:tab w:val="left" w:pos="1701"/>
        <w:tab w:val="left" w:pos="2268"/>
        <w:tab w:val="left" w:pos="2835"/>
        <w:tab w:val="left" w:pos="3402"/>
        <w:tab w:val="left" w:pos="3969"/>
      </w:tabs>
      <w:spacing w:before="0" w:line="288" w:lineRule="auto"/>
      <w:ind w:left="284" w:hanging="284"/>
      <w:jc w:val="both"/>
    </w:pPr>
    <w:rPr>
      <w:rFonts w:ascii="Arial" w:hAnsi="Arial"/>
      <w:b w:val="0"/>
      <w:sz w:val="22"/>
    </w:rPr>
  </w:style>
  <w:style w:type="paragraph" w:styleId="FootnoteText">
    <w:name w:val="footnote text"/>
    <w:basedOn w:val="Normal"/>
    <w:link w:val="FootnoteTextChar"/>
    <w:uiPriority w:val="99"/>
    <w:pPr>
      <w:keepNext/>
      <w:keepLines/>
      <w:spacing w:line="280" w:lineRule="atLeast"/>
      <w:ind w:left="170" w:hanging="170"/>
    </w:pPr>
    <w:rPr>
      <w:rFonts w:ascii="Arial" w:hAnsi="Arial"/>
      <w:sz w:val="18"/>
      <w:szCs w:val="20"/>
    </w:rPr>
  </w:style>
  <w:style w:type="character" w:styleId="PageNumber">
    <w:name w:val="page number"/>
    <w:basedOn w:val="DefaultParagraphFont"/>
  </w:style>
  <w:style w:type="paragraph" w:styleId="Caption">
    <w:name w:val="caption"/>
    <w:basedOn w:val="Normal"/>
    <w:next w:val="Normal"/>
    <w:qFormat/>
    <w:pPr>
      <w:jc w:val="center"/>
    </w:pPr>
    <w:rPr>
      <w:rFonts w:ascii="Helvetica" w:hAnsi="Helvetica"/>
      <w:b/>
      <w:bCs/>
      <w:sz w:val="36"/>
    </w:rPr>
  </w:style>
  <w:style w:type="character" w:styleId="Emphasis">
    <w:name w:val="Emphasis"/>
    <w:basedOn w:val="DefaultParagraphFont"/>
    <w:uiPriority w:val="20"/>
    <w:qFormat/>
    <w:rPr>
      <w:i/>
      <w:iCs/>
    </w:rPr>
  </w:style>
  <w:style w:type="paragraph" w:customStyle="1" w:styleId="para">
    <w:name w:val="para"/>
    <w:basedOn w:val="Normal"/>
    <w:next w:val="Normal"/>
    <w:pPr>
      <w:spacing w:before="120" w:after="240"/>
    </w:pPr>
    <w:rPr>
      <w:szCs w:val="20"/>
    </w:rPr>
  </w:style>
  <w:style w:type="paragraph" w:styleId="BodyTextIndent2">
    <w:name w:val="Body Text Indent 2"/>
    <w:basedOn w:val="Normal"/>
    <w:link w:val="BodyTextIndent2Char"/>
    <w:pPr>
      <w:spacing w:before="160" w:after="120" w:line="300" w:lineRule="atLeast"/>
      <w:ind w:left="1259" w:hanging="1259"/>
    </w:pPr>
    <w:rPr>
      <w:rFonts w:ascii="Arial" w:hAnsi="Arial" w:cs="Arial"/>
      <w:b/>
      <w:bCs/>
      <w:sz w:val="22"/>
    </w:rPr>
  </w:style>
  <w:style w:type="paragraph" w:customStyle="1" w:styleId="AQIS5">
    <w:name w:val="AQIS5"/>
    <w:basedOn w:val="Normal"/>
    <w:next w:val="AQISText"/>
    <w:link w:val="AQIS5Char"/>
    <w:pPr>
      <w:keepNext/>
      <w:keepLines/>
      <w:spacing w:before="360" w:line="340" w:lineRule="atLeast"/>
    </w:pPr>
    <w:rPr>
      <w:rFonts w:ascii="Arial" w:hAnsi="Arial"/>
      <w:b/>
      <w:szCs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FollowedHyperlink">
    <w:name w:val="FollowedHyperlink"/>
    <w:basedOn w:val="DefaultParagraphFont"/>
    <w:rPr>
      <w:color w:val="800080"/>
      <w:u w:val="single"/>
    </w:rPr>
  </w:style>
  <w:style w:type="character" w:styleId="Strong">
    <w:name w:val="Strong"/>
    <w:basedOn w:val="DefaultParagraphFont"/>
    <w:uiPriority w:val="22"/>
    <w:qFormat/>
    <w:rPr>
      <w:b/>
      <w:bCs/>
    </w:rPr>
  </w:style>
  <w:style w:type="paragraph" w:styleId="TOC4">
    <w:name w:val="toc 4"/>
    <w:basedOn w:val="Normal"/>
    <w:next w:val="Normal"/>
    <w:autoRedefine/>
    <w:semiHidden/>
    <w:pPr>
      <w:tabs>
        <w:tab w:val="left" w:pos="1800"/>
        <w:tab w:val="right" w:leader="dot" w:pos="8755"/>
      </w:tabs>
      <w:spacing w:before="20" w:after="20" w:line="240" w:lineRule="atLeast"/>
      <w:ind w:left="1800" w:hanging="1080"/>
    </w:pPr>
    <w:rPr>
      <w:rFonts w:ascii="Helvetica" w:hAnsi="Helvetica"/>
      <w:i/>
      <w:noProof/>
      <w:sz w:val="20"/>
      <w:szCs w:val="20"/>
    </w:rPr>
  </w:style>
  <w:style w:type="paragraph" w:styleId="TOC5">
    <w:name w:val="toc 5"/>
    <w:basedOn w:val="Normal"/>
    <w:next w:val="Normal"/>
    <w:autoRedefine/>
    <w:semiHidden/>
    <w:pPr>
      <w:tabs>
        <w:tab w:val="left" w:pos="2040"/>
        <w:tab w:val="right" w:leader="dot" w:pos="8755"/>
      </w:tabs>
      <w:ind w:left="960"/>
    </w:pPr>
    <w:rPr>
      <w:rFonts w:ascii="Arial" w:hAnsi="Arial" w:cs="Arial"/>
      <w:noProof/>
      <w:sz w:val="20"/>
      <w:szCs w:val="20"/>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ListBullet2">
    <w:name w:val="List Bullet 2"/>
    <w:basedOn w:val="Normal"/>
    <w:autoRedefine/>
    <w:pPr>
      <w:tabs>
        <w:tab w:val="num" w:pos="643"/>
      </w:tabs>
      <w:spacing w:line="340" w:lineRule="atLeast"/>
      <w:ind w:left="643" w:hanging="360"/>
    </w:pPr>
    <w:rPr>
      <w:szCs w:val="20"/>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goohl0">
    <w:name w:val="goohl0"/>
    <w:basedOn w:val="DefaultParagraphFont"/>
  </w:style>
  <w:style w:type="character" w:customStyle="1" w:styleId="goohl1">
    <w:name w:val="goohl1"/>
    <w:basedOn w:val="DefaultParagraphFont"/>
  </w:style>
  <w:style w:type="character" w:customStyle="1" w:styleId="goohl2">
    <w:name w:val="goohl2"/>
    <w:basedOn w:val="DefaultParagraphFont"/>
  </w:style>
  <w:style w:type="character" w:customStyle="1" w:styleId="goohl3">
    <w:name w:val="goohl3"/>
    <w:basedOn w:val="DefaultParagraphFont"/>
  </w:style>
  <w:style w:type="character" w:customStyle="1" w:styleId="homesmall">
    <w:name w:val="homesmall"/>
    <w:basedOn w:val="DefaultParagraphFont"/>
  </w:style>
  <w:style w:type="paragraph" w:styleId="PlainText">
    <w:name w:val="Plain Text"/>
    <w:basedOn w:val="Normal"/>
    <w:link w:val="PlainTextChar"/>
    <w:rPr>
      <w:rFonts w:ascii="Courier New" w:hAnsi="Courier New"/>
      <w:sz w:val="20"/>
      <w:szCs w:val="20"/>
    </w:rPr>
  </w:style>
  <w:style w:type="paragraph" w:styleId="NormalIndent">
    <w:name w:val="Normal Indent"/>
    <w:basedOn w:val="Normal"/>
    <w:pPr>
      <w:spacing w:line="340" w:lineRule="atLeast"/>
      <w:ind w:left="720"/>
    </w:pPr>
    <w:rPr>
      <w:szCs w:val="20"/>
    </w:rPr>
  </w:style>
  <w:style w:type="paragraph" w:customStyle="1" w:styleId="DSUSubparaChar">
    <w:name w:val="DSU Sub para Char"/>
    <w:basedOn w:val="Normal"/>
    <w:pPr>
      <w:numPr>
        <w:numId w:val="3"/>
      </w:numPr>
      <w:autoSpaceDE w:val="0"/>
      <w:autoSpaceDN w:val="0"/>
      <w:spacing w:before="240" w:after="240"/>
    </w:pPr>
    <w:rPr>
      <w:rFonts w:ascii="TimesNewRoman" w:eastAsia="SimSun" w:hAnsi="TimesNewRoman"/>
      <w:sz w:val="22"/>
      <w:lang w:eastAsia="zh-CN"/>
    </w:rPr>
  </w:style>
  <w:style w:type="paragraph" w:customStyle="1" w:styleId="Heading1Egypt">
    <w:name w:val="Heading 1 Egypt"/>
    <w:basedOn w:val="Heading4"/>
    <w:next w:val="AQISText"/>
    <w:autoRedefine/>
    <w:pPr>
      <w:numPr>
        <w:ilvl w:val="0"/>
        <w:numId w:val="4"/>
      </w:numPr>
      <w:spacing w:before="240" w:line="340" w:lineRule="atLeast"/>
    </w:pPr>
    <w:rPr>
      <w:bCs w:val="0"/>
      <w:caps/>
      <w:sz w:val="28"/>
      <w:szCs w:val="20"/>
    </w:rPr>
  </w:style>
  <w:style w:type="paragraph" w:customStyle="1" w:styleId="Heading3Egypt">
    <w:name w:val="Heading 3 Egypt"/>
    <w:basedOn w:val="Heading2"/>
    <w:autoRedefine/>
    <w:pPr>
      <w:numPr>
        <w:ilvl w:val="2"/>
        <w:numId w:val="4"/>
      </w:numPr>
      <w:tabs>
        <w:tab w:val="left" w:pos="1134"/>
      </w:tabs>
    </w:pPr>
    <w:rPr>
      <w:rFonts w:ascii="Arial" w:hAnsi="Arial" w:cs="Times New Roman"/>
      <w:bCs w:val="0"/>
      <w:iCs w:val="0"/>
      <w:sz w:val="24"/>
      <w:szCs w:val="20"/>
    </w:rPr>
  </w:style>
  <w:style w:type="paragraph" w:customStyle="1" w:styleId="Heading2Egypt">
    <w:name w:val="Heading 2 Egypt"/>
    <w:basedOn w:val="Heading1Egypt"/>
    <w:next w:val="AQISText"/>
    <w:autoRedefine/>
    <w:pPr>
      <w:numPr>
        <w:ilvl w:val="1"/>
      </w:numPr>
      <w:outlineLvl w:val="1"/>
    </w:pPr>
    <w:rPr>
      <w:caps w:val="0"/>
      <w:sz w:val="24"/>
    </w:rPr>
  </w:style>
  <w:style w:type="paragraph" w:styleId="BalloonText">
    <w:name w:val="Balloon Text"/>
    <w:basedOn w:val="Normal"/>
    <w:link w:val="BalloonTextChar"/>
    <w:rPr>
      <w:rFonts w:ascii="Tahoma" w:hAnsi="Tahoma" w:cs="Tahoma"/>
      <w:sz w:val="16"/>
      <w:szCs w:val="16"/>
    </w:rPr>
  </w:style>
  <w:style w:type="paragraph" w:customStyle="1" w:styleId="AQIS4">
    <w:name w:val="AQIS4"/>
    <w:basedOn w:val="Normal"/>
    <w:next w:val="AQISText"/>
    <w:link w:val="AQIS4Char"/>
    <w:pPr>
      <w:keepNext/>
      <w:keepLines/>
      <w:spacing w:before="360" w:line="340" w:lineRule="atLeast"/>
    </w:pPr>
    <w:rPr>
      <w:rFonts w:ascii="Arial" w:hAnsi="Arial"/>
      <w:b/>
      <w:szCs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Text1">
    <w:name w:val="BA Text 1"/>
    <w:basedOn w:val="Normal"/>
    <w:link w:val="BAText1Char"/>
    <w:pPr>
      <w:spacing w:line="280" w:lineRule="atLeast"/>
    </w:pPr>
    <w:rPr>
      <w:rFonts w:ascii="Times" w:hAnsi="Times"/>
    </w:rPr>
  </w:style>
  <w:style w:type="character" w:customStyle="1" w:styleId="BAText1Char">
    <w:name w:val="BA Text 1 Char"/>
    <w:basedOn w:val="DefaultParagraphFont"/>
    <w:link w:val="BAText1"/>
    <w:rPr>
      <w:rFonts w:ascii="Times" w:hAnsi="Times"/>
      <w:sz w:val="24"/>
      <w:szCs w:val="24"/>
      <w:lang w:val="en-AU" w:eastAsia="en-US" w:bidi="ar-SA"/>
    </w:rPr>
  </w:style>
  <w:style w:type="paragraph" w:customStyle="1" w:styleId="BAText">
    <w:name w:val="BA Text"/>
    <w:basedOn w:val="Normal"/>
    <w:link w:val="BATextCharChar"/>
    <w:pPr>
      <w:spacing w:after="120" w:line="260" w:lineRule="atLeast"/>
    </w:pPr>
    <w:rPr>
      <w:bCs/>
      <w:sz w:val="22"/>
      <w:szCs w:val="20"/>
    </w:rPr>
  </w:style>
  <w:style w:type="character" w:customStyle="1" w:styleId="BATextCharChar">
    <w:name w:val="BA Text Char Char"/>
    <w:basedOn w:val="DefaultParagraphFont"/>
    <w:link w:val="BAText"/>
    <w:rPr>
      <w:bCs/>
      <w:sz w:val="22"/>
      <w:lang w:val="en-AU" w:eastAsia="en-US" w:bidi="ar-SA"/>
    </w:rPr>
  </w:style>
  <w:style w:type="character" w:customStyle="1" w:styleId="AQISTextChar">
    <w:name w:val="AQIS Text Char"/>
    <w:basedOn w:val="DefaultParagraphFont"/>
    <w:link w:val="AQISText"/>
    <w:rPr>
      <w:sz w:val="22"/>
      <w:lang w:val="en-AU" w:eastAsia="en-US" w:bidi="ar-SA"/>
    </w:rPr>
  </w:style>
  <w:style w:type="paragraph" w:customStyle="1" w:styleId="BAText1bullet">
    <w:name w:val="BA Text 1 bullet"/>
    <w:basedOn w:val="BAText1"/>
    <w:link w:val="BAText1bulletChar"/>
    <w:rPr>
      <w:szCs w:val="22"/>
    </w:rPr>
  </w:style>
  <w:style w:type="paragraph" w:customStyle="1" w:styleId="TableText">
    <w:name w:val="Table Text"/>
    <w:basedOn w:val="Normal"/>
    <w:link w:val="TableTextChar"/>
    <w:pPr>
      <w:spacing w:before="60" w:after="60" w:line="0" w:lineRule="atLeast"/>
    </w:pPr>
    <w:rPr>
      <w:rFonts w:ascii="Arial" w:hAnsi="Arial"/>
      <w:sz w:val="16"/>
      <w:szCs w:val="20"/>
    </w:rPr>
  </w:style>
  <w:style w:type="paragraph" w:customStyle="1" w:styleId="BAReftext1">
    <w:name w:val="BA Ref text 1"/>
    <w:basedOn w:val="Normal"/>
    <w:link w:val="BAReftext1Char"/>
    <w:pPr>
      <w:tabs>
        <w:tab w:val="left" w:pos="360"/>
      </w:tabs>
      <w:spacing w:before="180" w:line="200" w:lineRule="atLeast"/>
      <w:ind w:left="357" w:hanging="357"/>
    </w:pPr>
    <w:rPr>
      <w:rFonts w:ascii="Times" w:hAnsi="Times"/>
      <w:szCs w:val="22"/>
    </w:rPr>
  </w:style>
  <w:style w:type="character" w:customStyle="1" w:styleId="BAReftext1Char">
    <w:name w:val="BA Ref text 1 Char"/>
    <w:basedOn w:val="DefaultParagraphFont"/>
    <w:link w:val="BAReftext1"/>
    <w:rPr>
      <w:rFonts w:ascii="Times" w:hAnsi="Times"/>
      <w:sz w:val="24"/>
      <w:szCs w:val="22"/>
      <w:lang w:val="en-AU" w:eastAsia="en-US" w:bidi="ar-SA"/>
    </w:rPr>
  </w:style>
  <w:style w:type="paragraph" w:customStyle="1" w:styleId="references0">
    <w:name w:val="references"/>
    <w:basedOn w:val="paraChar"/>
    <w:pPr>
      <w:numPr>
        <w:numId w:val="0"/>
      </w:numPr>
      <w:tabs>
        <w:tab w:val="num" w:pos="567"/>
      </w:tabs>
      <w:ind w:left="851" w:hanging="851"/>
    </w:pPr>
  </w:style>
  <w:style w:type="paragraph" w:customStyle="1" w:styleId="paraChar">
    <w:name w:val="para Char"/>
    <w:basedOn w:val="Normal"/>
    <w:next w:val="Normal"/>
    <w:pPr>
      <w:numPr>
        <w:numId w:val="5"/>
      </w:numPr>
      <w:tabs>
        <w:tab w:val="clear" w:pos="360"/>
      </w:tabs>
      <w:spacing w:before="120" w:after="240"/>
      <w:ind w:left="0" w:firstLine="0"/>
    </w:pPr>
    <w:rPr>
      <w:szCs w:val="20"/>
      <w:lang w:eastAsia="en-AU"/>
    </w:rPr>
  </w:style>
  <w:style w:type="character" w:customStyle="1" w:styleId="bigger1">
    <w:name w:val="bigger1"/>
    <w:basedOn w:val="DefaultParagraphFont"/>
    <w:rPr>
      <w:sz w:val="27"/>
      <w:szCs w:val="27"/>
    </w:rPr>
  </w:style>
  <w:style w:type="paragraph" w:customStyle="1" w:styleId="fieldvalue">
    <w:name w:val="fieldvalue"/>
    <w:basedOn w:val="Normal"/>
    <w:pPr>
      <w:spacing w:before="15" w:after="45"/>
      <w:ind w:right="90"/>
    </w:pPr>
    <w:rPr>
      <w:rFonts w:ascii="Verdana" w:hAnsi="Verdana"/>
      <w:color w:val="000000"/>
      <w:sz w:val="17"/>
      <w:szCs w:val="17"/>
      <w:lang w:eastAsia="en-AU"/>
    </w:rPr>
  </w:style>
  <w:style w:type="paragraph" w:customStyle="1" w:styleId="hangingnoindent">
    <w:name w:val="hangingnoindent"/>
    <w:basedOn w:val="Normal"/>
    <w:pPr>
      <w:spacing w:after="120"/>
      <w:ind w:left="480" w:hanging="480"/>
    </w:pPr>
    <w:rPr>
      <w:sz w:val="19"/>
      <w:szCs w:val="19"/>
      <w:lang w:eastAsia="en-AU"/>
    </w:rPr>
  </w:style>
  <w:style w:type="paragraph" w:customStyle="1" w:styleId="AQISReferences">
    <w:name w:val="AQIS References"/>
    <w:basedOn w:val="Normal"/>
    <w:link w:val="AQISReferencesCharChar"/>
    <w:pPr>
      <w:tabs>
        <w:tab w:val="left" w:pos="567"/>
        <w:tab w:val="left" w:pos="1134"/>
        <w:tab w:val="left" w:pos="1701"/>
        <w:tab w:val="left" w:pos="2268"/>
        <w:tab w:val="left" w:pos="2835"/>
        <w:tab w:val="left" w:pos="3402"/>
        <w:tab w:val="left" w:pos="3969"/>
      </w:tabs>
      <w:spacing w:after="120" w:line="288" w:lineRule="auto"/>
      <w:ind w:left="284" w:hanging="284"/>
    </w:pPr>
  </w:style>
  <w:style w:type="character" w:customStyle="1" w:styleId="AQISReferencesCharChar">
    <w:name w:val="AQIS References Char Char"/>
    <w:basedOn w:val="DefaultParagraphFont"/>
    <w:link w:val="AQISReferences"/>
    <w:rPr>
      <w:sz w:val="24"/>
      <w:szCs w:val="24"/>
      <w:lang w:val="en-AU" w:eastAsia="en-US" w:bidi="ar-SA"/>
    </w:rPr>
  </w:style>
  <w:style w:type="paragraph" w:customStyle="1" w:styleId="AQISFigure">
    <w:name w:val="AQIS Figure"/>
    <w:basedOn w:val="AQISText"/>
    <w:next w:val="AQISText"/>
    <w:pPr>
      <w:tabs>
        <w:tab w:val="left" w:pos="1134"/>
        <w:tab w:val="left" w:pos="1418"/>
      </w:tabs>
      <w:spacing w:before="360" w:after="360"/>
      <w:jc w:val="center"/>
    </w:pPr>
    <w:rPr>
      <w:rFonts w:ascii="Arial" w:hAnsi="Arial"/>
      <w:b/>
    </w:rPr>
  </w:style>
  <w:style w:type="paragraph" w:customStyle="1" w:styleId="BAHeader3">
    <w:name w:val="BA Header 3"/>
    <w:basedOn w:val="Normal"/>
    <w:next w:val="Normal"/>
    <w:link w:val="BAHeader3CharChar"/>
    <w:pPr>
      <w:keepNext/>
      <w:keepLines/>
      <w:numPr>
        <w:ilvl w:val="2"/>
        <w:numId w:val="27"/>
      </w:numPr>
      <w:spacing w:before="360" w:after="120" w:line="340" w:lineRule="atLeast"/>
      <w:outlineLvl w:val="2"/>
    </w:pPr>
    <w:rPr>
      <w:rFonts w:ascii="Arial" w:hAnsi="Arial"/>
      <w:b/>
    </w:rPr>
  </w:style>
  <w:style w:type="character" w:customStyle="1" w:styleId="BAHeader3CharChar">
    <w:name w:val="BA Header 3 Char Char"/>
    <w:basedOn w:val="DefaultParagraphFont"/>
    <w:link w:val="BAHeader3"/>
    <w:rPr>
      <w:rFonts w:ascii="Arial" w:hAnsi="Arial"/>
      <w:b/>
      <w:sz w:val="24"/>
      <w:szCs w:val="24"/>
      <w:lang w:eastAsia="en-US"/>
    </w:rPr>
  </w:style>
  <w:style w:type="paragraph" w:customStyle="1" w:styleId="BAHeader1">
    <w:name w:val="BA Header 1"/>
    <w:basedOn w:val="Normal"/>
    <w:next w:val="Normal"/>
    <w:link w:val="BAHeader1CharChar"/>
    <w:pPr>
      <w:pageBreakBefore/>
      <w:numPr>
        <w:numId w:val="27"/>
      </w:numPr>
      <w:pBdr>
        <w:bottom w:val="single" w:sz="4" w:space="1" w:color="auto"/>
      </w:pBdr>
      <w:spacing w:before="120" w:after="360" w:line="340" w:lineRule="atLeast"/>
      <w:outlineLvl w:val="0"/>
    </w:pPr>
    <w:rPr>
      <w:rFonts w:ascii="Arial" w:hAnsi="Arial"/>
      <w:b/>
      <w:sz w:val="28"/>
      <w:szCs w:val="28"/>
    </w:rPr>
  </w:style>
  <w:style w:type="paragraph" w:customStyle="1" w:styleId="BAHeader2">
    <w:name w:val="BA Header 2"/>
    <w:basedOn w:val="Normal"/>
    <w:next w:val="Normal"/>
    <w:link w:val="BAHeader2CharChar"/>
    <w:pPr>
      <w:keepNext/>
      <w:keepLines/>
      <w:numPr>
        <w:ilvl w:val="1"/>
        <w:numId w:val="27"/>
      </w:numPr>
      <w:spacing w:before="360" w:after="120" w:line="340" w:lineRule="atLeast"/>
      <w:outlineLvl w:val="1"/>
    </w:pPr>
    <w:rPr>
      <w:rFonts w:ascii="Arial" w:hAnsi="Arial"/>
      <w:b/>
      <w:sz w:val="28"/>
      <w:szCs w:val="28"/>
    </w:rPr>
  </w:style>
  <w:style w:type="paragraph" w:customStyle="1" w:styleId="Bulletsingle">
    <w:name w:val="Bullet (single)"/>
    <w:basedOn w:val="Normal"/>
    <w:pPr>
      <w:numPr>
        <w:numId w:val="6"/>
      </w:numPr>
      <w:spacing w:before="60" w:line="340" w:lineRule="atLeast"/>
    </w:pPr>
    <w:rPr>
      <w:szCs w:val="20"/>
    </w:rPr>
  </w:style>
  <w:style w:type="paragraph" w:customStyle="1" w:styleId="dot0">
    <w:name w:val="dot"/>
    <w:basedOn w:val="Normal"/>
    <w:pPr>
      <w:numPr>
        <w:numId w:val="23"/>
      </w:numPr>
    </w:pPr>
  </w:style>
  <w:style w:type="paragraph" w:styleId="CommentSubject">
    <w:name w:val="annotation subject"/>
    <w:basedOn w:val="CommentText"/>
    <w:next w:val="CommentText"/>
    <w:link w:val="CommentSubjectChar"/>
    <w:rPr>
      <w:b/>
      <w:bCs/>
    </w:rPr>
  </w:style>
  <w:style w:type="paragraph" w:customStyle="1" w:styleId="aqisnum0">
    <w:name w:val="aqisnum"/>
    <w:basedOn w:val="Normal"/>
    <w:pPr>
      <w:spacing w:before="100" w:beforeAutospacing="1" w:after="100" w:afterAutospacing="1"/>
    </w:pPr>
    <w:rPr>
      <w:lang w:eastAsia="en-AU"/>
    </w:rPr>
  </w:style>
  <w:style w:type="table" w:styleId="TableSimple1">
    <w:name w:val="Table Simple 1"/>
    <w:basedOn w:val="TableNormal"/>
    <w:pPr>
      <w:widowControl w:val="0"/>
      <w:spacing w:line="3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basedOn w:val="DefaultParagraphFont"/>
    <w:rPr>
      <w:rFonts w:ascii="arial sans-serif small" w:hAnsi="arial sans-serif small" w:hint="default"/>
      <w:color w:val="333333"/>
      <w:sz w:val="20"/>
      <w:szCs w:val="20"/>
    </w:rPr>
  </w:style>
  <w:style w:type="character" w:customStyle="1" w:styleId="TableTextChar">
    <w:name w:val="Table Text Char"/>
    <w:basedOn w:val="DefaultParagraphFont"/>
    <w:link w:val="TableText"/>
    <w:rPr>
      <w:rFonts w:ascii="Arial" w:hAnsi="Arial"/>
      <w:sz w:val="16"/>
      <w:lang w:val="en-AU" w:eastAsia="en-US" w:bidi="ar-SA"/>
    </w:rPr>
  </w:style>
  <w:style w:type="paragraph" w:customStyle="1" w:styleId="AppendixHeading1">
    <w:name w:val="Appendix Heading 1."/>
    <w:basedOn w:val="Heading1"/>
    <w:next w:val="Normal"/>
    <w:pPr>
      <w:keepNext w:val="0"/>
      <w:numPr>
        <w:ilvl w:val="0"/>
        <w:numId w:val="8"/>
      </w:numPr>
      <w:pBdr>
        <w:bottom w:val="single" w:sz="4" w:space="1" w:color="auto"/>
      </w:pBdr>
      <w:tabs>
        <w:tab w:val="clear" w:pos="1260"/>
      </w:tabs>
      <w:spacing w:before="120" w:after="360" w:line="340" w:lineRule="atLeast"/>
    </w:pPr>
    <w:rPr>
      <w:sz w:val="28"/>
      <w:szCs w:val="28"/>
    </w:rPr>
  </w:style>
  <w:style w:type="paragraph" w:customStyle="1" w:styleId="Char1">
    <w:name w:val="Char1"/>
    <w:basedOn w:val="Normal"/>
    <w:rPr>
      <w:rFonts w:ascii="Arial" w:hAnsi="Arial"/>
      <w:sz w:val="22"/>
      <w:szCs w:val="20"/>
    </w:rPr>
  </w:style>
  <w:style w:type="paragraph" w:customStyle="1" w:styleId="BAAppend1">
    <w:name w:val="BA Append 1"/>
    <w:basedOn w:val="BAHeader1"/>
    <w:pPr>
      <w:numPr>
        <w:numId w:val="0"/>
      </w:numPr>
    </w:pPr>
  </w:style>
  <w:style w:type="paragraph" w:styleId="TableofFigures">
    <w:name w:val="table of figures"/>
    <w:aliases w:val="Table of Tables,Tables and Figures"/>
    <w:basedOn w:val="Normal"/>
    <w:next w:val="Normal"/>
    <w:uiPriority w:val="99"/>
    <w:pPr>
      <w:spacing w:line="340" w:lineRule="atLeast"/>
      <w:ind w:left="851" w:hanging="851"/>
    </w:pPr>
    <w:rPr>
      <w:rFonts w:ascii="Helvetica" w:hAnsi="Helvetica"/>
      <w:sz w:val="20"/>
      <w:szCs w:val="20"/>
    </w:rPr>
  </w:style>
  <w:style w:type="paragraph" w:customStyle="1" w:styleId="BAFigureHeading">
    <w:name w:val="BA Figure Heading"/>
    <w:basedOn w:val="Normal"/>
    <w:autoRedefine/>
    <w:pPr>
      <w:spacing w:before="60" w:after="60"/>
    </w:pPr>
    <w:rPr>
      <w:rFonts w:ascii="Arial" w:hAnsi="Arial"/>
      <w:b/>
      <w:bCs/>
      <w:sz w:val="22"/>
    </w:rPr>
  </w:style>
  <w:style w:type="character" w:customStyle="1" w:styleId="BAHeader2CharChar">
    <w:name w:val="BA Header 2 Char Char"/>
    <w:basedOn w:val="DefaultParagraphFont"/>
    <w:link w:val="BAHeader2"/>
    <w:rPr>
      <w:rFonts w:ascii="Arial" w:hAnsi="Arial"/>
      <w:b/>
      <w:sz w:val="28"/>
      <w:szCs w:val="28"/>
      <w:lang w:eastAsia="en-US"/>
    </w:rPr>
  </w:style>
  <w:style w:type="character" w:customStyle="1" w:styleId="AQISNumChar">
    <w:name w:val="AQIS Num Char"/>
    <w:basedOn w:val="AQISTextChar"/>
    <w:link w:val="AQISNum"/>
  </w:style>
  <w:style w:type="character" w:customStyle="1" w:styleId="BAHeader1CharChar">
    <w:name w:val="BA Header 1 Char Char"/>
    <w:basedOn w:val="DefaultParagraphFont"/>
    <w:link w:val="BAHeader1"/>
    <w:rPr>
      <w:rFonts w:ascii="Arial" w:hAnsi="Arial"/>
      <w:b/>
      <w:sz w:val="28"/>
      <w:szCs w:val="28"/>
      <w:lang w:eastAsia="en-US"/>
    </w:rPr>
  </w:style>
  <w:style w:type="paragraph" w:customStyle="1" w:styleId="Headernonumb">
    <w:name w:val="Header no numb"/>
    <w:basedOn w:val="BAHeader1"/>
    <w:pPr>
      <w:numPr>
        <w:numId w:val="0"/>
      </w:numPr>
    </w:pPr>
  </w:style>
  <w:style w:type="paragraph" w:customStyle="1" w:styleId="NormalBulletafter">
    <w:name w:val="Normal Bullet after"/>
    <w:basedOn w:val="Normal"/>
    <w:pPr>
      <w:spacing w:after="120"/>
    </w:pPr>
  </w:style>
  <w:style w:type="numbering" w:customStyle="1" w:styleId="Bullet">
    <w:name w:val="Bullet"/>
    <w:basedOn w:val="NoList"/>
    <w:link w:val="BulletChar"/>
    <w:pPr>
      <w:numPr>
        <w:numId w:val="10"/>
      </w:numPr>
    </w:pPr>
  </w:style>
  <w:style w:type="paragraph" w:customStyle="1" w:styleId="Bulletlast">
    <w:name w:val="Bullet last"/>
    <w:basedOn w:val="Normal"/>
    <w:pPr>
      <w:numPr>
        <w:numId w:val="11"/>
      </w:numPr>
      <w:spacing w:after="240"/>
    </w:pPr>
  </w:style>
  <w:style w:type="character" w:customStyle="1" w:styleId="bluetitle">
    <w:name w:val="bluetitle"/>
    <w:basedOn w:val="DefaultParagraphFont"/>
  </w:style>
  <w:style w:type="paragraph" w:customStyle="1" w:styleId="TableText0">
    <w:name w:val="TableText"/>
    <w:basedOn w:val="Normal"/>
    <w:link w:val="TableTextChar0"/>
    <w:pPr>
      <w:keepNext/>
      <w:spacing w:before="60" w:after="60"/>
    </w:pPr>
    <w:rPr>
      <w:rFonts w:ascii="Arial" w:hAnsi="Arial"/>
      <w:sz w:val="18"/>
      <w:szCs w:val="20"/>
    </w:rPr>
  </w:style>
  <w:style w:type="paragraph" w:customStyle="1" w:styleId="BATableheader">
    <w:name w:val="BA Table header"/>
    <w:basedOn w:val="AQISText"/>
    <w:next w:val="AQISText"/>
    <w:pPr>
      <w:tabs>
        <w:tab w:val="num" w:pos="1134"/>
      </w:tabs>
      <w:spacing w:before="360" w:after="60"/>
      <w:ind w:left="1134" w:hanging="1134"/>
    </w:pPr>
    <w:rPr>
      <w:rFonts w:ascii="Arial" w:hAnsi="Arial"/>
      <w:b/>
    </w:rPr>
  </w:style>
  <w:style w:type="character" w:customStyle="1" w:styleId="CommentTextChar">
    <w:name w:val="Comment Text Char"/>
    <w:basedOn w:val="DefaultParagraphFont"/>
    <w:link w:val="CommentText"/>
    <w:uiPriority w:val="99"/>
    <w:locked/>
    <w:rPr>
      <w:lang w:val="en-AU" w:eastAsia="en-US" w:bidi="ar-SA"/>
    </w:rPr>
  </w:style>
  <w:style w:type="character" w:customStyle="1" w:styleId="Heading5Char">
    <w:name w:val="Heading 5 Char"/>
    <w:aliases w:val="s Char,s1 Char,s2 Char,s3 Char,s4 Char,s5 Char"/>
    <w:basedOn w:val="DefaultParagraphFont"/>
    <w:link w:val="Heading5"/>
    <w:locked/>
    <w:rPr>
      <w:rFonts w:ascii="Arial" w:hAnsi="Arial"/>
      <w:b/>
      <w:sz w:val="24"/>
      <w:lang w:eastAsia="en-US"/>
    </w:rPr>
  </w:style>
  <w:style w:type="character" w:customStyle="1" w:styleId="FootnoteTextChar">
    <w:name w:val="Footnote Text Char"/>
    <w:basedOn w:val="DefaultParagraphFont"/>
    <w:link w:val="FootnoteText"/>
    <w:uiPriority w:val="99"/>
    <w:locked/>
    <w:rPr>
      <w:rFonts w:ascii="Arial" w:hAnsi="Arial"/>
      <w:sz w:val="18"/>
      <w:lang w:val="en-AU" w:eastAsia="en-US" w:bidi="ar-SA"/>
    </w:rPr>
  </w:style>
  <w:style w:type="paragraph" w:customStyle="1" w:styleId="BAHeader4">
    <w:name w:val="BA Header 4"/>
    <w:link w:val="BAHeader4CharChar"/>
    <w:pPr>
      <w:keepNext/>
      <w:widowControl w:val="0"/>
      <w:adjustRightInd w:val="0"/>
      <w:spacing w:before="240" w:after="120" w:line="360" w:lineRule="atLeast"/>
      <w:jc w:val="both"/>
      <w:textAlignment w:val="baseline"/>
    </w:pPr>
    <w:rPr>
      <w:b/>
      <w:sz w:val="24"/>
      <w:szCs w:val="22"/>
      <w:lang w:eastAsia="en-US"/>
    </w:rPr>
  </w:style>
  <w:style w:type="paragraph" w:customStyle="1" w:styleId="BAHeader5">
    <w:name w:val="BA Header 5"/>
    <w:basedOn w:val="BAHeader3"/>
    <w:link w:val="BAHeader5Char"/>
    <w:pPr>
      <w:numPr>
        <w:ilvl w:val="0"/>
        <w:numId w:val="0"/>
      </w:numPr>
      <w:tabs>
        <w:tab w:val="num" w:pos="1620"/>
      </w:tabs>
      <w:outlineLvl w:val="9"/>
    </w:pPr>
    <w:rPr>
      <w:sz w:val="20"/>
      <w:szCs w:val="20"/>
      <w:u w:val="single"/>
    </w:rPr>
  </w:style>
  <w:style w:type="paragraph" w:customStyle="1" w:styleId="Heading2a">
    <w:name w:val="Heading 2a"/>
    <w:basedOn w:val="Heading2"/>
    <w:pPr>
      <w:numPr>
        <w:ilvl w:val="0"/>
        <w:numId w:val="0"/>
      </w:numPr>
      <w:overflowPunct w:val="0"/>
      <w:autoSpaceDE w:val="0"/>
      <w:autoSpaceDN w:val="0"/>
      <w:spacing w:before="360" w:after="120" w:line="340" w:lineRule="atLeast"/>
      <w:outlineLvl w:val="9"/>
    </w:pPr>
    <w:rPr>
      <w:rFonts w:ascii="Arial" w:hAnsi="Arial"/>
      <w:i w:val="0"/>
      <w:iCs w:val="0"/>
      <w:color w:val="000000"/>
      <w:szCs w:val="20"/>
    </w:rPr>
  </w:style>
  <w:style w:type="paragraph" w:customStyle="1" w:styleId="BodyIndent">
    <w:name w:val="BodyIndent"/>
    <w:basedOn w:val="Normal"/>
    <w:pPr>
      <w:numPr>
        <w:numId w:val="13"/>
      </w:numPr>
      <w:tabs>
        <w:tab w:val="left" w:pos="567"/>
        <w:tab w:val="left" w:pos="1134"/>
        <w:tab w:val="left" w:pos="1701"/>
        <w:tab w:val="left" w:pos="2268"/>
        <w:tab w:val="left" w:pos="2835"/>
        <w:tab w:val="left" w:pos="3402"/>
        <w:tab w:val="left" w:pos="3969"/>
      </w:tabs>
      <w:spacing w:before="120" w:after="120"/>
    </w:pPr>
    <w:rPr>
      <w:szCs w:val="20"/>
      <w:lang w:eastAsia="en-AU"/>
    </w:rPr>
  </w:style>
  <w:style w:type="paragraph" w:customStyle="1" w:styleId="TableNotes">
    <w:name w:val="TableNotes"/>
    <w:basedOn w:val="Normal"/>
    <w:pPr>
      <w:spacing w:before="40" w:after="180"/>
    </w:pPr>
    <w:rPr>
      <w:rFonts w:ascii="Arial Narrow" w:hAnsi="Arial Narrow"/>
      <w:color w:val="000000"/>
      <w:sz w:val="16"/>
    </w:rPr>
  </w:style>
  <w:style w:type="character" w:customStyle="1" w:styleId="BAHeader5Char">
    <w:name w:val="BA Header 5 Char"/>
    <w:basedOn w:val="DefaultParagraphFont"/>
    <w:link w:val="BAHeader5"/>
    <w:rPr>
      <w:rFonts w:ascii="Arial" w:hAnsi="Arial"/>
      <w:b/>
      <w:u w:val="single"/>
      <w:lang w:val="en-AU" w:eastAsia="en-US" w:bidi="ar-SA"/>
    </w:rPr>
  </w:style>
  <w:style w:type="character" w:customStyle="1" w:styleId="BAHeader4CharChar">
    <w:name w:val="BA Header 4 Char Char"/>
    <w:basedOn w:val="BAHeader3CharChar"/>
    <w:link w:val="BAHeader4"/>
    <w:locked/>
    <w:rPr>
      <w:szCs w:val="22"/>
      <w:lang w:val="en-AU" w:bidi="ar-SA"/>
    </w:rPr>
  </w:style>
  <w:style w:type="paragraph" w:customStyle="1" w:styleId="FigureName">
    <w:name w:val="FigureName"/>
    <w:basedOn w:val="Normal"/>
    <w:pPr>
      <w:keepNext/>
      <w:keepLines/>
      <w:tabs>
        <w:tab w:val="left" w:pos="1276"/>
      </w:tabs>
      <w:spacing w:before="360" w:after="360" w:line="240" w:lineRule="atLeast"/>
      <w:ind w:left="1276" w:hanging="1276"/>
      <w:outlineLvl w:val="8"/>
    </w:pPr>
    <w:rPr>
      <w:rFonts w:ascii="Arial" w:hAnsi="Arial"/>
      <w:b/>
      <w:color w:val="000000"/>
      <w:sz w:val="22"/>
    </w:rPr>
  </w:style>
  <w:style w:type="paragraph" w:customStyle="1" w:styleId="TableName">
    <w:name w:val="TableName"/>
    <w:basedOn w:val="Normal"/>
    <w:pPr>
      <w:keepNext/>
      <w:keepLines/>
      <w:tabs>
        <w:tab w:val="left" w:pos="1440"/>
      </w:tabs>
      <w:spacing w:before="240" w:after="120"/>
      <w:ind w:left="1440" w:hanging="1440"/>
    </w:pPr>
    <w:rPr>
      <w:rFonts w:ascii="Arial Bold" w:hAnsi="Arial Bold"/>
      <w:b/>
      <w:color w:val="000000"/>
      <w:sz w:val="22"/>
      <w:szCs w:val="22"/>
    </w:rPr>
  </w:style>
  <w:style w:type="character" w:customStyle="1" w:styleId="nlmyear">
    <w:name w:val="nlm_year"/>
    <w:basedOn w:val="DefaultParagraphFont"/>
  </w:style>
  <w:style w:type="character" w:customStyle="1" w:styleId="citationsource-book1">
    <w:name w:val="citation_source-book1"/>
    <w:basedOn w:val="DefaultParagraphFont"/>
    <w:rPr>
      <w:i/>
      <w:iCs/>
    </w:rPr>
  </w:style>
  <w:style w:type="character" w:customStyle="1" w:styleId="nlmpublisher-name">
    <w:name w:val="nlm_publisher-name"/>
    <w:basedOn w:val="DefaultParagraphFont"/>
  </w:style>
  <w:style w:type="character" w:customStyle="1" w:styleId="nlmpublisher-loc">
    <w:name w:val="nlm_publisher-loc"/>
    <w:basedOn w:val="DefaultParagraphFont"/>
  </w:style>
  <w:style w:type="character" w:customStyle="1" w:styleId="nlmarticle-title">
    <w:name w:val="nlm_article-title"/>
    <w:basedOn w:val="DefaultParagraphFont"/>
  </w:style>
  <w:style w:type="character" w:customStyle="1" w:styleId="citationsource-journal1">
    <w:name w:val="citation_source-journal1"/>
    <w:basedOn w:val="DefaultParagraphFont"/>
    <w:rPr>
      <w:i/>
      <w:iCs/>
    </w:rPr>
  </w:style>
  <w:style w:type="character" w:customStyle="1" w:styleId="nlmfpage">
    <w:name w:val="nlm_fpage"/>
    <w:basedOn w:val="DefaultParagraphFont"/>
  </w:style>
  <w:style w:type="character" w:customStyle="1" w:styleId="nlmlpage">
    <w:name w:val="nlm_lpage"/>
    <w:basedOn w:val="DefaultParagraphFont"/>
  </w:style>
  <w:style w:type="paragraph" w:customStyle="1" w:styleId="Default">
    <w:name w:val="Default"/>
    <w:pPr>
      <w:widowControl w:val="0"/>
      <w:autoSpaceDE w:val="0"/>
      <w:autoSpaceDN w:val="0"/>
      <w:adjustRightInd w:val="0"/>
      <w:spacing w:line="360" w:lineRule="atLeast"/>
      <w:jc w:val="both"/>
      <w:textAlignment w:val="baseline"/>
    </w:pPr>
    <w:rPr>
      <w:color w:val="000000"/>
      <w:sz w:val="24"/>
      <w:szCs w:val="24"/>
    </w:rPr>
  </w:style>
  <w:style w:type="paragraph" w:customStyle="1" w:styleId="CharChar1Char">
    <w:name w:val="Char Char1 Char"/>
    <w:basedOn w:val="Normal"/>
    <w:rPr>
      <w:rFonts w:ascii="Arial" w:hAnsi="Arial"/>
      <w:sz w:val="22"/>
      <w:szCs w:val="20"/>
    </w:rPr>
  </w:style>
  <w:style w:type="paragraph" w:customStyle="1" w:styleId="A1Heading1">
    <w:name w:val="A1Heading 1"/>
    <w:basedOn w:val="Heading1"/>
    <w:link w:val="A1Heading1Char"/>
    <w:pPr>
      <w:numPr>
        <w:ilvl w:val="0"/>
        <w:numId w:val="15"/>
      </w:numPr>
      <w:pBdr>
        <w:bottom w:val="none" w:sz="0" w:space="0" w:color="auto"/>
      </w:pBdr>
      <w:tabs>
        <w:tab w:val="clear" w:pos="1260"/>
        <w:tab w:val="clear" w:pos="1980"/>
        <w:tab w:val="left" w:pos="1276"/>
      </w:tabs>
      <w:spacing w:before="300" w:after="240" w:line="240" w:lineRule="auto"/>
    </w:pPr>
    <w:rPr>
      <w:bCs/>
      <w:sz w:val="28"/>
    </w:rPr>
  </w:style>
  <w:style w:type="character" w:customStyle="1" w:styleId="A1Heading1Char">
    <w:name w:val="A1Heading 1 Char"/>
    <w:basedOn w:val="DefaultParagraphFont"/>
    <w:link w:val="A1Heading1"/>
    <w:rPr>
      <w:rFonts w:ascii="Arial" w:hAnsi="Arial"/>
      <w:b/>
      <w:bCs/>
      <w:sz w:val="28"/>
      <w:lang w:eastAsia="en-US"/>
    </w:rPr>
  </w:style>
  <w:style w:type="paragraph" w:customStyle="1" w:styleId="A1Heading2">
    <w:name w:val="A1Heading 2"/>
    <w:basedOn w:val="Heading2"/>
    <w:pPr>
      <w:numPr>
        <w:numId w:val="15"/>
      </w:numPr>
      <w:spacing w:before="360" w:after="120"/>
    </w:pPr>
    <w:rPr>
      <w:rFonts w:ascii="Arial" w:hAnsi="Arial" w:cs="Times New Roman"/>
      <w:b w:val="0"/>
      <w:bCs w:val="0"/>
      <w:i w:val="0"/>
      <w:iCs w:val="0"/>
      <w:szCs w:val="20"/>
    </w:rPr>
  </w:style>
  <w:style w:type="paragraph" w:customStyle="1" w:styleId="A1Heading3">
    <w:name w:val="A1Heading 3"/>
    <w:basedOn w:val="Heading3"/>
    <w:pPr>
      <w:widowControl/>
      <w:numPr>
        <w:ilvl w:val="2"/>
        <w:numId w:val="15"/>
      </w:numPr>
      <w:spacing w:before="120" w:line="240" w:lineRule="auto"/>
    </w:pPr>
    <w:rPr>
      <w:sz w:val="24"/>
    </w:rPr>
  </w:style>
  <w:style w:type="paragraph" w:customStyle="1" w:styleId="Style1dotpoints">
    <w:name w:val="Style1dotpoints"/>
    <w:basedOn w:val="Normal"/>
    <w:pPr>
      <w:numPr>
        <w:numId w:val="16"/>
      </w:numPr>
      <w:spacing w:before="160"/>
      <w:ind w:left="714" w:hanging="357"/>
    </w:pPr>
    <w:rPr>
      <w:b/>
      <w:sz w:val="22"/>
      <w:szCs w:val="20"/>
    </w:rPr>
  </w:style>
  <w:style w:type="paragraph" w:customStyle="1" w:styleId="StyleBAHeader116ptLeft0cmFirstline0cm">
    <w:name w:val="Style BA Header 1 + 16 pt Left:  0 cm First line:  0 cm"/>
    <w:basedOn w:val="Normal"/>
    <w:pPr>
      <w:pageBreakBefore/>
      <w:numPr>
        <w:numId w:val="17"/>
      </w:numPr>
      <w:pBdr>
        <w:bottom w:val="single" w:sz="4" w:space="1" w:color="auto"/>
      </w:pBdr>
      <w:spacing w:before="120" w:after="360" w:line="340" w:lineRule="atLeast"/>
      <w:outlineLvl w:val="0"/>
    </w:pPr>
    <w:rPr>
      <w:rFonts w:ascii="Arial" w:hAnsi="Arial"/>
      <w:b/>
      <w:bCs/>
      <w:sz w:val="32"/>
      <w:szCs w:val="20"/>
    </w:rPr>
  </w:style>
  <w:style w:type="character" w:customStyle="1" w:styleId="info1">
    <w:name w:val="info1"/>
    <w:basedOn w:val="DefaultParagraphFont"/>
    <w:rPr>
      <w:rFonts w:ascii="arial sans-serif" w:hAnsi="arial sans-serif" w:hint="default"/>
      <w:color w:val="000000"/>
      <w:sz w:val="20"/>
      <w:szCs w:val="20"/>
    </w:rPr>
  </w:style>
  <w:style w:type="character" w:customStyle="1" w:styleId="listnote1">
    <w:name w:val="listnote1"/>
    <w:basedOn w:val="DefaultParagraphFont"/>
    <w:rPr>
      <w:rFonts w:ascii="arial sans-serif" w:hAnsi="arial sans-serif" w:hint="default"/>
      <w:i/>
      <w:iCs/>
      <w:sz w:val="20"/>
      <w:szCs w:val="20"/>
    </w:rPr>
  </w:style>
  <w:style w:type="paragraph" w:customStyle="1" w:styleId="PARAGSUIVANT">
    <w:name w:val="PARAG. SUIVANT"/>
    <w:basedOn w:val="Default"/>
    <w:next w:val="Default"/>
    <w:uiPriority w:val="99"/>
    <w:rPr>
      <w:color w:val="auto"/>
    </w:rPr>
  </w:style>
  <w:style w:type="character" w:customStyle="1" w:styleId="BAText1bulletChar">
    <w:name w:val="BA Text 1 bullet Char"/>
    <w:basedOn w:val="BAText1Char"/>
    <w:link w:val="BAText1bullet"/>
    <w:locked/>
    <w:rPr>
      <w:szCs w:val="22"/>
    </w:rPr>
  </w:style>
  <w:style w:type="paragraph" w:customStyle="1" w:styleId="text-body">
    <w:name w:val="text-body"/>
    <w:basedOn w:val="Normal"/>
    <w:pPr>
      <w:spacing w:before="100" w:beforeAutospacing="1" w:after="100" w:afterAutospacing="1"/>
    </w:pPr>
    <w:rPr>
      <w:rFonts w:ascii="Arial" w:hAnsi="Arial" w:cs="Arial"/>
      <w:sz w:val="18"/>
      <w:szCs w:val="18"/>
      <w:lang w:eastAsia="en-AU"/>
    </w:rPr>
  </w:style>
  <w:style w:type="character" w:customStyle="1" w:styleId="text-body1">
    <w:name w:val="text-body1"/>
    <w:basedOn w:val="DefaultParagraphFont"/>
    <w:rPr>
      <w:rFonts w:ascii="Arial" w:hAnsi="Arial" w:cs="Arial" w:hint="default"/>
      <w:b w:val="0"/>
      <w:bCs w:val="0"/>
      <w:strike w:val="0"/>
      <w:dstrike w:val="0"/>
      <w:sz w:val="18"/>
      <w:szCs w:val="18"/>
      <w:u w:val="none"/>
      <w:effect w:val="none"/>
    </w:rPr>
  </w:style>
  <w:style w:type="character" w:customStyle="1" w:styleId="BulletChar">
    <w:name w:val="Bullet Char"/>
    <w:basedOn w:val="DefaultParagraphFont"/>
    <w:link w:val="Bullet"/>
    <w:rPr>
      <w:color w:val="000000"/>
      <w:sz w:val="24"/>
      <w:szCs w:val="24"/>
      <w:lang w:eastAsia="en-US"/>
    </w:rPr>
  </w:style>
  <w:style w:type="paragraph" w:styleId="Subtitle">
    <w:name w:val="Subtitle"/>
    <w:basedOn w:val="Normal"/>
    <w:link w:val="SubtitleChar"/>
    <w:qFormat/>
    <w:pPr>
      <w:spacing w:before="240" w:after="240" w:line="275" w:lineRule="atLeast"/>
      <w:jc w:val="center"/>
      <w:outlineLvl w:val="1"/>
    </w:pPr>
    <w:rPr>
      <w:rFonts w:ascii="Arial" w:hAnsi="Arial" w:cs="Arial"/>
      <w:color w:val="000000"/>
      <w:sz w:val="40"/>
    </w:rPr>
  </w:style>
  <w:style w:type="character" w:customStyle="1" w:styleId="TableTextChar0">
    <w:name w:val="TableText Char"/>
    <w:basedOn w:val="DefaultParagraphFont"/>
    <w:link w:val="TableText0"/>
    <w:rPr>
      <w:rFonts w:ascii="Arial" w:hAnsi="Arial"/>
      <w:sz w:val="18"/>
      <w:lang w:val="en-AU" w:eastAsia="en-US" w:bidi="ar-SA"/>
    </w:rPr>
  </w:style>
  <w:style w:type="paragraph" w:customStyle="1" w:styleId="Heading1appendix">
    <w:name w:val="Heading 1 (appendix)"/>
    <w:basedOn w:val="Normal"/>
    <w:pPr>
      <w:keepNext/>
      <w:pageBreakBefore/>
      <w:pBdr>
        <w:bottom w:val="single" w:sz="4" w:space="1" w:color="auto"/>
      </w:pBdr>
      <w:tabs>
        <w:tab w:val="num" w:pos="2160"/>
      </w:tabs>
      <w:spacing w:before="120" w:after="360" w:line="340" w:lineRule="atLeast"/>
      <w:ind w:left="2160" w:right="-230" w:hanging="2160"/>
      <w:outlineLvl w:val="0"/>
    </w:pPr>
    <w:rPr>
      <w:rFonts w:ascii="Arial" w:hAnsi="Arial"/>
      <w:b/>
      <w:color w:val="000000"/>
      <w:sz w:val="28"/>
      <w:szCs w:val="28"/>
    </w:rPr>
  </w:style>
  <w:style w:type="character" w:customStyle="1" w:styleId="Italiccharacters">
    <w:name w:val="Italic characters"/>
    <w:basedOn w:val="DefaultParagraphFont"/>
    <w:rPr>
      <w:sz w:val="22"/>
      <w:lang w:val="en-AU" w:eastAsia="en-US" w:bidi="ar-SA"/>
    </w:rPr>
  </w:style>
  <w:style w:type="paragraph" w:customStyle="1" w:styleId="Heading2b">
    <w:name w:val="Heading 2b"/>
    <w:basedOn w:val="Normal"/>
    <w:pPr>
      <w:pBdr>
        <w:bottom w:val="single" w:sz="4" w:space="1" w:color="auto"/>
      </w:pBdr>
      <w:spacing w:before="120" w:after="360" w:line="340" w:lineRule="atLeast"/>
      <w:outlineLvl w:val="0"/>
    </w:pPr>
    <w:rPr>
      <w:rFonts w:ascii="Arial" w:hAnsi="Arial"/>
      <w:b/>
      <w:color w:val="000000"/>
      <w:sz w:val="28"/>
      <w:szCs w:val="28"/>
    </w:rPr>
  </w:style>
  <w:style w:type="paragraph" w:styleId="Quote">
    <w:name w:val="Quote"/>
    <w:basedOn w:val="Normal"/>
    <w:link w:val="QuoteChar"/>
    <w:qFormat/>
    <w:pPr>
      <w:spacing w:after="180" w:line="275" w:lineRule="atLeast"/>
      <w:ind w:left="720" w:right="720"/>
    </w:pPr>
    <w:rPr>
      <w:color w:val="000000"/>
      <w:sz w:val="20"/>
    </w:rPr>
  </w:style>
  <w:style w:type="paragraph" w:customStyle="1" w:styleId="Dash">
    <w:name w:val="Dash"/>
    <w:basedOn w:val="Normal"/>
    <w:pPr>
      <w:numPr>
        <w:numId w:val="18"/>
      </w:numPr>
      <w:tabs>
        <w:tab w:val="clear" w:pos="1440"/>
        <w:tab w:val="num" w:pos="720"/>
      </w:tabs>
      <w:spacing w:after="180" w:line="275" w:lineRule="atLeast"/>
      <w:ind w:left="720"/>
    </w:pPr>
    <w:rPr>
      <w:color w:val="000000"/>
    </w:rPr>
  </w:style>
  <w:style w:type="paragraph" w:customStyle="1" w:styleId="TableHeadings">
    <w:name w:val="TableHeadings"/>
    <w:basedOn w:val="TableText0"/>
    <w:pPr>
      <w:spacing w:before="40"/>
    </w:pPr>
    <w:rPr>
      <w:b/>
      <w:color w:val="000000"/>
      <w:sz w:val="16"/>
    </w:rPr>
  </w:style>
  <w:style w:type="paragraph" w:customStyle="1" w:styleId="Body">
    <w:name w:val="Body"/>
    <w:basedOn w:val="Normal"/>
    <w:pPr>
      <w:spacing w:before="120"/>
    </w:pPr>
    <w:rPr>
      <w:szCs w:val="20"/>
    </w:rPr>
  </w:style>
  <w:style w:type="paragraph" w:customStyle="1" w:styleId="mainheading">
    <w:name w:val="mainheading"/>
    <w:basedOn w:val="Normal"/>
    <w:pPr>
      <w:spacing w:before="100" w:beforeAutospacing="1" w:after="100" w:afterAutospacing="1"/>
    </w:pPr>
    <w:rPr>
      <w:sz w:val="19"/>
      <w:szCs w:val="19"/>
      <w:lang w:eastAsia="en-AU"/>
    </w:rPr>
  </w:style>
  <w:style w:type="character" w:customStyle="1" w:styleId="taxoclass">
    <w:name w:val="taxoclass"/>
    <w:basedOn w:val="DefaultParagraphFont"/>
  </w:style>
  <w:style w:type="character" w:customStyle="1" w:styleId="AQISTableTextChar">
    <w:name w:val="AQIS Table Text Char"/>
    <w:basedOn w:val="AQISTextChar"/>
    <w:link w:val="AQISTableText"/>
  </w:style>
  <w:style w:type="character" w:customStyle="1" w:styleId="AQIS5Char">
    <w:name w:val="AQIS5 Char"/>
    <w:basedOn w:val="DefaultParagraphFont"/>
    <w:link w:val="AQIS5"/>
    <w:rPr>
      <w:rFonts w:ascii="Arial" w:hAnsi="Arial"/>
      <w:b/>
      <w:sz w:val="24"/>
      <w:lang w:val="en-AU" w:eastAsia="en-US" w:bidi="ar-SA"/>
    </w:rPr>
  </w:style>
  <w:style w:type="paragraph" w:customStyle="1" w:styleId="Append4">
    <w:name w:val="Append 4"/>
    <w:basedOn w:val="Normal"/>
    <w:pPr>
      <w:numPr>
        <w:numId w:val="19"/>
      </w:numPr>
    </w:pPr>
  </w:style>
  <w:style w:type="character" w:customStyle="1" w:styleId="smaller1">
    <w:name w:val="smaller1"/>
    <w:basedOn w:val="DefaultParagraphFont"/>
    <w:rPr>
      <w:sz w:val="20"/>
      <w:szCs w:val="20"/>
    </w:rPr>
  </w:style>
  <w:style w:type="character" w:customStyle="1" w:styleId="cpctext1">
    <w:name w:val="cpctext1"/>
    <w:basedOn w:val="DefaultParagraphFont"/>
    <w:rPr>
      <w:rFonts w:ascii="Arial" w:hAnsi="Arial" w:cs="Arial" w:hint="default"/>
      <w:sz w:val="20"/>
      <w:szCs w:val="20"/>
    </w:rPr>
  </w:style>
  <w:style w:type="character" w:customStyle="1" w:styleId="bluetitle1">
    <w:name w:val="bluetitle1"/>
    <w:basedOn w:val="DefaultParagraphFont"/>
    <w:rPr>
      <w:b/>
      <w:bCs/>
      <w:color w:val="00BAE2"/>
    </w:rPr>
  </w:style>
  <w:style w:type="character" w:customStyle="1" w:styleId="author1">
    <w:name w:val="author1"/>
    <w:basedOn w:val="DefaultParagraphFont"/>
    <w:rPr>
      <w:rFonts w:ascii="Arial" w:hAnsi="Arial" w:cs="Arial" w:hint="default"/>
      <w:color w:val="777777"/>
      <w:sz w:val="20"/>
      <w:szCs w:val="20"/>
    </w:rPr>
  </w:style>
  <w:style w:type="character" w:customStyle="1" w:styleId="bigblkbld1">
    <w:name w:val="bigblkbld1"/>
    <w:basedOn w:val="DefaultParagraphFont"/>
    <w:rPr>
      <w:rFonts w:ascii="Arial" w:hAnsi="Arial" w:cs="Arial" w:hint="default"/>
      <w:b/>
      <w:bCs/>
      <w:i w:val="0"/>
      <w:iCs w:val="0"/>
      <w:color w:val="000000"/>
      <w:sz w:val="24"/>
      <w:szCs w:val="24"/>
    </w:rPr>
  </w:style>
  <w:style w:type="paragraph" w:customStyle="1" w:styleId="main">
    <w:name w:val="main"/>
    <w:basedOn w:val="Normal"/>
    <w:pPr>
      <w:spacing w:before="240"/>
    </w:pPr>
    <w:rPr>
      <w:rFonts w:ascii="Tahoma" w:hAnsi="Tahoma" w:cs="Tahoma"/>
      <w:b/>
      <w:bCs/>
      <w:color w:val="660000"/>
      <w:sz w:val="34"/>
      <w:szCs w:val="34"/>
      <w:lang w:eastAsia="en-AU"/>
    </w:rPr>
  </w:style>
  <w:style w:type="character" w:customStyle="1" w:styleId="caps1">
    <w:name w:val="caps1"/>
    <w:basedOn w:val="DefaultParagraphFont"/>
    <w:rPr>
      <w:caps/>
    </w:rPr>
  </w:style>
  <w:style w:type="character" w:customStyle="1" w:styleId="lowercase-small-caps1">
    <w:name w:val="lowercase-small-caps1"/>
    <w:basedOn w:val="DefaultParagraphFont"/>
    <w:rPr>
      <w:smallCaps/>
    </w:rPr>
  </w:style>
  <w:style w:type="paragraph" w:customStyle="1" w:styleId="signed">
    <w:name w:val="signed"/>
    <w:basedOn w:val="Normal"/>
    <w:pPr>
      <w:spacing w:before="100" w:beforeAutospacing="1" w:after="100" w:afterAutospacing="1"/>
    </w:pPr>
    <w:rPr>
      <w:lang w:eastAsia="en-AU"/>
    </w:rPr>
  </w:style>
  <w:style w:type="character" w:customStyle="1" w:styleId="small-caps1">
    <w:name w:val="small-caps1"/>
    <w:basedOn w:val="DefaultParagraphFont"/>
    <w:rPr>
      <w:smallCaps/>
    </w:rPr>
  </w:style>
  <w:style w:type="paragraph" w:customStyle="1" w:styleId="byline">
    <w:name w:val="byline"/>
    <w:basedOn w:val="Normal"/>
    <w:pPr>
      <w:spacing w:before="100" w:beforeAutospacing="1" w:after="100" w:afterAutospacing="1"/>
    </w:pPr>
    <w:rPr>
      <w:lang w:eastAsia="en-AU"/>
    </w:rPr>
  </w:style>
  <w:style w:type="paragraph" w:customStyle="1" w:styleId="style1dotpoints0">
    <w:name w:val="style1dotpoints"/>
    <w:basedOn w:val="Normal"/>
    <w:pPr>
      <w:numPr>
        <w:numId w:val="20"/>
      </w:numPr>
      <w:spacing w:before="160"/>
    </w:pPr>
    <w:rPr>
      <w:sz w:val="22"/>
      <w:szCs w:val="20"/>
    </w:rPr>
  </w:style>
  <w:style w:type="numbering" w:customStyle="1" w:styleId="StyleBulleted11pt">
    <w:name w:val="Style Bulleted 11 pt"/>
    <w:basedOn w:val="NoList"/>
    <w:pPr>
      <w:numPr>
        <w:numId w:val="21"/>
      </w:numPr>
    </w:pPr>
  </w:style>
  <w:style w:type="paragraph" w:customStyle="1" w:styleId="BAAppend2">
    <w:name w:val="BA Append 2"/>
    <w:basedOn w:val="BAHeader2"/>
    <w:pPr>
      <w:numPr>
        <w:numId w:val="22"/>
      </w:numPr>
      <w:tabs>
        <w:tab w:val="clear" w:pos="1116"/>
        <w:tab w:val="num" w:pos="1440"/>
      </w:tabs>
      <w:ind w:left="1440" w:hanging="360"/>
    </w:pPr>
  </w:style>
  <w:style w:type="paragraph" w:customStyle="1" w:styleId="BAAppend3">
    <w:name w:val="BA Append 3"/>
    <w:basedOn w:val="BAHeader3"/>
    <w:pPr>
      <w:numPr>
        <w:numId w:val="22"/>
      </w:numPr>
      <w:tabs>
        <w:tab w:val="clear" w:pos="720"/>
        <w:tab w:val="num" w:pos="2160"/>
      </w:tabs>
      <w:ind w:left="2160" w:hanging="360"/>
    </w:pPr>
  </w:style>
  <w:style w:type="character" w:customStyle="1" w:styleId="sCharChar">
    <w:name w:val="s Char Char"/>
    <w:basedOn w:val="DefaultParagraphFont"/>
    <w:semiHidden/>
    <w:locked/>
    <w:rPr>
      <w:bCs/>
      <w:i/>
      <w:iCs/>
      <w:color w:val="000000"/>
      <w:sz w:val="24"/>
      <w:szCs w:val="26"/>
      <w:lang w:val="en-AU" w:eastAsia="en-US" w:bidi="ar-SA"/>
    </w:rPr>
  </w:style>
  <w:style w:type="character" w:customStyle="1" w:styleId="CharChar5">
    <w:name w:val="Char Char5"/>
    <w:basedOn w:val="DefaultParagraphFont"/>
    <w:semiHidden/>
    <w:locked/>
    <w:rPr>
      <w:rFonts w:cs="Times New Roman"/>
      <w:sz w:val="20"/>
      <w:szCs w:val="20"/>
      <w:lang w:eastAsia="en-US"/>
    </w:rPr>
  </w:style>
  <w:style w:type="character" w:customStyle="1" w:styleId="BAHeader5CharChar">
    <w:name w:val="BA Header 5 Char Char"/>
    <w:basedOn w:val="DefaultParagraphFont"/>
    <w:locked/>
    <w:rPr>
      <w:rFonts w:cs="Times New Roman"/>
      <w:b/>
      <w:i/>
      <w:sz w:val="24"/>
      <w:lang w:val="en-AU" w:eastAsia="en-US" w:bidi="ar-SA"/>
    </w:rPr>
  </w:style>
  <w:style w:type="paragraph" w:customStyle="1" w:styleId="BAHeader1-unnumbered">
    <w:name w:val="BA Header 1 - unnumbered"/>
    <w:basedOn w:val="Normal"/>
    <w:next w:val="Normal"/>
    <w:link w:val="BAHeader1-unnumberedCharChar"/>
    <w:pPr>
      <w:pageBreakBefore/>
      <w:pBdr>
        <w:bottom w:val="single" w:sz="4" w:space="1" w:color="auto"/>
      </w:pBdr>
      <w:spacing w:before="120" w:after="360" w:line="340" w:lineRule="atLeast"/>
      <w:outlineLvl w:val="0"/>
    </w:pPr>
    <w:rPr>
      <w:rFonts w:ascii="Arial" w:hAnsi="Arial"/>
      <w:b/>
      <w:sz w:val="28"/>
      <w:szCs w:val="28"/>
    </w:rPr>
  </w:style>
  <w:style w:type="character" w:customStyle="1" w:styleId="BAHeader1-unnumberedCharChar">
    <w:name w:val="BA Header 1 - unnumbered Char Char"/>
    <w:basedOn w:val="DefaultParagraphFont"/>
    <w:link w:val="BAHeader1-unnumbered"/>
    <w:locked/>
    <w:rPr>
      <w:rFonts w:ascii="Arial" w:hAnsi="Arial"/>
      <w:b/>
      <w:sz w:val="28"/>
      <w:szCs w:val="28"/>
      <w:lang w:val="en-AU" w:eastAsia="en-US" w:bidi="ar-SA"/>
    </w:rPr>
  </w:style>
  <w:style w:type="paragraph" w:customStyle="1" w:styleId="BAFiguretext">
    <w:name w:val="BA Figure text"/>
    <w:basedOn w:val="BATableheader"/>
    <w:next w:val="Normal"/>
    <w:pPr>
      <w:tabs>
        <w:tab w:val="num" w:pos="1276"/>
      </w:tabs>
      <w:autoSpaceDE w:val="0"/>
      <w:autoSpaceDN w:val="0"/>
      <w:spacing w:before="0" w:after="240"/>
      <w:ind w:left="1276" w:hanging="1276"/>
    </w:pPr>
    <w:rPr>
      <w:lang w:eastAsia="en-AU"/>
    </w:rPr>
  </w:style>
  <w:style w:type="paragraph" w:customStyle="1" w:styleId="BIBLIOGRAPHIE">
    <w:name w:val="BIBLIOGRAPHIE"/>
    <w:basedOn w:val="Default"/>
    <w:next w:val="Default"/>
    <w:uiPriority w:val="99"/>
    <w:rPr>
      <w:color w:val="auto"/>
    </w:rPr>
  </w:style>
  <w:style w:type="character" w:customStyle="1" w:styleId="highlightedsearchterm">
    <w:name w:val="highlightedsearchterm"/>
    <w:basedOn w:val="DefaultParagraphFont"/>
    <w:rPr>
      <w:rFonts w:cs="Times New Roman"/>
    </w:rPr>
  </w:style>
  <w:style w:type="character" w:customStyle="1" w:styleId="Heading3Char">
    <w:name w:val="Heading 3 Char"/>
    <w:basedOn w:val="DefaultParagraphFont"/>
    <w:link w:val="Heading3"/>
    <w:uiPriority w:val="99"/>
    <w:locked/>
    <w:rPr>
      <w:rFonts w:ascii="Arial" w:hAnsi="Arial"/>
      <w:b/>
      <w:sz w:val="28"/>
      <w:lang w:val="en-AU" w:eastAsia="en-US" w:bidi="ar-SA"/>
    </w:rPr>
  </w:style>
  <w:style w:type="character" w:customStyle="1" w:styleId="Heading2Char">
    <w:name w:val="Heading 2 Char"/>
    <w:aliases w:val="p Char"/>
    <w:basedOn w:val="DefaultParagraphFont"/>
    <w:link w:val="Heading2"/>
    <w:locked/>
    <w:rPr>
      <w:rFonts w:ascii="Helvetica" w:hAnsi="Helvetica" w:cs="Arial"/>
      <w:b/>
      <w:bCs/>
      <w:i/>
      <w:iCs/>
      <w:sz w:val="28"/>
      <w:szCs w:val="28"/>
      <w:lang w:eastAsia="en-US"/>
    </w:rPr>
  </w:style>
  <w:style w:type="paragraph" w:customStyle="1" w:styleId="Style1">
    <w:name w:val="Style1"/>
    <w:basedOn w:val="Heading3"/>
    <w:pPr>
      <w:widowControl/>
      <w:tabs>
        <w:tab w:val="left" w:pos="1260"/>
      </w:tabs>
      <w:spacing w:before="180" w:line="280" w:lineRule="atLeast"/>
    </w:pPr>
    <w:rPr>
      <w:rFonts w:ascii="Verdana" w:hAnsi="Verdana" w:cs="Arial"/>
      <w:i/>
      <w:sz w:val="26"/>
      <w:szCs w:val="26"/>
    </w:rPr>
  </w:style>
  <w:style w:type="character" w:customStyle="1" w:styleId="common3">
    <w:name w:val="common3"/>
    <w:basedOn w:val="DefaultParagraphFont"/>
    <w:rPr>
      <w:rFonts w:ascii="Arial" w:hAnsi="Arial" w:cs="Arial"/>
      <w:sz w:val="17"/>
      <w:szCs w:val="17"/>
    </w:rPr>
  </w:style>
  <w:style w:type="paragraph" w:customStyle="1" w:styleId="AQISTitle">
    <w:name w:val="AQIS Title"/>
    <w:basedOn w:val="Title"/>
    <w:next w:val="Normal"/>
    <w:pPr>
      <w:spacing w:before="720" w:after="360"/>
    </w:pPr>
    <w:rPr>
      <w:szCs w:val="20"/>
    </w:rPr>
  </w:style>
  <w:style w:type="paragraph" w:customStyle="1" w:styleId="ToC40">
    <w:name w:val="ToC 4"/>
    <w:basedOn w:val="TOC1"/>
    <w:pPr>
      <w:widowControl/>
      <w:tabs>
        <w:tab w:val="left" w:pos="900"/>
        <w:tab w:val="right" w:leader="dot" w:pos="9060"/>
      </w:tabs>
      <w:spacing w:before="240" w:line="240" w:lineRule="auto"/>
      <w:ind w:left="902" w:hanging="902"/>
    </w:pPr>
    <w:rPr>
      <w:rFonts w:ascii="Arial" w:hAnsi="Arial" w:cs="Arial"/>
      <w:sz w:val="24"/>
      <w:szCs w:val="28"/>
    </w:rPr>
  </w:style>
  <w:style w:type="character" w:customStyle="1" w:styleId="family">
    <w:name w:val="family"/>
    <w:basedOn w:val="DefaultParagraphFont"/>
  </w:style>
  <w:style w:type="paragraph" w:customStyle="1" w:styleId="Blotinmargin">
    <w:name w:val="Blot in margin"/>
    <w:basedOn w:val="Default"/>
    <w:next w:val="Default"/>
    <w:rPr>
      <w:color w:val="auto"/>
    </w:rPr>
  </w:style>
  <w:style w:type="character" w:customStyle="1" w:styleId="addmd1">
    <w:name w:val="addmd1"/>
    <w:basedOn w:val="DefaultParagraphFont"/>
    <w:rPr>
      <w:rFonts w:ascii="Arial" w:hAnsi="Arial" w:cs="Arial" w:hint="default"/>
      <w:sz w:val="20"/>
      <w:szCs w:val="20"/>
    </w:rPr>
  </w:style>
  <w:style w:type="character" w:customStyle="1" w:styleId="black9pt1">
    <w:name w:val="black9pt1"/>
    <w:basedOn w:val="DefaultParagraphFont"/>
    <w:rPr>
      <w:color w:val="000000"/>
      <w:sz w:val="18"/>
      <w:szCs w:val="18"/>
    </w:rPr>
  </w:style>
  <w:style w:type="character" w:customStyle="1" w:styleId="a">
    <w:name w:val="a"/>
    <w:basedOn w:val="DefaultParagraphFont"/>
  </w:style>
  <w:style w:type="paragraph" w:customStyle="1" w:styleId="Header1">
    <w:name w:val="Header1"/>
    <w:basedOn w:val="Normal"/>
    <w:rPr>
      <w:rFonts w:ascii="Verdana" w:hAnsi="Verdana"/>
      <w:sz w:val="15"/>
      <w:szCs w:val="15"/>
      <w:lang w:eastAsia="en-AU"/>
    </w:rPr>
  </w:style>
  <w:style w:type="paragraph" w:customStyle="1" w:styleId="sub2">
    <w:name w:val="sub2"/>
    <w:basedOn w:val="Normal"/>
    <w:rPr>
      <w:rFonts w:ascii="Verdana" w:hAnsi="Verdana" w:cs="Times"/>
      <w:b/>
      <w:bCs/>
      <w:color w:val="666699"/>
      <w:sz w:val="13"/>
      <w:szCs w:val="13"/>
      <w:lang w:eastAsia="en-AU"/>
    </w:rPr>
  </w:style>
  <w:style w:type="character" w:customStyle="1" w:styleId="doi">
    <w:name w:val="doi"/>
    <w:basedOn w:val="DefaultParagraphFont"/>
  </w:style>
  <w:style w:type="character" w:customStyle="1" w:styleId="value">
    <w:name w:val="value"/>
    <w:basedOn w:val="DefaultParagraphFont"/>
  </w:style>
  <w:style w:type="character" w:customStyle="1" w:styleId="label1">
    <w:name w:val="label1"/>
    <w:basedOn w:val="DefaultParagraphFont"/>
  </w:style>
  <w:style w:type="character" w:customStyle="1" w:styleId="pagination">
    <w:name w:val="pagination"/>
    <w:basedOn w:val="DefaultParagraphFont"/>
  </w:style>
  <w:style w:type="paragraph" w:customStyle="1" w:styleId="authornames">
    <w:name w:val="authornames"/>
    <w:basedOn w:val="Normal"/>
    <w:pPr>
      <w:spacing w:before="100" w:beforeAutospacing="1" w:after="100" w:afterAutospacing="1"/>
    </w:pPr>
    <w:rPr>
      <w:rFonts w:ascii="Arial Unicode MS" w:eastAsia="Arial Unicode MS" w:hAnsi="Arial Unicode MS" w:cs="Arial Unicode MS"/>
      <w:b/>
      <w:bCs/>
      <w:color w:val="000000"/>
      <w:lang w:eastAsia="en-AU"/>
    </w:rPr>
  </w:style>
  <w:style w:type="character" w:customStyle="1" w:styleId="highlight">
    <w:name w:val="highlight"/>
    <w:basedOn w:val="DefaultParagraphFont"/>
  </w:style>
  <w:style w:type="character" w:customStyle="1" w:styleId="CharChar6">
    <w:name w:val="Char Char6"/>
    <w:basedOn w:val="DefaultParagraphFont"/>
    <w:semiHidden/>
    <w:rPr>
      <w:rFonts w:ascii="Times New Roman" w:eastAsia="Times New Roman" w:hAnsi="Times New Roman" w:cs="Times New Roman"/>
      <w:sz w:val="20"/>
      <w:szCs w:val="20"/>
      <w:lang w:val="en-AU"/>
    </w:rPr>
  </w:style>
  <w:style w:type="paragraph" w:customStyle="1" w:styleId="AQISTableTitle">
    <w:name w:val="AQIS Table Title"/>
    <w:basedOn w:val="AQISTableText"/>
    <w:next w:val="AQISTableText"/>
    <w:rPr>
      <w:rFonts w:ascii="Arial" w:hAnsi="Arial"/>
      <w:b/>
    </w:rPr>
  </w:style>
  <w:style w:type="character" w:customStyle="1" w:styleId="HeaderChar">
    <w:name w:val="Header Char"/>
    <w:basedOn w:val="DefaultParagraphFont"/>
    <w:link w:val="Header"/>
    <w:rPr>
      <w:sz w:val="24"/>
      <w:lang w:eastAsia="en-US"/>
    </w:rPr>
  </w:style>
  <w:style w:type="character" w:customStyle="1" w:styleId="FooterChar">
    <w:name w:val="Footer Char"/>
    <w:basedOn w:val="DefaultParagraphFont"/>
    <w:link w:val="Footer"/>
    <w:locked/>
    <w:rPr>
      <w:sz w:val="24"/>
      <w:lang w:val="en-US" w:eastAsia="en-US"/>
    </w:rPr>
  </w:style>
  <w:style w:type="character" w:customStyle="1" w:styleId="AQIS4Char">
    <w:name w:val="AQIS4 Char"/>
    <w:basedOn w:val="DefaultParagraphFont"/>
    <w:link w:val="AQIS4"/>
    <w:rPr>
      <w:rFonts w:ascii="Arial" w:hAnsi="Arial"/>
      <w:b/>
      <w:sz w:val="24"/>
      <w:lang w:val="en-AU" w:eastAsia="en-US" w:bidi="ar-SA"/>
    </w:rPr>
  </w:style>
  <w:style w:type="character" w:customStyle="1" w:styleId="ReferencesChar">
    <w:name w:val="References Char"/>
    <w:basedOn w:val="DefaultParagraphFont"/>
    <w:link w:val="References"/>
    <w:rPr>
      <w:rFonts w:ascii="Arial" w:hAnsi="Arial"/>
      <w:sz w:val="22"/>
      <w:lang w:eastAsia="en-US"/>
    </w:rPr>
  </w:style>
  <w:style w:type="character" w:styleId="HTMLCite">
    <w:name w:val="HTML Cite"/>
    <w:basedOn w:val="DefaultParagraphFont"/>
    <w:uiPriority w:val="99"/>
    <w:unhideWhenUsed/>
    <w:rPr>
      <w:i/>
      <w:iCs/>
    </w:rPr>
  </w:style>
  <w:style w:type="paragraph" w:customStyle="1" w:styleId="Char">
    <w:name w:val="Char"/>
    <w:basedOn w:val="Normal"/>
    <w:rPr>
      <w:rFonts w:ascii="Arial" w:hAnsi="Arial"/>
      <w:sz w:val="22"/>
      <w:szCs w:val="20"/>
    </w:rPr>
  </w:style>
  <w:style w:type="paragraph" w:styleId="ListParagraph">
    <w:name w:val="List Paragraph"/>
    <w:basedOn w:val="Normal"/>
    <w:uiPriority w:val="34"/>
    <w:qFormat/>
    <w:pPr>
      <w:spacing w:after="180" w:line="275" w:lineRule="atLeast"/>
      <w:ind w:left="720"/>
      <w:contextualSpacing/>
    </w:pPr>
    <w:rPr>
      <w:color w:val="000000"/>
    </w:rPr>
  </w:style>
  <w:style w:type="character" w:customStyle="1" w:styleId="Heading4Char">
    <w:name w:val="Heading 4 Char"/>
    <w:basedOn w:val="DefaultParagraphFont"/>
    <w:link w:val="Heading4"/>
    <w:rPr>
      <w:rFonts w:ascii="Arial" w:hAnsi="Arial"/>
      <w:b/>
      <w:bCs/>
      <w:sz w:val="26"/>
      <w:szCs w:val="28"/>
      <w:lang w:eastAsia="en-US"/>
    </w:rPr>
  </w:style>
  <w:style w:type="character" w:customStyle="1" w:styleId="authorname">
    <w:name w:val="authorname"/>
    <w:basedOn w:val="DefaultParagraphFont"/>
  </w:style>
  <w:style w:type="character" w:customStyle="1" w:styleId="singleaffiliation">
    <w:name w:val="singleaffiliation"/>
    <w:basedOn w:val="DefaultParagraphFont"/>
  </w:style>
  <w:style w:type="character" w:customStyle="1" w:styleId="Heading1Char">
    <w:name w:val="Heading 1 Char"/>
    <w:basedOn w:val="DefaultParagraphFont"/>
    <w:link w:val="Heading1"/>
    <w:rPr>
      <w:rFonts w:ascii="Arial" w:hAnsi="Arial"/>
      <w:b/>
      <w:sz w:val="32"/>
      <w:lang w:eastAsia="en-US"/>
    </w:rPr>
  </w:style>
  <w:style w:type="character" w:customStyle="1" w:styleId="Heading6Char">
    <w:name w:val="Heading 6 Char"/>
    <w:basedOn w:val="DefaultParagraphFont"/>
    <w:link w:val="Heading6"/>
    <w:rPr>
      <w:rFonts w:ascii="Arial" w:hAnsi="Arial"/>
      <w:b/>
      <w:sz w:val="22"/>
      <w:lang w:eastAsia="en-US"/>
    </w:rPr>
  </w:style>
  <w:style w:type="character" w:customStyle="1" w:styleId="Heading7Char">
    <w:name w:val="Heading 7 Char"/>
    <w:basedOn w:val="DefaultParagraphFont"/>
    <w:link w:val="Heading7"/>
    <w:rPr>
      <w:rFonts w:ascii="Arial" w:hAnsi="Arial" w:cs="Arial"/>
      <w:b/>
      <w:bCs/>
      <w:szCs w:val="24"/>
      <w:lang w:eastAsia="en-US"/>
    </w:rPr>
  </w:style>
  <w:style w:type="character" w:customStyle="1" w:styleId="Heading8Char">
    <w:name w:val="Heading 8 Char"/>
    <w:basedOn w:val="DefaultParagraphFont"/>
    <w:link w:val="Heading8"/>
    <w:rPr>
      <w:rFonts w:ascii="Helvetica" w:hAnsi="Helvetica"/>
      <w:b/>
      <w:bCs/>
      <w:szCs w:val="24"/>
      <w:lang w:eastAsia="en-US"/>
    </w:rPr>
  </w:style>
  <w:style w:type="character" w:customStyle="1" w:styleId="Heading9Char">
    <w:name w:val="Heading 9 Char"/>
    <w:basedOn w:val="DefaultParagraphFont"/>
    <w:link w:val="Heading9"/>
    <w:rPr>
      <w:rFonts w:ascii="Arial" w:hAnsi="Arial" w:cs="Arial"/>
      <w:sz w:val="22"/>
      <w:szCs w:val="22"/>
      <w:lang w:eastAsia="en-US"/>
    </w:rPr>
  </w:style>
  <w:style w:type="character" w:customStyle="1" w:styleId="TitleChar">
    <w:name w:val="Title Char"/>
    <w:basedOn w:val="DefaultParagraphFont"/>
    <w:link w:val="Title"/>
    <w:rPr>
      <w:rFonts w:ascii="Arial" w:hAnsi="Arial"/>
      <w:sz w:val="52"/>
      <w:szCs w:val="24"/>
      <w:lang w:eastAsia="en-US"/>
    </w:rPr>
  </w:style>
  <w:style w:type="character" w:customStyle="1" w:styleId="BodyText3Char">
    <w:name w:val="Body Text 3 Char"/>
    <w:basedOn w:val="DefaultParagraphFont"/>
    <w:link w:val="BodyText3"/>
    <w:rPr>
      <w:rFonts w:ascii="Arial" w:hAnsi="Arial"/>
      <w:b/>
      <w:sz w:val="28"/>
      <w:lang w:eastAsia="en-US"/>
    </w:rPr>
  </w:style>
  <w:style w:type="character" w:customStyle="1" w:styleId="BodyText2Char">
    <w:name w:val="Body Text 2 Char"/>
    <w:basedOn w:val="DefaultParagraphFont"/>
    <w:link w:val="BodyText2"/>
    <w:rPr>
      <w:sz w:val="24"/>
      <w:lang w:eastAsia="en-US"/>
    </w:rPr>
  </w:style>
  <w:style w:type="character" w:customStyle="1" w:styleId="BodyTextChar">
    <w:name w:val="Body Text Char"/>
    <w:basedOn w:val="DefaultParagraphFont"/>
    <w:link w:val="BodyText"/>
    <w:rPr>
      <w:b/>
      <w:sz w:val="28"/>
      <w:lang w:eastAsia="en-US"/>
    </w:rPr>
  </w:style>
  <w:style w:type="character" w:customStyle="1" w:styleId="BodyTextIndent3Char">
    <w:name w:val="Body Text Indent 3 Char"/>
    <w:basedOn w:val="DefaultParagraphFont"/>
    <w:link w:val="BodyTextIndent3"/>
    <w:rPr>
      <w:sz w:val="24"/>
      <w:szCs w:val="24"/>
      <w:lang w:eastAsia="en-US"/>
    </w:rPr>
  </w:style>
  <w:style w:type="character" w:customStyle="1" w:styleId="BodyTextIndentChar">
    <w:name w:val="Body Text Indent Char"/>
    <w:basedOn w:val="DefaultParagraphFont"/>
    <w:link w:val="BodyTextIndent"/>
    <w:rPr>
      <w:sz w:val="24"/>
      <w:szCs w:val="24"/>
      <w:lang w:eastAsia="en-US"/>
    </w:rPr>
  </w:style>
  <w:style w:type="character" w:customStyle="1" w:styleId="BodyTextIndent2Char">
    <w:name w:val="Body Text Indent 2 Char"/>
    <w:basedOn w:val="DefaultParagraphFont"/>
    <w:link w:val="BodyTextIndent2"/>
    <w:rPr>
      <w:rFonts w:ascii="Arial" w:hAnsi="Arial" w:cs="Arial"/>
      <w:b/>
      <w:bCs/>
      <w:sz w:val="22"/>
      <w:szCs w:val="24"/>
      <w:lang w:eastAsia="en-US"/>
    </w:rPr>
  </w:style>
  <w:style w:type="character" w:customStyle="1" w:styleId="PlainTextChar">
    <w:name w:val="Plain Text Char"/>
    <w:basedOn w:val="DefaultParagraphFont"/>
    <w:link w:val="PlainText"/>
    <w:rPr>
      <w:rFonts w:ascii="Courier New" w:hAnsi="Courier New"/>
      <w:lang w:eastAsia="en-US"/>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CommentSubjectChar">
    <w:name w:val="Comment Subject Char"/>
    <w:basedOn w:val="CommentTextChar"/>
    <w:link w:val="CommentSubject"/>
    <w:rPr>
      <w:b/>
      <w:bCs/>
    </w:rPr>
  </w:style>
  <w:style w:type="paragraph" w:customStyle="1" w:styleId="Char10">
    <w:name w:val="Char1"/>
    <w:basedOn w:val="Normal"/>
    <w:rPr>
      <w:rFonts w:ascii="Arial" w:hAnsi="Arial"/>
      <w:sz w:val="22"/>
      <w:szCs w:val="20"/>
    </w:rPr>
  </w:style>
  <w:style w:type="paragraph" w:customStyle="1" w:styleId="CharChar1Char0">
    <w:name w:val="Char Char1 Char"/>
    <w:basedOn w:val="Normal"/>
    <w:rPr>
      <w:rFonts w:ascii="Arial" w:hAnsi="Arial"/>
      <w:sz w:val="22"/>
      <w:szCs w:val="20"/>
    </w:rPr>
  </w:style>
  <w:style w:type="character" w:customStyle="1" w:styleId="SubtitleChar">
    <w:name w:val="Subtitle Char"/>
    <w:basedOn w:val="DefaultParagraphFont"/>
    <w:link w:val="Subtitle"/>
    <w:rPr>
      <w:rFonts w:ascii="Arial" w:hAnsi="Arial" w:cs="Arial"/>
      <w:color w:val="000000"/>
      <w:sz w:val="40"/>
      <w:szCs w:val="24"/>
      <w:lang w:eastAsia="en-US"/>
    </w:rPr>
  </w:style>
  <w:style w:type="character" w:customStyle="1" w:styleId="QuoteChar">
    <w:name w:val="Quote Char"/>
    <w:basedOn w:val="DefaultParagraphFont"/>
    <w:link w:val="Quote"/>
    <w:rPr>
      <w:color w:val="000000"/>
      <w:szCs w:val="24"/>
      <w:lang w:eastAsia="en-US"/>
    </w:rPr>
  </w:style>
  <w:style w:type="character" w:customStyle="1" w:styleId="CharChar50">
    <w:name w:val="Char Char5"/>
    <w:basedOn w:val="DefaultParagraphFont"/>
    <w:semiHidden/>
    <w:locked/>
    <w:rPr>
      <w:rFonts w:cs="Times New Roman"/>
      <w:sz w:val="20"/>
      <w:szCs w:val="20"/>
      <w:lang w:eastAsia="en-US"/>
    </w:rPr>
  </w:style>
  <w:style w:type="paragraph" w:customStyle="1" w:styleId="Header10">
    <w:name w:val="Header1"/>
    <w:basedOn w:val="Normal"/>
    <w:rPr>
      <w:rFonts w:ascii="Verdana" w:hAnsi="Verdana"/>
      <w:sz w:val="15"/>
      <w:szCs w:val="15"/>
      <w:lang w:eastAsia="en-AU"/>
    </w:rPr>
  </w:style>
  <w:style w:type="character" w:customStyle="1" w:styleId="CharChar60">
    <w:name w:val="Char Char6"/>
    <w:basedOn w:val="DefaultParagraphFont"/>
    <w:semiHidden/>
    <w:rPr>
      <w:rFonts w:ascii="Times New Roman" w:hAnsi="Times New Roman" w:cs="Times New Roman"/>
      <w:sz w:val="20"/>
      <w:szCs w:val="20"/>
      <w:lang w:val="en-AU"/>
    </w:rPr>
  </w:style>
  <w:style w:type="character" w:customStyle="1" w:styleId="CommentTextChar1">
    <w:name w:val="Comment Text Char1"/>
    <w:basedOn w:val="DefaultParagraphFont"/>
    <w:semiHidden/>
    <w:locked/>
    <w:rPr>
      <w:rFonts w:cs="Times New Roman"/>
      <w:lang w:val="en-AU" w:eastAsia="en-US" w:bidi="ar-SA"/>
    </w:rPr>
  </w:style>
  <w:style w:type="paragraph" w:customStyle="1" w:styleId="Overskrift4">
    <w:name w:val="Overskrift 4"/>
    <w:basedOn w:val="Default"/>
    <w:next w:val="Default"/>
    <w:rPr>
      <w:color w:val="auto"/>
    </w:rPr>
  </w:style>
  <w:style w:type="character" w:customStyle="1" w:styleId="matchhighlight1">
    <w:name w:val="matchhighlight1"/>
    <w:basedOn w:val="DefaultParagraphFont"/>
    <w:rPr>
      <w:rFonts w:cs="Times New Roman"/>
      <w:b/>
      <w:bCs/>
      <w:color w:val="333366"/>
      <w:u w:val="single"/>
    </w:rPr>
  </w:style>
  <w:style w:type="paragraph" w:styleId="DocumentMap">
    <w:name w:val="Document Map"/>
    <w:basedOn w:val="Normal"/>
    <w:link w:val="DocumentMapChar"/>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Pr>
      <w:rFonts w:ascii="Tahoma" w:hAnsi="Tahoma" w:cs="Tahoma"/>
      <w:shd w:val="clear" w:color="auto" w:fill="000080"/>
      <w:lang w:eastAsia="en-U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
      <w:szCs w:val="18"/>
      <w:lang w:eastAsia="en-AU"/>
    </w:rPr>
  </w:style>
  <w:style w:type="character" w:customStyle="1" w:styleId="HTMLPreformattedChar">
    <w:name w:val="HTML Preformatted Char"/>
    <w:basedOn w:val="DefaultParagraphFont"/>
    <w:link w:val="HTMLPreformatted"/>
    <w:uiPriority w:val="99"/>
    <w:rPr>
      <w:rFonts w:ascii="Courier New" w:hAnsi="Courier New" w:cs="Courier New"/>
      <w:sz w:val="18"/>
      <w:szCs w:val="18"/>
    </w:rPr>
  </w:style>
  <w:style w:type="character" w:customStyle="1" w:styleId="mainarea">
    <w:name w:val="mainarea"/>
    <w:basedOn w:val="DefaultParagraphFont"/>
    <w:rPr>
      <w:rFonts w:cs="Times New Roman"/>
    </w:rPr>
  </w:style>
  <w:style w:type="paragraph" w:customStyle="1" w:styleId="CM3">
    <w:name w:val="CM3"/>
    <w:basedOn w:val="Default"/>
    <w:next w:val="Default"/>
    <w:rPr>
      <w:color w:val="auto"/>
    </w:rPr>
  </w:style>
  <w:style w:type="paragraph" w:customStyle="1" w:styleId="CM23">
    <w:name w:val="CM23"/>
    <w:basedOn w:val="Default"/>
    <w:next w:val="Default"/>
    <w:rPr>
      <w:color w:val="auto"/>
    </w:rPr>
  </w:style>
  <w:style w:type="paragraph" w:customStyle="1" w:styleId="CM24">
    <w:name w:val="CM24"/>
    <w:basedOn w:val="Default"/>
    <w:next w:val="Default"/>
    <w:rPr>
      <w:color w:val="auto"/>
    </w:rPr>
  </w:style>
  <w:style w:type="paragraph" w:customStyle="1" w:styleId="Char12">
    <w:name w:val="Char12"/>
    <w:basedOn w:val="Normal"/>
    <w:rPr>
      <w:rFonts w:ascii="Arial" w:hAnsi="Arial"/>
      <w:sz w:val="22"/>
      <w:szCs w:val="20"/>
    </w:rPr>
  </w:style>
  <w:style w:type="paragraph" w:customStyle="1" w:styleId="Char11">
    <w:name w:val="Char11"/>
    <w:basedOn w:val="Normal"/>
    <w:rPr>
      <w:rFonts w:ascii="Arial" w:hAnsi="Arial"/>
      <w:sz w:val="22"/>
      <w:szCs w:val="20"/>
    </w:rPr>
  </w:style>
  <w:style w:type="paragraph" w:customStyle="1" w:styleId="StilOverskrift3IkkeKapitler">
    <w:name w:val="Stil Overskrift 3 + Ikke Kapitéler"/>
    <w:basedOn w:val="Default"/>
    <w:next w:val="Default"/>
    <w:rPr>
      <w:color w:val="auto"/>
    </w:rPr>
  </w:style>
  <w:style w:type="paragraph" w:customStyle="1" w:styleId="CM123">
    <w:name w:val="CM123"/>
    <w:basedOn w:val="Default"/>
    <w:next w:val="Default"/>
    <w:rPr>
      <w:color w:val="auto"/>
    </w:rPr>
  </w:style>
  <w:style w:type="paragraph" w:customStyle="1" w:styleId="FicheInfo">
    <w:name w:val="Fiche Info"/>
    <w:basedOn w:val="Default"/>
    <w:next w:val="Default"/>
    <w:rPr>
      <w:color w:val="auto"/>
    </w:rPr>
  </w:style>
  <w:style w:type="character" w:customStyle="1" w:styleId="ti">
    <w:name w:val="ti"/>
    <w:basedOn w:val="DefaultParagraphFont"/>
  </w:style>
  <w:style w:type="character" w:customStyle="1" w:styleId="forenames">
    <w:name w:val="forenames"/>
    <w:basedOn w:val="DefaultParagraphFont"/>
  </w:style>
  <w:style w:type="paragraph" w:customStyle="1" w:styleId="authors">
    <w:name w:val="authors"/>
    <w:basedOn w:val="Normal"/>
    <w:pPr>
      <w:spacing w:before="100" w:beforeAutospacing="1" w:after="100" w:afterAutospacing="1"/>
    </w:pPr>
    <w:rPr>
      <w:lang w:eastAsia="en-AU"/>
    </w:rPr>
  </w:style>
  <w:style w:type="character" w:customStyle="1" w:styleId="name">
    <w:name w:val="name"/>
    <w:basedOn w:val="DefaultParagraphFont"/>
  </w:style>
  <w:style w:type="character" w:customStyle="1" w:styleId="cit-print-date">
    <w:name w:val="cit-print-date"/>
    <w:basedOn w:val="DefaultParagraphFont"/>
  </w:style>
  <w:style w:type="character" w:customStyle="1" w:styleId="cit-vol3">
    <w:name w:val="cit-vol3"/>
    <w:basedOn w:val="DefaultParagraphFont"/>
  </w:style>
  <w:style w:type="character" w:customStyle="1" w:styleId="cit-sep2">
    <w:name w:val="cit-sep2"/>
    <w:basedOn w:val="DefaultParagraphFont"/>
  </w:style>
  <w:style w:type="character" w:customStyle="1" w:styleId="cit-first-page">
    <w:name w:val="cit-first-page"/>
    <w:basedOn w:val="DefaultParagraphFont"/>
  </w:style>
  <w:style w:type="character" w:customStyle="1" w:styleId="cit-last-page2">
    <w:name w:val="cit-last-page2"/>
    <w:basedOn w:val="DefaultParagraphFont"/>
  </w:style>
  <w:style w:type="paragraph" w:customStyle="1" w:styleId="plain">
    <w:name w:val="plain"/>
    <w:basedOn w:val="Normal"/>
    <w:pPr>
      <w:spacing w:before="100" w:beforeAutospacing="1" w:after="100" w:afterAutospacing="1"/>
      <w:ind w:right="720"/>
    </w:pPr>
    <w:rPr>
      <w:sz w:val="19"/>
      <w:szCs w:val="19"/>
      <w:lang w:eastAsia="en-AU"/>
    </w:rPr>
  </w:style>
  <w:style w:type="character" w:customStyle="1" w:styleId="f2">
    <w:name w:val="f2"/>
    <w:basedOn w:val="DefaultParagraphFont"/>
    <w:rPr>
      <w:color w:val="767676"/>
    </w:rPr>
  </w:style>
  <w:style w:type="character" w:customStyle="1" w:styleId="gl1">
    <w:name w:val="gl1"/>
    <w:basedOn w:val="DefaultParagraphFont"/>
    <w:rPr>
      <w:color w:val="767676"/>
    </w:rPr>
  </w:style>
  <w:style w:type="character" w:customStyle="1" w:styleId="pubauthornone">
    <w:name w:val="pub_author_none"/>
    <w:basedOn w:val="DefaultParagraphFont"/>
  </w:style>
  <w:style w:type="character" w:customStyle="1" w:styleId="cit-auth2">
    <w:name w:val="cit-auth2"/>
    <w:basedOn w:val="DefaultParagraphFont"/>
  </w:style>
  <w:style w:type="character" w:customStyle="1" w:styleId="cit-vol">
    <w:name w:val="cit-vol"/>
    <w:basedOn w:val="DefaultParagraphFont"/>
  </w:style>
  <w:style w:type="character" w:customStyle="1" w:styleId="authorname3">
    <w:name w:val="authorname3"/>
    <w:basedOn w:val="DefaultParagraphFont"/>
    <w:rPr>
      <w:b/>
      <w:bCs/>
    </w:rPr>
  </w:style>
  <w:style w:type="character" w:customStyle="1" w:styleId="printhide">
    <w:name w:val="printhide"/>
    <w:basedOn w:val="DefaultParagraphFont"/>
  </w:style>
  <w:style w:type="paragraph" w:customStyle="1" w:styleId="IPPTitle18pt">
    <w:name w:val="IPP Title18pt"/>
    <w:basedOn w:val="Default"/>
    <w:next w:val="Default"/>
    <w:uiPriority w:val="99"/>
    <w:rPr>
      <w:rFonts w:ascii="Arial" w:hAnsi="Arial" w:cs="Arial"/>
      <w:color w:val="auto"/>
    </w:rPr>
  </w:style>
  <w:style w:type="paragraph" w:customStyle="1" w:styleId="IPPNormalCloseSpace">
    <w:name w:val="IPP NormalCloseSpace"/>
    <w:basedOn w:val="Default"/>
    <w:next w:val="Default"/>
    <w:uiPriority w:val="99"/>
    <w:rPr>
      <w:color w:val="auto"/>
    </w:rPr>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character" w:styleId="HTMLAcronym">
    <w:name w:val="HTML Acronym"/>
    <w:basedOn w:val="DefaultParagraphFont"/>
  </w:style>
  <w:style w:type="character" w:customStyle="1" w:styleId="kwd-text">
    <w:name w:val="kwd-text"/>
    <w:basedOn w:val="DefaultParagraphFont"/>
  </w:style>
  <w:style w:type="character" w:customStyle="1" w:styleId="searchterm01">
    <w:name w:val="searchterm01"/>
    <w:basedOn w:val="DefaultParagraphFont"/>
    <w:rPr>
      <w:b/>
      <w:bCs/>
      <w:color w:val="000000"/>
      <w:shd w:val="clear" w:color="auto" w:fill="FFFF66"/>
    </w:rPr>
  </w:style>
  <w:style w:type="character" w:customStyle="1" w:styleId="searchterm11">
    <w:name w:val="searchterm11"/>
    <w:basedOn w:val="DefaultParagraphFont"/>
    <w:rPr>
      <w:b/>
      <w:bCs/>
      <w:color w:val="000000"/>
      <w:shd w:val="clear" w:color="auto" w:fill="A0FFFF"/>
    </w:rPr>
  </w:style>
  <w:style w:type="character" w:customStyle="1" w:styleId="searchterm21">
    <w:name w:val="searchterm21"/>
    <w:basedOn w:val="DefaultParagraphFont"/>
    <w:rPr>
      <w:b/>
      <w:bCs/>
      <w:color w:val="000000"/>
      <w:shd w:val="clear" w:color="auto" w:fill="99FF99"/>
    </w:rPr>
  </w:style>
  <w:style w:type="paragraph" w:customStyle="1" w:styleId="SYN1ERELIGNE">
    <w:name w:val="SYN.1ERE LIGNE"/>
    <w:basedOn w:val="Default"/>
    <w:next w:val="Default"/>
    <w:uiPriority w:val="99"/>
    <w:rPr>
      <w:color w:val="auto"/>
    </w:rPr>
  </w:style>
  <w:style w:type="paragraph" w:customStyle="1" w:styleId="SYNONYMES">
    <w:name w:val="SYNONYMES"/>
    <w:basedOn w:val="Default"/>
    <w:next w:val="Default"/>
    <w:rPr>
      <w:color w:val="auto"/>
    </w:rPr>
  </w:style>
  <w:style w:type="paragraph" w:customStyle="1" w:styleId="NC1ERELIGNE">
    <w:name w:val="NC 1ERE LIGNE"/>
    <w:basedOn w:val="Default"/>
    <w:next w:val="Default"/>
    <w:uiPriority w:val="99"/>
    <w:rPr>
      <w:color w:val="auto"/>
    </w:rPr>
  </w:style>
  <w:style w:type="paragraph" w:styleId="Revision">
    <w:name w:val="Revision"/>
    <w:hidden/>
    <w:uiPriority w:val="99"/>
    <w:semiHidden/>
    <w:pPr>
      <w:widowControl w:val="0"/>
      <w:adjustRightInd w:val="0"/>
      <w:spacing w:line="360" w:lineRule="atLeast"/>
      <w:jc w:val="both"/>
      <w:textAlignment w:val="baseline"/>
    </w:pPr>
    <w:rPr>
      <w:sz w:val="24"/>
      <w:szCs w:val="24"/>
      <w:lang w:eastAsia="en-US"/>
    </w:rPr>
  </w:style>
  <w:style w:type="character" w:customStyle="1" w:styleId="genera1">
    <w:name w:val="genera1"/>
    <w:basedOn w:val="DefaultParagraphFont"/>
    <w:rPr>
      <w:rFonts w:cs="Times New Roman"/>
      <w:i/>
      <w:iCs/>
    </w:rPr>
  </w:style>
  <w:style w:type="character" w:customStyle="1" w:styleId="binomial">
    <w:name w:val="binomial"/>
    <w:basedOn w:val="DefaultParagraphFont"/>
    <w:rPr>
      <w:rFonts w:cs="Times New Roman"/>
    </w:rPr>
  </w:style>
  <w:style w:type="character" w:customStyle="1" w:styleId="txtlrg1">
    <w:name w:val="txtlrg1"/>
    <w:basedOn w:val="DefaultParagraphFont"/>
    <w:rPr>
      <w:rFonts w:ascii="Verdana" w:hAnsi="Verdana" w:cs="Verdana"/>
      <w:sz w:val="20"/>
      <w:szCs w:val="20"/>
    </w:rPr>
  </w:style>
  <w:style w:type="character" w:customStyle="1" w:styleId="fieldheader1">
    <w:name w:val="fieldheader1"/>
    <w:basedOn w:val="DefaultParagraphFont"/>
    <w:rPr>
      <w:rFonts w:ascii="Verdana" w:hAnsi="Verdana" w:cs="Verdana"/>
      <w:b/>
      <w:bCs/>
      <w:color w:val="auto"/>
      <w:sz w:val="17"/>
      <w:szCs w:val="17"/>
    </w:rPr>
  </w:style>
  <w:style w:type="paragraph" w:customStyle="1" w:styleId="articlecitation">
    <w:name w:val="articlecitation"/>
    <w:basedOn w:val="Normal"/>
    <w:pPr>
      <w:spacing w:before="150" w:after="75"/>
    </w:pPr>
    <w:rPr>
      <w:rFonts w:ascii="Verdana" w:hAnsi="Verdana"/>
      <w:color w:val="231F20"/>
      <w:sz w:val="20"/>
      <w:szCs w:val="20"/>
      <w:lang w:eastAsia="en-AU"/>
    </w:rPr>
  </w:style>
  <w:style w:type="character" w:customStyle="1" w:styleId="searchmatch">
    <w:name w:val="searchmatch"/>
    <w:basedOn w:val="DefaultParagraphFont"/>
  </w:style>
  <w:style w:type="paragraph" w:customStyle="1" w:styleId="TableText2">
    <w:name w:val="Table Text 2"/>
    <w:basedOn w:val="Normal"/>
    <w:rPr>
      <w:rFonts w:ascii="Arial" w:hAnsi="Arial"/>
      <w:sz w:val="16"/>
      <w:szCs w:val="20"/>
      <w:lang w:val="en-US"/>
    </w:rPr>
  </w:style>
  <w:style w:type="paragraph" w:customStyle="1" w:styleId="hanging">
    <w:name w:val="hanging"/>
    <w:basedOn w:val="Normal"/>
    <w:pPr>
      <w:spacing w:before="100" w:beforeAutospacing="1" w:after="100" w:afterAutospacing="1"/>
    </w:pPr>
    <w:rPr>
      <w:sz w:val="19"/>
      <w:szCs w:val="19"/>
      <w:lang w:eastAsia="en-AU"/>
    </w:rPr>
  </w:style>
  <w:style w:type="paragraph" w:customStyle="1" w:styleId="tabletext1">
    <w:name w:val="tabletext"/>
    <w:basedOn w:val="Normal"/>
    <w:pPr>
      <w:spacing w:line="288" w:lineRule="auto"/>
      <w:jc w:val="center"/>
    </w:pPr>
    <w:rPr>
      <w:rFonts w:ascii="Palatino (PCL6)" w:hAnsi="Palatino (PCL6)"/>
      <w:sz w:val="18"/>
      <w:szCs w:val="18"/>
      <w:lang w:eastAsia="en-AU"/>
    </w:rPr>
  </w:style>
  <w:style w:type="paragraph" w:customStyle="1" w:styleId="Navaden">
    <w:name w:val="Navaden"/>
    <w:basedOn w:val="Normal"/>
    <w:next w:val="Normal"/>
    <w:pPr>
      <w:autoSpaceDE w:val="0"/>
      <w:autoSpaceDN w:val="0"/>
      <w:spacing w:before="60"/>
    </w:pPr>
    <w:rPr>
      <w:lang w:eastAsia="en-AU"/>
    </w:rPr>
  </w:style>
  <w:style w:type="paragraph" w:styleId="ListBullet">
    <w:name w:val="List Bullet"/>
    <w:basedOn w:val="Normal"/>
    <w:autoRedefine/>
    <w:pPr>
      <w:tabs>
        <w:tab w:val="num" w:pos="360"/>
      </w:tabs>
      <w:spacing w:line="340" w:lineRule="atLeast"/>
    </w:pPr>
    <w:rPr>
      <w:szCs w:val="20"/>
    </w:rPr>
  </w:style>
  <w:style w:type="paragraph" w:customStyle="1" w:styleId="table0">
    <w:name w:val="table"/>
    <w:basedOn w:val="Normal"/>
    <w:pPr>
      <w:keepLines/>
      <w:tabs>
        <w:tab w:val="left" w:pos="142"/>
        <w:tab w:val="left" w:pos="284"/>
        <w:tab w:val="left" w:pos="426"/>
        <w:tab w:val="left" w:pos="1985"/>
        <w:tab w:val="left" w:pos="2268"/>
        <w:tab w:val="left" w:pos="2552"/>
        <w:tab w:val="left" w:pos="2835"/>
      </w:tabs>
      <w:spacing w:before="80" w:after="80" w:line="340" w:lineRule="atLeast"/>
    </w:pPr>
    <w:rPr>
      <w:rFonts w:ascii="Palatino" w:hAnsi="Palatino"/>
      <w:color w:val="000080"/>
      <w:sz w:val="20"/>
      <w:szCs w:val="20"/>
      <w:lang w:val="en-US"/>
    </w:rPr>
  </w:style>
  <w:style w:type="character" w:customStyle="1" w:styleId="content">
    <w:name w:val="content"/>
    <w:basedOn w:val="DefaultParagraphFont"/>
  </w:style>
  <w:style w:type="paragraph" w:customStyle="1" w:styleId="StyleBAText1bulletItalic">
    <w:name w:val="Style BA Text 1 bullet + Italic"/>
    <w:basedOn w:val="Normal"/>
    <w:pPr>
      <w:spacing w:line="280" w:lineRule="atLeast"/>
    </w:pPr>
    <w:rPr>
      <w:rFonts w:ascii="Times" w:hAnsi="Times"/>
      <w:i/>
      <w:iCs/>
      <w:szCs w:val="22"/>
    </w:rPr>
  </w:style>
  <w:style w:type="paragraph" w:customStyle="1" w:styleId="StyleBAText1Italic">
    <w:name w:val="Style BA Text 1 + Italic"/>
    <w:basedOn w:val="Normal"/>
    <w:pPr>
      <w:spacing w:line="280" w:lineRule="atLeast"/>
    </w:pPr>
    <w:rPr>
      <w:rFonts w:ascii="Times" w:hAnsi="Times"/>
      <w:i/>
      <w:iCs/>
    </w:rPr>
  </w:style>
  <w:style w:type="paragraph" w:customStyle="1" w:styleId="Tableheader">
    <w:name w:val="Table header"/>
    <w:basedOn w:val="Normal"/>
    <w:link w:val="TableheaderCharChar"/>
    <w:pPr>
      <w:keepNext/>
      <w:keepLines/>
      <w:spacing w:before="360" w:after="120" w:line="240" w:lineRule="atLeast"/>
      <w:outlineLvl w:val="8"/>
    </w:pPr>
    <w:rPr>
      <w:rFonts w:ascii="Arial" w:hAnsi="Arial"/>
      <w:b/>
      <w:bCs/>
      <w:sz w:val="22"/>
    </w:rPr>
  </w:style>
  <w:style w:type="character" w:customStyle="1" w:styleId="TableheaderCharChar">
    <w:name w:val="Table header Char Char"/>
    <w:basedOn w:val="DefaultParagraphFont"/>
    <w:link w:val="Tableheader"/>
    <w:rPr>
      <w:rFonts w:ascii="Arial" w:hAnsi="Arial"/>
      <w:b/>
      <w:bCs/>
      <w:sz w:val="22"/>
      <w:szCs w:val="24"/>
      <w:lang w:eastAsia="en-US"/>
    </w:rPr>
  </w:style>
  <w:style w:type="table" w:styleId="TableList3">
    <w:name w:val="Table List 3"/>
    <w:basedOn w:val="TableNormal"/>
    <w:pPr>
      <w:widowControl w:val="0"/>
      <w:spacing w:line="3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M7">
    <w:name w:val="CM7"/>
    <w:basedOn w:val="Default"/>
    <w:next w:val="Default"/>
    <w:pPr>
      <w:spacing w:after="358"/>
    </w:pPr>
    <w:rPr>
      <w:color w:val="auto"/>
    </w:rPr>
  </w:style>
  <w:style w:type="character" w:customStyle="1" w:styleId="sn">
    <w:name w:val="sn"/>
    <w:basedOn w:val="DefaultParagraphFont"/>
  </w:style>
  <w:style w:type="character" w:styleId="EndnoteReference">
    <w:name w:val="endnote reference"/>
    <w:basedOn w:val="DefaultParagraphFont"/>
    <w:rPr>
      <w:vertAlign w:val="superscript"/>
    </w:rPr>
  </w:style>
  <w:style w:type="character" w:customStyle="1" w:styleId="subject1">
    <w:name w:val="subject1"/>
    <w:basedOn w:val="DefaultParagraphFont"/>
    <w:rPr>
      <w:b/>
      <w:bCs/>
    </w:rPr>
  </w:style>
  <w:style w:type="paragraph" w:customStyle="1" w:styleId="text">
    <w:name w:val="text"/>
    <w:basedOn w:val="Normal"/>
    <w:pPr>
      <w:spacing w:before="100" w:beforeAutospacing="1" w:after="100" w:afterAutospacing="1"/>
    </w:pPr>
    <w:rPr>
      <w:rFonts w:ascii="Arial" w:hAnsi="Arial" w:cs="Arial"/>
      <w:lang w:eastAsia="en-AU"/>
    </w:rPr>
  </w:style>
  <w:style w:type="paragraph" w:customStyle="1" w:styleId="noskip">
    <w:name w:val="noskip"/>
    <w:basedOn w:val="Normal"/>
    <w:pPr>
      <w:spacing w:after="100" w:afterAutospacing="1"/>
    </w:pPr>
    <w:rPr>
      <w:lang w:eastAsia="en-AU"/>
    </w:rPr>
  </w:style>
  <w:style w:type="character" w:customStyle="1" w:styleId="smallcaps3">
    <w:name w:val="smallcaps3"/>
    <w:basedOn w:val="DefaultParagraphFont"/>
    <w:rPr>
      <w:smallCaps/>
    </w:rPr>
  </w:style>
  <w:style w:type="character" w:customStyle="1" w:styleId="defaultcontent1">
    <w:name w:val="default_content1"/>
    <w:basedOn w:val="DefaultParagraphFont"/>
    <w:rPr>
      <w:rFonts w:ascii="Arial" w:hAnsi="Arial" w:cs="Arial" w:hint="default"/>
      <w:b w:val="0"/>
      <w:bCs w:val="0"/>
      <w:color w:val="000000"/>
      <w:sz w:val="15"/>
      <w:szCs w:val="15"/>
    </w:rPr>
  </w:style>
  <w:style w:type="character" w:customStyle="1" w:styleId="contenttitle1">
    <w:name w:val="content_title1"/>
    <w:basedOn w:val="DefaultParagraphFont"/>
    <w:rPr>
      <w:rFonts w:ascii="Arial" w:hAnsi="Arial" w:cs="Arial" w:hint="default"/>
      <w:b/>
      <w:bCs/>
      <w:color w:val="0066AA"/>
      <w:sz w:val="22"/>
      <w:szCs w:val="22"/>
    </w:rPr>
  </w:style>
  <w:style w:type="character" w:customStyle="1" w:styleId="header011">
    <w:name w:val="header011"/>
    <w:basedOn w:val="DefaultParagraphFont"/>
    <w:rPr>
      <w:rFonts w:ascii="Arial" w:hAnsi="Arial" w:cs="Arial" w:hint="default"/>
      <w:color w:val="007437"/>
      <w:sz w:val="24"/>
      <w:szCs w:val="24"/>
    </w:rPr>
  </w:style>
  <w:style w:type="character" w:customStyle="1" w:styleId="f1">
    <w:name w:val="f1"/>
    <w:basedOn w:val="DefaultParagraphFont"/>
    <w:rPr>
      <w:color w:val="666666"/>
    </w:rPr>
  </w:style>
  <w:style w:type="paragraph" w:customStyle="1" w:styleId="Titre1">
    <w:name w:val="Titre 1"/>
    <w:basedOn w:val="Default"/>
    <w:next w:val="Default"/>
    <w:pPr>
      <w:spacing w:before="120" w:after="600"/>
    </w:pPr>
    <w:rPr>
      <w:color w:val="auto"/>
    </w:rPr>
  </w:style>
  <w:style w:type="character" w:customStyle="1" w:styleId="title3">
    <w:name w:val="title3"/>
    <w:basedOn w:val="DefaultParagraphFont"/>
  </w:style>
  <w:style w:type="character" w:customStyle="1" w:styleId="journal2">
    <w:name w:val="journal2"/>
    <w:basedOn w:val="DefaultParagraphFont"/>
  </w:style>
  <w:style w:type="paragraph" w:customStyle="1" w:styleId="Pa5">
    <w:name w:val="Pa5"/>
    <w:basedOn w:val="Default"/>
    <w:next w:val="Default"/>
    <w:pPr>
      <w:spacing w:line="201" w:lineRule="atLeast"/>
    </w:pPr>
    <w:rPr>
      <w:rFonts w:ascii="Helvetica 35 Thin" w:hAnsi="Helvetica 35 Thin"/>
      <w:color w:val="auto"/>
    </w:rPr>
  </w:style>
  <w:style w:type="paragraph" w:customStyle="1" w:styleId="Pa0">
    <w:name w:val="Pa0"/>
    <w:basedOn w:val="Default"/>
    <w:next w:val="Default"/>
    <w:pPr>
      <w:spacing w:line="240" w:lineRule="atLeast"/>
    </w:pPr>
    <w:rPr>
      <w:rFonts w:ascii="Trebuchet MS" w:hAnsi="Trebuchet MS"/>
      <w:color w:val="auto"/>
    </w:rPr>
  </w:style>
  <w:style w:type="paragraph" w:customStyle="1" w:styleId="articledetails">
    <w:name w:val="articledetails"/>
    <w:basedOn w:val="Normal"/>
    <w:pPr>
      <w:spacing w:before="100" w:beforeAutospacing="1" w:after="100" w:afterAutospacing="1"/>
    </w:pPr>
    <w:rPr>
      <w:lang w:eastAsia="en-AU"/>
    </w:rPr>
  </w:style>
  <w:style w:type="character" w:customStyle="1" w:styleId="articlepagesstyle">
    <w:name w:val="articlepagesstyle"/>
    <w:basedOn w:val="DefaultParagraphFont"/>
  </w:style>
  <w:style w:type="character" w:customStyle="1" w:styleId="style111">
    <w:name w:val="style111"/>
    <w:basedOn w:val="DefaultParagraphFont"/>
    <w:rPr>
      <w:rFonts w:ascii="Verdana" w:hAnsi="Verdana" w:hint="default"/>
      <w:b/>
      <w:bCs/>
      <w:color w:val="581E79"/>
      <w:sz w:val="21"/>
      <w:szCs w:val="21"/>
    </w:rPr>
  </w:style>
  <w:style w:type="character" w:customStyle="1" w:styleId="gsa1">
    <w:name w:val="gs_a1"/>
    <w:basedOn w:val="DefaultParagraphFont"/>
    <w:rPr>
      <w:color w:val="008000"/>
    </w:rPr>
  </w:style>
  <w:style w:type="paragraph" w:customStyle="1" w:styleId="simkop1">
    <w:name w:val="simkop1"/>
    <w:basedOn w:val="Normal"/>
    <w:pPr>
      <w:autoSpaceDE w:val="0"/>
      <w:autoSpaceDN w:val="0"/>
    </w:pPr>
    <w:rPr>
      <w:rFonts w:ascii="Arial" w:hAnsi="Arial" w:cs="Arial"/>
      <w:b/>
      <w:bCs/>
      <w:spacing w:val="-3"/>
      <w:sz w:val="32"/>
      <w:szCs w:val="32"/>
      <w:lang w:eastAsia="en-AU"/>
    </w:rPr>
  </w:style>
  <w:style w:type="character" w:customStyle="1" w:styleId="personname3">
    <w:name w:val="person_name3"/>
    <w:basedOn w:val="DefaultParagraphFont"/>
  </w:style>
  <w:style w:type="character" w:customStyle="1" w:styleId="journalabstracttitle1">
    <w:name w:val="journal_abstract_title1"/>
    <w:basedOn w:val="DefaultParagraphFont"/>
    <w:rPr>
      <w:rFonts w:ascii="Arial" w:hAnsi="Arial" w:cs="Arial" w:hint="default"/>
      <w:b/>
      <w:bCs/>
      <w:caps w:val="0"/>
      <w:sz w:val="23"/>
      <w:szCs w:val="23"/>
    </w:rPr>
  </w:style>
  <w:style w:type="character" w:customStyle="1" w:styleId="author">
    <w:name w:val="author"/>
    <w:basedOn w:val="DefaultParagraphFont"/>
  </w:style>
  <w:style w:type="paragraph" w:customStyle="1" w:styleId="H5">
    <w:name w:val="H5"/>
    <w:basedOn w:val="Normal"/>
    <w:next w:val="Normal"/>
    <w:pPr>
      <w:keepNext/>
      <w:spacing w:before="100" w:after="100"/>
      <w:outlineLvl w:val="5"/>
    </w:pPr>
    <w:rPr>
      <w:b/>
      <w:snapToGrid w:val="0"/>
      <w:sz w:val="20"/>
      <w:szCs w:val="20"/>
    </w:rPr>
  </w:style>
  <w:style w:type="paragraph" w:customStyle="1" w:styleId="DefinitionTerm">
    <w:name w:val="Definition Term"/>
    <w:basedOn w:val="Normal"/>
    <w:next w:val="Normal"/>
    <w:rPr>
      <w:snapToGrid w:val="0"/>
      <w:sz w:val="20"/>
      <w:szCs w:val="20"/>
    </w:rPr>
  </w:style>
  <w:style w:type="paragraph" w:customStyle="1" w:styleId="Char0">
    <w:name w:val="Char"/>
    <w:basedOn w:val="Normal"/>
    <w:rPr>
      <w:rFonts w:ascii="Arial" w:hAnsi="Arial"/>
      <w:sz w:val="22"/>
      <w:szCs w:val="20"/>
    </w:rPr>
  </w:style>
  <w:style w:type="paragraph" w:customStyle="1" w:styleId="articletitle">
    <w:name w:val="articletitle"/>
    <w:basedOn w:val="Normal"/>
    <w:pPr>
      <w:spacing w:before="100" w:beforeAutospacing="1" w:after="100" w:afterAutospacing="1"/>
    </w:pPr>
    <w:rPr>
      <w:rFonts w:ascii="Arial Unicode MS" w:eastAsia="Arial Unicode MS" w:hAnsi="Arial Unicode MS" w:cs="Arial Unicode MS"/>
      <w:b/>
      <w:bCs/>
      <w:color w:val="000000"/>
      <w:sz w:val="36"/>
      <w:szCs w:val="36"/>
      <w:lang w:eastAsia="en-AU"/>
    </w:rPr>
  </w:style>
  <w:style w:type="character" w:customStyle="1" w:styleId="pubyear">
    <w:name w:val="pubyear"/>
    <w:basedOn w:val="DefaultParagraphFont"/>
  </w:style>
  <w:style w:type="character" w:customStyle="1" w:styleId="journaltitle2">
    <w:name w:val="journaltitle2"/>
    <w:basedOn w:val="DefaultParagraphFont"/>
    <w:rPr>
      <w:i/>
      <w:iCs/>
    </w:rPr>
  </w:style>
  <w:style w:type="character" w:customStyle="1" w:styleId="vol2">
    <w:name w:val="vol2"/>
    <w:basedOn w:val="DefaultParagraphFont"/>
    <w:rPr>
      <w:b/>
      <w:bCs/>
    </w:rPr>
  </w:style>
  <w:style w:type="character" w:customStyle="1" w:styleId="pagefirst">
    <w:name w:val="pagefirst"/>
    <w:basedOn w:val="DefaultParagraphFont"/>
  </w:style>
  <w:style w:type="character" w:customStyle="1" w:styleId="pagelast">
    <w:name w:val="pagelast"/>
    <w:basedOn w:val="DefaultParagraphFont"/>
  </w:style>
  <w:style w:type="character" w:customStyle="1" w:styleId="othertitle">
    <w:name w:val="othertitle"/>
    <w:basedOn w:val="DefaultParagraphFont"/>
  </w:style>
  <w:style w:type="character" w:customStyle="1" w:styleId="mixed-citation">
    <w:name w:val="mixed-citation"/>
    <w:basedOn w:val="DefaultParagraphFont"/>
  </w:style>
  <w:style w:type="character" w:customStyle="1" w:styleId="ref-title">
    <w:name w:val="ref-title"/>
    <w:basedOn w:val="DefaultParagraphFont"/>
  </w:style>
  <w:style w:type="character" w:customStyle="1" w:styleId="ref-journal1">
    <w:name w:val="ref-journal1"/>
    <w:basedOn w:val="DefaultParagraphFont"/>
    <w:rPr>
      <w:i/>
      <w:iCs/>
    </w:rPr>
  </w:style>
  <w:style w:type="character" w:customStyle="1" w:styleId="ref-vol">
    <w:name w:val="ref-vol"/>
    <w:basedOn w:val="DefaultParagraphFont"/>
  </w:style>
  <w:style w:type="paragraph" w:customStyle="1" w:styleId="CM2">
    <w:name w:val="CM2"/>
    <w:basedOn w:val="Default"/>
    <w:next w:val="Default"/>
    <w:uiPriority w:val="99"/>
    <w:rPr>
      <w:rFonts w:ascii="MDJPP J+ Adv P 1964" w:hAnsi="MDJPP J+ Adv P 1964"/>
      <w:color w:val="auto"/>
    </w:rPr>
  </w:style>
  <w:style w:type="paragraph" w:customStyle="1" w:styleId="CM17">
    <w:name w:val="CM17"/>
    <w:basedOn w:val="Default"/>
    <w:next w:val="Default"/>
    <w:uiPriority w:val="99"/>
    <w:rPr>
      <w:rFonts w:ascii="MDJPP J+ Adv P 1964" w:hAnsi="MDJPP J+ Adv P 1964"/>
      <w:color w:val="auto"/>
    </w:rPr>
  </w:style>
  <w:style w:type="paragraph" w:customStyle="1" w:styleId="CM16">
    <w:name w:val="CM16"/>
    <w:basedOn w:val="Default"/>
    <w:next w:val="Default"/>
    <w:uiPriority w:val="99"/>
    <w:rPr>
      <w:rFonts w:ascii="MDJPP J+ Adv P 1964" w:hAnsi="MDJPP J+ Adv P 1964"/>
      <w:color w:val="auto"/>
    </w:rPr>
  </w:style>
  <w:style w:type="paragraph" w:customStyle="1" w:styleId="CM1">
    <w:name w:val="CM1"/>
    <w:basedOn w:val="Default"/>
    <w:next w:val="Default"/>
    <w:uiPriority w:val="99"/>
    <w:rPr>
      <w:rFonts w:ascii="MDJPO D+ Adv P 1968" w:hAnsi="MDJPO D+ Adv P 1968"/>
      <w:color w:val="auto"/>
    </w:rPr>
  </w:style>
  <w:style w:type="character" w:customStyle="1" w:styleId="cit-pub-date1">
    <w:name w:val="cit-pub-date1"/>
    <w:basedOn w:val="DefaultParagraphFont"/>
    <w:rPr>
      <w:b/>
      <w:bCs/>
    </w:rPr>
  </w:style>
  <w:style w:type="character" w:customStyle="1" w:styleId="subtitle0">
    <w:name w:val="subtitle"/>
    <w:basedOn w:val="DefaultParagraphFont"/>
  </w:style>
  <w:style w:type="character" w:customStyle="1" w:styleId="description1">
    <w:name w:val="description1"/>
    <w:basedOn w:val="DefaultParagraphFont"/>
    <w:rPr>
      <w:sz w:val="20"/>
      <w:szCs w:val="20"/>
    </w:rPr>
  </w:style>
  <w:style w:type="character" w:customStyle="1" w:styleId="fn">
    <w:name w:val="fn"/>
    <w:basedOn w:val="DefaultParagraphFont"/>
  </w:style>
  <w:style w:type="paragraph" w:styleId="HTMLAddress">
    <w:name w:val="HTML Address"/>
    <w:basedOn w:val="Normal"/>
    <w:link w:val="HTMLAddressChar"/>
    <w:uiPriority w:val="99"/>
    <w:unhideWhenUsed/>
    <w:rPr>
      <w:i/>
      <w:iCs/>
      <w:lang w:eastAsia="en-AU"/>
    </w:rPr>
  </w:style>
  <w:style w:type="character" w:customStyle="1" w:styleId="HTMLAddressChar">
    <w:name w:val="HTML Address Char"/>
    <w:basedOn w:val="DefaultParagraphFont"/>
    <w:link w:val="HTMLAddress"/>
    <w:uiPriority w:val="99"/>
    <w:rPr>
      <w:i/>
      <w:iCs/>
      <w:sz w:val="24"/>
      <w:szCs w:val="24"/>
    </w:rPr>
  </w:style>
  <w:style w:type="paragraph" w:customStyle="1" w:styleId="BodyText5">
    <w:name w:val="Body Text+5"/>
    <w:basedOn w:val="Default"/>
    <w:next w:val="Default"/>
    <w:uiPriority w:val="99"/>
    <w:rPr>
      <w:rFonts w:ascii="Arial" w:hAnsi="Arial" w:cs="Arial"/>
      <w:color w:val="auto"/>
    </w:rPr>
  </w:style>
  <w:style w:type="character" w:customStyle="1" w:styleId="hit">
    <w:name w:val="hit"/>
    <w:basedOn w:val="DefaultParagraphFont"/>
    <w:rPr>
      <w:sz w:val="24"/>
      <w:szCs w:val="24"/>
      <w:bdr w:val="none" w:sz="0" w:space="0" w:color="auto" w:frame="1"/>
      <w:shd w:val="clear" w:color="auto" w:fill="FFFFDD"/>
      <w:vertAlign w:val="baseline"/>
    </w:rPr>
  </w:style>
  <w:style w:type="character" w:customStyle="1" w:styleId="sectiontitle1">
    <w:name w:val="sectiontitle1"/>
    <w:basedOn w:val="DefaultParagraphFont"/>
    <w:rPr>
      <w:rFonts w:ascii="Verdana" w:hAnsi="Verdana" w:hint="default"/>
      <w:b/>
      <w:bCs/>
      <w:i w:val="0"/>
      <w:iCs w:val="0"/>
      <w:color w:val="284469"/>
      <w:spacing w:val="30"/>
      <w:sz w:val="24"/>
      <w:szCs w:val="24"/>
    </w:rPr>
  </w:style>
  <w:style w:type="paragraph" w:customStyle="1" w:styleId="Dot">
    <w:name w:val="Dot"/>
    <w:basedOn w:val="Normal"/>
    <w:pPr>
      <w:numPr>
        <w:numId w:val="30"/>
      </w:numPr>
    </w:pPr>
    <w:rPr>
      <w:szCs w:val="20"/>
    </w:rPr>
  </w:style>
  <w:style w:type="paragraph" w:customStyle="1" w:styleId="Pa1">
    <w:name w:val="Pa1"/>
    <w:basedOn w:val="Default"/>
    <w:next w:val="Default"/>
    <w:uiPriority w:val="99"/>
    <w:pPr>
      <w:spacing w:line="241" w:lineRule="atLeast"/>
    </w:pPr>
    <w:rPr>
      <w:rFonts w:ascii="NewCenturySchlbk" w:hAnsi="NewCenturySchlbk"/>
      <w:color w:val="auto"/>
    </w:rPr>
  </w:style>
  <w:style w:type="character" w:customStyle="1" w:styleId="A8">
    <w:name w:val="A8"/>
    <w:uiPriority w:val="99"/>
    <w:rPr>
      <w:rFonts w:cs="NewCenturySchlbk"/>
      <w:color w:val="000000"/>
      <w:sz w:val="16"/>
      <w:szCs w:val="16"/>
    </w:rPr>
  </w:style>
  <w:style w:type="character" w:customStyle="1" w:styleId="A1">
    <w:name w:val="A1"/>
    <w:uiPriority w:val="99"/>
    <w:rPr>
      <w:rFonts w:cs="NewCenturySchlbk"/>
      <w:color w:val="000000"/>
      <w:sz w:val="20"/>
      <w:szCs w:val="20"/>
    </w:rPr>
  </w:style>
  <w:style w:type="character" w:customStyle="1" w:styleId="st1">
    <w:name w:val="st1"/>
    <w:basedOn w:val="DefaultParagraphFont"/>
  </w:style>
</w:styles>
</file>

<file path=word/webSettings.xml><?xml version="1.0" encoding="utf-8"?>
<w:webSettings xmlns:r="http://schemas.openxmlformats.org/officeDocument/2006/relationships" xmlns:w="http://schemas.openxmlformats.org/wordprocessingml/2006/main">
  <w:divs>
    <w:div w:id="395493">
      <w:bodyDiv w:val="1"/>
      <w:marLeft w:val="0"/>
      <w:marRight w:val="0"/>
      <w:marTop w:val="0"/>
      <w:marBottom w:val="0"/>
      <w:divBdr>
        <w:top w:val="none" w:sz="0" w:space="0" w:color="auto"/>
        <w:left w:val="none" w:sz="0" w:space="0" w:color="auto"/>
        <w:bottom w:val="none" w:sz="0" w:space="0" w:color="auto"/>
        <w:right w:val="none" w:sz="0" w:space="0" w:color="auto"/>
      </w:divBdr>
      <w:divsChild>
        <w:div w:id="651299430">
          <w:marLeft w:val="120"/>
          <w:marRight w:val="120"/>
          <w:marTop w:val="120"/>
          <w:marBottom w:val="120"/>
          <w:divBdr>
            <w:top w:val="none" w:sz="0" w:space="0" w:color="auto"/>
            <w:left w:val="none" w:sz="0" w:space="0" w:color="auto"/>
            <w:bottom w:val="none" w:sz="0" w:space="0" w:color="auto"/>
            <w:right w:val="none" w:sz="0" w:space="0" w:color="auto"/>
          </w:divBdr>
          <w:divsChild>
            <w:div w:id="1978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506">
      <w:bodyDiv w:val="1"/>
      <w:marLeft w:val="0"/>
      <w:marRight w:val="0"/>
      <w:marTop w:val="0"/>
      <w:marBottom w:val="0"/>
      <w:divBdr>
        <w:top w:val="none" w:sz="0" w:space="0" w:color="auto"/>
        <w:left w:val="none" w:sz="0" w:space="0" w:color="auto"/>
        <w:bottom w:val="none" w:sz="0" w:space="0" w:color="auto"/>
        <w:right w:val="none" w:sz="0" w:space="0" w:color="auto"/>
      </w:divBdr>
      <w:divsChild>
        <w:div w:id="316494667">
          <w:marLeft w:val="0"/>
          <w:marRight w:val="0"/>
          <w:marTop w:val="100"/>
          <w:marBottom w:val="100"/>
          <w:divBdr>
            <w:top w:val="none" w:sz="0" w:space="0" w:color="auto"/>
            <w:left w:val="none" w:sz="0" w:space="0" w:color="auto"/>
            <w:bottom w:val="none" w:sz="0" w:space="0" w:color="auto"/>
            <w:right w:val="none" w:sz="0" w:space="0" w:color="auto"/>
          </w:divBdr>
          <w:divsChild>
            <w:div w:id="913274378">
              <w:marLeft w:val="0"/>
              <w:marRight w:val="0"/>
              <w:marTop w:val="0"/>
              <w:marBottom w:val="0"/>
              <w:divBdr>
                <w:top w:val="none" w:sz="0" w:space="0" w:color="auto"/>
                <w:left w:val="none" w:sz="0" w:space="0" w:color="auto"/>
                <w:bottom w:val="none" w:sz="0" w:space="0" w:color="auto"/>
                <w:right w:val="none" w:sz="0" w:space="0" w:color="auto"/>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61421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352">
      <w:bodyDiv w:val="1"/>
      <w:marLeft w:val="0"/>
      <w:marRight w:val="0"/>
      <w:marTop w:val="0"/>
      <w:marBottom w:val="0"/>
      <w:divBdr>
        <w:top w:val="none" w:sz="0" w:space="0" w:color="auto"/>
        <w:left w:val="none" w:sz="0" w:space="0" w:color="auto"/>
        <w:bottom w:val="none" w:sz="0" w:space="0" w:color="auto"/>
        <w:right w:val="none" w:sz="0" w:space="0" w:color="auto"/>
      </w:divBdr>
      <w:divsChild>
        <w:div w:id="752553278">
          <w:marLeft w:val="0"/>
          <w:marRight w:val="0"/>
          <w:marTop w:val="0"/>
          <w:marBottom w:val="0"/>
          <w:divBdr>
            <w:top w:val="none" w:sz="0" w:space="0" w:color="auto"/>
            <w:left w:val="none" w:sz="0" w:space="0" w:color="auto"/>
            <w:bottom w:val="none" w:sz="0" w:space="0" w:color="auto"/>
            <w:right w:val="none" w:sz="0" w:space="0" w:color="auto"/>
          </w:divBdr>
          <w:divsChild>
            <w:div w:id="2109959754">
              <w:marLeft w:val="0"/>
              <w:marRight w:val="0"/>
              <w:marTop w:val="0"/>
              <w:marBottom w:val="0"/>
              <w:divBdr>
                <w:top w:val="none" w:sz="0" w:space="0" w:color="auto"/>
                <w:left w:val="none" w:sz="0" w:space="0" w:color="auto"/>
                <w:bottom w:val="none" w:sz="0" w:space="0" w:color="auto"/>
                <w:right w:val="none" w:sz="0" w:space="0" w:color="auto"/>
              </w:divBdr>
              <w:divsChild>
                <w:div w:id="248933210">
                  <w:marLeft w:val="0"/>
                  <w:marRight w:val="0"/>
                  <w:marTop w:val="0"/>
                  <w:marBottom w:val="0"/>
                  <w:divBdr>
                    <w:top w:val="none" w:sz="0" w:space="0" w:color="auto"/>
                    <w:left w:val="none" w:sz="0" w:space="0" w:color="auto"/>
                    <w:bottom w:val="none" w:sz="0" w:space="0" w:color="auto"/>
                    <w:right w:val="none" w:sz="0" w:space="0" w:color="auto"/>
                  </w:divBdr>
                  <w:divsChild>
                    <w:div w:id="16347929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4132">
      <w:bodyDiv w:val="1"/>
      <w:marLeft w:val="0"/>
      <w:marRight w:val="0"/>
      <w:marTop w:val="0"/>
      <w:marBottom w:val="0"/>
      <w:divBdr>
        <w:top w:val="none" w:sz="0" w:space="0" w:color="auto"/>
        <w:left w:val="none" w:sz="0" w:space="0" w:color="auto"/>
        <w:bottom w:val="none" w:sz="0" w:space="0" w:color="auto"/>
        <w:right w:val="none" w:sz="0" w:space="0" w:color="auto"/>
      </w:divBdr>
      <w:divsChild>
        <w:div w:id="1590579336">
          <w:marLeft w:val="0"/>
          <w:marRight w:val="0"/>
          <w:marTop w:val="0"/>
          <w:marBottom w:val="0"/>
          <w:divBdr>
            <w:top w:val="none" w:sz="0" w:space="0" w:color="auto"/>
            <w:left w:val="none" w:sz="0" w:space="0" w:color="auto"/>
            <w:bottom w:val="none" w:sz="0" w:space="0" w:color="auto"/>
            <w:right w:val="none" w:sz="0" w:space="0" w:color="auto"/>
          </w:divBdr>
          <w:divsChild>
            <w:div w:id="344402599">
              <w:marLeft w:val="0"/>
              <w:marRight w:val="72"/>
              <w:marTop w:val="96"/>
              <w:marBottom w:val="0"/>
              <w:divBdr>
                <w:top w:val="none" w:sz="0" w:space="0" w:color="auto"/>
                <w:left w:val="none" w:sz="0" w:space="0" w:color="auto"/>
                <w:bottom w:val="none" w:sz="0" w:space="0" w:color="auto"/>
                <w:right w:val="none" w:sz="0" w:space="0" w:color="auto"/>
              </w:divBdr>
              <w:divsChild>
                <w:div w:id="263192590">
                  <w:marLeft w:val="0"/>
                  <w:marRight w:val="0"/>
                  <w:marTop w:val="0"/>
                  <w:marBottom w:val="0"/>
                  <w:divBdr>
                    <w:top w:val="none" w:sz="0" w:space="0" w:color="auto"/>
                    <w:left w:val="none" w:sz="0" w:space="0" w:color="auto"/>
                    <w:bottom w:val="none" w:sz="0" w:space="0" w:color="auto"/>
                    <w:right w:val="none" w:sz="0" w:space="0" w:color="auto"/>
                  </w:divBdr>
                  <w:divsChild>
                    <w:div w:id="2023778161">
                      <w:marLeft w:val="0"/>
                      <w:marRight w:val="0"/>
                      <w:marTop w:val="0"/>
                      <w:marBottom w:val="0"/>
                      <w:divBdr>
                        <w:top w:val="none" w:sz="0" w:space="0" w:color="auto"/>
                        <w:left w:val="none" w:sz="0" w:space="0" w:color="auto"/>
                        <w:bottom w:val="none" w:sz="0" w:space="0" w:color="auto"/>
                        <w:right w:val="none" w:sz="0" w:space="0" w:color="auto"/>
                      </w:divBdr>
                      <w:divsChild>
                        <w:div w:id="87912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3129">
      <w:bodyDiv w:val="1"/>
      <w:marLeft w:val="0"/>
      <w:marRight w:val="0"/>
      <w:marTop w:val="0"/>
      <w:marBottom w:val="0"/>
      <w:divBdr>
        <w:top w:val="none" w:sz="0" w:space="0" w:color="auto"/>
        <w:left w:val="none" w:sz="0" w:space="0" w:color="auto"/>
        <w:bottom w:val="none" w:sz="0" w:space="0" w:color="auto"/>
        <w:right w:val="none" w:sz="0" w:space="0" w:color="auto"/>
      </w:divBdr>
    </w:div>
    <w:div w:id="25571257">
      <w:bodyDiv w:val="1"/>
      <w:marLeft w:val="0"/>
      <w:marRight w:val="0"/>
      <w:marTop w:val="0"/>
      <w:marBottom w:val="0"/>
      <w:divBdr>
        <w:top w:val="none" w:sz="0" w:space="0" w:color="auto"/>
        <w:left w:val="none" w:sz="0" w:space="0" w:color="auto"/>
        <w:bottom w:val="none" w:sz="0" w:space="0" w:color="auto"/>
        <w:right w:val="none" w:sz="0" w:space="0" w:color="auto"/>
      </w:divBdr>
    </w:div>
    <w:div w:id="33697136">
      <w:bodyDiv w:val="1"/>
      <w:marLeft w:val="0"/>
      <w:marRight w:val="0"/>
      <w:marTop w:val="0"/>
      <w:marBottom w:val="0"/>
      <w:divBdr>
        <w:top w:val="none" w:sz="0" w:space="0" w:color="auto"/>
        <w:left w:val="none" w:sz="0" w:space="0" w:color="auto"/>
        <w:bottom w:val="none" w:sz="0" w:space="0" w:color="auto"/>
        <w:right w:val="none" w:sz="0" w:space="0" w:color="auto"/>
      </w:divBdr>
      <w:divsChild>
        <w:div w:id="498425766">
          <w:marLeft w:val="0"/>
          <w:marRight w:val="0"/>
          <w:marTop w:val="0"/>
          <w:marBottom w:val="0"/>
          <w:divBdr>
            <w:top w:val="none" w:sz="0" w:space="0" w:color="auto"/>
            <w:left w:val="none" w:sz="0" w:space="0" w:color="auto"/>
            <w:bottom w:val="none" w:sz="0" w:space="0" w:color="auto"/>
            <w:right w:val="none" w:sz="0" w:space="0" w:color="auto"/>
          </w:divBdr>
          <w:divsChild>
            <w:div w:id="854853196">
              <w:marLeft w:val="0"/>
              <w:marRight w:val="0"/>
              <w:marTop w:val="0"/>
              <w:marBottom w:val="0"/>
              <w:divBdr>
                <w:top w:val="none" w:sz="0" w:space="0" w:color="auto"/>
                <w:left w:val="none" w:sz="0" w:space="0" w:color="auto"/>
                <w:bottom w:val="none" w:sz="0" w:space="0" w:color="auto"/>
                <w:right w:val="none" w:sz="0" w:space="0" w:color="auto"/>
              </w:divBdr>
              <w:divsChild>
                <w:div w:id="769155894">
                  <w:marLeft w:val="0"/>
                  <w:marRight w:val="0"/>
                  <w:marTop w:val="0"/>
                  <w:marBottom w:val="0"/>
                  <w:divBdr>
                    <w:top w:val="none" w:sz="0" w:space="0" w:color="auto"/>
                    <w:left w:val="none" w:sz="0" w:space="0" w:color="auto"/>
                    <w:bottom w:val="none" w:sz="0" w:space="0" w:color="auto"/>
                    <w:right w:val="none" w:sz="0" w:space="0" w:color="auto"/>
                  </w:divBdr>
                  <w:divsChild>
                    <w:div w:id="208735557">
                      <w:marLeft w:val="0"/>
                      <w:marRight w:val="0"/>
                      <w:marTop w:val="0"/>
                      <w:marBottom w:val="0"/>
                      <w:divBdr>
                        <w:top w:val="none" w:sz="0" w:space="0" w:color="auto"/>
                        <w:left w:val="none" w:sz="0" w:space="0" w:color="auto"/>
                        <w:bottom w:val="none" w:sz="0" w:space="0" w:color="auto"/>
                        <w:right w:val="none" w:sz="0" w:space="0" w:color="auto"/>
                      </w:divBdr>
                      <w:divsChild>
                        <w:div w:id="56130349">
                          <w:marLeft w:val="0"/>
                          <w:marRight w:val="0"/>
                          <w:marTop w:val="0"/>
                          <w:marBottom w:val="0"/>
                          <w:divBdr>
                            <w:top w:val="none" w:sz="0" w:space="0" w:color="auto"/>
                            <w:left w:val="none" w:sz="0" w:space="0" w:color="auto"/>
                            <w:bottom w:val="none" w:sz="0" w:space="0" w:color="auto"/>
                            <w:right w:val="none" w:sz="0" w:space="0" w:color="auto"/>
                          </w:divBdr>
                          <w:divsChild>
                            <w:div w:id="1736246699">
                              <w:marLeft w:val="0"/>
                              <w:marRight w:val="0"/>
                              <w:marTop w:val="0"/>
                              <w:marBottom w:val="0"/>
                              <w:divBdr>
                                <w:top w:val="none" w:sz="0" w:space="0" w:color="auto"/>
                                <w:left w:val="none" w:sz="0" w:space="0" w:color="auto"/>
                                <w:bottom w:val="none" w:sz="0" w:space="0" w:color="auto"/>
                                <w:right w:val="none" w:sz="0" w:space="0" w:color="auto"/>
                              </w:divBdr>
                              <w:divsChild>
                                <w:div w:id="361826010">
                                  <w:marLeft w:val="0"/>
                                  <w:marRight w:val="0"/>
                                  <w:marTop w:val="0"/>
                                  <w:marBottom w:val="0"/>
                                  <w:divBdr>
                                    <w:top w:val="none" w:sz="0" w:space="0" w:color="auto"/>
                                    <w:left w:val="none" w:sz="0" w:space="0" w:color="auto"/>
                                    <w:bottom w:val="none" w:sz="0" w:space="0" w:color="auto"/>
                                    <w:right w:val="none" w:sz="0" w:space="0" w:color="auto"/>
                                  </w:divBdr>
                                  <w:divsChild>
                                    <w:div w:id="6541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78531">
      <w:bodyDiv w:val="1"/>
      <w:marLeft w:val="0"/>
      <w:marRight w:val="0"/>
      <w:marTop w:val="0"/>
      <w:marBottom w:val="0"/>
      <w:divBdr>
        <w:top w:val="none" w:sz="0" w:space="0" w:color="auto"/>
        <w:left w:val="none" w:sz="0" w:space="0" w:color="auto"/>
        <w:bottom w:val="none" w:sz="0" w:space="0" w:color="auto"/>
        <w:right w:val="none" w:sz="0" w:space="0" w:color="auto"/>
      </w:divBdr>
      <w:divsChild>
        <w:div w:id="212355708">
          <w:marLeft w:val="0"/>
          <w:marRight w:val="0"/>
          <w:marTop w:val="100"/>
          <w:marBottom w:val="100"/>
          <w:divBdr>
            <w:top w:val="none" w:sz="0" w:space="0" w:color="auto"/>
            <w:left w:val="none" w:sz="0" w:space="0" w:color="auto"/>
            <w:bottom w:val="none" w:sz="0" w:space="0" w:color="auto"/>
            <w:right w:val="none" w:sz="0" w:space="0" w:color="auto"/>
          </w:divBdr>
          <w:divsChild>
            <w:div w:id="1958633679">
              <w:marLeft w:val="0"/>
              <w:marRight w:val="0"/>
              <w:marTop w:val="0"/>
              <w:marBottom w:val="0"/>
              <w:divBdr>
                <w:top w:val="none" w:sz="0" w:space="0" w:color="auto"/>
                <w:left w:val="none" w:sz="0" w:space="0" w:color="auto"/>
                <w:bottom w:val="none" w:sz="0" w:space="0" w:color="auto"/>
                <w:right w:val="none" w:sz="0" w:space="0" w:color="auto"/>
              </w:divBdr>
              <w:divsChild>
                <w:div w:id="600259181">
                  <w:marLeft w:val="0"/>
                  <w:marRight w:val="0"/>
                  <w:marTop w:val="0"/>
                  <w:marBottom w:val="0"/>
                  <w:divBdr>
                    <w:top w:val="none" w:sz="0" w:space="0" w:color="auto"/>
                    <w:left w:val="none" w:sz="0" w:space="0" w:color="auto"/>
                    <w:bottom w:val="none" w:sz="0" w:space="0" w:color="auto"/>
                    <w:right w:val="none" w:sz="0" w:space="0" w:color="auto"/>
                  </w:divBdr>
                  <w:divsChild>
                    <w:div w:id="8725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8974">
      <w:bodyDiv w:val="1"/>
      <w:marLeft w:val="0"/>
      <w:marRight w:val="0"/>
      <w:marTop w:val="0"/>
      <w:marBottom w:val="0"/>
      <w:divBdr>
        <w:top w:val="none" w:sz="0" w:space="0" w:color="auto"/>
        <w:left w:val="none" w:sz="0" w:space="0" w:color="auto"/>
        <w:bottom w:val="none" w:sz="0" w:space="0" w:color="auto"/>
        <w:right w:val="none" w:sz="0" w:space="0" w:color="auto"/>
      </w:divBdr>
      <w:divsChild>
        <w:div w:id="668676640">
          <w:marLeft w:val="0"/>
          <w:marRight w:val="0"/>
          <w:marTop w:val="0"/>
          <w:marBottom w:val="0"/>
          <w:divBdr>
            <w:top w:val="none" w:sz="0" w:space="0" w:color="auto"/>
            <w:left w:val="none" w:sz="0" w:space="0" w:color="auto"/>
            <w:bottom w:val="none" w:sz="0" w:space="0" w:color="auto"/>
            <w:right w:val="none" w:sz="0" w:space="0" w:color="auto"/>
          </w:divBdr>
        </w:div>
      </w:divsChild>
    </w:div>
    <w:div w:id="73355203">
      <w:bodyDiv w:val="1"/>
      <w:marLeft w:val="0"/>
      <w:marRight w:val="0"/>
      <w:marTop w:val="0"/>
      <w:marBottom w:val="0"/>
      <w:divBdr>
        <w:top w:val="none" w:sz="0" w:space="0" w:color="auto"/>
        <w:left w:val="none" w:sz="0" w:space="0" w:color="auto"/>
        <w:bottom w:val="none" w:sz="0" w:space="0" w:color="auto"/>
        <w:right w:val="none" w:sz="0" w:space="0" w:color="auto"/>
      </w:divBdr>
    </w:div>
    <w:div w:id="84500310">
      <w:bodyDiv w:val="1"/>
      <w:marLeft w:val="0"/>
      <w:marRight w:val="0"/>
      <w:marTop w:val="0"/>
      <w:marBottom w:val="0"/>
      <w:divBdr>
        <w:top w:val="none" w:sz="0" w:space="0" w:color="auto"/>
        <w:left w:val="none" w:sz="0" w:space="0" w:color="auto"/>
        <w:bottom w:val="none" w:sz="0" w:space="0" w:color="auto"/>
        <w:right w:val="none" w:sz="0" w:space="0" w:color="auto"/>
      </w:divBdr>
      <w:divsChild>
        <w:div w:id="426539624">
          <w:marLeft w:val="0"/>
          <w:marRight w:val="0"/>
          <w:marTop w:val="0"/>
          <w:marBottom w:val="0"/>
          <w:divBdr>
            <w:top w:val="none" w:sz="0" w:space="0" w:color="auto"/>
            <w:left w:val="none" w:sz="0" w:space="0" w:color="auto"/>
            <w:bottom w:val="none" w:sz="0" w:space="0" w:color="auto"/>
            <w:right w:val="none" w:sz="0" w:space="0" w:color="auto"/>
          </w:divBdr>
          <w:divsChild>
            <w:div w:id="1008404249">
              <w:marLeft w:val="0"/>
              <w:marRight w:val="0"/>
              <w:marTop w:val="0"/>
              <w:marBottom w:val="0"/>
              <w:divBdr>
                <w:top w:val="none" w:sz="0" w:space="0" w:color="auto"/>
                <w:left w:val="none" w:sz="0" w:space="0" w:color="auto"/>
                <w:bottom w:val="none" w:sz="0" w:space="0" w:color="auto"/>
                <w:right w:val="none" w:sz="0" w:space="0" w:color="auto"/>
              </w:divBdr>
            </w:div>
            <w:div w:id="12118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3467">
      <w:bodyDiv w:val="1"/>
      <w:marLeft w:val="0"/>
      <w:marRight w:val="0"/>
      <w:marTop w:val="0"/>
      <w:marBottom w:val="0"/>
      <w:divBdr>
        <w:top w:val="none" w:sz="0" w:space="0" w:color="auto"/>
        <w:left w:val="none" w:sz="0" w:space="0" w:color="auto"/>
        <w:bottom w:val="none" w:sz="0" w:space="0" w:color="auto"/>
        <w:right w:val="none" w:sz="0" w:space="0" w:color="auto"/>
      </w:divBdr>
      <w:divsChild>
        <w:div w:id="1924795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967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082931">
      <w:bodyDiv w:val="1"/>
      <w:marLeft w:val="0"/>
      <w:marRight w:val="0"/>
      <w:marTop w:val="0"/>
      <w:marBottom w:val="0"/>
      <w:divBdr>
        <w:top w:val="none" w:sz="0" w:space="0" w:color="auto"/>
        <w:left w:val="none" w:sz="0" w:space="0" w:color="auto"/>
        <w:bottom w:val="none" w:sz="0" w:space="0" w:color="auto"/>
        <w:right w:val="none" w:sz="0" w:space="0" w:color="auto"/>
      </w:divBdr>
      <w:divsChild>
        <w:div w:id="464931665">
          <w:marLeft w:val="0"/>
          <w:marRight w:val="0"/>
          <w:marTop w:val="0"/>
          <w:marBottom w:val="0"/>
          <w:divBdr>
            <w:top w:val="none" w:sz="0" w:space="0" w:color="auto"/>
            <w:left w:val="none" w:sz="0" w:space="0" w:color="auto"/>
            <w:bottom w:val="none" w:sz="0" w:space="0" w:color="auto"/>
            <w:right w:val="none" w:sz="0" w:space="0" w:color="auto"/>
          </w:divBdr>
          <w:divsChild>
            <w:div w:id="61175663">
              <w:marLeft w:val="0"/>
              <w:marRight w:val="0"/>
              <w:marTop w:val="0"/>
              <w:marBottom w:val="0"/>
              <w:divBdr>
                <w:top w:val="none" w:sz="0" w:space="0" w:color="auto"/>
                <w:left w:val="none" w:sz="0" w:space="0" w:color="auto"/>
                <w:bottom w:val="none" w:sz="0" w:space="0" w:color="auto"/>
                <w:right w:val="none" w:sz="0" w:space="0" w:color="auto"/>
              </w:divBdr>
              <w:divsChild>
                <w:div w:id="2004502993">
                  <w:marLeft w:val="0"/>
                  <w:marRight w:val="0"/>
                  <w:marTop w:val="0"/>
                  <w:marBottom w:val="0"/>
                  <w:divBdr>
                    <w:top w:val="none" w:sz="0" w:space="0" w:color="auto"/>
                    <w:left w:val="none" w:sz="0" w:space="0" w:color="auto"/>
                    <w:bottom w:val="none" w:sz="0" w:space="0" w:color="auto"/>
                    <w:right w:val="none" w:sz="0" w:space="0" w:color="auto"/>
                  </w:divBdr>
                  <w:divsChild>
                    <w:div w:id="79432493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04633">
      <w:bodyDiv w:val="1"/>
      <w:marLeft w:val="0"/>
      <w:marRight w:val="0"/>
      <w:marTop w:val="0"/>
      <w:marBottom w:val="0"/>
      <w:divBdr>
        <w:top w:val="none" w:sz="0" w:space="0" w:color="auto"/>
        <w:left w:val="none" w:sz="0" w:space="0" w:color="auto"/>
        <w:bottom w:val="none" w:sz="0" w:space="0" w:color="auto"/>
        <w:right w:val="none" w:sz="0" w:space="0" w:color="auto"/>
      </w:divBdr>
    </w:div>
    <w:div w:id="166135533">
      <w:bodyDiv w:val="1"/>
      <w:marLeft w:val="-480"/>
      <w:marRight w:val="0"/>
      <w:marTop w:val="0"/>
      <w:marBottom w:val="0"/>
      <w:divBdr>
        <w:top w:val="none" w:sz="0" w:space="0" w:color="auto"/>
        <w:left w:val="none" w:sz="0" w:space="0" w:color="auto"/>
        <w:bottom w:val="none" w:sz="0" w:space="0" w:color="auto"/>
        <w:right w:val="none" w:sz="0" w:space="0" w:color="auto"/>
      </w:divBdr>
      <w:divsChild>
        <w:div w:id="914322534">
          <w:marLeft w:val="0"/>
          <w:marRight w:val="0"/>
          <w:marTop w:val="0"/>
          <w:marBottom w:val="0"/>
          <w:divBdr>
            <w:top w:val="none" w:sz="0" w:space="0" w:color="auto"/>
            <w:left w:val="none" w:sz="0" w:space="0" w:color="auto"/>
            <w:bottom w:val="none" w:sz="0" w:space="0" w:color="auto"/>
            <w:right w:val="none" w:sz="0" w:space="0" w:color="auto"/>
          </w:divBdr>
          <w:divsChild>
            <w:div w:id="474949686">
              <w:marLeft w:val="0"/>
              <w:marRight w:val="0"/>
              <w:marTop w:val="0"/>
              <w:marBottom w:val="0"/>
              <w:divBdr>
                <w:top w:val="none" w:sz="0" w:space="0" w:color="auto"/>
                <w:left w:val="none" w:sz="0" w:space="0" w:color="auto"/>
                <w:bottom w:val="none" w:sz="0" w:space="0" w:color="auto"/>
                <w:right w:val="none" w:sz="0" w:space="0" w:color="auto"/>
              </w:divBdr>
              <w:divsChild>
                <w:div w:id="983047608">
                  <w:marLeft w:val="0"/>
                  <w:marRight w:val="0"/>
                  <w:marTop w:val="0"/>
                  <w:marBottom w:val="240"/>
                  <w:divBdr>
                    <w:top w:val="none" w:sz="0" w:space="0" w:color="auto"/>
                    <w:left w:val="none" w:sz="0" w:space="0" w:color="auto"/>
                    <w:bottom w:val="none" w:sz="0" w:space="0" w:color="auto"/>
                    <w:right w:val="none" w:sz="0" w:space="0" w:color="auto"/>
                  </w:divBdr>
                  <w:divsChild>
                    <w:div w:id="370810480">
                      <w:marLeft w:val="0"/>
                      <w:marRight w:val="0"/>
                      <w:marTop w:val="0"/>
                      <w:marBottom w:val="0"/>
                      <w:divBdr>
                        <w:top w:val="none" w:sz="0" w:space="0" w:color="auto"/>
                        <w:left w:val="none" w:sz="0" w:space="0" w:color="auto"/>
                        <w:bottom w:val="none" w:sz="0" w:space="0" w:color="auto"/>
                        <w:right w:val="none" w:sz="0" w:space="0" w:color="auto"/>
                      </w:divBdr>
                      <w:divsChild>
                        <w:div w:id="1499075596">
                          <w:marLeft w:val="0"/>
                          <w:marRight w:val="0"/>
                          <w:marTop w:val="0"/>
                          <w:marBottom w:val="240"/>
                          <w:divBdr>
                            <w:top w:val="none" w:sz="0" w:space="0" w:color="auto"/>
                            <w:left w:val="none" w:sz="0" w:space="0" w:color="auto"/>
                            <w:bottom w:val="none" w:sz="0" w:space="0" w:color="auto"/>
                            <w:right w:val="none" w:sz="0" w:space="0" w:color="auto"/>
                          </w:divBdr>
                          <w:divsChild>
                            <w:div w:id="517041155">
                              <w:marLeft w:val="0"/>
                              <w:marRight w:val="0"/>
                              <w:marTop w:val="0"/>
                              <w:marBottom w:val="0"/>
                              <w:divBdr>
                                <w:top w:val="none" w:sz="0" w:space="0" w:color="auto"/>
                                <w:left w:val="none" w:sz="0" w:space="0" w:color="auto"/>
                                <w:bottom w:val="none" w:sz="0" w:space="0" w:color="auto"/>
                                <w:right w:val="none" w:sz="0" w:space="0" w:color="auto"/>
                              </w:divBdr>
                              <w:divsChild>
                                <w:div w:id="18784227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73789">
      <w:bodyDiv w:val="1"/>
      <w:marLeft w:val="0"/>
      <w:marRight w:val="0"/>
      <w:marTop w:val="0"/>
      <w:marBottom w:val="0"/>
      <w:divBdr>
        <w:top w:val="none" w:sz="0" w:space="0" w:color="auto"/>
        <w:left w:val="none" w:sz="0" w:space="0" w:color="auto"/>
        <w:bottom w:val="none" w:sz="0" w:space="0" w:color="auto"/>
        <w:right w:val="none" w:sz="0" w:space="0" w:color="auto"/>
      </w:divBdr>
    </w:div>
    <w:div w:id="181212144">
      <w:bodyDiv w:val="1"/>
      <w:marLeft w:val="0"/>
      <w:marRight w:val="0"/>
      <w:marTop w:val="0"/>
      <w:marBottom w:val="0"/>
      <w:divBdr>
        <w:top w:val="none" w:sz="0" w:space="0" w:color="auto"/>
        <w:left w:val="none" w:sz="0" w:space="0" w:color="auto"/>
        <w:bottom w:val="none" w:sz="0" w:space="0" w:color="auto"/>
        <w:right w:val="none" w:sz="0" w:space="0" w:color="auto"/>
      </w:divBdr>
      <w:divsChild>
        <w:div w:id="1472021165">
          <w:marLeft w:val="0"/>
          <w:marRight w:val="0"/>
          <w:marTop w:val="0"/>
          <w:marBottom w:val="0"/>
          <w:divBdr>
            <w:top w:val="none" w:sz="0" w:space="0" w:color="auto"/>
            <w:left w:val="none" w:sz="0" w:space="0" w:color="auto"/>
            <w:bottom w:val="none" w:sz="0" w:space="0" w:color="auto"/>
            <w:right w:val="none" w:sz="0" w:space="0" w:color="auto"/>
          </w:divBdr>
          <w:divsChild>
            <w:div w:id="1482187755">
              <w:marLeft w:val="0"/>
              <w:marRight w:val="0"/>
              <w:marTop w:val="0"/>
              <w:marBottom w:val="0"/>
              <w:divBdr>
                <w:top w:val="none" w:sz="0" w:space="0" w:color="auto"/>
                <w:left w:val="none" w:sz="0" w:space="0" w:color="auto"/>
                <w:bottom w:val="none" w:sz="0" w:space="0" w:color="auto"/>
                <w:right w:val="none" w:sz="0" w:space="0" w:color="auto"/>
              </w:divBdr>
              <w:divsChild>
                <w:div w:id="1634361636">
                  <w:marLeft w:val="0"/>
                  <w:marRight w:val="0"/>
                  <w:marTop w:val="0"/>
                  <w:marBottom w:val="0"/>
                  <w:divBdr>
                    <w:top w:val="none" w:sz="0" w:space="0" w:color="auto"/>
                    <w:left w:val="none" w:sz="0" w:space="0" w:color="auto"/>
                    <w:bottom w:val="none" w:sz="0" w:space="0" w:color="auto"/>
                    <w:right w:val="none" w:sz="0" w:space="0" w:color="auto"/>
                  </w:divBdr>
                  <w:divsChild>
                    <w:div w:id="111117223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0342">
      <w:bodyDiv w:val="1"/>
      <w:marLeft w:val="0"/>
      <w:marRight w:val="0"/>
      <w:marTop w:val="0"/>
      <w:marBottom w:val="0"/>
      <w:divBdr>
        <w:top w:val="none" w:sz="0" w:space="0" w:color="auto"/>
        <w:left w:val="none" w:sz="0" w:space="0" w:color="auto"/>
        <w:bottom w:val="none" w:sz="0" w:space="0" w:color="auto"/>
        <w:right w:val="none" w:sz="0" w:space="0" w:color="auto"/>
      </w:divBdr>
      <w:divsChild>
        <w:div w:id="1042439982">
          <w:marLeft w:val="0"/>
          <w:marRight w:val="0"/>
          <w:marTop w:val="0"/>
          <w:marBottom w:val="0"/>
          <w:divBdr>
            <w:top w:val="none" w:sz="0" w:space="0" w:color="auto"/>
            <w:left w:val="none" w:sz="0" w:space="0" w:color="auto"/>
            <w:bottom w:val="none" w:sz="0" w:space="0" w:color="auto"/>
            <w:right w:val="none" w:sz="0" w:space="0" w:color="auto"/>
          </w:divBdr>
        </w:div>
      </w:divsChild>
    </w:div>
    <w:div w:id="183374087">
      <w:bodyDiv w:val="1"/>
      <w:marLeft w:val="0"/>
      <w:marRight w:val="0"/>
      <w:marTop w:val="0"/>
      <w:marBottom w:val="0"/>
      <w:divBdr>
        <w:top w:val="none" w:sz="0" w:space="0" w:color="auto"/>
        <w:left w:val="none" w:sz="0" w:space="0" w:color="auto"/>
        <w:bottom w:val="none" w:sz="0" w:space="0" w:color="auto"/>
        <w:right w:val="none" w:sz="0" w:space="0" w:color="auto"/>
      </w:divBdr>
      <w:divsChild>
        <w:div w:id="896086043">
          <w:marLeft w:val="0"/>
          <w:marRight w:val="0"/>
          <w:marTop w:val="0"/>
          <w:marBottom w:val="0"/>
          <w:divBdr>
            <w:top w:val="none" w:sz="0" w:space="0" w:color="auto"/>
            <w:left w:val="none" w:sz="0" w:space="0" w:color="auto"/>
            <w:bottom w:val="none" w:sz="0" w:space="0" w:color="auto"/>
            <w:right w:val="none" w:sz="0" w:space="0" w:color="auto"/>
          </w:divBdr>
          <w:divsChild>
            <w:div w:id="1348169293">
              <w:marLeft w:val="0"/>
              <w:marRight w:val="0"/>
              <w:marTop w:val="0"/>
              <w:marBottom w:val="0"/>
              <w:divBdr>
                <w:top w:val="none" w:sz="0" w:space="0" w:color="auto"/>
                <w:left w:val="none" w:sz="0" w:space="0" w:color="auto"/>
                <w:bottom w:val="none" w:sz="0" w:space="0" w:color="auto"/>
                <w:right w:val="none" w:sz="0" w:space="0" w:color="auto"/>
              </w:divBdr>
              <w:divsChild>
                <w:div w:id="1832331836">
                  <w:marLeft w:val="0"/>
                  <w:marRight w:val="0"/>
                  <w:marTop w:val="0"/>
                  <w:marBottom w:val="0"/>
                  <w:divBdr>
                    <w:top w:val="none" w:sz="0" w:space="0" w:color="auto"/>
                    <w:left w:val="none" w:sz="0" w:space="0" w:color="auto"/>
                    <w:bottom w:val="none" w:sz="0" w:space="0" w:color="auto"/>
                    <w:right w:val="none" w:sz="0" w:space="0" w:color="auto"/>
                  </w:divBdr>
                  <w:divsChild>
                    <w:div w:id="393627446">
                      <w:marLeft w:val="0"/>
                      <w:marRight w:val="0"/>
                      <w:marTop w:val="0"/>
                      <w:marBottom w:val="0"/>
                      <w:divBdr>
                        <w:top w:val="none" w:sz="0" w:space="0" w:color="auto"/>
                        <w:left w:val="none" w:sz="0" w:space="0" w:color="auto"/>
                        <w:bottom w:val="none" w:sz="0" w:space="0" w:color="auto"/>
                        <w:right w:val="none" w:sz="0" w:space="0" w:color="auto"/>
                      </w:divBdr>
                      <w:divsChild>
                        <w:div w:id="2026787543">
                          <w:marLeft w:val="0"/>
                          <w:marRight w:val="0"/>
                          <w:marTop w:val="0"/>
                          <w:marBottom w:val="0"/>
                          <w:divBdr>
                            <w:top w:val="none" w:sz="0" w:space="0" w:color="auto"/>
                            <w:left w:val="none" w:sz="0" w:space="0" w:color="auto"/>
                            <w:bottom w:val="none" w:sz="0" w:space="0" w:color="auto"/>
                            <w:right w:val="none" w:sz="0" w:space="0" w:color="auto"/>
                          </w:divBdr>
                          <w:divsChild>
                            <w:div w:id="21229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08990">
      <w:bodyDiv w:val="1"/>
      <w:marLeft w:val="0"/>
      <w:marRight w:val="0"/>
      <w:marTop w:val="0"/>
      <w:marBottom w:val="0"/>
      <w:divBdr>
        <w:top w:val="none" w:sz="0" w:space="0" w:color="auto"/>
        <w:left w:val="none" w:sz="0" w:space="0" w:color="auto"/>
        <w:bottom w:val="none" w:sz="0" w:space="0" w:color="auto"/>
        <w:right w:val="none" w:sz="0" w:space="0" w:color="auto"/>
      </w:divBdr>
      <w:divsChild>
        <w:div w:id="192309713">
          <w:marLeft w:val="0"/>
          <w:marRight w:val="0"/>
          <w:marTop w:val="100"/>
          <w:marBottom w:val="100"/>
          <w:divBdr>
            <w:top w:val="none" w:sz="0" w:space="0" w:color="auto"/>
            <w:left w:val="none" w:sz="0" w:space="0" w:color="auto"/>
            <w:bottom w:val="none" w:sz="0" w:space="0" w:color="auto"/>
            <w:right w:val="none" w:sz="0" w:space="0" w:color="auto"/>
          </w:divBdr>
          <w:divsChild>
            <w:div w:id="1737432250">
              <w:marLeft w:val="0"/>
              <w:marRight w:val="0"/>
              <w:marTop w:val="0"/>
              <w:marBottom w:val="0"/>
              <w:divBdr>
                <w:top w:val="none" w:sz="0" w:space="0" w:color="auto"/>
                <w:left w:val="none" w:sz="0" w:space="0" w:color="auto"/>
                <w:bottom w:val="none" w:sz="0" w:space="0" w:color="auto"/>
                <w:right w:val="none" w:sz="0" w:space="0" w:color="auto"/>
              </w:divBdr>
              <w:divsChild>
                <w:div w:id="1148866580">
                  <w:marLeft w:val="0"/>
                  <w:marRight w:val="0"/>
                  <w:marTop w:val="0"/>
                  <w:marBottom w:val="0"/>
                  <w:divBdr>
                    <w:top w:val="none" w:sz="0" w:space="0" w:color="auto"/>
                    <w:left w:val="none" w:sz="0" w:space="0" w:color="auto"/>
                    <w:bottom w:val="none" w:sz="0" w:space="0" w:color="auto"/>
                    <w:right w:val="none" w:sz="0" w:space="0" w:color="auto"/>
                  </w:divBdr>
                </w:div>
                <w:div w:id="1626696097">
                  <w:marLeft w:val="0"/>
                  <w:marRight w:val="0"/>
                  <w:marTop w:val="0"/>
                  <w:marBottom w:val="0"/>
                  <w:divBdr>
                    <w:top w:val="none" w:sz="0" w:space="0" w:color="auto"/>
                    <w:left w:val="none" w:sz="0" w:space="0" w:color="auto"/>
                    <w:bottom w:val="none" w:sz="0" w:space="0" w:color="auto"/>
                    <w:right w:val="none" w:sz="0" w:space="0" w:color="auto"/>
                  </w:divBdr>
                  <w:divsChild>
                    <w:div w:id="6043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043891">
      <w:bodyDiv w:val="1"/>
      <w:marLeft w:val="0"/>
      <w:marRight w:val="0"/>
      <w:marTop w:val="0"/>
      <w:marBottom w:val="0"/>
      <w:divBdr>
        <w:top w:val="none" w:sz="0" w:space="0" w:color="auto"/>
        <w:left w:val="none" w:sz="0" w:space="0" w:color="auto"/>
        <w:bottom w:val="none" w:sz="0" w:space="0" w:color="auto"/>
        <w:right w:val="none" w:sz="0" w:space="0" w:color="auto"/>
      </w:divBdr>
      <w:divsChild>
        <w:div w:id="860053251">
          <w:marLeft w:val="10"/>
          <w:marRight w:val="10"/>
          <w:marTop w:val="0"/>
          <w:marBottom w:val="0"/>
          <w:divBdr>
            <w:top w:val="none" w:sz="0" w:space="0" w:color="auto"/>
            <w:left w:val="none" w:sz="0" w:space="0" w:color="auto"/>
            <w:bottom w:val="none" w:sz="0" w:space="0" w:color="auto"/>
            <w:right w:val="none" w:sz="0" w:space="0" w:color="auto"/>
          </w:divBdr>
        </w:div>
      </w:divsChild>
    </w:div>
    <w:div w:id="230695528">
      <w:bodyDiv w:val="1"/>
      <w:marLeft w:val="0"/>
      <w:marRight w:val="0"/>
      <w:marTop w:val="0"/>
      <w:marBottom w:val="0"/>
      <w:divBdr>
        <w:top w:val="none" w:sz="0" w:space="0" w:color="auto"/>
        <w:left w:val="none" w:sz="0" w:space="0" w:color="auto"/>
        <w:bottom w:val="none" w:sz="0" w:space="0" w:color="auto"/>
        <w:right w:val="none" w:sz="0" w:space="0" w:color="auto"/>
      </w:divBdr>
      <w:divsChild>
        <w:div w:id="541481837">
          <w:marLeft w:val="0"/>
          <w:marRight w:val="0"/>
          <w:marTop w:val="100"/>
          <w:marBottom w:val="100"/>
          <w:divBdr>
            <w:top w:val="single" w:sz="6" w:space="0" w:color="666666"/>
            <w:left w:val="single" w:sz="6" w:space="0" w:color="666666"/>
            <w:bottom w:val="single" w:sz="6" w:space="0" w:color="666666"/>
            <w:right w:val="single" w:sz="6" w:space="0" w:color="666666"/>
          </w:divBdr>
          <w:divsChild>
            <w:div w:id="1599830482">
              <w:marLeft w:val="0"/>
              <w:marRight w:val="0"/>
              <w:marTop w:val="0"/>
              <w:marBottom w:val="0"/>
              <w:divBdr>
                <w:top w:val="none" w:sz="0" w:space="0" w:color="auto"/>
                <w:left w:val="none" w:sz="0" w:space="0" w:color="auto"/>
                <w:bottom w:val="none" w:sz="0" w:space="0" w:color="auto"/>
                <w:right w:val="none" w:sz="0" w:space="0" w:color="auto"/>
              </w:divBdr>
              <w:divsChild>
                <w:div w:id="1438332297">
                  <w:marLeft w:val="150"/>
                  <w:marRight w:val="150"/>
                  <w:marTop w:val="105"/>
                  <w:marBottom w:val="105"/>
                  <w:divBdr>
                    <w:top w:val="none" w:sz="0" w:space="0" w:color="auto"/>
                    <w:left w:val="none" w:sz="0" w:space="0" w:color="auto"/>
                    <w:bottom w:val="none" w:sz="0" w:space="0" w:color="auto"/>
                    <w:right w:val="none" w:sz="0" w:space="0" w:color="auto"/>
                  </w:divBdr>
                </w:div>
              </w:divsChild>
            </w:div>
          </w:divsChild>
        </w:div>
      </w:divsChild>
    </w:div>
    <w:div w:id="258879455">
      <w:bodyDiv w:val="1"/>
      <w:marLeft w:val="0"/>
      <w:marRight w:val="0"/>
      <w:marTop w:val="0"/>
      <w:marBottom w:val="0"/>
      <w:divBdr>
        <w:top w:val="none" w:sz="0" w:space="0" w:color="auto"/>
        <w:left w:val="none" w:sz="0" w:space="0" w:color="auto"/>
        <w:bottom w:val="none" w:sz="0" w:space="0" w:color="auto"/>
        <w:right w:val="none" w:sz="0" w:space="0" w:color="auto"/>
      </w:divBdr>
    </w:div>
    <w:div w:id="299114179">
      <w:bodyDiv w:val="1"/>
      <w:marLeft w:val="0"/>
      <w:marRight w:val="0"/>
      <w:marTop w:val="0"/>
      <w:marBottom w:val="0"/>
      <w:divBdr>
        <w:top w:val="none" w:sz="0" w:space="0" w:color="auto"/>
        <w:left w:val="none" w:sz="0" w:space="0" w:color="auto"/>
        <w:bottom w:val="none" w:sz="0" w:space="0" w:color="auto"/>
        <w:right w:val="none" w:sz="0" w:space="0" w:color="auto"/>
      </w:divBdr>
    </w:div>
    <w:div w:id="315690835">
      <w:bodyDiv w:val="1"/>
      <w:marLeft w:val="0"/>
      <w:marRight w:val="0"/>
      <w:marTop w:val="0"/>
      <w:marBottom w:val="0"/>
      <w:divBdr>
        <w:top w:val="none" w:sz="0" w:space="0" w:color="auto"/>
        <w:left w:val="none" w:sz="0" w:space="0" w:color="auto"/>
        <w:bottom w:val="none" w:sz="0" w:space="0" w:color="auto"/>
        <w:right w:val="none" w:sz="0" w:space="0" w:color="auto"/>
      </w:divBdr>
      <w:divsChild>
        <w:div w:id="1873574871">
          <w:marLeft w:val="0"/>
          <w:marRight w:val="0"/>
          <w:marTop w:val="0"/>
          <w:marBottom w:val="0"/>
          <w:divBdr>
            <w:top w:val="none" w:sz="0" w:space="0" w:color="auto"/>
            <w:left w:val="none" w:sz="0" w:space="0" w:color="auto"/>
            <w:bottom w:val="none" w:sz="0" w:space="0" w:color="auto"/>
            <w:right w:val="none" w:sz="0" w:space="0" w:color="auto"/>
          </w:divBdr>
          <w:divsChild>
            <w:div w:id="346489572">
              <w:marLeft w:val="0"/>
              <w:marRight w:val="0"/>
              <w:marTop w:val="0"/>
              <w:marBottom w:val="0"/>
              <w:divBdr>
                <w:top w:val="none" w:sz="0" w:space="0" w:color="auto"/>
                <w:left w:val="none" w:sz="0" w:space="0" w:color="auto"/>
                <w:bottom w:val="none" w:sz="0" w:space="0" w:color="auto"/>
                <w:right w:val="none" w:sz="0" w:space="0" w:color="auto"/>
              </w:divBdr>
              <w:divsChild>
                <w:div w:id="1288002407">
                  <w:marLeft w:val="0"/>
                  <w:marRight w:val="0"/>
                  <w:marTop w:val="0"/>
                  <w:marBottom w:val="0"/>
                  <w:divBdr>
                    <w:top w:val="none" w:sz="0" w:space="0" w:color="auto"/>
                    <w:left w:val="none" w:sz="0" w:space="0" w:color="auto"/>
                    <w:bottom w:val="none" w:sz="0" w:space="0" w:color="auto"/>
                    <w:right w:val="none" w:sz="0" w:space="0" w:color="auto"/>
                  </w:divBdr>
                  <w:divsChild>
                    <w:div w:id="21640581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3743">
      <w:bodyDiv w:val="1"/>
      <w:marLeft w:val="0"/>
      <w:marRight w:val="0"/>
      <w:marTop w:val="0"/>
      <w:marBottom w:val="0"/>
      <w:divBdr>
        <w:top w:val="none" w:sz="0" w:space="0" w:color="auto"/>
        <w:left w:val="none" w:sz="0" w:space="0" w:color="auto"/>
        <w:bottom w:val="none" w:sz="0" w:space="0" w:color="auto"/>
        <w:right w:val="none" w:sz="0" w:space="0" w:color="auto"/>
      </w:divBdr>
      <w:divsChild>
        <w:div w:id="1853495088">
          <w:marLeft w:val="10"/>
          <w:marRight w:val="10"/>
          <w:marTop w:val="0"/>
          <w:marBottom w:val="0"/>
          <w:divBdr>
            <w:top w:val="none" w:sz="0" w:space="0" w:color="auto"/>
            <w:left w:val="none" w:sz="0" w:space="0" w:color="auto"/>
            <w:bottom w:val="none" w:sz="0" w:space="0" w:color="auto"/>
            <w:right w:val="none" w:sz="0" w:space="0" w:color="auto"/>
          </w:divBdr>
        </w:div>
      </w:divsChild>
    </w:div>
    <w:div w:id="324406470">
      <w:bodyDiv w:val="1"/>
      <w:marLeft w:val="0"/>
      <w:marRight w:val="0"/>
      <w:marTop w:val="0"/>
      <w:marBottom w:val="0"/>
      <w:divBdr>
        <w:top w:val="none" w:sz="0" w:space="0" w:color="auto"/>
        <w:left w:val="none" w:sz="0" w:space="0" w:color="auto"/>
        <w:bottom w:val="none" w:sz="0" w:space="0" w:color="auto"/>
        <w:right w:val="none" w:sz="0" w:space="0" w:color="auto"/>
      </w:divBdr>
      <w:divsChild>
        <w:div w:id="2102795190">
          <w:marLeft w:val="10"/>
          <w:marRight w:val="10"/>
          <w:marTop w:val="0"/>
          <w:marBottom w:val="0"/>
          <w:divBdr>
            <w:top w:val="none" w:sz="0" w:space="0" w:color="auto"/>
            <w:left w:val="none" w:sz="0" w:space="0" w:color="auto"/>
            <w:bottom w:val="none" w:sz="0" w:space="0" w:color="auto"/>
            <w:right w:val="none" w:sz="0" w:space="0" w:color="auto"/>
          </w:divBdr>
        </w:div>
      </w:divsChild>
    </w:div>
    <w:div w:id="333072881">
      <w:bodyDiv w:val="1"/>
      <w:marLeft w:val="-480"/>
      <w:marRight w:val="0"/>
      <w:marTop w:val="0"/>
      <w:marBottom w:val="0"/>
      <w:divBdr>
        <w:top w:val="none" w:sz="0" w:space="0" w:color="auto"/>
        <w:left w:val="none" w:sz="0" w:space="0" w:color="auto"/>
        <w:bottom w:val="none" w:sz="0" w:space="0" w:color="auto"/>
        <w:right w:val="none" w:sz="0" w:space="0" w:color="auto"/>
      </w:divBdr>
      <w:divsChild>
        <w:div w:id="1666855223">
          <w:marLeft w:val="0"/>
          <w:marRight w:val="0"/>
          <w:marTop w:val="0"/>
          <w:marBottom w:val="0"/>
          <w:divBdr>
            <w:top w:val="none" w:sz="0" w:space="0" w:color="auto"/>
            <w:left w:val="none" w:sz="0" w:space="0" w:color="auto"/>
            <w:bottom w:val="none" w:sz="0" w:space="0" w:color="auto"/>
            <w:right w:val="none" w:sz="0" w:space="0" w:color="auto"/>
          </w:divBdr>
          <w:divsChild>
            <w:div w:id="402946923">
              <w:marLeft w:val="0"/>
              <w:marRight w:val="0"/>
              <w:marTop w:val="0"/>
              <w:marBottom w:val="0"/>
              <w:divBdr>
                <w:top w:val="none" w:sz="0" w:space="0" w:color="auto"/>
                <w:left w:val="none" w:sz="0" w:space="0" w:color="auto"/>
                <w:bottom w:val="none" w:sz="0" w:space="0" w:color="auto"/>
                <w:right w:val="none" w:sz="0" w:space="0" w:color="auto"/>
              </w:divBdr>
              <w:divsChild>
                <w:div w:id="406198301">
                  <w:marLeft w:val="0"/>
                  <w:marRight w:val="0"/>
                  <w:marTop w:val="0"/>
                  <w:marBottom w:val="240"/>
                  <w:divBdr>
                    <w:top w:val="none" w:sz="0" w:space="0" w:color="auto"/>
                    <w:left w:val="none" w:sz="0" w:space="0" w:color="auto"/>
                    <w:bottom w:val="none" w:sz="0" w:space="0" w:color="auto"/>
                    <w:right w:val="none" w:sz="0" w:space="0" w:color="auto"/>
                  </w:divBdr>
                  <w:divsChild>
                    <w:div w:id="1868837071">
                      <w:marLeft w:val="0"/>
                      <w:marRight w:val="0"/>
                      <w:marTop w:val="0"/>
                      <w:marBottom w:val="0"/>
                      <w:divBdr>
                        <w:top w:val="none" w:sz="0" w:space="0" w:color="auto"/>
                        <w:left w:val="none" w:sz="0" w:space="0" w:color="auto"/>
                        <w:bottom w:val="none" w:sz="0" w:space="0" w:color="auto"/>
                        <w:right w:val="none" w:sz="0" w:space="0" w:color="auto"/>
                      </w:divBdr>
                      <w:divsChild>
                        <w:div w:id="2068449273">
                          <w:marLeft w:val="0"/>
                          <w:marRight w:val="0"/>
                          <w:marTop w:val="0"/>
                          <w:marBottom w:val="240"/>
                          <w:divBdr>
                            <w:top w:val="none" w:sz="0" w:space="0" w:color="auto"/>
                            <w:left w:val="none" w:sz="0" w:space="0" w:color="auto"/>
                            <w:bottom w:val="none" w:sz="0" w:space="0" w:color="auto"/>
                            <w:right w:val="none" w:sz="0" w:space="0" w:color="auto"/>
                          </w:divBdr>
                          <w:divsChild>
                            <w:div w:id="1256549597">
                              <w:marLeft w:val="0"/>
                              <w:marRight w:val="0"/>
                              <w:marTop w:val="0"/>
                              <w:marBottom w:val="0"/>
                              <w:divBdr>
                                <w:top w:val="none" w:sz="0" w:space="0" w:color="auto"/>
                                <w:left w:val="none" w:sz="0" w:space="0" w:color="auto"/>
                                <w:bottom w:val="none" w:sz="0" w:space="0" w:color="auto"/>
                                <w:right w:val="none" w:sz="0" w:space="0" w:color="auto"/>
                              </w:divBdr>
                              <w:divsChild>
                                <w:div w:id="467169870">
                                  <w:marLeft w:val="0"/>
                                  <w:marRight w:val="0"/>
                                  <w:marTop w:val="0"/>
                                  <w:marBottom w:val="0"/>
                                  <w:divBdr>
                                    <w:top w:val="single" w:sz="18" w:space="6" w:color="E1E9EB"/>
                                    <w:left w:val="none" w:sz="0" w:space="0" w:color="auto"/>
                                    <w:bottom w:val="none" w:sz="0" w:space="0" w:color="auto"/>
                                    <w:right w:val="none" w:sz="0" w:space="0" w:color="auto"/>
                                  </w:divBdr>
                                </w:div>
                              </w:divsChild>
                            </w:div>
                          </w:divsChild>
                        </w:div>
                      </w:divsChild>
                    </w:div>
                  </w:divsChild>
                </w:div>
              </w:divsChild>
            </w:div>
          </w:divsChild>
        </w:div>
      </w:divsChild>
    </w:div>
    <w:div w:id="362753218">
      <w:bodyDiv w:val="1"/>
      <w:marLeft w:val="5"/>
      <w:marRight w:val="15"/>
      <w:marTop w:val="0"/>
      <w:marBottom w:val="0"/>
      <w:divBdr>
        <w:top w:val="none" w:sz="0" w:space="0" w:color="auto"/>
        <w:left w:val="none" w:sz="0" w:space="0" w:color="auto"/>
        <w:bottom w:val="none" w:sz="0" w:space="0" w:color="auto"/>
        <w:right w:val="none" w:sz="0" w:space="0" w:color="auto"/>
      </w:divBdr>
    </w:div>
    <w:div w:id="380597813">
      <w:bodyDiv w:val="1"/>
      <w:marLeft w:val="0"/>
      <w:marRight w:val="0"/>
      <w:marTop w:val="0"/>
      <w:marBottom w:val="0"/>
      <w:divBdr>
        <w:top w:val="none" w:sz="0" w:space="0" w:color="auto"/>
        <w:left w:val="none" w:sz="0" w:space="0" w:color="auto"/>
        <w:bottom w:val="none" w:sz="0" w:space="0" w:color="auto"/>
        <w:right w:val="none" w:sz="0" w:space="0" w:color="auto"/>
      </w:divBdr>
    </w:div>
    <w:div w:id="434790923">
      <w:bodyDiv w:val="1"/>
      <w:marLeft w:val="0"/>
      <w:marRight w:val="0"/>
      <w:marTop w:val="0"/>
      <w:marBottom w:val="0"/>
      <w:divBdr>
        <w:top w:val="none" w:sz="0" w:space="0" w:color="auto"/>
        <w:left w:val="none" w:sz="0" w:space="0" w:color="auto"/>
        <w:bottom w:val="none" w:sz="0" w:space="0" w:color="auto"/>
        <w:right w:val="none" w:sz="0" w:space="0" w:color="auto"/>
      </w:divBdr>
      <w:divsChild>
        <w:div w:id="530610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50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5148591">
      <w:bodyDiv w:val="1"/>
      <w:marLeft w:val="0"/>
      <w:marRight w:val="0"/>
      <w:marTop w:val="0"/>
      <w:marBottom w:val="0"/>
      <w:divBdr>
        <w:top w:val="none" w:sz="0" w:space="0" w:color="auto"/>
        <w:left w:val="none" w:sz="0" w:space="0" w:color="auto"/>
        <w:bottom w:val="none" w:sz="0" w:space="0" w:color="auto"/>
        <w:right w:val="none" w:sz="0" w:space="0" w:color="auto"/>
      </w:divBdr>
      <w:divsChild>
        <w:div w:id="753891841">
          <w:marLeft w:val="0"/>
          <w:marRight w:val="0"/>
          <w:marTop w:val="100"/>
          <w:marBottom w:val="100"/>
          <w:divBdr>
            <w:top w:val="none" w:sz="0" w:space="0" w:color="auto"/>
            <w:left w:val="none" w:sz="0" w:space="0" w:color="auto"/>
            <w:bottom w:val="none" w:sz="0" w:space="0" w:color="auto"/>
            <w:right w:val="none" w:sz="0" w:space="0" w:color="auto"/>
          </w:divBdr>
          <w:divsChild>
            <w:div w:id="516499853">
              <w:marLeft w:val="0"/>
              <w:marRight w:val="0"/>
              <w:marTop w:val="0"/>
              <w:marBottom w:val="0"/>
              <w:divBdr>
                <w:top w:val="none" w:sz="0" w:space="0" w:color="auto"/>
                <w:left w:val="none" w:sz="0" w:space="0" w:color="auto"/>
                <w:bottom w:val="none" w:sz="0" w:space="0" w:color="auto"/>
                <w:right w:val="none" w:sz="0" w:space="0" w:color="auto"/>
              </w:divBdr>
              <w:divsChild>
                <w:div w:id="1997876491">
                  <w:marLeft w:val="0"/>
                  <w:marRight w:val="0"/>
                  <w:marTop w:val="0"/>
                  <w:marBottom w:val="0"/>
                  <w:divBdr>
                    <w:top w:val="none" w:sz="0" w:space="0" w:color="auto"/>
                    <w:left w:val="none" w:sz="0" w:space="0" w:color="auto"/>
                    <w:bottom w:val="none" w:sz="0" w:space="0" w:color="auto"/>
                    <w:right w:val="none" w:sz="0" w:space="0" w:color="auto"/>
                  </w:divBdr>
                  <w:divsChild>
                    <w:div w:id="5901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31493">
      <w:bodyDiv w:val="1"/>
      <w:marLeft w:val="0"/>
      <w:marRight w:val="0"/>
      <w:marTop w:val="0"/>
      <w:marBottom w:val="0"/>
      <w:divBdr>
        <w:top w:val="none" w:sz="0" w:space="0" w:color="auto"/>
        <w:left w:val="none" w:sz="0" w:space="0" w:color="auto"/>
        <w:bottom w:val="none" w:sz="0" w:space="0" w:color="auto"/>
        <w:right w:val="none" w:sz="0" w:space="0" w:color="auto"/>
      </w:divBdr>
      <w:divsChild>
        <w:div w:id="388194792">
          <w:marLeft w:val="0"/>
          <w:marRight w:val="0"/>
          <w:marTop w:val="0"/>
          <w:marBottom w:val="0"/>
          <w:divBdr>
            <w:top w:val="none" w:sz="0" w:space="0" w:color="auto"/>
            <w:left w:val="none" w:sz="0" w:space="0" w:color="auto"/>
            <w:bottom w:val="none" w:sz="0" w:space="0" w:color="auto"/>
            <w:right w:val="none" w:sz="0" w:space="0" w:color="auto"/>
          </w:divBdr>
          <w:divsChild>
            <w:div w:id="5701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3677">
      <w:bodyDiv w:val="1"/>
      <w:marLeft w:val="0"/>
      <w:marRight w:val="0"/>
      <w:marTop w:val="0"/>
      <w:marBottom w:val="0"/>
      <w:divBdr>
        <w:top w:val="none" w:sz="0" w:space="0" w:color="auto"/>
        <w:left w:val="none" w:sz="0" w:space="0" w:color="auto"/>
        <w:bottom w:val="none" w:sz="0" w:space="0" w:color="auto"/>
        <w:right w:val="none" w:sz="0" w:space="0" w:color="auto"/>
      </w:divBdr>
    </w:div>
    <w:div w:id="514422217">
      <w:bodyDiv w:val="1"/>
      <w:marLeft w:val="-480"/>
      <w:marRight w:val="0"/>
      <w:marTop w:val="0"/>
      <w:marBottom w:val="0"/>
      <w:divBdr>
        <w:top w:val="none" w:sz="0" w:space="0" w:color="auto"/>
        <w:left w:val="none" w:sz="0" w:space="0" w:color="auto"/>
        <w:bottom w:val="none" w:sz="0" w:space="0" w:color="auto"/>
        <w:right w:val="none" w:sz="0" w:space="0" w:color="auto"/>
      </w:divBdr>
      <w:divsChild>
        <w:div w:id="285892919">
          <w:marLeft w:val="0"/>
          <w:marRight w:val="0"/>
          <w:marTop w:val="0"/>
          <w:marBottom w:val="0"/>
          <w:divBdr>
            <w:top w:val="none" w:sz="0" w:space="0" w:color="auto"/>
            <w:left w:val="none" w:sz="0" w:space="0" w:color="auto"/>
            <w:bottom w:val="none" w:sz="0" w:space="0" w:color="auto"/>
            <w:right w:val="none" w:sz="0" w:space="0" w:color="auto"/>
          </w:divBdr>
          <w:divsChild>
            <w:div w:id="78916601">
              <w:marLeft w:val="0"/>
              <w:marRight w:val="0"/>
              <w:marTop w:val="0"/>
              <w:marBottom w:val="0"/>
              <w:divBdr>
                <w:top w:val="none" w:sz="0" w:space="0" w:color="auto"/>
                <w:left w:val="none" w:sz="0" w:space="0" w:color="auto"/>
                <w:bottom w:val="none" w:sz="0" w:space="0" w:color="auto"/>
                <w:right w:val="none" w:sz="0" w:space="0" w:color="auto"/>
              </w:divBdr>
              <w:divsChild>
                <w:div w:id="291181673">
                  <w:marLeft w:val="0"/>
                  <w:marRight w:val="0"/>
                  <w:marTop w:val="0"/>
                  <w:marBottom w:val="240"/>
                  <w:divBdr>
                    <w:top w:val="none" w:sz="0" w:space="0" w:color="auto"/>
                    <w:left w:val="none" w:sz="0" w:space="0" w:color="auto"/>
                    <w:bottom w:val="none" w:sz="0" w:space="0" w:color="auto"/>
                    <w:right w:val="none" w:sz="0" w:space="0" w:color="auto"/>
                  </w:divBdr>
                  <w:divsChild>
                    <w:div w:id="1105343822">
                      <w:marLeft w:val="0"/>
                      <w:marRight w:val="0"/>
                      <w:marTop w:val="0"/>
                      <w:marBottom w:val="0"/>
                      <w:divBdr>
                        <w:top w:val="none" w:sz="0" w:space="0" w:color="auto"/>
                        <w:left w:val="none" w:sz="0" w:space="0" w:color="auto"/>
                        <w:bottom w:val="none" w:sz="0" w:space="0" w:color="auto"/>
                        <w:right w:val="none" w:sz="0" w:space="0" w:color="auto"/>
                      </w:divBdr>
                      <w:divsChild>
                        <w:div w:id="1943107878">
                          <w:marLeft w:val="0"/>
                          <w:marRight w:val="0"/>
                          <w:marTop w:val="0"/>
                          <w:marBottom w:val="240"/>
                          <w:divBdr>
                            <w:top w:val="none" w:sz="0" w:space="0" w:color="auto"/>
                            <w:left w:val="none" w:sz="0" w:space="0" w:color="auto"/>
                            <w:bottom w:val="none" w:sz="0" w:space="0" w:color="auto"/>
                            <w:right w:val="none" w:sz="0" w:space="0" w:color="auto"/>
                          </w:divBdr>
                          <w:divsChild>
                            <w:div w:id="295910871">
                              <w:marLeft w:val="0"/>
                              <w:marRight w:val="0"/>
                              <w:marTop w:val="0"/>
                              <w:marBottom w:val="0"/>
                              <w:divBdr>
                                <w:top w:val="none" w:sz="0" w:space="0" w:color="auto"/>
                                <w:left w:val="none" w:sz="0" w:space="0" w:color="auto"/>
                                <w:bottom w:val="none" w:sz="0" w:space="0" w:color="auto"/>
                                <w:right w:val="none" w:sz="0" w:space="0" w:color="auto"/>
                              </w:divBdr>
                              <w:divsChild>
                                <w:div w:id="18716507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275815">
      <w:bodyDiv w:val="1"/>
      <w:marLeft w:val="0"/>
      <w:marRight w:val="0"/>
      <w:marTop w:val="0"/>
      <w:marBottom w:val="0"/>
      <w:divBdr>
        <w:top w:val="none" w:sz="0" w:space="0" w:color="auto"/>
        <w:left w:val="none" w:sz="0" w:space="0" w:color="auto"/>
        <w:bottom w:val="none" w:sz="0" w:space="0" w:color="auto"/>
        <w:right w:val="none" w:sz="0" w:space="0" w:color="auto"/>
      </w:divBdr>
      <w:divsChild>
        <w:div w:id="45034893">
          <w:marLeft w:val="10"/>
          <w:marRight w:val="10"/>
          <w:marTop w:val="0"/>
          <w:marBottom w:val="0"/>
          <w:divBdr>
            <w:top w:val="none" w:sz="0" w:space="0" w:color="auto"/>
            <w:left w:val="none" w:sz="0" w:space="0" w:color="auto"/>
            <w:bottom w:val="none" w:sz="0" w:space="0" w:color="auto"/>
            <w:right w:val="none" w:sz="0" w:space="0" w:color="auto"/>
          </w:divBdr>
        </w:div>
      </w:divsChild>
    </w:div>
    <w:div w:id="523519317">
      <w:bodyDiv w:val="1"/>
      <w:marLeft w:val="0"/>
      <w:marRight w:val="0"/>
      <w:marTop w:val="0"/>
      <w:marBottom w:val="0"/>
      <w:divBdr>
        <w:top w:val="none" w:sz="0" w:space="0" w:color="auto"/>
        <w:left w:val="none" w:sz="0" w:space="0" w:color="auto"/>
        <w:bottom w:val="none" w:sz="0" w:space="0" w:color="auto"/>
        <w:right w:val="none" w:sz="0" w:space="0" w:color="auto"/>
      </w:divBdr>
    </w:div>
    <w:div w:id="548228611">
      <w:bodyDiv w:val="1"/>
      <w:marLeft w:val="0"/>
      <w:marRight w:val="0"/>
      <w:marTop w:val="0"/>
      <w:marBottom w:val="0"/>
      <w:divBdr>
        <w:top w:val="none" w:sz="0" w:space="0" w:color="auto"/>
        <w:left w:val="none" w:sz="0" w:space="0" w:color="auto"/>
        <w:bottom w:val="none" w:sz="0" w:space="0" w:color="auto"/>
        <w:right w:val="none" w:sz="0" w:space="0" w:color="auto"/>
      </w:divBdr>
      <w:divsChild>
        <w:div w:id="393508406">
          <w:marLeft w:val="10"/>
          <w:marRight w:val="10"/>
          <w:marTop w:val="0"/>
          <w:marBottom w:val="0"/>
          <w:divBdr>
            <w:top w:val="none" w:sz="0" w:space="0" w:color="auto"/>
            <w:left w:val="none" w:sz="0" w:space="0" w:color="auto"/>
            <w:bottom w:val="none" w:sz="0" w:space="0" w:color="auto"/>
            <w:right w:val="none" w:sz="0" w:space="0" w:color="auto"/>
          </w:divBdr>
        </w:div>
      </w:divsChild>
    </w:div>
    <w:div w:id="556167853">
      <w:bodyDiv w:val="1"/>
      <w:marLeft w:val="0"/>
      <w:marRight w:val="0"/>
      <w:marTop w:val="0"/>
      <w:marBottom w:val="0"/>
      <w:divBdr>
        <w:top w:val="none" w:sz="0" w:space="0" w:color="auto"/>
        <w:left w:val="none" w:sz="0" w:space="0" w:color="auto"/>
        <w:bottom w:val="none" w:sz="0" w:space="0" w:color="auto"/>
        <w:right w:val="none" w:sz="0" w:space="0" w:color="auto"/>
      </w:divBdr>
    </w:div>
    <w:div w:id="572861843">
      <w:bodyDiv w:val="1"/>
      <w:marLeft w:val="0"/>
      <w:marRight w:val="0"/>
      <w:marTop w:val="0"/>
      <w:marBottom w:val="0"/>
      <w:divBdr>
        <w:top w:val="none" w:sz="0" w:space="0" w:color="auto"/>
        <w:left w:val="none" w:sz="0" w:space="0" w:color="auto"/>
        <w:bottom w:val="none" w:sz="0" w:space="0" w:color="auto"/>
        <w:right w:val="none" w:sz="0" w:space="0" w:color="auto"/>
      </w:divBdr>
      <w:divsChild>
        <w:div w:id="125513001">
          <w:marLeft w:val="10"/>
          <w:marRight w:val="10"/>
          <w:marTop w:val="0"/>
          <w:marBottom w:val="0"/>
          <w:divBdr>
            <w:top w:val="none" w:sz="0" w:space="0" w:color="auto"/>
            <w:left w:val="none" w:sz="0" w:space="0" w:color="auto"/>
            <w:bottom w:val="none" w:sz="0" w:space="0" w:color="auto"/>
            <w:right w:val="none" w:sz="0" w:space="0" w:color="auto"/>
          </w:divBdr>
        </w:div>
      </w:divsChild>
    </w:div>
    <w:div w:id="575433730">
      <w:bodyDiv w:val="1"/>
      <w:marLeft w:val="0"/>
      <w:marRight w:val="0"/>
      <w:marTop w:val="0"/>
      <w:marBottom w:val="0"/>
      <w:divBdr>
        <w:top w:val="none" w:sz="0" w:space="0" w:color="auto"/>
        <w:left w:val="none" w:sz="0" w:space="0" w:color="auto"/>
        <w:bottom w:val="none" w:sz="0" w:space="0" w:color="auto"/>
        <w:right w:val="none" w:sz="0" w:space="0" w:color="auto"/>
      </w:divBdr>
    </w:div>
    <w:div w:id="586691393">
      <w:bodyDiv w:val="1"/>
      <w:marLeft w:val="75"/>
      <w:marRight w:val="75"/>
      <w:marTop w:val="75"/>
      <w:marBottom w:val="75"/>
      <w:divBdr>
        <w:top w:val="none" w:sz="0" w:space="0" w:color="auto"/>
        <w:left w:val="none" w:sz="0" w:space="0" w:color="auto"/>
        <w:bottom w:val="none" w:sz="0" w:space="0" w:color="auto"/>
        <w:right w:val="none" w:sz="0" w:space="0" w:color="auto"/>
      </w:divBdr>
      <w:divsChild>
        <w:div w:id="351536930">
          <w:marLeft w:val="0"/>
          <w:marRight w:val="0"/>
          <w:marTop w:val="0"/>
          <w:marBottom w:val="0"/>
          <w:divBdr>
            <w:top w:val="none" w:sz="0" w:space="0" w:color="auto"/>
            <w:left w:val="none" w:sz="0" w:space="0" w:color="auto"/>
            <w:bottom w:val="none" w:sz="0" w:space="0" w:color="auto"/>
            <w:right w:val="none" w:sz="0" w:space="0" w:color="auto"/>
          </w:divBdr>
          <w:divsChild>
            <w:div w:id="399791407">
              <w:marLeft w:val="0"/>
              <w:marRight w:val="0"/>
              <w:marTop w:val="0"/>
              <w:marBottom w:val="0"/>
              <w:divBdr>
                <w:top w:val="none" w:sz="0" w:space="0" w:color="auto"/>
                <w:left w:val="none" w:sz="0" w:space="0" w:color="auto"/>
                <w:bottom w:val="none" w:sz="0" w:space="0" w:color="auto"/>
                <w:right w:val="none" w:sz="0" w:space="0" w:color="auto"/>
              </w:divBdr>
              <w:divsChild>
                <w:div w:id="2113085112">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911085156">
                          <w:marLeft w:val="0"/>
                          <w:marRight w:val="0"/>
                          <w:marTop w:val="0"/>
                          <w:marBottom w:val="0"/>
                          <w:divBdr>
                            <w:top w:val="none" w:sz="0" w:space="0" w:color="auto"/>
                            <w:left w:val="none" w:sz="0" w:space="0" w:color="auto"/>
                            <w:bottom w:val="none" w:sz="0" w:space="0" w:color="auto"/>
                            <w:right w:val="none" w:sz="0" w:space="0" w:color="auto"/>
                          </w:divBdr>
                          <w:divsChild>
                            <w:div w:id="2115637424">
                              <w:marLeft w:val="0"/>
                              <w:marRight w:val="0"/>
                              <w:marTop w:val="0"/>
                              <w:marBottom w:val="0"/>
                              <w:divBdr>
                                <w:top w:val="none" w:sz="0" w:space="0" w:color="auto"/>
                                <w:left w:val="none" w:sz="0" w:space="0" w:color="auto"/>
                                <w:bottom w:val="none" w:sz="0" w:space="0" w:color="auto"/>
                                <w:right w:val="none" w:sz="0" w:space="0" w:color="auto"/>
                              </w:divBdr>
                              <w:divsChild>
                                <w:div w:id="957223156">
                                  <w:marLeft w:val="0"/>
                                  <w:marRight w:val="0"/>
                                  <w:marTop w:val="0"/>
                                  <w:marBottom w:val="0"/>
                                  <w:divBdr>
                                    <w:top w:val="none" w:sz="0" w:space="0" w:color="auto"/>
                                    <w:left w:val="none" w:sz="0" w:space="0" w:color="auto"/>
                                    <w:bottom w:val="none" w:sz="0" w:space="0" w:color="auto"/>
                                    <w:right w:val="none" w:sz="0" w:space="0" w:color="auto"/>
                                  </w:divBdr>
                                  <w:divsChild>
                                    <w:div w:id="1166440144">
                                      <w:marLeft w:val="0"/>
                                      <w:marRight w:val="0"/>
                                      <w:marTop w:val="0"/>
                                      <w:marBottom w:val="0"/>
                                      <w:divBdr>
                                        <w:top w:val="none" w:sz="0" w:space="0" w:color="auto"/>
                                        <w:left w:val="none" w:sz="0" w:space="0" w:color="auto"/>
                                        <w:bottom w:val="none" w:sz="0" w:space="0" w:color="auto"/>
                                        <w:right w:val="none" w:sz="0" w:space="0" w:color="auto"/>
                                      </w:divBdr>
                                      <w:divsChild>
                                        <w:div w:id="630331299">
                                          <w:marLeft w:val="0"/>
                                          <w:marRight w:val="0"/>
                                          <w:marTop w:val="0"/>
                                          <w:marBottom w:val="0"/>
                                          <w:divBdr>
                                            <w:top w:val="none" w:sz="0" w:space="0" w:color="auto"/>
                                            <w:left w:val="none" w:sz="0" w:space="0" w:color="auto"/>
                                            <w:bottom w:val="none" w:sz="0" w:space="0" w:color="auto"/>
                                            <w:right w:val="none" w:sz="0" w:space="0" w:color="auto"/>
                                          </w:divBdr>
                                          <w:divsChild>
                                            <w:div w:id="1417020827">
                                              <w:marLeft w:val="0"/>
                                              <w:marRight w:val="0"/>
                                              <w:marTop w:val="0"/>
                                              <w:marBottom w:val="0"/>
                                              <w:divBdr>
                                                <w:top w:val="none" w:sz="0" w:space="0" w:color="auto"/>
                                                <w:left w:val="none" w:sz="0" w:space="0" w:color="auto"/>
                                                <w:bottom w:val="none" w:sz="0" w:space="0" w:color="auto"/>
                                                <w:right w:val="none" w:sz="0" w:space="0" w:color="auto"/>
                                              </w:divBdr>
                                              <w:divsChild>
                                                <w:div w:id="1276254982">
                                                  <w:marLeft w:val="0"/>
                                                  <w:marRight w:val="0"/>
                                                  <w:marTop w:val="0"/>
                                                  <w:marBottom w:val="0"/>
                                                  <w:divBdr>
                                                    <w:top w:val="none" w:sz="0" w:space="0" w:color="auto"/>
                                                    <w:left w:val="none" w:sz="0" w:space="0" w:color="auto"/>
                                                    <w:bottom w:val="none" w:sz="0" w:space="0" w:color="auto"/>
                                                    <w:right w:val="none" w:sz="0" w:space="0" w:color="auto"/>
                                                  </w:divBdr>
                                                  <w:divsChild>
                                                    <w:div w:id="477066961">
                                                      <w:marLeft w:val="0"/>
                                                      <w:marRight w:val="0"/>
                                                      <w:marTop w:val="0"/>
                                                      <w:marBottom w:val="0"/>
                                                      <w:divBdr>
                                                        <w:top w:val="none" w:sz="0" w:space="0" w:color="auto"/>
                                                        <w:left w:val="none" w:sz="0" w:space="0" w:color="auto"/>
                                                        <w:bottom w:val="none" w:sz="0" w:space="0" w:color="auto"/>
                                                        <w:right w:val="none" w:sz="0" w:space="0" w:color="auto"/>
                                                      </w:divBdr>
                                                      <w:divsChild>
                                                        <w:div w:id="2078937043">
                                                          <w:marLeft w:val="0"/>
                                                          <w:marRight w:val="0"/>
                                                          <w:marTop w:val="0"/>
                                                          <w:marBottom w:val="0"/>
                                                          <w:divBdr>
                                                            <w:top w:val="none" w:sz="0" w:space="0" w:color="auto"/>
                                                            <w:left w:val="none" w:sz="0" w:space="0" w:color="auto"/>
                                                            <w:bottom w:val="none" w:sz="0" w:space="0" w:color="auto"/>
                                                            <w:right w:val="none" w:sz="0" w:space="0" w:color="auto"/>
                                                          </w:divBdr>
                                                          <w:divsChild>
                                                            <w:div w:id="157393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0891825">
      <w:bodyDiv w:val="1"/>
      <w:marLeft w:val="0"/>
      <w:marRight w:val="0"/>
      <w:marTop w:val="45"/>
      <w:marBottom w:val="45"/>
      <w:divBdr>
        <w:top w:val="none" w:sz="0" w:space="0" w:color="auto"/>
        <w:left w:val="none" w:sz="0" w:space="0" w:color="auto"/>
        <w:bottom w:val="none" w:sz="0" w:space="0" w:color="auto"/>
        <w:right w:val="none" w:sz="0" w:space="0" w:color="auto"/>
      </w:divBdr>
      <w:divsChild>
        <w:div w:id="651104048">
          <w:marLeft w:val="0"/>
          <w:marRight w:val="0"/>
          <w:marTop w:val="0"/>
          <w:marBottom w:val="0"/>
          <w:divBdr>
            <w:top w:val="none" w:sz="0" w:space="0" w:color="auto"/>
            <w:left w:val="none" w:sz="0" w:space="0" w:color="auto"/>
            <w:bottom w:val="none" w:sz="0" w:space="0" w:color="auto"/>
            <w:right w:val="none" w:sz="0" w:space="0" w:color="auto"/>
          </w:divBdr>
          <w:divsChild>
            <w:div w:id="1191719710">
              <w:marLeft w:val="0"/>
              <w:marRight w:val="0"/>
              <w:marTop w:val="0"/>
              <w:marBottom w:val="0"/>
              <w:divBdr>
                <w:top w:val="none" w:sz="0" w:space="0" w:color="auto"/>
                <w:left w:val="none" w:sz="0" w:space="0" w:color="auto"/>
                <w:bottom w:val="none" w:sz="0" w:space="0" w:color="auto"/>
                <w:right w:val="none" w:sz="0" w:space="0" w:color="auto"/>
              </w:divBdr>
              <w:divsChild>
                <w:div w:id="209734726">
                  <w:marLeft w:val="0"/>
                  <w:marRight w:val="0"/>
                  <w:marTop w:val="0"/>
                  <w:marBottom w:val="0"/>
                  <w:divBdr>
                    <w:top w:val="none" w:sz="0" w:space="0" w:color="auto"/>
                    <w:left w:val="none" w:sz="0" w:space="0" w:color="auto"/>
                    <w:bottom w:val="none" w:sz="0" w:space="0" w:color="auto"/>
                    <w:right w:val="none" w:sz="0" w:space="0" w:color="auto"/>
                  </w:divBdr>
                  <w:divsChild>
                    <w:div w:id="53084651">
                      <w:marLeft w:val="0"/>
                      <w:marRight w:val="0"/>
                      <w:marTop w:val="0"/>
                      <w:marBottom w:val="0"/>
                      <w:divBdr>
                        <w:top w:val="none" w:sz="0" w:space="0" w:color="auto"/>
                        <w:left w:val="none" w:sz="0" w:space="0" w:color="auto"/>
                        <w:bottom w:val="none" w:sz="0" w:space="0" w:color="auto"/>
                        <w:right w:val="none" w:sz="0" w:space="0" w:color="auto"/>
                      </w:divBdr>
                      <w:divsChild>
                        <w:div w:id="1727414100">
                          <w:marLeft w:val="2385"/>
                          <w:marRight w:val="3960"/>
                          <w:marTop w:val="0"/>
                          <w:marBottom w:val="0"/>
                          <w:divBdr>
                            <w:top w:val="none" w:sz="0" w:space="0" w:color="auto"/>
                            <w:left w:val="single" w:sz="6" w:space="0" w:color="D3E1F9"/>
                            <w:bottom w:val="none" w:sz="0" w:space="0" w:color="auto"/>
                            <w:right w:val="none" w:sz="0" w:space="0" w:color="auto"/>
                          </w:divBdr>
                          <w:divsChild>
                            <w:div w:id="1658413819">
                              <w:marLeft w:val="0"/>
                              <w:marRight w:val="0"/>
                              <w:marTop w:val="0"/>
                              <w:marBottom w:val="0"/>
                              <w:divBdr>
                                <w:top w:val="none" w:sz="0" w:space="0" w:color="auto"/>
                                <w:left w:val="none" w:sz="0" w:space="0" w:color="auto"/>
                                <w:bottom w:val="none" w:sz="0" w:space="0" w:color="auto"/>
                                <w:right w:val="none" w:sz="0" w:space="0" w:color="auto"/>
                              </w:divBdr>
                              <w:divsChild>
                                <w:div w:id="1035695955">
                                  <w:marLeft w:val="0"/>
                                  <w:marRight w:val="0"/>
                                  <w:marTop w:val="0"/>
                                  <w:marBottom w:val="0"/>
                                  <w:divBdr>
                                    <w:top w:val="none" w:sz="0" w:space="0" w:color="auto"/>
                                    <w:left w:val="none" w:sz="0" w:space="0" w:color="auto"/>
                                    <w:bottom w:val="none" w:sz="0" w:space="0" w:color="auto"/>
                                    <w:right w:val="none" w:sz="0" w:space="0" w:color="auto"/>
                                  </w:divBdr>
                                  <w:divsChild>
                                    <w:div w:id="1111894621">
                                      <w:marLeft w:val="0"/>
                                      <w:marRight w:val="0"/>
                                      <w:marTop w:val="0"/>
                                      <w:marBottom w:val="0"/>
                                      <w:divBdr>
                                        <w:top w:val="none" w:sz="0" w:space="0" w:color="auto"/>
                                        <w:left w:val="none" w:sz="0" w:space="0" w:color="auto"/>
                                        <w:bottom w:val="none" w:sz="0" w:space="0" w:color="auto"/>
                                        <w:right w:val="none" w:sz="0" w:space="0" w:color="auto"/>
                                      </w:divBdr>
                                      <w:divsChild>
                                        <w:div w:id="13213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200527">
      <w:bodyDiv w:val="1"/>
      <w:marLeft w:val="0"/>
      <w:marRight w:val="0"/>
      <w:marTop w:val="0"/>
      <w:marBottom w:val="0"/>
      <w:divBdr>
        <w:top w:val="none" w:sz="0" w:space="0" w:color="auto"/>
        <w:left w:val="none" w:sz="0" w:space="0" w:color="auto"/>
        <w:bottom w:val="none" w:sz="0" w:space="0" w:color="auto"/>
        <w:right w:val="none" w:sz="0" w:space="0" w:color="auto"/>
      </w:divBdr>
      <w:divsChild>
        <w:div w:id="63766792">
          <w:marLeft w:val="0"/>
          <w:marRight w:val="0"/>
          <w:marTop w:val="0"/>
          <w:marBottom w:val="0"/>
          <w:divBdr>
            <w:top w:val="none" w:sz="0" w:space="0" w:color="auto"/>
            <w:left w:val="none" w:sz="0" w:space="0" w:color="auto"/>
            <w:bottom w:val="none" w:sz="0" w:space="0" w:color="auto"/>
            <w:right w:val="none" w:sz="0" w:space="0" w:color="auto"/>
          </w:divBdr>
          <w:divsChild>
            <w:div w:id="44566168">
              <w:marLeft w:val="0"/>
              <w:marRight w:val="0"/>
              <w:marTop w:val="0"/>
              <w:marBottom w:val="0"/>
              <w:divBdr>
                <w:top w:val="none" w:sz="0" w:space="0" w:color="auto"/>
                <w:left w:val="none" w:sz="0" w:space="0" w:color="auto"/>
                <w:bottom w:val="none" w:sz="0" w:space="0" w:color="auto"/>
                <w:right w:val="none" w:sz="0" w:space="0" w:color="auto"/>
              </w:divBdr>
              <w:divsChild>
                <w:div w:id="293220412">
                  <w:marLeft w:val="0"/>
                  <w:marRight w:val="0"/>
                  <w:marTop w:val="0"/>
                  <w:marBottom w:val="0"/>
                  <w:divBdr>
                    <w:top w:val="none" w:sz="0" w:space="0" w:color="auto"/>
                    <w:left w:val="none" w:sz="0" w:space="0" w:color="auto"/>
                    <w:bottom w:val="none" w:sz="0" w:space="0" w:color="auto"/>
                    <w:right w:val="none" w:sz="0" w:space="0" w:color="auto"/>
                  </w:divBdr>
                  <w:divsChild>
                    <w:div w:id="719716733">
                      <w:marLeft w:val="0"/>
                      <w:marRight w:val="0"/>
                      <w:marTop w:val="0"/>
                      <w:marBottom w:val="0"/>
                      <w:divBdr>
                        <w:top w:val="none" w:sz="0" w:space="0" w:color="auto"/>
                        <w:left w:val="none" w:sz="0" w:space="0" w:color="auto"/>
                        <w:bottom w:val="none" w:sz="0" w:space="0" w:color="auto"/>
                        <w:right w:val="none" w:sz="0" w:space="0" w:color="auto"/>
                      </w:divBdr>
                      <w:divsChild>
                        <w:div w:id="198903523">
                          <w:marLeft w:val="0"/>
                          <w:marRight w:val="0"/>
                          <w:marTop w:val="0"/>
                          <w:marBottom w:val="0"/>
                          <w:divBdr>
                            <w:top w:val="none" w:sz="0" w:space="0" w:color="auto"/>
                            <w:left w:val="none" w:sz="0" w:space="0" w:color="auto"/>
                            <w:bottom w:val="none" w:sz="0" w:space="0" w:color="auto"/>
                            <w:right w:val="none" w:sz="0" w:space="0" w:color="auto"/>
                          </w:divBdr>
                          <w:divsChild>
                            <w:div w:id="689448833">
                              <w:marLeft w:val="0"/>
                              <w:marRight w:val="0"/>
                              <w:marTop w:val="0"/>
                              <w:marBottom w:val="0"/>
                              <w:divBdr>
                                <w:top w:val="none" w:sz="0" w:space="0" w:color="auto"/>
                                <w:left w:val="none" w:sz="0" w:space="0" w:color="auto"/>
                                <w:bottom w:val="none" w:sz="0" w:space="0" w:color="auto"/>
                                <w:right w:val="none" w:sz="0" w:space="0" w:color="auto"/>
                              </w:divBdr>
                              <w:divsChild>
                                <w:div w:id="448672839">
                                  <w:marLeft w:val="0"/>
                                  <w:marRight w:val="0"/>
                                  <w:marTop w:val="0"/>
                                  <w:marBottom w:val="0"/>
                                  <w:divBdr>
                                    <w:top w:val="none" w:sz="0" w:space="0" w:color="auto"/>
                                    <w:left w:val="none" w:sz="0" w:space="0" w:color="auto"/>
                                    <w:bottom w:val="none" w:sz="0" w:space="0" w:color="auto"/>
                                    <w:right w:val="none" w:sz="0" w:space="0" w:color="auto"/>
                                  </w:divBdr>
                                  <w:divsChild>
                                    <w:div w:id="5715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132318">
      <w:bodyDiv w:val="1"/>
      <w:marLeft w:val="0"/>
      <w:marRight w:val="0"/>
      <w:marTop w:val="0"/>
      <w:marBottom w:val="0"/>
      <w:divBdr>
        <w:top w:val="none" w:sz="0" w:space="0" w:color="auto"/>
        <w:left w:val="none" w:sz="0" w:space="0" w:color="auto"/>
        <w:bottom w:val="none" w:sz="0" w:space="0" w:color="auto"/>
        <w:right w:val="none" w:sz="0" w:space="0" w:color="auto"/>
      </w:divBdr>
      <w:divsChild>
        <w:div w:id="1304123222">
          <w:marLeft w:val="0"/>
          <w:marRight w:val="0"/>
          <w:marTop w:val="0"/>
          <w:marBottom w:val="0"/>
          <w:divBdr>
            <w:top w:val="none" w:sz="0" w:space="0" w:color="auto"/>
            <w:left w:val="none" w:sz="0" w:space="0" w:color="auto"/>
            <w:bottom w:val="none" w:sz="0" w:space="0" w:color="auto"/>
            <w:right w:val="none" w:sz="0" w:space="0" w:color="auto"/>
          </w:divBdr>
        </w:div>
      </w:divsChild>
    </w:div>
    <w:div w:id="654260063">
      <w:bodyDiv w:val="1"/>
      <w:marLeft w:val="0"/>
      <w:marRight w:val="0"/>
      <w:marTop w:val="0"/>
      <w:marBottom w:val="0"/>
      <w:divBdr>
        <w:top w:val="none" w:sz="0" w:space="0" w:color="auto"/>
        <w:left w:val="none" w:sz="0" w:space="0" w:color="auto"/>
        <w:bottom w:val="none" w:sz="0" w:space="0" w:color="auto"/>
        <w:right w:val="none" w:sz="0" w:space="0" w:color="auto"/>
      </w:divBdr>
    </w:div>
    <w:div w:id="665285224">
      <w:bodyDiv w:val="1"/>
      <w:marLeft w:val="0"/>
      <w:marRight w:val="0"/>
      <w:marTop w:val="0"/>
      <w:marBottom w:val="0"/>
      <w:divBdr>
        <w:top w:val="none" w:sz="0" w:space="0" w:color="auto"/>
        <w:left w:val="none" w:sz="0" w:space="0" w:color="auto"/>
        <w:bottom w:val="none" w:sz="0" w:space="0" w:color="auto"/>
        <w:right w:val="none" w:sz="0" w:space="0" w:color="auto"/>
      </w:divBdr>
      <w:divsChild>
        <w:div w:id="1606495823">
          <w:marLeft w:val="0"/>
          <w:marRight w:val="0"/>
          <w:marTop w:val="0"/>
          <w:marBottom w:val="0"/>
          <w:divBdr>
            <w:top w:val="none" w:sz="0" w:space="0" w:color="auto"/>
            <w:left w:val="none" w:sz="0" w:space="0" w:color="auto"/>
            <w:bottom w:val="none" w:sz="0" w:space="0" w:color="auto"/>
            <w:right w:val="none" w:sz="0" w:space="0" w:color="auto"/>
          </w:divBdr>
          <w:divsChild>
            <w:div w:id="1160540410">
              <w:marLeft w:val="0"/>
              <w:marRight w:val="0"/>
              <w:marTop w:val="0"/>
              <w:marBottom w:val="0"/>
              <w:divBdr>
                <w:top w:val="none" w:sz="0" w:space="0" w:color="auto"/>
                <w:left w:val="none" w:sz="0" w:space="0" w:color="auto"/>
                <w:bottom w:val="none" w:sz="0" w:space="0" w:color="auto"/>
                <w:right w:val="none" w:sz="0" w:space="0" w:color="auto"/>
              </w:divBdr>
              <w:divsChild>
                <w:div w:id="1416783107">
                  <w:marLeft w:val="0"/>
                  <w:marRight w:val="0"/>
                  <w:marTop w:val="0"/>
                  <w:marBottom w:val="0"/>
                  <w:divBdr>
                    <w:top w:val="none" w:sz="0" w:space="0" w:color="auto"/>
                    <w:left w:val="none" w:sz="0" w:space="0" w:color="auto"/>
                    <w:bottom w:val="none" w:sz="0" w:space="0" w:color="auto"/>
                    <w:right w:val="none" w:sz="0" w:space="0" w:color="auto"/>
                  </w:divBdr>
                  <w:divsChild>
                    <w:div w:id="1201893566">
                      <w:marLeft w:val="0"/>
                      <w:marRight w:val="0"/>
                      <w:marTop w:val="0"/>
                      <w:marBottom w:val="0"/>
                      <w:divBdr>
                        <w:top w:val="none" w:sz="0" w:space="0" w:color="auto"/>
                        <w:left w:val="none" w:sz="0" w:space="0" w:color="auto"/>
                        <w:bottom w:val="none" w:sz="0" w:space="0" w:color="auto"/>
                        <w:right w:val="none" w:sz="0" w:space="0" w:color="auto"/>
                      </w:divBdr>
                      <w:divsChild>
                        <w:div w:id="1339889260">
                          <w:marLeft w:val="0"/>
                          <w:marRight w:val="0"/>
                          <w:marTop w:val="0"/>
                          <w:marBottom w:val="0"/>
                          <w:divBdr>
                            <w:top w:val="none" w:sz="0" w:space="0" w:color="auto"/>
                            <w:left w:val="none" w:sz="0" w:space="0" w:color="auto"/>
                            <w:bottom w:val="none" w:sz="0" w:space="0" w:color="auto"/>
                            <w:right w:val="none" w:sz="0" w:space="0" w:color="auto"/>
                          </w:divBdr>
                          <w:divsChild>
                            <w:div w:id="9749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914549">
      <w:bodyDiv w:val="1"/>
      <w:marLeft w:val="0"/>
      <w:marRight w:val="0"/>
      <w:marTop w:val="0"/>
      <w:marBottom w:val="0"/>
      <w:divBdr>
        <w:top w:val="none" w:sz="0" w:space="0" w:color="auto"/>
        <w:left w:val="none" w:sz="0" w:space="0" w:color="auto"/>
        <w:bottom w:val="none" w:sz="0" w:space="0" w:color="auto"/>
        <w:right w:val="none" w:sz="0" w:space="0" w:color="auto"/>
      </w:divBdr>
    </w:div>
    <w:div w:id="678699218">
      <w:bodyDiv w:val="1"/>
      <w:marLeft w:val="0"/>
      <w:marRight w:val="0"/>
      <w:marTop w:val="0"/>
      <w:marBottom w:val="0"/>
      <w:divBdr>
        <w:top w:val="none" w:sz="0" w:space="0" w:color="auto"/>
        <w:left w:val="none" w:sz="0" w:space="0" w:color="auto"/>
        <w:bottom w:val="none" w:sz="0" w:space="0" w:color="auto"/>
        <w:right w:val="none" w:sz="0" w:space="0" w:color="auto"/>
      </w:divBdr>
    </w:div>
    <w:div w:id="681974710">
      <w:bodyDiv w:val="1"/>
      <w:marLeft w:val="0"/>
      <w:marRight w:val="0"/>
      <w:marTop w:val="0"/>
      <w:marBottom w:val="0"/>
      <w:divBdr>
        <w:top w:val="none" w:sz="0" w:space="0" w:color="auto"/>
        <w:left w:val="none" w:sz="0" w:space="0" w:color="auto"/>
        <w:bottom w:val="none" w:sz="0" w:space="0" w:color="auto"/>
        <w:right w:val="none" w:sz="0" w:space="0" w:color="auto"/>
      </w:divBdr>
    </w:div>
    <w:div w:id="683898656">
      <w:bodyDiv w:val="1"/>
      <w:marLeft w:val="0"/>
      <w:marRight w:val="0"/>
      <w:marTop w:val="0"/>
      <w:marBottom w:val="0"/>
      <w:divBdr>
        <w:top w:val="none" w:sz="0" w:space="0" w:color="auto"/>
        <w:left w:val="none" w:sz="0" w:space="0" w:color="auto"/>
        <w:bottom w:val="none" w:sz="0" w:space="0" w:color="auto"/>
        <w:right w:val="none" w:sz="0" w:space="0" w:color="auto"/>
      </w:divBdr>
      <w:divsChild>
        <w:div w:id="1734692487">
          <w:marLeft w:val="10"/>
          <w:marRight w:val="10"/>
          <w:marTop w:val="0"/>
          <w:marBottom w:val="0"/>
          <w:divBdr>
            <w:top w:val="none" w:sz="0" w:space="0" w:color="auto"/>
            <w:left w:val="none" w:sz="0" w:space="0" w:color="auto"/>
            <w:bottom w:val="none" w:sz="0" w:space="0" w:color="auto"/>
            <w:right w:val="none" w:sz="0" w:space="0" w:color="auto"/>
          </w:divBdr>
        </w:div>
      </w:divsChild>
    </w:div>
    <w:div w:id="697122479">
      <w:bodyDiv w:val="1"/>
      <w:marLeft w:val="0"/>
      <w:marRight w:val="0"/>
      <w:marTop w:val="0"/>
      <w:marBottom w:val="0"/>
      <w:divBdr>
        <w:top w:val="none" w:sz="0" w:space="0" w:color="auto"/>
        <w:left w:val="none" w:sz="0" w:space="0" w:color="auto"/>
        <w:bottom w:val="none" w:sz="0" w:space="0" w:color="auto"/>
        <w:right w:val="none" w:sz="0" w:space="0" w:color="auto"/>
      </w:divBdr>
    </w:div>
    <w:div w:id="706299263">
      <w:bodyDiv w:val="1"/>
      <w:marLeft w:val="0"/>
      <w:marRight w:val="0"/>
      <w:marTop w:val="0"/>
      <w:marBottom w:val="0"/>
      <w:divBdr>
        <w:top w:val="none" w:sz="0" w:space="0" w:color="auto"/>
        <w:left w:val="none" w:sz="0" w:space="0" w:color="auto"/>
        <w:bottom w:val="none" w:sz="0" w:space="0" w:color="auto"/>
        <w:right w:val="none" w:sz="0" w:space="0" w:color="auto"/>
      </w:divBdr>
      <w:divsChild>
        <w:div w:id="1283919440">
          <w:marLeft w:val="0"/>
          <w:marRight w:val="0"/>
          <w:marTop w:val="0"/>
          <w:marBottom w:val="0"/>
          <w:divBdr>
            <w:top w:val="none" w:sz="0" w:space="0" w:color="auto"/>
            <w:left w:val="none" w:sz="0" w:space="0" w:color="auto"/>
            <w:bottom w:val="none" w:sz="0" w:space="0" w:color="auto"/>
            <w:right w:val="none" w:sz="0" w:space="0" w:color="auto"/>
          </w:divBdr>
          <w:divsChild>
            <w:div w:id="134685820">
              <w:marLeft w:val="0"/>
              <w:marRight w:val="0"/>
              <w:marTop w:val="0"/>
              <w:marBottom w:val="0"/>
              <w:divBdr>
                <w:top w:val="none" w:sz="0" w:space="0" w:color="auto"/>
                <w:left w:val="none" w:sz="0" w:space="0" w:color="auto"/>
                <w:bottom w:val="none" w:sz="0" w:space="0" w:color="auto"/>
                <w:right w:val="none" w:sz="0" w:space="0" w:color="auto"/>
              </w:divBdr>
              <w:divsChild>
                <w:div w:id="1925532047">
                  <w:marLeft w:val="0"/>
                  <w:marRight w:val="0"/>
                  <w:marTop w:val="0"/>
                  <w:marBottom w:val="0"/>
                  <w:divBdr>
                    <w:top w:val="none" w:sz="0" w:space="0" w:color="auto"/>
                    <w:left w:val="none" w:sz="0" w:space="0" w:color="auto"/>
                    <w:bottom w:val="none" w:sz="0" w:space="0" w:color="auto"/>
                    <w:right w:val="none" w:sz="0" w:space="0" w:color="auto"/>
                  </w:divBdr>
                  <w:divsChild>
                    <w:div w:id="15244997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4051">
      <w:bodyDiv w:val="1"/>
      <w:marLeft w:val="0"/>
      <w:marRight w:val="0"/>
      <w:marTop w:val="0"/>
      <w:marBottom w:val="0"/>
      <w:divBdr>
        <w:top w:val="none" w:sz="0" w:space="0" w:color="auto"/>
        <w:left w:val="none" w:sz="0" w:space="0" w:color="auto"/>
        <w:bottom w:val="none" w:sz="0" w:space="0" w:color="auto"/>
        <w:right w:val="none" w:sz="0" w:space="0" w:color="auto"/>
      </w:divBdr>
      <w:divsChild>
        <w:div w:id="1020817277">
          <w:marLeft w:val="0"/>
          <w:marRight w:val="0"/>
          <w:marTop w:val="0"/>
          <w:marBottom w:val="0"/>
          <w:divBdr>
            <w:top w:val="none" w:sz="0" w:space="0" w:color="auto"/>
            <w:left w:val="none" w:sz="0" w:space="0" w:color="auto"/>
            <w:bottom w:val="none" w:sz="0" w:space="0" w:color="auto"/>
            <w:right w:val="none" w:sz="0" w:space="0" w:color="auto"/>
          </w:divBdr>
          <w:divsChild>
            <w:div w:id="1577863581">
              <w:marLeft w:val="0"/>
              <w:marRight w:val="0"/>
              <w:marTop w:val="0"/>
              <w:marBottom w:val="0"/>
              <w:divBdr>
                <w:top w:val="none" w:sz="0" w:space="0" w:color="auto"/>
                <w:left w:val="none" w:sz="0" w:space="0" w:color="auto"/>
                <w:bottom w:val="none" w:sz="0" w:space="0" w:color="auto"/>
                <w:right w:val="none" w:sz="0" w:space="0" w:color="auto"/>
              </w:divBdr>
              <w:divsChild>
                <w:div w:id="1776710103">
                  <w:marLeft w:val="0"/>
                  <w:marRight w:val="0"/>
                  <w:marTop w:val="0"/>
                  <w:marBottom w:val="0"/>
                  <w:divBdr>
                    <w:top w:val="none" w:sz="0" w:space="0" w:color="auto"/>
                    <w:left w:val="none" w:sz="0" w:space="0" w:color="auto"/>
                    <w:bottom w:val="none" w:sz="0" w:space="0" w:color="auto"/>
                    <w:right w:val="none" w:sz="0" w:space="0" w:color="auto"/>
                  </w:divBdr>
                  <w:divsChild>
                    <w:div w:id="27683617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23780">
      <w:bodyDiv w:val="1"/>
      <w:marLeft w:val="0"/>
      <w:marRight w:val="0"/>
      <w:marTop w:val="0"/>
      <w:marBottom w:val="0"/>
      <w:divBdr>
        <w:top w:val="none" w:sz="0" w:space="0" w:color="auto"/>
        <w:left w:val="none" w:sz="0" w:space="0" w:color="auto"/>
        <w:bottom w:val="none" w:sz="0" w:space="0" w:color="auto"/>
        <w:right w:val="none" w:sz="0" w:space="0" w:color="auto"/>
      </w:divBdr>
      <w:divsChild>
        <w:div w:id="434908665">
          <w:marLeft w:val="0"/>
          <w:marRight w:val="0"/>
          <w:marTop w:val="0"/>
          <w:marBottom w:val="0"/>
          <w:divBdr>
            <w:top w:val="none" w:sz="0" w:space="0" w:color="auto"/>
            <w:left w:val="none" w:sz="0" w:space="0" w:color="auto"/>
            <w:bottom w:val="none" w:sz="0" w:space="0" w:color="auto"/>
            <w:right w:val="none" w:sz="0" w:space="0" w:color="auto"/>
          </w:divBdr>
          <w:divsChild>
            <w:div w:id="949046411">
              <w:marLeft w:val="0"/>
              <w:marRight w:val="0"/>
              <w:marTop w:val="0"/>
              <w:marBottom w:val="0"/>
              <w:divBdr>
                <w:top w:val="none" w:sz="0" w:space="0" w:color="auto"/>
                <w:left w:val="none" w:sz="0" w:space="0" w:color="auto"/>
                <w:bottom w:val="none" w:sz="0" w:space="0" w:color="auto"/>
                <w:right w:val="none" w:sz="0" w:space="0" w:color="auto"/>
              </w:divBdr>
              <w:divsChild>
                <w:div w:id="1578633595">
                  <w:marLeft w:val="0"/>
                  <w:marRight w:val="0"/>
                  <w:marTop w:val="0"/>
                  <w:marBottom w:val="0"/>
                  <w:divBdr>
                    <w:top w:val="none" w:sz="0" w:space="0" w:color="auto"/>
                    <w:left w:val="none" w:sz="0" w:space="0" w:color="auto"/>
                    <w:bottom w:val="none" w:sz="0" w:space="0" w:color="auto"/>
                    <w:right w:val="none" w:sz="0" w:space="0" w:color="auto"/>
                  </w:divBdr>
                  <w:divsChild>
                    <w:div w:id="1708414087">
                      <w:marLeft w:val="0"/>
                      <w:marRight w:val="0"/>
                      <w:marTop w:val="0"/>
                      <w:marBottom w:val="0"/>
                      <w:divBdr>
                        <w:top w:val="none" w:sz="0" w:space="0" w:color="auto"/>
                        <w:left w:val="none" w:sz="0" w:space="0" w:color="auto"/>
                        <w:bottom w:val="none" w:sz="0" w:space="0" w:color="auto"/>
                        <w:right w:val="none" w:sz="0" w:space="0" w:color="auto"/>
                      </w:divBdr>
                      <w:divsChild>
                        <w:div w:id="321010168">
                          <w:marLeft w:val="0"/>
                          <w:marRight w:val="0"/>
                          <w:marTop w:val="0"/>
                          <w:marBottom w:val="0"/>
                          <w:divBdr>
                            <w:top w:val="none" w:sz="0" w:space="0" w:color="auto"/>
                            <w:left w:val="none" w:sz="0" w:space="0" w:color="auto"/>
                            <w:bottom w:val="none" w:sz="0" w:space="0" w:color="auto"/>
                            <w:right w:val="none" w:sz="0" w:space="0" w:color="auto"/>
                          </w:divBdr>
                          <w:divsChild>
                            <w:div w:id="963804176">
                              <w:marLeft w:val="0"/>
                              <w:marRight w:val="0"/>
                              <w:marTop w:val="0"/>
                              <w:marBottom w:val="0"/>
                              <w:divBdr>
                                <w:top w:val="none" w:sz="0" w:space="0" w:color="auto"/>
                                <w:left w:val="none" w:sz="0" w:space="0" w:color="auto"/>
                                <w:bottom w:val="none" w:sz="0" w:space="0" w:color="auto"/>
                                <w:right w:val="none" w:sz="0" w:space="0" w:color="auto"/>
                              </w:divBdr>
                              <w:divsChild>
                                <w:div w:id="1154224494">
                                  <w:marLeft w:val="0"/>
                                  <w:marRight w:val="0"/>
                                  <w:marTop w:val="0"/>
                                  <w:marBottom w:val="0"/>
                                  <w:divBdr>
                                    <w:top w:val="none" w:sz="0" w:space="0" w:color="auto"/>
                                    <w:left w:val="none" w:sz="0" w:space="0" w:color="auto"/>
                                    <w:bottom w:val="none" w:sz="0" w:space="0" w:color="auto"/>
                                    <w:right w:val="none" w:sz="0" w:space="0" w:color="auto"/>
                                  </w:divBdr>
                                  <w:divsChild>
                                    <w:div w:id="2141146466">
                                      <w:marLeft w:val="0"/>
                                      <w:marRight w:val="0"/>
                                      <w:marTop w:val="0"/>
                                      <w:marBottom w:val="0"/>
                                      <w:divBdr>
                                        <w:top w:val="none" w:sz="0" w:space="0" w:color="auto"/>
                                        <w:left w:val="none" w:sz="0" w:space="0" w:color="auto"/>
                                        <w:bottom w:val="none" w:sz="0" w:space="0" w:color="auto"/>
                                        <w:right w:val="none" w:sz="0" w:space="0" w:color="auto"/>
                                      </w:divBdr>
                                      <w:divsChild>
                                        <w:div w:id="1837958531">
                                          <w:marLeft w:val="0"/>
                                          <w:marRight w:val="0"/>
                                          <w:marTop w:val="0"/>
                                          <w:marBottom w:val="0"/>
                                          <w:divBdr>
                                            <w:top w:val="none" w:sz="0" w:space="0" w:color="auto"/>
                                            <w:left w:val="none" w:sz="0" w:space="0" w:color="auto"/>
                                            <w:bottom w:val="none" w:sz="0" w:space="0" w:color="auto"/>
                                            <w:right w:val="none" w:sz="0" w:space="0" w:color="auto"/>
                                          </w:divBdr>
                                          <w:divsChild>
                                            <w:div w:id="19172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1874876">
      <w:bodyDiv w:val="1"/>
      <w:marLeft w:val="0"/>
      <w:marRight w:val="0"/>
      <w:marTop w:val="0"/>
      <w:marBottom w:val="0"/>
      <w:divBdr>
        <w:top w:val="none" w:sz="0" w:space="0" w:color="auto"/>
        <w:left w:val="none" w:sz="0" w:space="0" w:color="auto"/>
        <w:bottom w:val="none" w:sz="0" w:space="0" w:color="auto"/>
        <w:right w:val="none" w:sz="0" w:space="0" w:color="auto"/>
      </w:divBdr>
      <w:divsChild>
        <w:div w:id="1898083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749217">
      <w:bodyDiv w:val="1"/>
      <w:marLeft w:val="0"/>
      <w:marRight w:val="0"/>
      <w:marTop w:val="0"/>
      <w:marBottom w:val="0"/>
      <w:divBdr>
        <w:top w:val="none" w:sz="0" w:space="0" w:color="auto"/>
        <w:left w:val="none" w:sz="0" w:space="0" w:color="auto"/>
        <w:bottom w:val="none" w:sz="0" w:space="0" w:color="auto"/>
        <w:right w:val="none" w:sz="0" w:space="0" w:color="auto"/>
      </w:divBdr>
    </w:div>
    <w:div w:id="786394353">
      <w:bodyDiv w:val="1"/>
      <w:marLeft w:val="-480"/>
      <w:marRight w:val="0"/>
      <w:marTop w:val="0"/>
      <w:marBottom w:val="0"/>
      <w:divBdr>
        <w:top w:val="none" w:sz="0" w:space="0" w:color="auto"/>
        <w:left w:val="none" w:sz="0" w:space="0" w:color="auto"/>
        <w:bottom w:val="none" w:sz="0" w:space="0" w:color="auto"/>
        <w:right w:val="none" w:sz="0" w:space="0" w:color="auto"/>
      </w:divBdr>
      <w:divsChild>
        <w:div w:id="552470219">
          <w:marLeft w:val="0"/>
          <w:marRight w:val="0"/>
          <w:marTop w:val="0"/>
          <w:marBottom w:val="0"/>
          <w:divBdr>
            <w:top w:val="none" w:sz="0" w:space="0" w:color="auto"/>
            <w:left w:val="none" w:sz="0" w:space="0" w:color="auto"/>
            <w:bottom w:val="none" w:sz="0" w:space="0" w:color="auto"/>
            <w:right w:val="none" w:sz="0" w:space="0" w:color="auto"/>
          </w:divBdr>
          <w:divsChild>
            <w:div w:id="1506285283">
              <w:marLeft w:val="0"/>
              <w:marRight w:val="0"/>
              <w:marTop w:val="0"/>
              <w:marBottom w:val="0"/>
              <w:divBdr>
                <w:top w:val="none" w:sz="0" w:space="0" w:color="auto"/>
                <w:left w:val="none" w:sz="0" w:space="0" w:color="auto"/>
                <w:bottom w:val="none" w:sz="0" w:space="0" w:color="auto"/>
                <w:right w:val="none" w:sz="0" w:space="0" w:color="auto"/>
              </w:divBdr>
              <w:divsChild>
                <w:div w:id="2091191302">
                  <w:marLeft w:val="0"/>
                  <w:marRight w:val="0"/>
                  <w:marTop w:val="0"/>
                  <w:marBottom w:val="240"/>
                  <w:divBdr>
                    <w:top w:val="none" w:sz="0" w:space="0" w:color="auto"/>
                    <w:left w:val="none" w:sz="0" w:space="0" w:color="auto"/>
                    <w:bottom w:val="none" w:sz="0" w:space="0" w:color="auto"/>
                    <w:right w:val="none" w:sz="0" w:space="0" w:color="auto"/>
                  </w:divBdr>
                  <w:divsChild>
                    <w:div w:id="506139259">
                      <w:marLeft w:val="0"/>
                      <w:marRight w:val="0"/>
                      <w:marTop w:val="0"/>
                      <w:marBottom w:val="0"/>
                      <w:divBdr>
                        <w:top w:val="none" w:sz="0" w:space="0" w:color="auto"/>
                        <w:left w:val="none" w:sz="0" w:space="0" w:color="auto"/>
                        <w:bottom w:val="none" w:sz="0" w:space="0" w:color="auto"/>
                        <w:right w:val="none" w:sz="0" w:space="0" w:color="auto"/>
                      </w:divBdr>
                      <w:divsChild>
                        <w:div w:id="210114015">
                          <w:marLeft w:val="0"/>
                          <w:marRight w:val="0"/>
                          <w:marTop w:val="0"/>
                          <w:marBottom w:val="240"/>
                          <w:divBdr>
                            <w:top w:val="none" w:sz="0" w:space="0" w:color="auto"/>
                            <w:left w:val="none" w:sz="0" w:space="0" w:color="auto"/>
                            <w:bottom w:val="none" w:sz="0" w:space="0" w:color="auto"/>
                            <w:right w:val="none" w:sz="0" w:space="0" w:color="auto"/>
                          </w:divBdr>
                          <w:divsChild>
                            <w:div w:id="1964144565">
                              <w:marLeft w:val="0"/>
                              <w:marRight w:val="0"/>
                              <w:marTop w:val="0"/>
                              <w:marBottom w:val="0"/>
                              <w:divBdr>
                                <w:top w:val="none" w:sz="0" w:space="0" w:color="auto"/>
                                <w:left w:val="none" w:sz="0" w:space="0" w:color="auto"/>
                                <w:bottom w:val="none" w:sz="0" w:space="0" w:color="auto"/>
                                <w:right w:val="none" w:sz="0" w:space="0" w:color="auto"/>
                              </w:divBdr>
                              <w:divsChild>
                                <w:div w:id="1460998091">
                                  <w:marLeft w:val="0"/>
                                  <w:marRight w:val="0"/>
                                  <w:marTop w:val="288"/>
                                  <w:marBottom w:val="0"/>
                                  <w:divBdr>
                                    <w:top w:val="single" w:sz="18" w:space="6" w:color="E1E9EB"/>
                                    <w:left w:val="none" w:sz="0" w:space="0" w:color="auto"/>
                                    <w:bottom w:val="none" w:sz="0" w:space="0" w:color="auto"/>
                                    <w:right w:val="none" w:sz="0" w:space="0" w:color="auto"/>
                                  </w:divBdr>
                                  <w:divsChild>
                                    <w:div w:id="4837434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780643">
      <w:bodyDiv w:val="1"/>
      <w:marLeft w:val="-480"/>
      <w:marRight w:val="0"/>
      <w:marTop w:val="0"/>
      <w:marBottom w:val="0"/>
      <w:divBdr>
        <w:top w:val="none" w:sz="0" w:space="0" w:color="auto"/>
        <w:left w:val="none" w:sz="0" w:space="0" w:color="auto"/>
        <w:bottom w:val="none" w:sz="0" w:space="0" w:color="auto"/>
        <w:right w:val="none" w:sz="0" w:space="0" w:color="auto"/>
      </w:divBdr>
      <w:divsChild>
        <w:div w:id="1245914636">
          <w:marLeft w:val="0"/>
          <w:marRight w:val="0"/>
          <w:marTop w:val="0"/>
          <w:marBottom w:val="0"/>
          <w:divBdr>
            <w:top w:val="none" w:sz="0" w:space="0" w:color="auto"/>
            <w:left w:val="none" w:sz="0" w:space="0" w:color="auto"/>
            <w:bottom w:val="none" w:sz="0" w:space="0" w:color="auto"/>
            <w:right w:val="none" w:sz="0" w:space="0" w:color="auto"/>
          </w:divBdr>
          <w:divsChild>
            <w:div w:id="1036201909">
              <w:marLeft w:val="0"/>
              <w:marRight w:val="0"/>
              <w:marTop w:val="0"/>
              <w:marBottom w:val="0"/>
              <w:divBdr>
                <w:top w:val="none" w:sz="0" w:space="0" w:color="auto"/>
                <w:left w:val="none" w:sz="0" w:space="0" w:color="auto"/>
                <w:bottom w:val="none" w:sz="0" w:space="0" w:color="auto"/>
                <w:right w:val="none" w:sz="0" w:space="0" w:color="auto"/>
              </w:divBdr>
              <w:divsChild>
                <w:div w:id="1377778587">
                  <w:marLeft w:val="0"/>
                  <w:marRight w:val="0"/>
                  <w:marTop w:val="0"/>
                  <w:marBottom w:val="240"/>
                  <w:divBdr>
                    <w:top w:val="none" w:sz="0" w:space="0" w:color="auto"/>
                    <w:left w:val="none" w:sz="0" w:space="0" w:color="auto"/>
                    <w:bottom w:val="none" w:sz="0" w:space="0" w:color="auto"/>
                    <w:right w:val="none" w:sz="0" w:space="0" w:color="auto"/>
                  </w:divBdr>
                  <w:divsChild>
                    <w:div w:id="1324702311">
                      <w:marLeft w:val="0"/>
                      <w:marRight w:val="0"/>
                      <w:marTop w:val="0"/>
                      <w:marBottom w:val="0"/>
                      <w:divBdr>
                        <w:top w:val="none" w:sz="0" w:space="0" w:color="auto"/>
                        <w:left w:val="none" w:sz="0" w:space="0" w:color="auto"/>
                        <w:bottom w:val="none" w:sz="0" w:space="0" w:color="auto"/>
                        <w:right w:val="none" w:sz="0" w:space="0" w:color="auto"/>
                      </w:divBdr>
                      <w:divsChild>
                        <w:div w:id="1188174858">
                          <w:marLeft w:val="0"/>
                          <w:marRight w:val="0"/>
                          <w:marTop w:val="0"/>
                          <w:marBottom w:val="240"/>
                          <w:divBdr>
                            <w:top w:val="none" w:sz="0" w:space="0" w:color="auto"/>
                            <w:left w:val="none" w:sz="0" w:space="0" w:color="auto"/>
                            <w:bottom w:val="none" w:sz="0" w:space="0" w:color="auto"/>
                            <w:right w:val="none" w:sz="0" w:space="0" w:color="auto"/>
                          </w:divBdr>
                          <w:divsChild>
                            <w:div w:id="852762785">
                              <w:marLeft w:val="0"/>
                              <w:marRight w:val="0"/>
                              <w:marTop w:val="0"/>
                              <w:marBottom w:val="0"/>
                              <w:divBdr>
                                <w:top w:val="none" w:sz="0" w:space="0" w:color="auto"/>
                                <w:left w:val="none" w:sz="0" w:space="0" w:color="auto"/>
                                <w:bottom w:val="none" w:sz="0" w:space="0" w:color="auto"/>
                                <w:right w:val="none" w:sz="0" w:space="0" w:color="auto"/>
                              </w:divBdr>
                              <w:divsChild>
                                <w:div w:id="128744364">
                                  <w:marLeft w:val="0"/>
                                  <w:marRight w:val="0"/>
                                  <w:marTop w:val="288"/>
                                  <w:marBottom w:val="0"/>
                                  <w:divBdr>
                                    <w:top w:val="single" w:sz="18" w:space="6" w:color="E1E9EB"/>
                                    <w:left w:val="none" w:sz="0" w:space="0" w:color="auto"/>
                                    <w:bottom w:val="none" w:sz="0" w:space="0" w:color="auto"/>
                                    <w:right w:val="none" w:sz="0" w:space="0" w:color="auto"/>
                                  </w:divBdr>
                                  <w:divsChild>
                                    <w:div w:id="362681676">
                                      <w:marLeft w:val="0"/>
                                      <w:marRight w:val="0"/>
                                      <w:marTop w:val="120"/>
                                      <w:marBottom w:val="0"/>
                                      <w:divBdr>
                                        <w:top w:val="none" w:sz="0" w:space="0" w:color="auto"/>
                                        <w:left w:val="none" w:sz="0" w:space="0" w:color="auto"/>
                                        <w:bottom w:val="none" w:sz="0" w:space="0" w:color="auto"/>
                                        <w:right w:val="none" w:sz="0" w:space="0" w:color="auto"/>
                                      </w:divBdr>
                                      <w:divsChild>
                                        <w:div w:id="14694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277009">
      <w:bodyDiv w:val="1"/>
      <w:marLeft w:val="0"/>
      <w:marRight w:val="0"/>
      <w:marTop w:val="0"/>
      <w:marBottom w:val="0"/>
      <w:divBdr>
        <w:top w:val="none" w:sz="0" w:space="0" w:color="auto"/>
        <w:left w:val="none" w:sz="0" w:space="0" w:color="auto"/>
        <w:bottom w:val="none" w:sz="0" w:space="0" w:color="auto"/>
        <w:right w:val="none" w:sz="0" w:space="0" w:color="auto"/>
      </w:divBdr>
      <w:divsChild>
        <w:div w:id="1218206087">
          <w:marLeft w:val="0"/>
          <w:marRight w:val="0"/>
          <w:marTop w:val="0"/>
          <w:marBottom w:val="0"/>
          <w:divBdr>
            <w:top w:val="none" w:sz="0" w:space="0" w:color="auto"/>
            <w:left w:val="none" w:sz="0" w:space="0" w:color="auto"/>
            <w:bottom w:val="none" w:sz="0" w:space="0" w:color="auto"/>
            <w:right w:val="none" w:sz="0" w:space="0" w:color="auto"/>
          </w:divBdr>
          <w:divsChild>
            <w:div w:id="13322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85363">
      <w:bodyDiv w:val="1"/>
      <w:marLeft w:val="0"/>
      <w:marRight w:val="0"/>
      <w:marTop w:val="0"/>
      <w:marBottom w:val="0"/>
      <w:divBdr>
        <w:top w:val="none" w:sz="0" w:space="0" w:color="auto"/>
        <w:left w:val="none" w:sz="0" w:space="0" w:color="auto"/>
        <w:bottom w:val="none" w:sz="0" w:space="0" w:color="auto"/>
        <w:right w:val="none" w:sz="0" w:space="0" w:color="auto"/>
      </w:divBdr>
    </w:div>
    <w:div w:id="854077107">
      <w:bodyDiv w:val="1"/>
      <w:marLeft w:val="0"/>
      <w:marRight w:val="0"/>
      <w:marTop w:val="0"/>
      <w:marBottom w:val="0"/>
      <w:divBdr>
        <w:top w:val="none" w:sz="0" w:space="0" w:color="auto"/>
        <w:left w:val="none" w:sz="0" w:space="0" w:color="auto"/>
        <w:bottom w:val="none" w:sz="0" w:space="0" w:color="auto"/>
        <w:right w:val="none" w:sz="0" w:space="0" w:color="auto"/>
      </w:divBdr>
      <w:divsChild>
        <w:div w:id="72506779">
          <w:marLeft w:val="0"/>
          <w:marRight w:val="0"/>
          <w:marTop w:val="0"/>
          <w:marBottom w:val="0"/>
          <w:divBdr>
            <w:top w:val="none" w:sz="0" w:space="0" w:color="auto"/>
            <w:left w:val="none" w:sz="0" w:space="0" w:color="auto"/>
            <w:bottom w:val="none" w:sz="0" w:space="0" w:color="auto"/>
            <w:right w:val="none" w:sz="0" w:space="0" w:color="auto"/>
          </w:divBdr>
          <w:divsChild>
            <w:div w:id="1299410421">
              <w:marLeft w:val="0"/>
              <w:marRight w:val="72"/>
              <w:marTop w:val="96"/>
              <w:marBottom w:val="0"/>
              <w:divBdr>
                <w:top w:val="none" w:sz="0" w:space="0" w:color="auto"/>
                <w:left w:val="none" w:sz="0" w:space="0" w:color="auto"/>
                <w:bottom w:val="none" w:sz="0" w:space="0" w:color="auto"/>
                <w:right w:val="none" w:sz="0" w:space="0" w:color="auto"/>
              </w:divBdr>
              <w:divsChild>
                <w:div w:id="497617546">
                  <w:marLeft w:val="0"/>
                  <w:marRight w:val="0"/>
                  <w:marTop w:val="0"/>
                  <w:marBottom w:val="0"/>
                  <w:divBdr>
                    <w:top w:val="none" w:sz="0" w:space="0" w:color="auto"/>
                    <w:left w:val="none" w:sz="0" w:space="0" w:color="auto"/>
                    <w:bottom w:val="none" w:sz="0" w:space="0" w:color="auto"/>
                    <w:right w:val="none" w:sz="0" w:space="0" w:color="auto"/>
                  </w:divBdr>
                  <w:divsChild>
                    <w:div w:id="861211780">
                      <w:marLeft w:val="0"/>
                      <w:marRight w:val="0"/>
                      <w:marTop w:val="0"/>
                      <w:marBottom w:val="0"/>
                      <w:divBdr>
                        <w:top w:val="none" w:sz="0" w:space="0" w:color="auto"/>
                        <w:left w:val="none" w:sz="0" w:space="0" w:color="auto"/>
                        <w:bottom w:val="none" w:sz="0" w:space="0" w:color="auto"/>
                        <w:right w:val="none" w:sz="0" w:space="0" w:color="auto"/>
                      </w:divBdr>
                      <w:divsChild>
                        <w:div w:id="492451722">
                          <w:marLeft w:val="0"/>
                          <w:marRight w:val="0"/>
                          <w:marTop w:val="0"/>
                          <w:marBottom w:val="0"/>
                          <w:divBdr>
                            <w:top w:val="none" w:sz="0" w:space="0" w:color="auto"/>
                            <w:left w:val="none" w:sz="0" w:space="0" w:color="auto"/>
                            <w:bottom w:val="none" w:sz="0" w:space="0" w:color="auto"/>
                            <w:right w:val="none" w:sz="0" w:space="0" w:color="auto"/>
                          </w:divBdr>
                        </w:div>
                        <w:div w:id="18165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778814">
      <w:bodyDiv w:val="1"/>
      <w:marLeft w:val="0"/>
      <w:marRight w:val="0"/>
      <w:marTop w:val="0"/>
      <w:marBottom w:val="0"/>
      <w:divBdr>
        <w:top w:val="none" w:sz="0" w:space="0" w:color="auto"/>
        <w:left w:val="none" w:sz="0" w:space="0" w:color="auto"/>
        <w:bottom w:val="none" w:sz="0" w:space="0" w:color="auto"/>
        <w:right w:val="none" w:sz="0" w:space="0" w:color="auto"/>
      </w:divBdr>
    </w:div>
    <w:div w:id="900094485">
      <w:bodyDiv w:val="1"/>
      <w:marLeft w:val="0"/>
      <w:marRight w:val="0"/>
      <w:marTop w:val="0"/>
      <w:marBottom w:val="0"/>
      <w:divBdr>
        <w:top w:val="none" w:sz="0" w:space="0" w:color="auto"/>
        <w:left w:val="none" w:sz="0" w:space="0" w:color="auto"/>
        <w:bottom w:val="none" w:sz="0" w:space="0" w:color="auto"/>
        <w:right w:val="none" w:sz="0" w:space="0" w:color="auto"/>
      </w:divBdr>
      <w:divsChild>
        <w:div w:id="914976570">
          <w:marLeft w:val="0"/>
          <w:marRight w:val="0"/>
          <w:marTop w:val="100"/>
          <w:marBottom w:val="100"/>
          <w:divBdr>
            <w:top w:val="none" w:sz="0" w:space="0" w:color="auto"/>
            <w:left w:val="none" w:sz="0" w:space="0" w:color="auto"/>
            <w:bottom w:val="none" w:sz="0" w:space="0" w:color="auto"/>
            <w:right w:val="none" w:sz="0" w:space="0" w:color="auto"/>
          </w:divBdr>
          <w:divsChild>
            <w:div w:id="716316962">
              <w:marLeft w:val="0"/>
              <w:marRight w:val="0"/>
              <w:marTop w:val="0"/>
              <w:marBottom w:val="0"/>
              <w:divBdr>
                <w:top w:val="none" w:sz="0" w:space="0" w:color="auto"/>
                <w:left w:val="none" w:sz="0" w:space="0" w:color="auto"/>
                <w:bottom w:val="none" w:sz="0" w:space="0" w:color="auto"/>
                <w:right w:val="none" w:sz="0" w:space="0" w:color="auto"/>
              </w:divBdr>
              <w:divsChild>
                <w:div w:id="15668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7720">
      <w:bodyDiv w:val="1"/>
      <w:marLeft w:val="0"/>
      <w:marRight w:val="0"/>
      <w:marTop w:val="0"/>
      <w:marBottom w:val="0"/>
      <w:divBdr>
        <w:top w:val="none" w:sz="0" w:space="0" w:color="auto"/>
        <w:left w:val="none" w:sz="0" w:space="0" w:color="auto"/>
        <w:bottom w:val="none" w:sz="0" w:space="0" w:color="auto"/>
        <w:right w:val="none" w:sz="0" w:space="0" w:color="auto"/>
      </w:divBdr>
      <w:divsChild>
        <w:div w:id="1876194333">
          <w:marLeft w:val="0"/>
          <w:marRight w:val="0"/>
          <w:marTop w:val="0"/>
          <w:marBottom w:val="0"/>
          <w:divBdr>
            <w:top w:val="none" w:sz="0" w:space="0" w:color="auto"/>
            <w:left w:val="none" w:sz="0" w:space="0" w:color="auto"/>
            <w:bottom w:val="none" w:sz="0" w:space="0" w:color="auto"/>
            <w:right w:val="none" w:sz="0" w:space="0" w:color="auto"/>
          </w:divBdr>
          <w:divsChild>
            <w:div w:id="184371885">
              <w:marLeft w:val="0"/>
              <w:marRight w:val="0"/>
              <w:marTop w:val="0"/>
              <w:marBottom w:val="0"/>
              <w:divBdr>
                <w:top w:val="none" w:sz="0" w:space="0" w:color="auto"/>
                <w:left w:val="none" w:sz="0" w:space="0" w:color="auto"/>
                <w:bottom w:val="none" w:sz="0" w:space="0" w:color="auto"/>
                <w:right w:val="none" w:sz="0" w:space="0" w:color="auto"/>
              </w:divBdr>
              <w:divsChild>
                <w:div w:id="388654548">
                  <w:marLeft w:val="0"/>
                  <w:marRight w:val="0"/>
                  <w:marTop w:val="0"/>
                  <w:marBottom w:val="0"/>
                  <w:divBdr>
                    <w:top w:val="none" w:sz="0" w:space="0" w:color="auto"/>
                    <w:left w:val="none" w:sz="0" w:space="0" w:color="auto"/>
                    <w:bottom w:val="none" w:sz="0" w:space="0" w:color="auto"/>
                    <w:right w:val="none" w:sz="0" w:space="0" w:color="auto"/>
                  </w:divBdr>
                  <w:divsChild>
                    <w:div w:id="670252354">
                      <w:marLeft w:val="0"/>
                      <w:marRight w:val="0"/>
                      <w:marTop w:val="0"/>
                      <w:marBottom w:val="0"/>
                      <w:divBdr>
                        <w:top w:val="none" w:sz="0" w:space="0" w:color="auto"/>
                        <w:left w:val="none" w:sz="0" w:space="0" w:color="auto"/>
                        <w:bottom w:val="none" w:sz="0" w:space="0" w:color="auto"/>
                        <w:right w:val="none" w:sz="0" w:space="0" w:color="auto"/>
                      </w:divBdr>
                      <w:divsChild>
                        <w:div w:id="1592201678">
                          <w:marLeft w:val="0"/>
                          <w:marRight w:val="0"/>
                          <w:marTop w:val="0"/>
                          <w:marBottom w:val="0"/>
                          <w:divBdr>
                            <w:top w:val="none" w:sz="0" w:space="0" w:color="auto"/>
                            <w:left w:val="none" w:sz="0" w:space="0" w:color="auto"/>
                            <w:bottom w:val="none" w:sz="0" w:space="0" w:color="auto"/>
                            <w:right w:val="none" w:sz="0" w:space="0" w:color="auto"/>
                          </w:divBdr>
                          <w:divsChild>
                            <w:div w:id="918902779">
                              <w:marLeft w:val="0"/>
                              <w:marRight w:val="0"/>
                              <w:marTop w:val="0"/>
                              <w:marBottom w:val="0"/>
                              <w:divBdr>
                                <w:top w:val="none" w:sz="0" w:space="0" w:color="auto"/>
                                <w:left w:val="none" w:sz="0" w:space="0" w:color="auto"/>
                                <w:bottom w:val="none" w:sz="0" w:space="0" w:color="auto"/>
                                <w:right w:val="none" w:sz="0" w:space="0" w:color="auto"/>
                              </w:divBdr>
                              <w:divsChild>
                                <w:div w:id="871695625">
                                  <w:marLeft w:val="0"/>
                                  <w:marRight w:val="0"/>
                                  <w:marTop w:val="0"/>
                                  <w:marBottom w:val="0"/>
                                  <w:divBdr>
                                    <w:top w:val="none" w:sz="0" w:space="0" w:color="auto"/>
                                    <w:left w:val="none" w:sz="0" w:space="0" w:color="auto"/>
                                    <w:bottom w:val="none" w:sz="0" w:space="0" w:color="auto"/>
                                    <w:right w:val="none" w:sz="0" w:space="0" w:color="auto"/>
                                  </w:divBdr>
                                </w:div>
                                <w:div w:id="17032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4401">
      <w:bodyDiv w:val="1"/>
      <w:marLeft w:val="0"/>
      <w:marRight w:val="0"/>
      <w:marTop w:val="0"/>
      <w:marBottom w:val="0"/>
      <w:divBdr>
        <w:top w:val="none" w:sz="0" w:space="0" w:color="auto"/>
        <w:left w:val="none" w:sz="0" w:space="0" w:color="auto"/>
        <w:bottom w:val="none" w:sz="0" w:space="0" w:color="auto"/>
        <w:right w:val="none" w:sz="0" w:space="0" w:color="auto"/>
      </w:divBdr>
    </w:div>
    <w:div w:id="997806934">
      <w:bodyDiv w:val="1"/>
      <w:marLeft w:val="0"/>
      <w:marRight w:val="0"/>
      <w:marTop w:val="0"/>
      <w:marBottom w:val="0"/>
      <w:divBdr>
        <w:top w:val="none" w:sz="0" w:space="0" w:color="auto"/>
        <w:left w:val="none" w:sz="0" w:space="0" w:color="auto"/>
        <w:bottom w:val="none" w:sz="0" w:space="0" w:color="auto"/>
        <w:right w:val="none" w:sz="0" w:space="0" w:color="auto"/>
      </w:divBdr>
      <w:divsChild>
        <w:div w:id="442847262">
          <w:marLeft w:val="0"/>
          <w:marRight w:val="0"/>
          <w:marTop w:val="0"/>
          <w:marBottom w:val="0"/>
          <w:divBdr>
            <w:top w:val="none" w:sz="0" w:space="0" w:color="auto"/>
            <w:left w:val="none" w:sz="0" w:space="0" w:color="auto"/>
            <w:bottom w:val="none" w:sz="0" w:space="0" w:color="auto"/>
            <w:right w:val="none" w:sz="0" w:space="0" w:color="auto"/>
          </w:divBdr>
          <w:divsChild>
            <w:div w:id="1191794631">
              <w:marLeft w:val="3375"/>
              <w:marRight w:val="0"/>
              <w:marTop w:val="0"/>
              <w:marBottom w:val="120"/>
              <w:divBdr>
                <w:top w:val="none" w:sz="0" w:space="0" w:color="auto"/>
                <w:left w:val="none" w:sz="0" w:space="0" w:color="auto"/>
                <w:bottom w:val="none" w:sz="0" w:space="0" w:color="auto"/>
                <w:right w:val="none" w:sz="0" w:space="0" w:color="auto"/>
              </w:divBdr>
              <w:divsChild>
                <w:div w:id="3525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08347">
      <w:bodyDiv w:val="1"/>
      <w:marLeft w:val="0"/>
      <w:marRight w:val="0"/>
      <w:marTop w:val="0"/>
      <w:marBottom w:val="0"/>
      <w:divBdr>
        <w:top w:val="none" w:sz="0" w:space="0" w:color="auto"/>
        <w:left w:val="none" w:sz="0" w:space="0" w:color="auto"/>
        <w:bottom w:val="none" w:sz="0" w:space="0" w:color="auto"/>
        <w:right w:val="none" w:sz="0" w:space="0" w:color="auto"/>
      </w:divBdr>
    </w:div>
    <w:div w:id="1006908060">
      <w:bodyDiv w:val="1"/>
      <w:marLeft w:val="0"/>
      <w:marRight w:val="0"/>
      <w:marTop w:val="0"/>
      <w:marBottom w:val="0"/>
      <w:divBdr>
        <w:top w:val="none" w:sz="0" w:space="0" w:color="auto"/>
        <w:left w:val="none" w:sz="0" w:space="0" w:color="auto"/>
        <w:bottom w:val="none" w:sz="0" w:space="0" w:color="auto"/>
        <w:right w:val="none" w:sz="0" w:space="0" w:color="auto"/>
      </w:divBdr>
      <w:divsChild>
        <w:div w:id="1183588165">
          <w:marLeft w:val="0"/>
          <w:marRight w:val="0"/>
          <w:marTop w:val="0"/>
          <w:marBottom w:val="0"/>
          <w:divBdr>
            <w:top w:val="none" w:sz="0" w:space="0" w:color="auto"/>
            <w:left w:val="none" w:sz="0" w:space="0" w:color="auto"/>
            <w:bottom w:val="none" w:sz="0" w:space="0" w:color="auto"/>
            <w:right w:val="none" w:sz="0" w:space="0" w:color="auto"/>
          </w:divBdr>
          <w:divsChild>
            <w:div w:id="1040009833">
              <w:marLeft w:val="0"/>
              <w:marRight w:val="0"/>
              <w:marTop w:val="0"/>
              <w:marBottom w:val="0"/>
              <w:divBdr>
                <w:top w:val="none" w:sz="0" w:space="0" w:color="auto"/>
                <w:left w:val="none" w:sz="0" w:space="0" w:color="auto"/>
                <w:bottom w:val="none" w:sz="0" w:space="0" w:color="auto"/>
                <w:right w:val="none" w:sz="0" w:space="0" w:color="auto"/>
              </w:divBdr>
              <w:divsChild>
                <w:div w:id="1824078100">
                  <w:marLeft w:val="0"/>
                  <w:marRight w:val="0"/>
                  <w:marTop w:val="0"/>
                  <w:marBottom w:val="0"/>
                  <w:divBdr>
                    <w:top w:val="none" w:sz="0" w:space="0" w:color="auto"/>
                    <w:left w:val="none" w:sz="0" w:space="0" w:color="auto"/>
                    <w:bottom w:val="none" w:sz="0" w:space="0" w:color="auto"/>
                    <w:right w:val="none" w:sz="0" w:space="0" w:color="auto"/>
                  </w:divBdr>
                  <w:divsChild>
                    <w:div w:id="2061005087">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3335">
      <w:bodyDiv w:val="1"/>
      <w:marLeft w:val="0"/>
      <w:marRight w:val="0"/>
      <w:marTop w:val="0"/>
      <w:marBottom w:val="0"/>
      <w:divBdr>
        <w:top w:val="none" w:sz="0" w:space="0" w:color="auto"/>
        <w:left w:val="none" w:sz="0" w:space="0" w:color="auto"/>
        <w:bottom w:val="none" w:sz="0" w:space="0" w:color="auto"/>
        <w:right w:val="none" w:sz="0" w:space="0" w:color="auto"/>
      </w:divBdr>
      <w:divsChild>
        <w:div w:id="1297953597">
          <w:marLeft w:val="0"/>
          <w:marRight w:val="0"/>
          <w:marTop w:val="0"/>
          <w:marBottom w:val="0"/>
          <w:divBdr>
            <w:top w:val="none" w:sz="0" w:space="0" w:color="auto"/>
            <w:left w:val="none" w:sz="0" w:space="0" w:color="auto"/>
            <w:bottom w:val="none" w:sz="0" w:space="0" w:color="auto"/>
            <w:right w:val="none" w:sz="0" w:space="0" w:color="auto"/>
          </w:divBdr>
          <w:divsChild>
            <w:div w:id="173569451">
              <w:marLeft w:val="0"/>
              <w:marRight w:val="0"/>
              <w:marTop w:val="0"/>
              <w:marBottom w:val="0"/>
              <w:divBdr>
                <w:top w:val="none" w:sz="0" w:space="0" w:color="auto"/>
                <w:left w:val="none" w:sz="0" w:space="0" w:color="auto"/>
                <w:bottom w:val="none" w:sz="0" w:space="0" w:color="auto"/>
                <w:right w:val="none" w:sz="0" w:space="0" w:color="auto"/>
              </w:divBdr>
              <w:divsChild>
                <w:div w:id="76440777">
                  <w:marLeft w:val="0"/>
                  <w:marRight w:val="0"/>
                  <w:marTop w:val="0"/>
                  <w:marBottom w:val="0"/>
                  <w:divBdr>
                    <w:top w:val="none" w:sz="0" w:space="0" w:color="auto"/>
                    <w:left w:val="none" w:sz="0" w:space="0" w:color="auto"/>
                    <w:bottom w:val="none" w:sz="0" w:space="0" w:color="auto"/>
                    <w:right w:val="none" w:sz="0" w:space="0" w:color="auto"/>
                  </w:divBdr>
                  <w:divsChild>
                    <w:div w:id="141947382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7722">
      <w:bodyDiv w:val="1"/>
      <w:marLeft w:val="0"/>
      <w:marRight w:val="0"/>
      <w:marTop w:val="0"/>
      <w:marBottom w:val="0"/>
      <w:divBdr>
        <w:top w:val="none" w:sz="0" w:space="0" w:color="auto"/>
        <w:left w:val="none" w:sz="0" w:space="0" w:color="auto"/>
        <w:bottom w:val="none" w:sz="0" w:space="0" w:color="auto"/>
        <w:right w:val="none" w:sz="0" w:space="0" w:color="auto"/>
      </w:divBdr>
    </w:div>
    <w:div w:id="1041126326">
      <w:bodyDiv w:val="1"/>
      <w:marLeft w:val="0"/>
      <w:marRight w:val="0"/>
      <w:marTop w:val="0"/>
      <w:marBottom w:val="0"/>
      <w:divBdr>
        <w:top w:val="none" w:sz="0" w:space="0" w:color="auto"/>
        <w:left w:val="none" w:sz="0" w:space="0" w:color="auto"/>
        <w:bottom w:val="none" w:sz="0" w:space="0" w:color="auto"/>
        <w:right w:val="none" w:sz="0" w:space="0" w:color="auto"/>
      </w:divBdr>
    </w:div>
    <w:div w:id="1042901499">
      <w:bodyDiv w:val="1"/>
      <w:marLeft w:val="0"/>
      <w:marRight w:val="0"/>
      <w:marTop w:val="0"/>
      <w:marBottom w:val="0"/>
      <w:divBdr>
        <w:top w:val="none" w:sz="0" w:space="0" w:color="auto"/>
        <w:left w:val="none" w:sz="0" w:space="0" w:color="auto"/>
        <w:bottom w:val="none" w:sz="0" w:space="0" w:color="auto"/>
        <w:right w:val="none" w:sz="0" w:space="0" w:color="auto"/>
      </w:divBdr>
    </w:div>
    <w:div w:id="1091315992">
      <w:bodyDiv w:val="1"/>
      <w:marLeft w:val="0"/>
      <w:marRight w:val="0"/>
      <w:marTop w:val="0"/>
      <w:marBottom w:val="0"/>
      <w:divBdr>
        <w:top w:val="none" w:sz="0" w:space="0" w:color="auto"/>
        <w:left w:val="none" w:sz="0" w:space="0" w:color="auto"/>
        <w:bottom w:val="none" w:sz="0" w:space="0" w:color="auto"/>
        <w:right w:val="none" w:sz="0" w:space="0" w:color="auto"/>
      </w:divBdr>
      <w:divsChild>
        <w:div w:id="505445373">
          <w:marLeft w:val="0"/>
          <w:marRight w:val="0"/>
          <w:marTop w:val="0"/>
          <w:marBottom w:val="0"/>
          <w:divBdr>
            <w:top w:val="none" w:sz="0" w:space="0" w:color="auto"/>
            <w:left w:val="none" w:sz="0" w:space="0" w:color="auto"/>
            <w:bottom w:val="none" w:sz="0" w:space="0" w:color="auto"/>
            <w:right w:val="none" w:sz="0" w:space="0" w:color="auto"/>
          </w:divBdr>
          <w:divsChild>
            <w:div w:id="869610373">
              <w:marLeft w:val="0"/>
              <w:marRight w:val="0"/>
              <w:marTop w:val="0"/>
              <w:marBottom w:val="0"/>
              <w:divBdr>
                <w:top w:val="none" w:sz="0" w:space="0" w:color="auto"/>
                <w:left w:val="none" w:sz="0" w:space="0" w:color="auto"/>
                <w:bottom w:val="none" w:sz="0" w:space="0" w:color="auto"/>
                <w:right w:val="none" w:sz="0" w:space="0" w:color="auto"/>
              </w:divBdr>
              <w:divsChild>
                <w:div w:id="677314831">
                  <w:marLeft w:val="0"/>
                  <w:marRight w:val="0"/>
                  <w:marTop w:val="0"/>
                  <w:marBottom w:val="0"/>
                  <w:divBdr>
                    <w:top w:val="none" w:sz="0" w:space="0" w:color="auto"/>
                    <w:left w:val="none" w:sz="0" w:space="0" w:color="auto"/>
                    <w:bottom w:val="none" w:sz="0" w:space="0" w:color="auto"/>
                    <w:right w:val="none" w:sz="0" w:space="0" w:color="auto"/>
                  </w:divBdr>
                  <w:divsChild>
                    <w:div w:id="2071223357">
                      <w:marLeft w:val="0"/>
                      <w:marRight w:val="0"/>
                      <w:marTop w:val="0"/>
                      <w:marBottom w:val="0"/>
                      <w:divBdr>
                        <w:top w:val="single" w:sz="24" w:space="0" w:color="E8E8E8"/>
                        <w:left w:val="none" w:sz="0" w:space="0" w:color="auto"/>
                        <w:bottom w:val="none" w:sz="0" w:space="0" w:color="auto"/>
                        <w:right w:val="none" w:sz="0" w:space="0" w:color="auto"/>
                      </w:divBdr>
                      <w:divsChild>
                        <w:div w:id="54159831">
                          <w:marLeft w:val="0"/>
                          <w:marRight w:val="5415"/>
                          <w:marTop w:val="0"/>
                          <w:marBottom w:val="0"/>
                          <w:divBdr>
                            <w:top w:val="none" w:sz="0" w:space="0" w:color="auto"/>
                            <w:left w:val="none" w:sz="0" w:space="0" w:color="auto"/>
                            <w:bottom w:val="none" w:sz="0" w:space="0" w:color="auto"/>
                            <w:right w:val="none" w:sz="0" w:space="0" w:color="auto"/>
                          </w:divBdr>
                          <w:divsChild>
                            <w:div w:id="1517843050">
                              <w:marLeft w:val="0"/>
                              <w:marRight w:val="0"/>
                              <w:marTop w:val="0"/>
                              <w:marBottom w:val="0"/>
                              <w:divBdr>
                                <w:top w:val="none" w:sz="0" w:space="0" w:color="auto"/>
                                <w:left w:val="none" w:sz="0" w:space="0" w:color="auto"/>
                                <w:bottom w:val="none" w:sz="0" w:space="0" w:color="auto"/>
                                <w:right w:val="none" w:sz="0" w:space="0" w:color="auto"/>
                              </w:divBdr>
                              <w:divsChild>
                                <w:div w:id="709379573">
                                  <w:marLeft w:val="0"/>
                                  <w:marRight w:val="0"/>
                                  <w:marTop w:val="0"/>
                                  <w:marBottom w:val="0"/>
                                  <w:divBdr>
                                    <w:top w:val="single" w:sz="6" w:space="0" w:color="FFFFFF"/>
                                    <w:left w:val="none" w:sz="0" w:space="0" w:color="auto"/>
                                    <w:bottom w:val="none" w:sz="0" w:space="0" w:color="auto"/>
                                    <w:right w:val="none" w:sz="0" w:space="0" w:color="auto"/>
                                  </w:divBdr>
                                  <w:divsChild>
                                    <w:div w:id="1885823194">
                                      <w:marLeft w:val="0"/>
                                      <w:marRight w:val="0"/>
                                      <w:marTop w:val="0"/>
                                      <w:marBottom w:val="0"/>
                                      <w:divBdr>
                                        <w:top w:val="none" w:sz="0" w:space="0" w:color="auto"/>
                                        <w:left w:val="none" w:sz="0" w:space="0" w:color="auto"/>
                                        <w:bottom w:val="none" w:sz="0" w:space="0" w:color="auto"/>
                                        <w:right w:val="none" w:sz="0" w:space="0" w:color="auto"/>
                                      </w:divBdr>
                                      <w:divsChild>
                                        <w:div w:id="410585905">
                                          <w:marLeft w:val="0"/>
                                          <w:marRight w:val="0"/>
                                          <w:marTop w:val="0"/>
                                          <w:marBottom w:val="0"/>
                                          <w:divBdr>
                                            <w:top w:val="none" w:sz="0" w:space="0" w:color="auto"/>
                                            <w:left w:val="none" w:sz="0" w:space="0" w:color="auto"/>
                                            <w:bottom w:val="none" w:sz="0" w:space="0" w:color="auto"/>
                                            <w:right w:val="none" w:sz="0" w:space="0" w:color="auto"/>
                                          </w:divBdr>
                                          <w:divsChild>
                                            <w:div w:id="203905781">
                                              <w:marLeft w:val="0"/>
                                              <w:marRight w:val="0"/>
                                              <w:marTop w:val="0"/>
                                              <w:marBottom w:val="0"/>
                                              <w:divBdr>
                                                <w:top w:val="none" w:sz="0" w:space="0" w:color="auto"/>
                                                <w:left w:val="none" w:sz="0" w:space="0" w:color="auto"/>
                                                <w:bottom w:val="none" w:sz="0" w:space="0" w:color="auto"/>
                                                <w:right w:val="none" w:sz="0" w:space="0" w:color="auto"/>
                                              </w:divBdr>
                                              <w:divsChild>
                                                <w:div w:id="468480665">
                                                  <w:marLeft w:val="45"/>
                                                  <w:marRight w:val="75"/>
                                                  <w:marTop w:val="0"/>
                                                  <w:marBottom w:val="0"/>
                                                  <w:divBdr>
                                                    <w:top w:val="none" w:sz="0" w:space="0" w:color="auto"/>
                                                    <w:left w:val="none" w:sz="0" w:space="0" w:color="auto"/>
                                                    <w:bottom w:val="none" w:sz="0" w:space="0" w:color="auto"/>
                                                    <w:right w:val="none" w:sz="0" w:space="0" w:color="auto"/>
                                                  </w:divBdr>
                                                  <w:divsChild>
                                                    <w:div w:id="1378047750">
                                                      <w:marLeft w:val="0"/>
                                                      <w:marRight w:val="0"/>
                                                      <w:marTop w:val="0"/>
                                                      <w:marBottom w:val="0"/>
                                                      <w:divBdr>
                                                        <w:top w:val="none" w:sz="0" w:space="0" w:color="auto"/>
                                                        <w:left w:val="none" w:sz="0" w:space="0" w:color="auto"/>
                                                        <w:bottom w:val="none" w:sz="0" w:space="0" w:color="auto"/>
                                                        <w:right w:val="none" w:sz="0" w:space="0" w:color="auto"/>
                                                      </w:divBdr>
                                                      <w:divsChild>
                                                        <w:div w:id="1665888086">
                                                          <w:marLeft w:val="0"/>
                                                          <w:marRight w:val="-24000"/>
                                                          <w:marTop w:val="0"/>
                                                          <w:marBottom w:val="0"/>
                                                          <w:divBdr>
                                                            <w:top w:val="none" w:sz="0" w:space="0" w:color="auto"/>
                                                            <w:left w:val="none" w:sz="0" w:space="0" w:color="auto"/>
                                                            <w:bottom w:val="none" w:sz="0" w:space="0" w:color="auto"/>
                                                            <w:right w:val="none" w:sz="0" w:space="0" w:color="auto"/>
                                                          </w:divBdr>
                                                          <w:divsChild>
                                                            <w:div w:id="322590975">
                                                              <w:marLeft w:val="0"/>
                                                              <w:marRight w:val="0"/>
                                                              <w:marTop w:val="0"/>
                                                              <w:marBottom w:val="0"/>
                                                              <w:divBdr>
                                                                <w:top w:val="none" w:sz="0" w:space="0" w:color="auto"/>
                                                                <w:left w:val="none" w:sz="0" w:space="0" w:color="auto"/>
                                                                <w:bottom w:val="none" w:sz="0" w:space="0" w:color="auto"/>
                                                                <w:right w:val="none" w:sz="0" w:space="0" w:color="auto"/>
                                                              </w:divBdr>
                                                              <w:divsChild>
                                                                <w:div w:id="2053454">
                                                                  <w:marLeft w:val="0"/>
                                                                  <w:marRight w:val="0"/>
                                                                  <w:marTop w:val="0"/>
                                                                  <w:marBottom w:val="0"/>
                                                                  <w:divBdr>
                                                                    <w:top w:val="none" w:sz="0" w:space="0" w:color="auto"/>
                                                                    <w:left w:val="none" w:sz="0" w:space="0" w:color="auto"/>
                                                                    <w:bottom w:val="none" w:sz="0" w:space="0" w:color="auto"/>
                                                                    <w:right w:val="none" w:sz="0" w:space="0" w:color="auto"/>
                                                                  </w:divBdr>
                                                                </w:div>
                                                                <w:div w:id="1864198729">
                                                                  <w:marLeft w:val="0"/>
                                                                  <w:marRight w:val="0"/>
                                                                  <w:marTop w:val="0"/>
                                                                  <w:marBottom w:val="0"/>
                                                                  <w:divBdr>
                                                                    <w:top w:val="none" w:sz="0" w:space="0" w:color="auto"/>
                                                                    <w:left w:val="none" w:sz="0" w:space="0" w:color="auto"/>
                                                                    <w:bottom w:val="none" w:sz="0" w:space="0" w:color="auto"/>
                                                                    <w:right w:val="none" w:sz="0" w:space="0" w:color="auto"/>
                                                                  </w:divBdr>
                                                                  <w:divsChild>
                                                                    <w:div w:id="371999852">
                                                                      <w:marLeft w:val="0"/>
                                                                      <w:marRight w:val="0"/>
                                                                      <w:marTop w:val="0"/>
                                                                      <w:marBottom w:val="0"/>
                                                                      <w:divBdr>
                                                                        <w:top w:val="none" w:sz="0" w:space="0" w:color="auto"/>
                                                                        <w:left w:val="none" w:sz="0" w:space="0" w:color="auto"/>
                                                                        <w:bottom w:val="none" w:sz="0" w:space="0" w:color="auto"/>
                                                                        <w:right w:val="none" w:sz="0" w:space="0" w:color="auto"/>
                                                                      </w:divBdr>
                                                                      <w:divsChild>
                                                                        <w:div w:id="488208766">
                                                                          <w:marLeft w:val="0"/>
                                                                          <w:marRight w:val="0"/>
                                                                          <w:marTop w:val="0"/>
                                                                          <w:marBottom w:val="0"/>
                                                                          <w:divBdr>
                                                                            <w:top w:val="single" w:sz="6" w:space="5" w:color="DEDEDE"/>
                                                                            <w:left w:val="single" w:sz="6" w:space="4" w:color="DEDEDE"/>
                                                                            <w:bottom w:val="single" w:sz="6" w:space="5" w:color="DEDEDE"/>
                                                                            <w:right w:val="single" w:sz="6" w:space="4" w:color="DEDEDE"/>
                                                                          </w:divBdr>
                                                                          <w:divsChild>
                                                                            <w:div w:id="1107700679">
                                                                              <w:marLeft w:val="0"/>
                                                                              <w:marRight w:val="0"/>
                                                                              <w:marTop w:val="0"/>
                                                                              <w:marBottom w:val="0"/>
                                                                              <w:divBdr>
                                                                                <w:top w:val="none" w:sz="0" w:space="0" w:color="auto"/>
                                                                                <w:left w:val="none" w:sz="0" w:space="0" w:color="auto"/>
                                                                                <w:bottom w:val="none" w:sz="0" w:space="0" w:color="auto"/>
                                                                                <w:right w:val="none" w:sz="0" w:space="0" w:color="auto"/>
                                                                              </w:divBdr>
                                                                            </w:div>
                                                                            <w:div w:id="19985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168197">
                                                              <w:marLeft w:val="0"/>
                                                              <w:marRight w:val="0"/>
                                                              <w:marTop w:val="0"/>
                                                              <w:marBottom w:val="0"/>
                                                              <w:divBdr>
                                                                <w:top w:val="none" w:sz="0" w:space="0" w:color="auto"/>
                                                                <w:left w:val="none" w:sz="0" w:space="0" w:color="auto"/>
                                                                <w:bottom w:val="none" w:sz="0" w:space="0" w:color="auto"/>
                                                                <w:right w:val="none" w:sz="0" w:space="0" w:color="auto"/>
                                                              </w:divBdr>
                                                              <w:divsChild>
                                                                <w:div w:id="9677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0008660">
      <w:bodyDiv w:val="1"/>
      <w:marLeft w:val="0"/>
      <w:marRight w:val="0"/>
      <w:marTop w:val="0"/>
      <w:marBottom w:val="0"/>
      <w:divBdr>
        <w:top w:val="none" w:sz="0" w:space="0" w:color="auto"/>
        <w:left w:val="none" w:sz="0" w:space="0" w:color="auto"/>
        <w:bottom w:val="none" w:sz="0" w:space="0" w:color="auto"/>
        <w:right w:val="none" w:sz="0" w:space="0" w:color="auto"/>
      </w:divBdr>
      <w:divsChild>
        <w:div w:id="615215971">
          <w:marLeft w:val="0"/>
          <w:marRight w:val="0"/>
          <w:marTop w:val="0"/>
          <w:marBottom w:val="0"/>
          <w:divBdr>
            <w:top w:val="none" w:sz="0" w:space="0" w:color="auto"/>
            <w:left w:val="none" w:sz="0" w:space="0" w:color="auto"/>
            <w:bottom w:val="none" w:sz="0" w:space="0" w:color="auto"/>
            <w:right w:val="none" w:sz="0" w:space="0" w:color="auto"/>
          </w:divBdr>
          <w:divsChild>
            <w:div w:id="1711151330">
              <w:marLeft w:val="0"/>
              <w:marRight w:val="0"/>
              <w:marTop w:val="0"/>
              <w:marBottom w:val="0"/>
              <w:divBdr>
                <w:top w:val="none" w:sz="0" w:space="0" w:color="auto"/>
                <w:left w:val="none" w:sz="0" w:space="0" w:color="auto"/>
                <w:bottom w:val="none" w:sz="0" w:space="0" w:color="auto"/>
                <w:right w:val="none" w:sz="0" w:space="0" w:color="auto"/>
              </w:divBdr>
              <w:divsChild>
                <w:div w:id="18966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33226">
      <w:bodyDiv w:val="1"/>
      <w:marLeft w:val="0"/>
      <w:marRight w:val="0"/>
      <w:marTop w:val="0"/>
      <w:marBottom w:val="0"/>
      <w:divBdr>
        <w:top w:val="none" w:sz="0" w:space="0" w:color="auto"/>
        <w:left w:val="none" w:sz="0" w:space="0" w:color="auto"/>
        <w:bottom w:val="none" w:sz="0" w:space="0" w:color="auto"/>
        <w:right w:val="none" w:sz="0" w:space="0" w:color="auto"/>
      </w:divBdr>
    </w:div>
    <w:div w:id="1133865751">
      <w:bodyDiv w:val="1"/>
      <w:marLeft w:val="0"/>
      <w:marRight w:val="0"/>
      <w:marTop w:val="0"/>
      <w:marBottom w:val="0"/>
      <w:divBdr>
        <w:top w:val="none" w:sz="0" w:space="0" w:color="auto"/>
        <w:left w:val="none" w:sz="0" w:space="0" w:color="auto"/>
        <w:bottom w:val="none" w:sz="0" w:space="0" w:color="auto"/>
        <w:right w:val="none" w:sz="0" w:space="0" w:color="auto"/>
      </w:divBdr>
      <w:divsChild>
        <w:div w:id="1692030063">
          <w:marLeft w:val="0"/>
          <w:marRight w:val="0"/>
          <w:marTop w:val="0"/>
          <w:marBottom w:val="0"/>
          <w:divBdr>
            <w:top w:val="none" w:sz="0" w:space="0" w:color="auto"/>
            <w:left w:val="none" w:sz="0" w:space="0" w:color="auto"/>
            <w:bottom w:val="none" w:sz="0" w:space="0" w:color="auto"/>
            <w:right w:val="none" w:sz="0" w:space="0" w:color="auto"/>
          </w:divBdr>
          <w:divsChild>
            <w:div w:id="1133718470">
              <w:marLeft w:val="0"/>
              <w:marRight w:val="0"/>
              <w:marTop w:val="0"/>
              <w:marBottom w:val="0"/>
              <w:divBdr>
                <w:top w:val="none" w:sz="0" w:space="0" w:color="auto"/>
                <w:left w:val="none" w:sz="0" w:space="0" w:color="auto"/>
                <w:bottom w:val="none" w:sz="0" w:space="0" w:color="auto"/>
                <w:right w:val="none" w:sz="0" w:space="0" w:color="auto"/>
              </w:divBdr>
              <w:divsChild>
                <w:div w:id="1276401565">
                  <w:marLeft w:val="0"/>
                  <w:marRight w:val="0"/>
                  <w:marTop w:val="0"/>
                  <w:marBottom w:val="0"/>
                  <w:divBdr>
                    <w:top w:val="none" w:sz="0" w:space="0" w:color="auto"/>
                    <w:left w:val="none" w:sz="0" w:space="0" w:color="auto"/>
                    <w:bottom w:val="none" w:sz="0" w:space="0" w:color="auto"/>
                    <w:right w:val="none" w:sz="0" w:space="0" w:color="auto"/>
                  </w:divBdr>
                  <w:divsChild>
                    <w:div w:id="181097277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75020">
      <w:bodyDiv w:val="1"/>
      <w:marLeft w:val="0"/>
      <w:marRight w:val="0"/>
      <w:marTop w:val="0"/>
      <w:marBottom w:val="0"/>
      <w:divBdr>
        <w:top w:val="none" w:sz="0" w:space="0" w:color="auto"/>
        <w:left w:val="none" w:sz="0" w:space="0" w:color="auto"/>
        <w:bottom w:val="none" w:sz="0" w:space="0" w:color="auto"/>
        <w:right w:val="none" w:sz="0" w:space="0" w:color="auto"/>
      </w:divBdr>
      <w:divsChild>
        <w:div w:id="1890219969">
          <w:marLeft w:val="0"/>
          <w:marRight w:val="0"/>
          <w:marTop w:val="100"/>
          <w:marBottom w:val="100"/>
          <w:divBdr>
            <w:top w:val="none" w:sz="0" w:space="0" w:color="auto"/>
            <w:left w:val="none" w:sz="0" w:space="0" w:color="auto"/>
            <w:bottom w:val="none" w:sz="0" w:space="0" w:color="auto"/>
            <w:right w:val="none" w:sz="0" w:space="0" w:color="auto"/>
          </w:divBdr>
          <w:divsChild>
            <w:div w:id="1146319306">
              <w:marLeft w:val="0"/>
              <w:marRight w:val="0"/>
              <w:marTop w:val="0"/>
              <w:marBottom w:val="0"/>
              <w:divBdr>
                <w:top w:val="none" w:sz="0" w:space="0" w:color="auto"/>
                <w:left w:val="none" w:sz="0" w:space="0" w:color="auto"/>
                <w:bottom w:val="none" w:sz="0" w:space="0" w:color="auto"/>
                <w:right w:val="none" w:sz="0" w:space="0" w:color="auto"/>
              </w:divBdr>
              <w:divsChild>
                <w:div w:id="16304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398441">
      <w:bodyDiv w:val="1"/>
      <w:marLeft w:val="0"/>
      <w:marRight w:val="0"/>
      <w:marTop w:val="0"/>
      <w:marBottom w:val="0"/>
      <w:divBdr>
        <w:top w:val="none" w:sz="0" w:space="0" w:color="auto"/>
        <w:left w:val="none" w:sz="0" w:space="0" w:color="auto"/>
        <w:bottom w:val="none" w:sz="0" w:space="0" w:color="auto"/>
        <w:right w:val="none" w:sz="0" w:space="0" w:color="auto"/>
      </w:divBdr>
    </w:div>
    <w:div w:id="1170215856">
      <w:bodyDiv w:val="1"/>
      <w:marLeft w:val="0"/>
      <w:marRight w:val="0"/>
      <w:marTop w:val="0"/>
      <w:marBottom w:val="0"/>
      <w:divBdr>
        <w:top w:val="none" w:sz="0" w:space="0" w:color="auto"/>
        <w:left w:val="none" w:sz="0" w:space="0" w:color="auto"/>
        <w:bottom w:val="none" w:sz="0" w:space="0" w:color="auto"/>
        <w:right w:val="none" w:sz="0" w:space="0" w:color="auto"/>
      </w:divBdr>
    </w:div>
    <w:div w:id="1172332058">
      <w:bodyDiv w:val="1"/>
      <w:marLeft w:val="0"/>
      <w:marRight w:val="0"/>
      <w:marTop w:val="0"/>
      <w:marBottom w:val="0"/>
      <w:divBdr>
        <w:top w:val="none" w:sz="0" w:space="0" w:color="auto"/>
        <w:left w:val="none" w:sz="0" w:space="0" w:color="auto"/>
        <w:bottom w:val="none" w:sz="0" w:space="0" w:color="auto"/>
        <w:right w:val="none" w:sz="0" w:space="0" w:color="auto"/>
      </w:divBdr>
    </w:div>
    <w:div w:id="1262565635">
      <w:bodyDiv w:val="1"/>
      <w:marLeft w:val="0"/>
      <w:marRight w:val="0"/>
      <w:marTop w:val="0"/>
      <w:marBottom w:val="0"/>
      <w:divBdr>
        <w:top w:val="none" w:sz="0" w:space="0" w:color="auto"/>
        <w:left w:val="none" w:sz="0" w:space="0" w:color="auto"/>
        <w:bottom w:val="none" w:sz="0" w:space="0" w:color="auto"/>
        <w:right w:val="none" w:sz="0" w:space="0" w:color="auto"/>
      </w:divBdr>
    </w:div>
    <w:div w:id="1298339284">
      <w:bodyDiv w:val="1"/>
      <w:marLeft w:val="0"/>
      <w:marRight w:val="0"/>
      <w:marTop w:val="0"/>
      <w:marBottom w:val="0"/>
      <w:divBdr>
        <w:top w:val="none" w:sz="0" w:space="0" w:color="auto"/>
        <w:left w:val="none" w:sz="0" w:space="0" w:color="auto"/>
        <w:bottom w:val="none" w:sz="0" w:space="0" w:color="auto"/>
        <w:right w:val="none" w:sz="0" w:space="0" w:color="auto"/>
      </w:divBdr>
      <w:divsChild>
        <w:div w:id="1105080082">
          <w:marLeft w:val="0"/>
          <w:marRight w:val="0"/>
          <w:marTop w:val="0"/>
          <w:marBottom w:val="0"/>
          <w:divBdr>
            <w:top w:val="none" w:sz="0" w:space="0" w:color="auto"/>
            <w:left w:val="none" w:sz="0" w:space="0" w:color="auto"/>
            <w:bottom w:val="none" w:sz="0" w:space="0" w:color="auto"/>
            <w:right w:val="none" w:sz="0" w:space="0" w:color="auto"/>
          </w:divBdr>
          <w:divsChild>
            <w:div w:id="936328041">
              <w:marLeft w:val="0"/>
              <w:marRight w:val="0"/>
              <w:marTop w:val="0"/>
              <w:marBottom w:val="0"/>
              <w:divBdr>
                <w:top w:val="none" w:sz="0" w:space="0" w:color="auto"/>
                <w:left w:val="none" w:sz="0" w:space="0" w:color="auto"/>
                <w:bottom w:val="none" w:sz="0" w:space="0" w:color="auto"/>
                <w:right w:val="none" w:sz="0" w:space="0" w:color="auto"/>
              </w:divBdr>
              <w:divsChild>
                <w:div w:id="1878275617">
                  <w:marLeft w:val="0"/>
                  <w:marRight w:val="0"/>
                  <w:marTop w:val="0"/>
                  <w:marBottom w:val="0"/>
                  <w:divBdr>
                    <w:top w:val="none" w:sz="0" w:space="0" w:color="auto"/>
                    <w:left w:val="none" w:sz="0" w:space="0" w:color="auto"/>
                    <w:bottom w:val="none" w:sz="0" w:space="0" w:color="auto"/>
                    <w:right w:val="none" w:sz="0" w:space="0" w:color="auto"/>
                  </w:divBdr>
                  <w:divsChild>
                    <w:div w:id="928078180">
                      <w:marLeft w:val="0"/>
                      <w:marRight w:val="150"/>
                      <w:marTop w:val="150"/>
                      <w:marBottom w:val="150"/>
                      <w:divBdr>
                        <w:top w:val="none" w:sz="0" w:space="0" w:color="auto"/>
                        <w:left w:val="none" w:sz="0" w:space="0" w:color="auto"/>
                        <w:bottom w:val="none" w:sz="0" w:space="0" w:color="auto"/>
                        <w:right w:val="none" w:sz="0" w:space="0" w:color="auto"/>
                      </w:divBdr>
                    </w:div>
                    <w:div w:id="2030911634">
                      <w:marLeft w:val="0"/>
                      <w:marRight w:val="0"/>
                      <w:marTop w:val="0"/>
                      <w:marBottom w:val="0"/>
                      <w:divBdr>
                        <w:top w:val="none" w:sz="0" w:space="0" w:color="auto"/>
                        <w:left w:val="none" w:sz="0" w:space="0" w:color="auto"/>
                        <w:bottom w:val="none" w:sz="0" w:space="0" w:color="auto"/>
                        <w:right w:val="none" w:sz="0" w:space="0" w:color="auto"/>
                      </w:divBdr>
                      <w:divsChild>
                        <w:div w:id="6655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4940">
      <w:bodyDiv w:val="1"/>
      <w:marLeft w:val="0"/>
      <w:marRight w:val="0"/>
      <w:marTop w:val="0"/>
      <w:marBottom w:val="0"/>
      <w:divBdr>
        <w:top w:val="none" w:sz="0" w:space="0" w:color="auto"/>
        <w:left w:val="none" w:sz="0" w:space="0" w:color="auto"/>
        <w:bottom w:val="none" w:sz="0" w:space="0" w:color="auto"/>
        <w:right w:val="none" w:sz="0" w:space="0" w:color="auto"/>
      </w:divBdr>
    </w:div>
    <w:div w:id="1356686382">
      <w:bodyDiv w:val="1"/>
      <w:marLeft w:val="0"/>
      <w:marRight w:val="0"/>
      <w:marTop w:val="0"/>
      <w:marBottom w:val="0"/>
      <w:divBdr>
        <w:top w:val="none" w:sz="0" w:space="0" w:color="auto"/>
        <w:left w:val="none" w:sz="0" w:space="0" w:color="auto"/>
        <w:bottom w:val="none" w:sz="0" w:space="0" w:color="auto"/>
        <w:right w:val="none" w:sz="0" w:space="0" w:color="auto"/>
      </w:divBdr>
      <w:divsChild>
        <w:div w:id="967322109">
          <w:marLeft w:val="0"/>
          <w:marRight w:val="0"/>
          <w:marTop w:val="0"/>
          <w:marBottom w:val="0"/>
          <w:divBdr>
            <w:top w:val="none" w:sz="0" w:space="0" w:color="auto"/>
            <w:left w:val="none" w:sz="0" w:space="0" w:color="auto"/>
            <w:bottom w:val="none" w:sz="0" w:space="0" w:color="auto"/>
            <w:right w:val="none" w:sz="0" w:space="0" w:color="auto"/>
          </w:divBdr>
          <w:divsChild>
            <w:div w:id="1025712565">
              <w:marLeft w:val="0"/>
              <w:marRight w:val="0"/>
              <w:marTop w:val="0"/>
              <w:marBottom w:val="0"/>
              <w:divBdr>
                <w:top w:val="none" w:sz="0" w:space="0" w:color="auto"/>
                <w:left w:val="none" w:sz="0" w:space="0" w:color="auto"/>
                <w:bottom w:val="none" w:sz="0" w:space="0" w:color="auto"/>
                <w:right w:val="none" w:sz="0" w:space="0" w:color="auto"/>
              </w:divBdr>
              <w:divsChild>
                <w:div w:id="41365816">
                  <w:marLeft w:val="0"/>
                  <w:marRight w:val="0"/>
                  <w:marTop w:val="0"/>
                  <w:marBottom w:val="0"/>
                  <w:divBdr>
                    <w:top w:val="none" w:sz="0" w:space="0" w:color="auto"/>
                    <w:left w:val="none" w:sz="0" w:space="0" w:color="auto"/>
                    <w:bottom w:val="none" w:sz="0" w:space="0" w:color="auto"/>
                    <w:right w:val="none" w:sz="0" w:space="0" w:color="auto"/>
                  </w:divBdr>
                  <w:divsChild>
                    <w:div w:id="734350908">
                      <w:marLeft w:val="0"/>
                      <w:marRight w:val="0"/>
                      <w:marTop w:val="0"/>
                      <w:marBottom w:val="0"/>
                      <w:divBdr>
                        <w:top w:val="none" w:sz="0" w:space="0" w:color="auto"/>
                        <w:left w:val="none" w:sz="0" w:space="0" w:color="auto"/>
                        <w:bottom w:val="none" w:sz="0" w:space="0" w:color="auto"/>
                        <w:right w:val="none" w:sz="0" w:space="0" w:color="auto"/>
                      </w:divBdr>
                      <w:divsChild>
                        <w:div w:id="674842687">
                          <w:marLeft w:val="0"/>
                          <w:marRight w:val="0"/>
                          <w:marTop w:val="0"/>
                          <w:marBottom w:val="0"/>
                          <w:divBdr>
                            <w:top w:val="dotted" w:sz="6" w:space="0" w:color="FFFFFF"/>
                            <w:left w:val="dotted" w:sz="6" w:space="4" w:color="FFFFFF"/>
                            <w:bottom w:val="dotted" w:sz="6" w:space="0" w:color="FFFFFF"/>
                            <w:right w:val="dotted" w:sz="6" w:space="4" w:color="FFFFFF"/>
                          </w:divBdr>
                          <w:divsChild>
                            <w:div w:id="1551918522">
                              <w:marLeft w:val="120"/>
                              <w:marRight w:val="240"/>
                              <w:marTop w:val="0"/>
                              <w:marBottom w:val="0"/>
                              <w:divBdr>
                                <w:top w:val="none" w:sz="0" w:space="0" w:color="auto"/>
                                <w:left w:val="none" w:sz="0" w:space="0" w:color="auto"/>
                                <w:bottom w:val="none" w:sz="0" w:space="0" w:color="auto"/>
                                <w:right w:val="none" w:sz="0" w:space="0" w:color="auto"/>
                              </w:divBdr>
                              <w:divsChild>
                                <w:div w:id="1392074554">
                                  <w:marLeft w:val="4200"/>
                                  <w:marRight w:val="225"/>
                                  <w:marTop w:val="105"/>
                                  <w:marBottom w:val="225"/>
                                  <w:divBdr>
                                    <w:top w:val="none" w:sz="0" w:space="0" w:color="auto"/>
                                    <w:left w:val="none" w:sz="0" w:space="0" w:color="auto"/>
                                    <w:bottom w:val="none" w:sz="0" w:space="0" w:color="auto"/>
                                    <w:right w:val="none" w:sz="0" w:space="0" w:color="auto"/>
                                  </w:divBdr>
                                  <w:divsChild>
                                    <w:div w:id="1681543483">
                                      <w:marLeft w:val="0"/>
                                      <w:marRight w:val="0"/>
                                      <w:marTop w:val="150"/>
                                      <w:marBottom w:val="150"/>
                                      <w:divBdr>
                                        <w:top w:val="dotted" w:sz="6" w:space="8" w:color="B2B4B6"/>
                                        <w:left w:val="none" w:sz="0" w:space="0" w:color="auto"/>
                                        <w:bottom w:val="dotted" w:sz="6" w:space="8" w:color="B2B4B6"/>
                                        <w:right w:val="none" w:sz="0" w:space="0" w:color="auto"/>
                                      </w:divBdr>
                                      <w:divsChild>
                                        <w:div w:id="459957134">
                                          <w:marLeft w:val="0"/>
                                          <w:marRight w:val="0"/>
                                          <w:marTop w:val="0"/>
                                          <w:marBottom w:val="0"/>
                                          <w:divBdr>
                                            <w:top w:val="none" w:sz="0" w:space="0" w:color="auto"/>
                                            <w:left w:val="none" w:sz="0" w:space="0" w:color="auto"/>
                                            <w:bottom w:val="none" w:sz="0" w:space="0" w:color="auto"/>
                                            <w:right w:val="none" w:sz="0" w:space="0" w:color="auto"/>
                                          </w:divBdr>
                                          <w:divsChild>
                                            <w:div w:id="113401920">
                                              <w:marLeft w:val="0"/>
                                              <w:marRight w:val="0"/>
                                              <w:marTop w:val="0"/>
                                              <w:marBottom w:val="0"/>
                                              <w:divBdr>
                                                <w:top w:val="none" w:sz="0" w:space="0" w:color="auto"/>
                                                <w:left w:val="none" w:sz="0" w:space="0" w:color="auto"/>
                                                <w:bottom w:val="none" w:sz="0" w:space="0" w:color="auto"/>
                                                <w:right w:val="none" w:sz="0" w:space="0" w:color="auto"/>
                                              </w:divBdr>
                                            </w:div>
                                          </w:divsChild>
                                        </w:div>
                                        <w:div w:id="1054738859">
                                          <w:marLeft w:val="0"/>
                                          <w:marRight w:val="0"/>
                                          <w:marTop w:val="0"/>
                                          <w:marBottom w:val="0"/>
                                          <w:divBdr>
                                            <w:top w:val="none" w:sz="0" w:space="0" w:color="auto"/>
                                            <w:left w:val="none" w:sz="0" w:space="0" w:color="auto"/>
                                            <w:bottom w:val="none" w:sz="0" w:space="0" w:color="auto"/>
                                            <w:right w:val="none" w:sz="0" w:space="0" w:color="auto"/>
                                          </w:divBdr>
                                        </w:div>
                                        <w:div w:id="15560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314050">
      <w:bodyDiv w:val="1"/>
      <w:marLeft w:val="0"/>
      <w:marRight w:val="0"/>
      <w:marTop w:val="0"/>
      <w:marBottom w:val="0"/>
      <w:divBdr>
        <w:top w:val="none" w:sz="0" w:space="0" w:color="auto"/>
        <w:left w:val="none" w:sz="0" w:space="0" w:color="auto"/>
        <w:bottom w:val="none" w:sz="0" w:space="0" w:color="auto"/>
        <w:right w:val="none" w:sz="0" w:space="0" w:color="auto"/>
      </w:divBdr>
      <w:divsChild>
        <w:div w:id="779759128">
          <w:marLeft w:val="0"/>
          <w:marRight w:val="0"/>
          <w:marTop w:val="0"/>
          <w:marBottom w:val="0"/>
          <w:divBdr>
            <w:top w:val="none" w:sz="0" w:space="0" w:color="auto"/>
            <w:left w:val="none" w:sz="0" w:space="0" w:color="auto"/>
            <w:bottom w:val="none" w:sz="0" w:space="0" w:color="auto"/>
            <w:right w:val="none" w:sz="0" w:space="0" w:color="auto"/>
          </w:divBdr>
          <w:divsChild>
            <w:div w:id="774061035">
              <w:marLeft w:val="0"/>
              <w:marRight w:val="0"/>
              <w:marTop w:val="0"/>
              <w:marBottom w:val="0"/>
              <w:divBdr>
                <w:top w:val="none" w:sz="0" w:space="0" w:color="auto"/>
                <w:left w:val="none" w:sz="0" w:space="0" w:color="auto"/>
                <w:bottom w:val="none" w:sz="0" w:space="0" w:color="auto"/>
                <w:right w:val="none" w:sz="0" w:space="0" w:color="auto"/>
              </w:divBdr>
              <w:divsChild>
                <w:div w:id="421801044">
                  <w:marLeft w:val="0"/>
                  <w:marRight w:val="0"/>
                  <w:marTop w:val="0"/>
                  <w:marBottom w:val="0"/>
                  <w:divBdr>
                    <w:top w:val="none" w:sz="0" w:space="0" w:color="auto"/>
                    <w:left w:val="none" w:sz="0" w:space="0" w:color="auto"/>
                    <w:bottom w:val="none" w:sz="0" w:space="0" w:color="auto"/>
                    <w:right w:val="none" w:sz="0" w:space="0" w:color="auto"/>
                  </w:divBdr>
                  <w:divsChild>
                    <w:div w:id="753093177">
                      <w:marLeft w:val="0"/>
                      <w:marRight w:val="0"/>
                      <w:marTop w:val="0"/>
                      <w:marBottom w:val="0"/>
                      <w:divBdr>
                        <w:top w:val="none" w:sz="0" w:space="0" w:color="auto"/>
                        <w:left w:val="none" w:sz="0" w:space="0" w:color="auto"/>
                        <w:bottom w:val="none" w:sz="0" w:space="0" w:color="auto"/>
                        <w:right w:val="none" w:sz="0" w:space="0" w:color="auto"/>
                      </w:divBdr>
                      <w:divsChild>
                        <w:div w:id="1299922172">
                          <w:marLeft w:val="0"/>
                          <w:marRight w:val="0"/>
                          <w:marTop w:val="0"/>
                          <w:marBottom w:val="0"/>
                          <w:divBdr>
                            <w:top w:val="none" w:sz="0" w:space="0" w:color="auto"/>
                            <w:left w:val="none" w:sz="0" w:space="0" w:color="auto"/>
                            <w:bottom w:val="none" w:sz="0" w:space="0" w:color="auto"/>
                            <w:right w:val="none" w:sz="0" w:space="0" w:color="auto"/>
                          </w:divBdr>
                          <w:divsChild>
                            <w:div w:id="8115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573905">
      <w:bodyDiv w:val="1"/>
      <w:marLeft w:val="0"/>
      <w:marRight w:val="0"/>
      <w:marTop w:val="0"/>
      <w:marBottom w:val="0"/>
      <w:divBdr>
        <w:top w:val="none" w:sz="0" w:space="0" w:color="auto"/>
        <w:left w:val="none" w:sz="0" w:space="0" w:color="auto"/>
        <w:bottom w:val="none" w:sz="0" w:space="0" w:color="auto"/>
        <w:right w:val="none" w:sz="0" w:space="0" w:color="auto"/>
      </w:divBdr>
      <w:divsChild>
        <w:div w:id="954098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361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8843136">
      <w:bodyDiv w:val="1"/>
      <w:marLeft w:val="-480"/>
      <w:marRight w:val="0"/>
      <w:marTop w:val="0"/>
      <w:marBottom w:val="0"/>
      <w:divBdr>
        <w:top w:val="none" w:sz="0" w:space="0" w:color="auto"/>
        <w:left w:val="none" w:sz="0" w:space="0" w:color="auto"/>
        <w:bottom w:val="none" w:sz="0" w:space="0" w:color="auto"/>
        <w:right w:val="none" w:sz="0" w:space="0" w:color="auto"/>
      </w:divBdr>
      <w:divsChild>
        <w:div w:id="1119691057">
          <w:marLeft w:val="0"/>
          <w:marRight w:val="0"/>
          <w:marTop w:val="0"/>
          <w:marBottom w:val="0"/>
          <w:divBdr>
            <w:top w:val="none" w:sz="0" w:space="0" w:color="auto"/>
            <w:left w:val="none" w:sz="0" w:space="0" w:color="auto"/>
            <w:bottom w:val="none" w:sz="0" w:space="0" w:color="auto"/>
            <w:right w:val="none" w:sz="0" w:space="0" w:color="auto"/>
          </w:divBdr>
          <w:divsChild>
            <w:div w:id="1805729428">
              <w:marLeft w:val="0"/>
              <w:marRight w:val="0"/>
              <w:marTop w:val="0"/>
              <w:marBottom w:val="0"/>
              <w:divBdr>
                <w:top w:val="none" w:sz="0" w:space="0" w:color="auto"/>
                <w:left w:val="none" w:sz="0" w:space="0" w:color="auto"/>
                <w:bottom w:val="none" w:sz="0" w:space="0" w:color="auto"/>
                <w:right w:val="none" w:sz="0" w:space="0" w:color="auto"/>
              </w:divBdr>
              <w:divsChild>
                <w:div w:id="1509297489">
                  <w:marLeft w:val="0"/>
                  <w:marRight w:val="0"/>
                  <w:marTop w:val="0"/>
                  <w:marBottom w:val="240"/>
                  <w:divBdr>
                    <w:top w:val="none" w:sz="0" w:space="0" w:color="auto"/>
                    <w:left w:val="none" w:sz="0" w:space="0" w:color="auto"/>
                    <w:bottom w:val="none" w:sz="0" w:space="0" w:color="auto"/>
                    <w:right w:val="none" w:sz="0" w:space="0" w:color="auto"/>
                  </w:divBdr>
                  <w:divsChild>
                    <w:div w:id="1010065350">
                      <w:marLeft w:val="0"/>
                      <w:marRight w:val="0"/>
                      <w:marTop w:val="0"/>
                      <w:marBottom w:val="0"/>
                      <w:divBdr>
                        <w:top w:val="none" w:sz="0" w:space="0" w:color="auto"/>
                        <w:left w:val="none" w:sz="0" w:space="0" w:color="auto"/>
                        <w:bottom w:val="none" w:sz="0" w:space="0" w:color="auto"/>
                        <w:right w:val="none" w:sz="0" w:space="0" w:color="auto"/>
                      </w:divBdr>
                      <w:divsChild>
                        <w:div w:id="794758396">
                          <w:marLeft w:val="0"/>
                          <w:marRight w:val="0"/>
                          <w:marTop w:val="0"/>
                          <w:marBottom w:val="240"/>
                          <w:divBdr>
                            <w:top w:val="none" w:sz="0" w:space="0" w:color="auto"/>
                            <w:left w:val="none" w:sz="0" w:space="0" w:color="auto"/>
                            <w:bottom w:val="none" w:sz="0" w:space="0" w:color="auto"/>
                            <w:right w:val="none" w:sz="0" w:space="0" w:color="auto"/>
                          </w:divBdr>
                          <w:divsChild>
                            <w:div w:id="677586194">
                              <w:marLeft w:val="0"/>
                              <w:marRight w:val="0"/>
                              <w:marTop w:val="0"/>
                              <w:marBottom w:val="0"/>
                              <w:divBdr>
                                <w:top w:val="none" w:sz="0" w:space="0" w:color="auto"/>
                                <w:left w:val="none" w:sz="0" w:space="0" w:color="auto"/>
                                <w:bottom w:val="none" w:sz="0" w:space="0" w:color="auto"/>
                                <w:right w:val="none" w:sz="0" w:space="0" w:color="auto"/>
                              </w:divBdr>
                              <w:divsChild>
                                <w:div w:id="4453189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09998">
      <w:bodyDiv w:val="1"/>
      <w:marLeft w:val="0"/>
      <w:marRight w:val="0"/>
      <w:marTop w:val="0"/>
      <w:marBottom w:val="0"/>
      <w:divBdr>
        <w:top w:val="none" w:sz="0" w:space="0" w:color="auto"/>
        <w:left w:val="none" w:sz="0" w:space="0" w:color="auto"/>
        <w:bottom w:val="none" w:sz="0" w:space="0" w:color="auto"/>
        <w:right w:val="none" w:sz="0" w:space="0" w:color="auto"/>
      </w:divBdr>
    </w:div>
    <w:div w:id="1446538033">
      <w:bodyDiv w:val="1"/>
      <w:marLeft w:val="0"/>
      <w:marRight w:val="0"/>
      <w:marTop w:val="0"/>
      <w:marBottom w:val="0"/>
      <w:divBdr>
        <w:top w:val="none" w:sz="0" w:space="0" w:color="auto"/>
        <w:left w:val="none" w:sz="0" w:space="0" w:color="auto"/>
        <w:bottom w:val="none" w:sz="0" w:space="0" w:color="auto"/>
        <w:right w:val="none" w:sz="0" w:space="0" w:color="auto"/>
      </w:divBdr>
      <w:divsChild>
        <w:div w:id="1502969617">
          <w:marLeft w:val="0"/>
          <w:marRight w:val="0"/>
          <w:marTop w:val="0"/>
          <w:marBottom w:val="0"/>
          <w:divBdr>
            <w:top w:val="none" w:sz="0" w:space="0" w:color="auto"/>
            <w:left w:val="none" w:sz="0" w:space="0" w:color="auto"/>
            <w:bottom w:val="none" w:sz="0" w:space="0" w:color="auto"/>
            <w:right w:val="none" w:sz="0" w:space="0" w:color="auto"/>
          </w:divBdr>
          <w:divsChild>
            <w:div w:id="8243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2620">
      <w:bodyDiv w:val="1"/>
      <w:marLeft w:val="0"/>
      <w:marRight w:val="0"/>
      <w:marTop w:val="0"/>
      <w:marBottom w:val="0"/>
      <w:divBdr>
        <w:top w:val="none" w:sz="0" w:space="0" w:color="auto"/>
        <w:left w:val="none" w:sz="0" w:space="0" w:color="auto"/>
        <w:bottom w:val="none" w:sz="0" w:space="0" w:color="auto"/>
        <w:right w:val="none" w:sz="0" w:space="0" w:color="auto"/>
      </w:divBdr>
      <w:divsChild>
        <w:div w:id="1801727438">
          <w:marLeft w:val="10"/>
          <w:marRight w:val="10"/>
          <w:marTop w:val="0"/>
          <w:marBottom w:val="0"/>
          <w:divBdr>
            <w:top w:val="none" w:sz="0" w:space="0" w:color="auto"/>
            <w:left w:val="none" w:sz="0" w:space="0" w:color="auto"/>
            <w:bottom w:val="none" w:sz="0" w:space="0" w:color="auto"/>
            <w:right w:val="none" w:sz="0" w:space="0" w:color="auto"/>
          </w:divBdr>
        </w:div>
      </w:divsChild>
    </w:div>
    <w:div w:id="1512335314">
      <w:bodyDiv w:val="1"/>
      <w:marLeft w:val="0"/>
      <w:marRight w:val="0"/>
      <w:marTop w:val="0"/>
      <w:marBottom w:val="0"/>
      <w:divBdr>
        <w:top w:val="none" w:sz="0" w:space="0" w:color="auto"/>
        <w:left w:val="none" w:sz="0" w:space="0" w:color="auto"/>
        <w:bottom w:val="none" w:sz="0" w:space="0" w:color="auto"/>
        <w:right w:val="none" w:sz="0" w:space="0" w:color="auto"/>
      </w:divBdr>
    </w:div>
    <w:div w:id="157006788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94650070">
          <w:marLeft w:val="0"/>
          <w:marRight w:val="0"/>
          <w:marTop w:val="100"/>
          <w:marBottom w:val="100"/>
          <w:divBdr>
            <w:top w:val="single" w:sz="6" w:space="0" w:color="333333"/>
            <w:left w:val="single" w:sz="6" w:space="0" w:color="333333"/>
            <w:bottom w:val="single" w:sz="6" w:space="0" w:color="333333"/>
            <w:right w:val="single" w:sz="6" w:space="0" w:color="333333"/>
          </w:divBdr>
          <w:divsChild>
            <w:div w:id="648747905">
              <w:marLeft w:val="0"/>
              <w:marRight w:val="0"/>
              <w:marTop w:val="150"/>
              <w:marBottom w:val="0"/>
              <w:divBdr>
                <w:top w:val="none" w:sz="0" w:space="0" w:color="auto"/>
                <w:left w:val="none" w:sz="0" w:space="0" w:color="auto"/>
                <w:bottom w:val="none" w:sz="0" w:space="0" w:color="auto"/>
                <w:right w:val="none" w:sz="0" w:space="0" w:color="auto"/>
              </w:divBdr>
              <w:divsChild>
                <w:div w:id="150751999">
                  <w:marLeft w:val="300"/>
                  <w:marRight w:val="0"/>
                  <w:marTop w:val="0"/>
                  <w:marBottom w:val="0"/>
                  <w:divBdr>
                    <w:top w:val="none" w:sz="0" w:space="0" w:color="auto"/>
                    <w:left w:val="none" w:sz="0" w:space="0" w:color="auto"/>
                    <w:bottom w:val="none" w:sz="0" w:space="0" w:color="auto"/>
                    <w:right w:val="none" w:sz="0" w:space="0" w:color="auto"/>
                  </w:divBdr>
                  <w:divsChild>
                    <w:div w:id="1127895633">
                      <w:marLeft w:val="0"/>
                      <w:marRight w:val="0"/>
                      <w:marTop w:val="0"/>
                      <w:marBottom w:val="0"/>
                      <w:divBdr>
                        <w:top w:val="none" w:sz="0" w:space="0" w:color="auto"/>
                        <w:left w:val="none" w:sz="0" w:space="0" w:color="auto"/>
                        <w:bottom w:val="none" w:sz="0" w:space="0" w:color="auto"/>
                        <w:right w:val="none" w:sz="0" w:space="0" w:color="auto"/>
                      </w:divBdr>
                      <w:divsChild>
                        <w:div w:id="9246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047082">
      <w:bodyDiv w:val="1"/>
      <w:marLeft w:val="0"/>
      <w:marRight w:val="0"/>
      <w:marTop w:val="0"/>
      <w:marBottom w:val="0"/>
      <w:divBdr>
        <w:top w:val="none" w:sz="0" w:space="0" w:color="auto"/>
        <w:left w:val="none" w:sz="0" w:space="0" w:color="auto"/>
        <w:bottom w:val="none" w:sz="0" w:space="0" w:color="auto"/>
        <w:right w:val="none" w:sz="0" w:space="0" w:color="auto"/>
      </w:divBdr>
    </w:div>
    <w:div w:id="1592543494">
      <w:bodyDiv w:val="1"/>
      <w:marLeft w:val="-480"/>
      <w:marRight w:val="0"/>
      <w:marTop w:val="0"/>
      <w:marBottom w:val="0"/>
      <w:divBdr>
        <w:top w:val="none" w:sz="0" w:space="0" w:color="auto"/>
        <w:left w:val="none" w:sz="0" w:space="0" w:color="auto"/>
        <w:bottom w:val="none" w:sz="0" w:space="0" w:color="auto"/>
        <w:right w:val="none" w:sz="0" w:space="0" w:color="auto"/>
      </w:divBdr>
      <w:divsChild>
        <w:div w:id="547033899">
          <w:marLeft w:val="0"/>
          <w:marRight w:val="0"/>
          <w:marTop w:val="0"/>
          <w:marBottom w:val="0"/>
          <w:divBdr>
            <w:top w:val="none" w:sz="0" w:space="0" w:color="auto"/>
            <w:left w:val="none" w:sz="0" w:space="0" w:color="auto"/>
            <w:bottom w:val="none" w:sz="0" w:space="0" w:color="auto"/>
            <w:right w:val="none" w:sz="0" w:space="0" w:color="auto"/>
          </w:divBdr>
          <w:divsChild>
            <w:div w:id="1868444653">
              <w:marLeft w:val="0"/>
              <w:marRight w:val="0"/>
              <w:marTop w:val="0"/>
              <w:marBottom w:val="0"/>
              <w:divBdr>
                <w:top w:val="none" w:sz="0" w:space="0" w:color="auto"/>
                <w:left w:val="none" w:sz="0" w:space="0" w:color="auto"/>
                <w:bottom w:val="none" w:sz="0" w:space="0" w:color="auto"/>
                <w:right w:val="none" w:sz="0" w:space="0" w:color="auto"/>
              </w:divBdr>
              <w:divsChild>
                <w:div w:id="574512407">
                  <w:marLeft w:val="0"/>
                  <w:marRight w:val="0"/>
                  <w:marTop w:val="0"/>
                  <w:marBottom w:val="240"/>
                  <w:divBdr>
                    <w:top w:val="none" w:sz="0" w:space="0" w:color="auto"/>
                    <w:left w:val="none" w:sz="0" w:space="0" w:color="auto"/>
                    <w:bottom w:val="none" w:sz="0" w:space="0" w:color="auto"/>
                    <w:right w:val="none" w:sz="0" w:space="0" w:color="auto"/>
                  </w:divBdr>
                  <w:divsChild>
                    <w:div w:id="1593782169">
                      <w:marLeft w:val="0"/>
                      <w:marRight w:val="0"/>
                      <w:marTop w:val="0"/>
                      <w:marBottom w:val="0"/>
                      <w:divBdr>
                        <w:top w:val="none" w:sz="0" w:space="0" w:color="auto"/>
                        <w:left w:val="none" w:sz="0" w:space="0" w:color="auto"/>
                        <w:bottom w:val="none" w:sz="0" w:space="0" w:color="auto"/>
                        <w:right w:val="none" w:sz="0" w:space="0" w:color="auto"/>
                      </w:divBdr>
                      <w:divsChild>
                        <w:div w:id="2084178393">
                          <w:marLeft w:val="0"/>
                          <w:marRight w:val="0"/>
                          <w:marTop w:val="0"/>
                          <w:marBottom w:val="240"/>
                          <w:divBdr>
                            <w:top w:val="none" w:sz="0" w:space="0" w:color="auto"/>
                            <w:left w:val="none" w:sz="0" w:space="0" w:color="auto"/>
                            <w:bottom w:val="none" w:sz="0" w:space="0" w:color="auto"/>
                            <w:right w:val="none" w:sz="0" w:space="0" w:color="auto"/>
                          </w:divBdr>
                          <w:divsChild>
                            <w:div w:id="959803887">
                              <w:marLeft w:val="0"/>
                              <w:marRight w:val="0"/>
                              <w:marTop w:val="0"/>
                              <w:marBottom w:val="0"/>
                              <w:divBdr>
                                <w:top w:val="none" w:sz="0" w:space="0" w:color="auto"/>
                                <w:left w:val="none" w:sz="0" w:space="0" w:color="auto"/>
                                <w:bottom w:val="none" w:sz="0" w:space="0" w:color="auto"/>
                                <w:right w:val="none" w:sz="0" w:space="0" w:color="auto"/>
                              </w:divBdr>
                              <w:divsChild>
                                <w:div w:id="600380539">
                                  <w:marLeft w:val="0"/>
                                  <w:marRight w:val="0"/>
                                  <w:marTop w:val="0"/>
                                  <w:marBottom w:val="0"/>
                                  <w:divBdr>
                                    <w:top w:val="single" w:sz="18" w:space="6" w:color="E1E9EB"/>
                                    <w:left w:val="none" w:sz="0" w:space="0" w:color="auto"/>
                                    <w:bottom w:val="none" w:sz="0" w:space="0" w:color="auto"/>
                                    <w:right w:val="none" w:sz="0" w:space="0" w:color="auto"/>
                                  </w:divBdr>
                                </w:div>
                                <w:div w:id="15505315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01209">
      <w:bodyDiv w:val="1"/>
      <w:marLeft w:val="0"/>
      <w:marRight w:val="0"/>
      <w:marTop w:val="150"/>
      <w:marBottom w:val="150"/>
      <w:divBdr>
        <w:top w:val="none" w:sz="0" w:space="0" w:color="auto"/>
        <w:left w:val="none" w:sz="0" w:space="0" w:color="auto"/>
        <w:bottom w:val="none" w:sz="0" w:space="0" w:color="auto"/>
        <w:right w:val="none" w:sz="0" w:space="0" w:color="auto"/>
      </w:divBdr>
      <w:divsChild>
        <w:div w:id="52967063">
          <w:marLeft w:val="0"/>
          <w:marRight w:val="0"/>
          <w:marTop w:val="0"/>
          <w:marBottom w:val="0"/>
          <w:divBdr>
            <w:top w:val="none" w:sz="0" w:space="0" w:color="auto"/>
            <w:left w:val="none" w:sz="0" w:space="0" w:color="auto"/>
            <w:bottom w:val="none" w:sz="0" w:space="0" w:color="auto"/>
            <w:right w:val="none" w:sz="0" w:space="0" w:color="auto"/>
          </w:divBdr>
          <w:divsChild>
            <w:div w:id="66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4020">
      <w:bodyDiv w:val="1"/>
      <w:marLeft w:val="0"/>
      <w:marRight w:val="0"/>
      <w:marTop w:val="0"/>
      <w:marBottom w:val="0"/>
      <w:divBdr>
        <w:top w:val="none" w:sz="0" w:space="0" w:color="auto"/>
        <w:left w:val="none" w:sz="0" w:space="0" w:color="auto"/>
        <w:bottom w:val="none" w:sz="0" w:space="0" w:color="auto"/>
        <w:right w:val="none" w:sz="0" w:space="0" w:color="auto"/>
      </w:divBdr>
    </w:div>
    <w:div w:id="162630574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75314640">
          <w:marLeft w:val="0"/>
          <w:marRight w:val="0"/>
          <w:marTop w:val="100"/>
          <w:marBottom w:val="100"/>
          <w:divBdr>
            <w:top w:val="single" w:sz="6" w:space="0" w:color="333333"/>
            <w:left w:val="single" w:sz="6" w:space="0" w:color="333333"/>
            <w:bottom w:val="single" w:sz="6" w:space="0" w:color="333333"/>
            <w:right w:val="single" w:sz="6" w:space="0" w:color="333333"/>
          </w:divBdr>
          <w:divsChild>
            <w:div w:id="351228795">
              <w:marLeft w:val="0"/>
              <w:marRight w:val="0"/>
              <w:marTop w:val="150"/>
              <w:marBottom w:val="0"/>
              <w:divBdr>
                <w:top w:val="none" w:sz="0" w:space="0" w:color="auto"/>
                <w:left w:val="none" w:sz="0" w:space="0" w:color="auto"/>
                <w:bottom w:val="none" w:sz="0" w:space="0" w:color="auto"/>
                <w:right w:val="none" w:sz="0" w:space="0" w:color="auto"/>
              </w:divBdr>
              <w:divsChild>
                <w:div w:id="1380280835">
                  <w:marLeft w:val="300"/>
                  <w:marRight w:val="0"/>
                  <w:marTop w:val="0"/>
                  <w:marBottom w:val="0"/>
                  <w:divBdr>
                    <w:top w:val="none" w:sz="0" w:space="0" w:color="auto"/>
                    <w:left w:val="none" w:sz="0" w:space="0" w:color="auto"/>
                    <w:bottom w:val="none" w:sz="0" w:space="0" w:color="auto"/>
                    <w:right w:val="none" w:sz="0" w:space="0" w:color="auto"/>
                  </w:divBdr>
                  <w:divsChild>
                    <w:div w:id="1209024508">
                      <w:marLeft w:val="0"/>
                      <w:marRight w:val="0"/>
                      <w:marTop w:val="0"/>
                      <w:marBottom w:val="0"/>
                      <w:divBdr>
                        <w:top w:val="none" w:sz="0" w:space="0" w:color="auto"/>
                        <w:left w:val="none" w:sz="0" w:space="0" w:color="auto"/>
                        <w:bottom w:val="none" w:sz="0" w:space="0" w:color="auto"/>
                        <w:right w:val="none" w:sz="0" w:space="0" w:color="auto"/>
                      </w:divBdr>
                      <w:divsChild>
                        <w:div w:id="4584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84782">
      <w:bodyDiv w:val="1"/>
      <w:marLeft w:val="0"/>
      <w:marRight w:val="0"/>
      <w:marTop w:val="0"/>
      <w:marBottom w:val="0"/>
      <w:divBdr>
        <w:top w:val="none" w:sz="0" w:space="0" w:color="auto"/>
        <w:left w:val="none" w:sz="0" w:space="0" w:color="auto"/>
        <w:bottom w:val="none" w:sz="0" w:space="0" w:color="auto"/>
        <w:right w:val="none" w:sz="0" w:space="0" w:color="auto"/>
      </w:divBdr>
      <w:divsChild>
        <w:div w:id="991057441">
          <w:marLeft w:val="0"/>
          <w:marRight w:val="0"/>
          <w:marTop w:val="0"/>
          <w:marBottom w:val="0"/>
          <w:divBdr>
            <w:top w:val="none" w:sz="0" w:space="0" w:color="auto"/>
            <w:left w:val="none" w:sz="0" w:space="0" w:color="auto"/>
            <w:bottom w:val="none" w:sz="0" w:space="0" w:color="auto"/>
            <w:right w:val="none" w:sz="0" w:space="0" w:color="auto"/>
          </w:divBdr>
          <w:divsChild>
            <w:div w:id="1383210151">
              <w:marLeft w:val="0"/>
              <w:marRight w:val="0"/>
              <w:marTop w:val="0"/>
              <w:marBottom w:val="0"/>
              <w:divBdr>
                <w:top w:val="none" w:sz="0" w:space="0" w:color="auto"/>
                <w:left w:val="none" w:sz="0" w:space="0" w:color="auto"/>
                <w:bottom w:val="single" w:sz="6" w:space="0" w:color="8D8D8D"/>
                <w:right w:val="none" w:sz="0" w:space="0" w:color="auto"/>
              </w:divBdr>
            </w:div>
          </w:divsChild>
        </w:div>
      </w:divsChild>
    </w:div>
    <w:div w:id="1667132238">
      <w:bodyDiv w:val="1"/>
      <w:marLeft w:val="0"/>
      <w:marRight w:val="0"/>
      <w:marTop w:val="0"/>
      <w:marBottom w:val="0"/>
      <w:divBdr>
        <w:top w:val="none" w:sz="0" w:space="0" w:color="auto"/>
        <w:left w:val="none" w:sz="0" w:space="0" w:color="auto"/>
        <w:bottom w:val="none" w:sz="0" w:space="0" w:color="auto"/>
        <w:right w:val="none" w:sz="0" w:space="0" w:color="auto"/>
      </w:divBdr>
    </w:div>
    <w:div w:id="1673098119">
      <w:bodyDiv w:val="1"/>
      <w:marLeft w:val="0"/>
      <w:marRight w:val="0"/>
      <w:marTop w:val="0"/>
      <w:marBottom w:val="0"/>
      <w:divBdr>
        <w:top w:val="none" w:sz="0" w:space="0" w:color="auto"/>
        <w:left w:val="none" w:sz="0" w:space="0" w:color="auto"/>
        <w:bottom w:val="none" w:sz="0" w:space="0" w:color="auto"/>
        <w:right w:val="none" w:sz="0" w:space="0" w:color="auto"/>
      </w:divBdr>
    </w:div>
    <w:div w:id="1710491682">
      <w:bodyDiv w:val="1"/>
      <w:marLeft w:val="0"/>
      <w:marRight w:val="0"/>
      <w:marTop w:val="0"/>
      <w:marBottom w:val="0"/>
      <w:divBdr>
        <w:top w:val="none" w:sz="0" w:space="0" w:color="auto"/>
        <w:left w:val="none" w:sz="0" w:space="0" w:color="auto"/>
        <w:bottom w:val="none" w:sz="0" w:space="0" w:color="auto"/>
        <w:right w:val="none" w:sz="0" w:space="0" w:color="auto"/>
      </w:divBdr>
      <w:divsChild>
        <w:div w:id="313679858">
          <w:marLeft w:val="0"/>
          <w:marRight w:val="0"/>
          <w:marTop w:val="0"/>
          <w:marBottom w:val="0"/>
          <w:divBdr>
            <w:top w:val="none" w:sz="0" w:space="0" w:color="auto"/>
            <w:left w:val="none" w:sz="0" w:space="0" w:color="auto"/>
            <w:bottom w:val="none" w:sz="0" w:space="0" w:color="auto"/>
            <w:right w:val="none" w:sz="0" w:space="0" w:color="auto"/>
          </w:divBdr>
          <w:divsChild>
            <w:div w:id="367529415">
              <w:marLeft w:val="0"/>
              <w:marRight w:val="72"/>
              <w:marTop w:val="96"/>
              <w:marBottom w:val="0"/>
              <w:divBdr>
                <w:top w:val="none" w:sz="0" w:space="0" w:color="auto"/>
                <w:left w:val="none" w:sz="0" w:space="0" w:color="auto"/>
                <w:bottom w:val="none" w:sz="0" w:space="0" w:color="auto"/>
                <w:right w:val="none" w:sz="0" w:space="0" w:color="auto"/>
              </w:divBdr>
              <w:divsChild>
                <w:div w:id="258754989">
                  <w:marLeft w:val="0"/>
                  <w:marRight w:val="0"/>
                  <w:marTop w:val="0"/>
                  <w:marBottom w:val="0"/>
                  <w:divBdr>
                    <w:top w:val="none" w:sz="0" w:space="0" w:color="auto"/>
                    <w:left w:val="none" w:sz="0" w:space="0" w:color="auto"/>
                    <w:bottom w:val="none" w:sz="0" w:space="0" w:color="auto"/>
                    <w:right w:val="none" w:sz="0" w:space="0" w:color="auto"/>
                  </w:divBdr>
                  <w:divsChild>
                    <w:div w:id="1949728080">
                      <w:marLeft w:val="0"/>
                      <w:marRight w:val="0"/>
                      <w:marTop w:val="0"/>
                      <w:marBottom w:val="0"/>
                      <w:divBdr>
                        <w:top w:val="none" w:sz="0" w:space="0" w:color="auto"/>
                        <w:left w:val="none" w:sz="0" w:space="0" w:color="auto"/>
                        <w:bottom w:val="none" w:sz="0" w:space="0" w:color="auto"/>
                        <w:right w:val="none" w:sz="0" w:space="0" w:color="auto"/>
                      </w:divBdr>
                      <w:divsChild>
                        <w:div w:id="873076978">
                          <w:marLeft w:val="0"/>
                          <w:marRight w:val="0"/>
                          <w:marTop w:val="0"/>
                          <w:marBottom w:val="0"/>
                          <w:divBdr>
                            <w:top w:val="none" w:sz="0" w:space="0" w:color="auto"/>
                            <w:left w:val="none" w:sz="0" w:space="0" w:color="auto"/>
                            <w:bottom w:val="none" w:sz="0" w:space="0" w:color="auto"/>
                            <w:right w:val="none" w:sz="0" w:space="0" w:color="auto"/>
                          </w:divBdr>
                        </w:div>
                        <w:div w:id="20911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86398">
      <w:bodyDiv w:val="1"/>
      <w:marLeft w:val="0"/>
      <w:marRight w:val="0"/>
      <w:marTop w:val="0"/>
      <w:marBottom w:val="0"/>
      <w:divBdr>
        <w:top w:val="none" w:sz="0" w:space="0" w:color="auto"/>
        <w:left w:val="none" w:sz="0" w:space="0" w:color="auto"/>
        <w:bottom w:val="none" w:sz="0" w:space="0" w:color="auto"/>
        <w:right w:val="none" w:sz="0" w:space="0" w:color="auto"/>
      </w:divBdr>
    </w:div>
    <w:div w:id="1718435386">
      <w:bodyDiv w:val="1"/>
      <w:marLeft w:val="0"/>
      <w:marRight w:val="0"/>
      <w:marTop w:val="0"/>
      <w:marBottom w:val="0"/>
      <w:divBdr>
        <w:top w:val="none" w:sz="0" w:space="0" w:color="auto"/>
        <w:left w:val="none" w:sz="0" w:space="0" w:color="auto"/>
        <w:bottom w:val="none" w:sz="0" w:space="0" w:color="auto"/>
        <w:right w:val="none" w:sz="0" w:space="0" w:color="auto"/>
      </w:divBdr>
      <w:divsChild>
        <w:div w:id="1111127154">
          <w:marLeft w:val="0"/>
          <w:marRight w:val="0"/>
          <w:marTop w:val="0"/>
          <w:marBottom w:val="0"/>
          <w:divBdr>
            <w:top w:val="none" w:sz="0" w:space="0" w:color="auto"/>
            <w:left w:val="none" w:sz="0" w:space="0" w:color="auto"/>
            <w:bottom w:val="none" w:sz="0" w:space="0" w:color="auto"/>
            <w:right w:val="none" w:sz="0" w:space="0" w:color="auto"/>
          </w:divBdr>
          <w:divsChild>
            <w:div w:id="16979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5902">
      <w:bodyDiv w:val="1"/>
      <w:marLeft w:val="0"/>
      <w:marRight w:val="0"/>
      <w:marTop w:val="0"/>
      <w:marBottom w:val="0"/>
      <w:divBdr>
        <w:top w:val="none" w:sz="0" w:space="0" w:color="auto"/>
        <w:left w:val="none" w:sz="0" w:space="0" w:color="auto"/>
        <w:bottom w:val="none" w:sz="0" w:space="0" w:color="auto"/>
        <w:right w:val="none" w:sz="0" w:space="0" w:color="auto"/>
      </w:divBdr>
      <w:divsChild>
        <w:div w:id="1006637323">
          <w:marLeft w:val="10"/>
          <w:marRight w:val="10"/>
          <w:marTop w:val="0"/>
          <w:marBottom w:val="0"/>
          <w:divBdr>
            <w:top w:val="none" w:sz="0" w:space="0" w:color="auto"/>
            <w:left w:val="none" w:sz="0" w:space="0" w:color="auto"/>
            <w:bottom w:val="none" w:sz="0" w:space="0" w:color="auto"/>
            <w:right w:val="none" w:sz="0" w:space="0" w:color="auto"/>
          </w:divBdr>
        </w:div>
      </w:divsChild>
    </w:div>
    <w:div w:id="1739395649">
      <w:bodyDiv w:val="1"/>
      <w:marLeft w:val="0"/>
      <w:marRight w:val="0"/>
      <w:marTop w:val="0"/>
      <w:marBottom w:val="0"/>
      <w:divBdr>
        <w:top w:val="none" w:sz="0" w:space="0" w:color="auto"/>
        <w:left w:val="none" w:sz="0" w:space="0" w:color="auto"/>
        <w:bottom w:val="none" w:sz="0" w:space="0" w:color="auto"/>
        <w:right w:val="none" w:sz="0" w:space="0" w:color="auto"/>
      </w:divBdr>
      <w:divsChild>
        <w:div w:id="1939558698">
          <w:marLeft w:val="0"/>
          <w:marRight w:val="0"/>
          <w:marTop w:val="100"/>
          <w:marBottom w:val="100"/>
          <w:divBdr>
            <w:top w:val="none" w:sz="0" w:space="0" w:color="auto"/>
            <w:left w:val="none" w:sz="0" w:space="0" w:color="auto"/>
            <w:bottom w:val="none" w:sz="0" w:space="0" w:color="auto"/>
            <w:right w:val="none" w:sz="0" w:space="0" w:color="auto"/>
          </w:divBdr>
          <w:divsChild>
            <w:div w:id="1580096054">
              <w:marLeft w:val="0"/>
              <w:marRight w:val="0"/>
              <w:marTop w:val="0"/>
              <w:marBottom w:val="0"/>
              <w:divBdr>
                <w:top w:val="none" w:sz="0" w:space="0" w:color="auto"/>
                <w:left w:val="none" w:sz="0" w:space="0" w:color="auto"/>
                <w:bottom w:val="none" w:sz="0" w:space="0" w:color="auto"/>
                <w:right w:val="none" w:sz="0" w:space="0" w:color="auto"/>
              </w:divBdr>
              <w:divsChild>
                <w:div w:id="1947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2869">
      <w:bodyDiv w:val="1"/>
      <w:marLeft w:val="0"/>
      <w:marRight w:val="0"/>
      <w:marTop w:val="0"/>
      <w:marBottom w:val="0"/>
      <w:divBdr>
        <w:top w:val="none" w:sz="0" w:space="0" w:color="auto"/>
        <w:left w:val="none" w:sz="0" w:space="0" w:color="auto"/>
        <w:bottom w:val="none" w:sz="0" w:space="0" w:color="auto"/>
        <w:right w:val="none" w:sz="0" w:space="0" w:color="auto"/>
      </w:divBdr>
      <w:divsChild>
        <w:div w:id="1248733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612834">
      <w:bodyDiv w:val="1"/>
      <w:marLeft w:val="0"/>
      <w:marRight w:val="0"/>
      <w:marTop w:val="0"/>
      <w:marBottom w:val="0"/>
      <w:divBdr>
        <w:top w:val="none" w:sz="0" w:space="0" w:color="auto"/>
        <w:left w:val="none" w:sz="0" w:space="0" w:color="auto"/>
        <w:bottom w:val="none" w:sz="0" w:space="0" w:color="auto"/>
        <w:right w:val="none" w:sz="0" w:space="0" w:color="auto"/>
      </w:divBdr>
      <w:divsChild>
        <w:div w:id="2057926310">
          <w:marLeft w:val="0"/>
          <w:marRight w:val="0"/>
          <w:marTop w:val="0"/>
          <w:marBottom w:val="0"/>
          <w:divBdr>
            <w:top w:val="none" w:sz="0" w:space="0" w:color="auto"/>
            <w:left w:val="none" w:sz="0" w:space="0" w:color="auto"/>
            <w:bottom w:val="none" w:sz="0" w:space="0" w:color="auto"/>
            <w:right w:val="none" w:sz="0" w:space="0" w:color="auto"/>
          </w:divBdr>
          <w:divsChild>
            <w:div w:id="1061638196">
              <w:marLeft w:val="0"/>
              <w:marRight w:val="0"/>
              <w:marTop w:val="0"/>
              <w:marBottom w:val="0"/>
              <w:divBdr>
                <w:top w:val="none" w:sz="0" w:space="0" w:color="auto"/>
                <w:left w:val="none" w:sz="0" w:space="0" w:color="auto"/>
                <w:bottom w:val="none" w:sz="0" w:space="0" w:color="auto"/>
                <w:right w:val="none" w:sz="0" w:space="0" w:color="auto"/>
              </w:divBdr>
              <w:divsChild>
                <w:div w:id="393550121">
                  <w:marLeft w:val="0"/>
                  <w:marRight w:val="0"/>
                  <w:marTop w:val="0"/>
                  <w:marBottom w:val="0"/>
                  <w:divBdr>
                    <w:top w:val="none" w:sz="0" w:space="0" w:color="auto"/>
                    <w:left w:val="none" w:sz="0" w:space="0" w:color="auto"/>
                    <w:bottom w:val="none" w:sz="0" w:space="0" w:color="auto"/>
                    <w:right w:val="none" w:sz="0" w:space="0" w:color="auto"/>
                  </w:divBdr>
                  <w:divsChild>
                    <w:div w:id="529729981">
                      <w:marLeft w:val="0"/>
                      <w:marRight w:val="0"/>
                      <w:marTop w:val="0"/>
                      <w:marBottom w:val="0"/>
                      <w:divBdr>
                        <w:top w:val="none" w:sz="0" w:space="0" w:color="auto"/>
                        <w:left w:val="none" w:sz="0" w:space="0" w:color="auto"/>
                        <w:bottom w:val="none" w:sz="0" w:space="0" w:color="auto"/>
                        <w:right w:val="none" w:sz="0" w:space="0" w:color="auto"/>
                      </w:divBdr>
                      <w:divsChild>
                        <w:div w:id="2044551866">
                          <w:marLeft w:val="0"/>
                          <w:marRight w:val="0"/>
                          <w:marTop w:val="0"/>
                          <w:marBottom w:val="0"/>
                          <w:divBdr>
                            <w:top w:val="none" w:sz="0" w:space="0" w:color="auto"/>
                            <w:left w:val="none" w:sz="0" w:space="0" w:color="auto"/>
                            <w:bottom w:val="none" w:sz="0" w:space="0" w:color="auto"/>
                            <w:right w:val="none" w:sz="0" w:space="0" w:color="auto"/>
                          </w:divBdr>
                          <w:divsChild>
                            <w:div w:id="833839224">
                              <w:marLeft w:val="0"/>
                              <w:marRight w:val="0"/>
                              <w:marTop w:val="0"/>
                              <w:marBottom w:val="0"/>
                              <w:divBdr>
                                <w:top w:val="none" w:sz="0" w:space="0" w:color="auto"/>
                                <w:left w:val="none" w:sz="0" w:space="0" w:color="auto"/>
                                <w:bottom w:val="none" w:sz="0" w:space="0" w:color="auto"/>
                                <w:right w:val="none" w:sz="0" w:space="0" w:color="auto"/>
                              </w:divBdr>
                              <w:divsChild>
                                <w:div w:id="717823081">
                                  <w:marLeft w:val="0"/>
                                  <w:marRight w:val="0"/>
                                  <w:marTop w:val="0"/>
                                  <w:marBottom w:val="0"/>
                                  <w:divBdr>
                                    <w:top w:val="none" w:sz="0" w:space="0" w:color="auto"/>
                                    <w:left w:val="none" w:sz="0" w:space="0" w:color="auto"/>
                                    <w:bottom w:val="none" w:sz="0" w:space="0" w:color="auto"/>
                                    <w:right w:val="none" w:sz="0" w:space="0" w:color="auto"/>
                                  </w:divBdr>
                                </w:div>
                                <w:div w:id="18104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174671">
      <w:bodyDiv w:val="1"/>
      <w:marLeft w:val="75"/>
      <w:marRight w:val="75"/>
      <w:marTop w:val="75"/>
      <w:marBottom w:val="75"/>
      <w:divBdr>
        <w:top w:val="none" w:sz="0" w:space="0" w:color="auto"/>
        <w:left w:val="none" w:sz="0" w:space="0" w:color="auto"/>
        <w:bottom w:val="none" w:sz="0" w:space="0" w:color="auto"/>
        <w:right w:val="none" w:sz="0" w:space="0" w:color="auto"/>
      </w:divBdr>
      <w:divsChild>
        <w:div w:id="1516382964">
          <w:marLeft w:val="0"/>
          <w:marRight w:val="0"/>
          <w:marTop w:val="100"/>
          <w:marBottom w:val="100"/>
          <w:divBdr>
            <w:top w:val="none" w:sz="0" w:space="0" w:color="auto"/>
            <w:left w:val="none" w:sz="0" w:space="0" w:color="auto"/>
            <w:bottom w:val="none" w:sz="0" w:space="0" w:color="auto"/>
            <w:right w:val="none" w:sz="0" w:space="0" w:color="auto"/>
          </w:divBdr>
          <w:divsChild>
            <w:div w:id="1609434288">
              <w:marLeft w:val="0"/>
              <w:marRight w:val="0"/>
              <w:marTop w:val="0"/>
              <w:marBottom w:val="0"/>
              <w:divBdr>
                <w:top w:val="none" w:sz="0" w:space="0" w:color="auto"/>
                <w:left w:val="none" w:sz="0" w:space="0" w:color="auto"/>
                <w:bottom w:val="none" w:sz="0" w:space="0" w:color="auto"/>
                <w:right w:val="none" w:sz="0" w:space="0" w:color="auto"/>
              </w:divBdr>
              <w:divsChild>
                <w:div w:id="1860193304">
                  <w:marLeft w:val="0"/>
                  <w:marRight w:val="0"/>
                  <w:marTop w:val="0"/>
                  <w:marBottom w:val="0"/>
                  <w:divBdr>
                    <w:top w:val="none" w:sz="0" w:space="0" w:color="auto"/>
                    <w:left w:val="none" w:sz="0" w:space="0" w:color="auto"/>
                    <w:bottom w:val="none" w:sz="0" w:space="0" w:color="auto"/>
                    <w:right w:val="none" w:sz="0" w:space="0" w:color="auto"/>
                  </w:divBdr>
                  <w:divsChild>
                    <w:div w:id="813372453">
                      <w:marLeft w:val="0"/>
                      <w:marRight w:val="0"/>
                      <w:marTop w:val="0"/>
                      <w:marBottom w:val="0"/>
                      <w:divBdr>
                        <w:top w:val="none" w:sz="0" w:space="0" w:color="auto"/>
                        <w:left w:val="none" w:sz="0" w:space="0" w:color="auto"/>
                        <w:bottom w:val="none" w:sz="0" w:space="0" w:color="auto"/>
                        <w:right w:val="none" w:sz="0" w:space="0" w:color="auto"/>
                      </w:divBdr>
                      <w:divsChild>
                        <w:div w:id="1801410827">
                          <w:marLeft w:val="0"/>
                          <w:marRight w:val="0"/>
                          <w:marTop w:val="0"/>
                          <w:marBottom w:val="0"/>
                          <w:divBdr>
                            <w:top w:val="none" w:sz="0" w:space="0" w:color="auto"/>
                            <w:left w:val="none" w:sz="0" w:space="0" w:color="auto"/>
                            <w:bottom w:val="none" w:sz="0" w:space="0" w:color="auto"/>
                            <w:right w:val="none" w:sz="0" w:space="0" w:color="auto"/>
                          </w:divBdr>
                          <w:divsChild>
                            <w:div w:id="432358287">
                              <w:marLeft w:val="0"/>
                              <w:marRight w:val="0"/>
                              <w:marTop w:val="0"/>
                              <w:marBottom w:val="0"/>
                              <w:divBdr>
                                <w:top w:val="none" w:sz="0" w:space="0" w:color="auto"/>
                                <w:left w:val="none" w:sz="0" w:space="0" w:color="auto"/>
                                <w:bottom w:val="none" w:sz="0" w:space="0" w:color="auto"/>
                                <w:right w:val="none" w:sz="0" w:space="0" w:color="auto"/>
                              </w:divBdr>
                              <w:divsChild>
                                <w:div w:id="1515149088">
                                  <w:marLeft w:val="0"/>
                                  <w:marRight w:val="0"/>
                                  <w:marTop w:val="0"/>
                                  <w:marBottom w:val="0"/>
                                  <w:divBdr>
                                    <w:top w:val="none" w:sz="0" w:space="0" w:color="auto"/>
                                    <w:left w:val="none" w:sz="0" w:space="0" w:color="auto"/>
                                    <w:bottom w:val="none" w:sz="0" w:space="0" w:color="auto"/>
                                    <w:right w:val="none" w:sz="0" w:space="0" w:color="auto"/>
                                  </w:divBdr>
                                  <w:divsChild>
                                    <w:div w:id="1353144866">
                                      <w:marLeft w:val="0"/>
                                      <w:marRight w:val="0"/>
                                      <w:marTop w:val="0"/>
                                      <w:marBottom w:val="0"/>
                                      <w:divBdr>
                                        <w:top w:val="none" w:sz="0" w:space="0" w:color="auto"/>
                                        <w:left w:val="none" w:sz="0" w:space="0" w:color="auto"/>
                                        <w:bottom w:val="none" w:sz="0" w:space="0" w:color="auto"/>
                                        <w:right w:val="none" w:sz="0" w:space="0" w:color="auto"/>
                                      </w:divBdr>
                                      <w:divsChild>
                                        <w:div w:id="1320962305">
                                          <w:marLeft w:val="0"/>
                                          <w:marRight w:val="0"/>
                                          <w:marTop w:val="0"/>
                                          <w:marBottom w:val="0"/>
                                          <w:divBdr>
                                            <w:top w:val="none" w:sz="0" w:space="0" w:color="auto"/>
                                            <w:left w:val="none" w:sz="0" w:space="0" w:color="auto"/>
                                            <w:bottom w:val="none" w:sz="0" w:space="0" w:color="auto"/>
                                            <w:right w:val="none" w:sz="0" w:space="0" w:color="auto"/>
                                          </w:divBdr>
                                          <w:divsChild>
                                            <w:div w:id="657417799">
                                              <w:marLeft w:val="0"/>
                                              <w:marRight w:val="0"/>
                                              <w:marTop w:val="150"/>
                                              <w:marBottom w:val="0"/>
                                              <w:divBdr>
                                                <w:top w:val="none" w:sz="0" w:space="0" w:color="auto"/>
                                                <w:left w:val="none" w:sz="0" w:space="0" w:color="auto"/>
                                                <w:bottom w:val="none" w:sz="0" w:space="0" w:color="auto"/>
                                                <w:right w:val="none" w:sz="0" w:space="0" w:color="auto"/>
                                              </w:divBdr>
                                              <w:divsChild>
                                                <w:div w:id="2016493757">
                                                  <w:marLeft w:val="0"/>
                                                  <w:marRight w:val="0"/>
                                                  <w:marTop w:val="150"/>
                                                  <w:marBottom w:val="0"/>
                                                  <w:divBdr>
                                                    <w:top w:val="none" w:sz="0" w:space="0" w:color="auto"/>
                                                    <w:left w:val="none" w:sz="0" w:space="0" w:color="auto"/>
                                                    <w:bottom w:val="none" w:sz="0" w:space="0" w:color="auto"/>
                                                    <w:right w:val="none" w:sz="0" w:space="0" w:color="auto"/>
                                                  </w:divBdr>
                                                  <w:divsChild>
                                                    <w:div w:id="138428634">
                                                      <w:marLeft w:val="0"/>
                                                      <w:marRight w:val="0"/>
                                                      <w:marTop w:val="30"/>
                                                      <w:marBottom w:val="0"/>
                                                      <w:divBdr>
                                                        <w:top w:val="none" w:sz="0" w:space="0" w:color="auto"/>
                                                        <w:left w:val="none" w:sz="0" w:space="0" w:color="auto"/>
                                                        <w:bottom w:val="none" w:sz="0" w:space="0" w:color="auto"/>
                                                        <w:right w:val="none" w:sz="0" w:space="0" w:color="auto"/>
                                                      </w:divBdr>
                                                    </w:div>
                                                    <w:div w:id="150758073">
                                                      <w:marLeft w:val="0"/>
                                                      <w:marRight w:val="0"/>
                                                      <w:marTop w:val="30"/>
                                                      <w:marBottom w:val="0"/>
                                                      <w:divBdr>
                                                        <w:top w:val="none" w:sz="0" w:space="0" w:color="auto"/>
                                                        <w:left w:val="none" w:sz="0" w:space="0" w:color="auto"/>
                                                        <w:bottom w:val="none" w:sz="0" w:space="0" w:color="auto"/>
                                                        <w:right w:val="none" w:sz="0" w:space="0" w:color="auto"/>
                                                      </w:divBdr>
                                                    </w:div>
                                                    <w:div w:id="179321923">
                                                      <w:marLeft w:val="0"/>
                                                      <w:marRight w:val="0"/>
                                                      <w:marTop w:val="30"/>
                                                      <w:marBottom w:val="0"/>
                                                      <w:divBdr>
                                                        <w:top w:val="none" w:sz="0" w:space="0" w:color="auto"/>
                                                        <w:left w:val="none" w:sz="0" w:space="0" w:color="auto"/>
                                                        <w:bottom w:val="none" w:sz="0" w:space="0" w:color="auto"/>
                                                        <w:right w:val="none" w:sz="0" w:space="0" w:color="auto"/>
                                                      </w:divBdr>
                                                    </w:div>
                                                    <w:div w:id="375932732">
                                                      <w:marLeft w:val="0"/>
                                                      <w:marRight w:val="0"/>
                                                      <w:marTop w:val="30"/>
                                                      <w:marBottom w:val="0"/>
                                                      <w:divBdr>
                                                        <w:top w:val="none" w:sz="0" w:space="0" w:color="auto"/>
                                                        <w:left w:val="none" w:sz="0" w:space="0" w:color="auto"/>
                                                        <w:bottom w:val="none" w:sz="0" w:space="0" w:color="auto"/>
                                                        <w:right w:val="none" w:sz="0" w:space="0" w:color="auto"/>
                                                      </w:divBdr>
                                                    </w:div>
                                                    <w:div w:id="489911955">
                                                      <w:marLeft w:val="0"/>
                                                      <w:marRight w:val="0"/>
                                                      <w:marTop w:val="30"/>
                                                      <w:marBottom w:val="0"/>
                                                      <w:divBdr>
                                                        <w:top w:val="none" w:sz="0" w:space="0" w:color="auto"/>
                                                        <w:left w:val="none" w:sz="0" w:space="0" w:color="auto"/>
                                                        <w:bottom w:val="none" w:sz="0" w:space="0" w:color="auto"/>
                                                        <w:right w:val="none" w:sz="0" w:space="0" w:color="auto"/>
                                                      </w:divBdr>
                                                    </w:div>
                                                    <w:div w:id="1660496302">
                                                      <w:marLeft w:val="0"/>
                                                      <w:marRight w:val="0"/>
                                                      <w:marTop w:val="30"/>
                                                      <w:marBottom w:val="0"/>
                                                      <w:divBdr>
                                                        <w:top w:val="none" w:sz="0" w:space="0" w:color="auto"/>
                                                        <w:left w:val="none" w:sz="0" w:space="0" w:color="auto"/>
                                                        <w:bottom w:val="none" w:sz="0" w:space="0" w:color="auto"/>
                                                        <w:right w:val="none" w:sz="0" w:space="0" w:color="auto"/>
                                                      </w:divBdr>
                                                    </w:div>
                                                    <w:div w:id="1775511901">
                                                      <w:marLeft w:val="0"/>
                                                      <w:marRight w:val="0"/>
                                                      <w:marTop w:val="30"/>
                                                      <w:marBottom w:val="0"/>
                                                      <w:divBdr>
                                                        <w:top w:val="none" w:sz="0" w:space="0" w:color="auto"/>
                                                        <w:left w:val="none" w:sz="0" w:space="0" w:color="auto"/>
                                                        <w:bottom w:val="none" w:sz="0" w:space="0" w:color="auto"/>
                                                        <w:right w:val="none" w:sz="0" w:space="0" w:color="auto"/>
                                                      </w:divBdr>
                                                    </w:div>
                                                    <w:div w:id="1842576907">
                                                      <w:marLeft w:val="0"/>
                                                      <w:marRight w:val="0"/>
                                                      <w:marTop w:val="30"/>
                                                      <w:marBottom w:val="0"/>
                                                      <w:divBdr>
                                                        <w:top w:val="none" w:sz="0" w:space="0" w:color="auto"/>
                                                        <w:left w:val="none" w:sz="0" w:space="0" w:color="auto"/>
                                                        <w:bottom w:val="none" w:sz="0" w:space="0" w:color="auto"/>
                                                        <w:right w:val="none" w:sz="0" w:space="0" w:color="auto"/>
                                                      </w:divBdr>
                                                    </w:div>
                                                    <w:div w:id="2011791059">
                                                      <w:marLeft w:val="0"/>
                                                      <w:marRight w:val="0"/>
                                                      <w:marTop w:val="30"/>
                                                      <w:marBottom w:val="0"/>
                                                      <w:divBdr>
                                                        <w:top w:val="none" w:sz="0" w:space="0" w:color="auto"/>
                                                        <w:left w:val="none" w:sz="0" w:space="0" w:color="auto"/>
                                                        <w:bottom w:val="none" w:sz="0" w:space="0" w:color="auto"/>
                                                        <w:right w:val="none" w:sz="0" w:space="0" w:color="auto"/>
                                                      </w:divBdr>
                                                    </w:div>
                                                    <w:div w:id="2013293799">
                                                      <w:marLeft w:val="0"/>
                                                      <w:marRight w:val="0"/>
                                                      <w:marTop w:val="30"/>
                                                      <w:marBottom w:val="0"/>
                                                      <w:divBdr>
                                                        <w:top w:val="none" w:sz="0" w:space="0" w:color="auto"/>
                                                        <w:left w:val="none" w:sz="0" w:space="0" w:color="auto"/>
                                                        <w:bottom w:val="none" w:sz="0" w:space="0" w:color="auto"/>
                                                        <w:right w:val="none" w:sz="0" w:space="0" w:color="auto"/>
                                                      </w:divBdr>
                                                    </w:div>
                                                    <w:div w:id="214627053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4736985">
      <w:bodyDiv w:val="1"/>
      <w:marLeft w:val="0"/>
      <w:marRight w:val="0"/>
      <w:marTop w:val="0"/>
      <w:marBottom w:val="0"/>
      <w:divBdr>
        <w:top w:val="none" w:sz="0" w:space="0" w:color="auto"/>
        <w:left w:val="none" w:sz="0" w:space="0" w:color="auto"/>
        <w:bottom w:val="none" w:sz="0" w:space="0" w:color="auto"/>
        <w:right w:val="none" w:sz="0" w:space="0" w:color="auto"/>
      </w:divBdr>
    </w:div>
    <w:div w:id="1805077203">
      <w:bodyDiv w:val="1"/>
      <w:marLeft w:val="0"/>
      <w:marRight w:val="0"/>
      <w:marTop w:val="0"/>
      <w:marBottom w:val="0"/>
      <w:divBdr>
        <w:top w:val="none" w:sz="0" w:space="0" w:color="auto"/>
        <w:left w:val="none" w:sz="0" w:space="0" w:color="auto"/>
        <w:bottom w:val="none" w:sz="0" w:space="0" w:color="auto"/>
        <w:right w:val="none" w:sz="0" w:space="0" w:color="auto"/>
      </w:divBdr>
      <w:divsChild>
        <w:div w:id="1363284342">
          <w:marLeft w:val="0"/>
          <w:marRight w:val="0"/>
          <w:marTop w:val="0"/>
          <w:marBottom w:val="0"/>
          <w:divBdr>
            <w:top w:val="none" w:sz="0" w:space="0" w:color="auto"/>
            <w:left w:val="none" w:sz="0" w:space="0" w:color="auto"/>
            <w:bottom w:val="none" w:sz="0" w:space="0" w:color="auto"/>
            <w:right w:val="none" w:sz="0" w:space="0" w:color="auto"/>
          </w:divBdr>
          <w:divsChild>
            <w:div w:id="697238083">
              <w:marLeft w:val="0"/>
              <w:marRight w:val="0"/>
              <w:marTop w:val="0"/>
              <w:marBottom w:val="0"/>
              <w:divBdr>
                <w:top w:val="none" w:sz="0" w:space="0" w:color="auto"/>
                <w:left w:val="none" w:sz="0" w:space="0" w:color="auto"/>
                <w:bottom w:val="none" w:sz="0" w:space="0" w:color="auto"/>
                <w:right w:val="none" w:sz="0" w:space="0" w:color="auto"/>
              </w:divBdr>
              <w:divsChild>
                <w:div w:id="507183535">
                  <w:marLeft w:val="0"/>
                  <w:marRight w:val="0"/>
                  <w:marTop w:val="0"/>
                  <w:marBottom w:val="0"/>
                  <w:divBdr>
                    <w:top w:val="none" w:sz="0" w:space="0" w:color="auto"/>
                    <w:left w:val="none" w:sz="0" w:space="0" w:color="auto"/>
                    <w:bottom w:val="none" w:sz="0" w:space="0" w:color="auto"/>
                    <w:right w:val="none" w:sz="0" w:space="0" w:color="auto"/>
                  </w:divBdr>
                  <w:divsChild>
                    <w:div w:id="1387728801">
                      <w:marLeft w:val="0"/>
                      <w:marRight w:val="0"/>
                      <w:marTop w:val="0"/>
                      <w:marBottom w:val="0"/>
                      <w:divBdr>
                        <w:top w:val="none" w:sz="0" w:space="0" w:color="auto"/>
                        <w:left w:val="none" w:sz="0" w:space="0" w:color="auto"/>
                        <w:bottom w:val="none" w:sz="0" w:space="0" w:color="auto"/>
                        <w:right w:val="none" w:sz="0" w:space="0" w:color="auto"/>
                      </w:divBdr>
                      <w:divsChild>
                        <w:div w:id="451166568">
                          <w:marLeft w:val="0"/>
                          <w:marRight w:val="0"/>
                          <w:marTop w:val="0"/>
                          <w:marBottom w:val="0"/>
                          <w:divBdr>
                            <w:top w:val="none" w:sz="0" w:space="0" w:color="auto"/>
                            <w:left w:val="none" w:sz="0" w:space="0" w:color="auto"/>
                            <w:bottom w:val="none" w:sz="0" w:space="0" w:color="auto"/>
                            <w:right w:val="none" w:sz="0" w:space="0" w:color="auto"/>
                          </w:divBdr>
                          <w:divsChild>
                            <w:div w:id="605618193">
                              <w:marLeft w:val="0"/>
                              <w:marRight w:val="0"/>
                              <w:marTop w:val="0"/>
                              <w:marBottom w:val="0"/>
                              <w:divBdr>
                                <w:top w:val="none" w:sz="0" w:space="0" w:color="auto"/>
                                <w:left w:val="none" w:sz="0" w:space="0" w:color="auto"/>
                                <w:bottom w:val="none" w:sz="0" w:space="0" w:color="auto"/>
                                <w:right w:val="none" w:sz="0" w:space="0" w:color="auto"/>
                              </w:divBdr>
                              <w:divsChild>
                                <w:div w:id="1826432671">
                                  <w:marLeft w:val="0"/>
                                  <w:marRight w:val="0"/>
                                  <w:marTop w:val="0"/>
                                  <w:marBottom w:val="0"/>
                                  <w:divBdr>
                                    <w:top w:val="none" w:sz="0" w:space="0" w:color="auto"/>
                                    <w:left w:val="none" w:sz="0" w:space="0" w:color="auto"/>
                                    <w:bottom w:val="none" w:sz="0" w:space="0" w:color="auto"/>
                                    <w:right w:val="none" w:sz="0" w:space="0" w:color="auto"/>
                                  </w:divBdr>
                                  <w:divsChild>
                                    <w:div w:id="1575629657">
                                      <w:marLeft w:val="0"/>
                                      <w:marRight w:val="0"/>
                                      <w:marTop w:val="0"/>
                                      <w:marBottom w:val="0"/>
                                      <w:divBdr>
                                        <w:top w:val="none" w:sz="0" w:space="0" w:color="auto"/>
                                        <w:left w:val="none" w:sz="0" w:space="0" w:color="auto"/>
                                        <w:bottom w:val="none" w:sz="0" w:space="0" w:color="auto"/>
                                        <w:right w:val="none" w:sz="0" w:space="0" w:color="auto"/>
                                      </w:divBdr>
                                      <w:divsChild>
                                        <w:div w:id="1593395681">
                                          <w:marLeft w:val="0"/>
                                          <w:marRight w:val="0"/>
                                          <w:marTop w:val="0"/>
                                          <w:marBottom w:val="0"/>
                                          <w:divBdr>
                                            <w:top w:val="none" w:sz="0" w:space="0" w:color="auto"/>
                                            <w:left w:val="none" w:sz="0" w:space="0" w:color="auto"/>
                                            <w:bottom w:val="none" w:sz="0" w:space="0" w:color="auto"/>
                                            <w:right w:val="none" w:sz="0" w:space="0" w:color="auto"/>
                                          </w:divBdr>
                                          <w:divsChild>
                                            <w:div w:id="1812747686">
                                              <w:marLeft w:val="0"/>
                                              <w:marRight w:val="0"/>
                                              <w:marTop w:val="0"/>
                                              <w:marBottom w:val="0"/>
                                              <w:divBdr>
                                                <w:top w:val="none" w:sz="0" w:space="0" w:color="auto"/>
                                                <w:left w:val="none" w:sz="0" w:space="0" w:color="auto"/>
                                                <w:bottom w:val="none" w:sz="0" w:space="0" w:color="auto"/>
                                                <w:right w:val="none" w:sz="0" w:space="0" w:color="auto"/>
                                              </w:divBdr>
                                              <w:divsChild>
                                                <w:div w:id="19944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474392">
      <w:bodyDiv w:val="1"/>
      <w:marLeft w:val="0"/>
      <w:marRight w:val="0"/>
      <w:marTop w:val="0"/>
      <w:marBottom w:val="0"/>
      <w:divBdr>
        <w:top w:val="none" w:sz="0" w:space="0" w:color="auto"/>
        <w:left w:val="none" w:sz="0" w:space="0" w:color="auto"/>
        <w:bottom w:val="none" w:sz="0" w:space="0" w:color="auto"/>
        <w:right w:val="none" w:sz="0" w:space="0" w:color="auto"/>
      </w:divBdr>
    </w:div>
    <w:div w:id="1815753541">
      <w:bodyDiv w:val="1"/>
      <w:marLeft w:val="0"/>
      <w:marRight w:val="0"/>
      <w:marTop w:val="0"/>
      <w:marBottom w:val="0"/>
      <w:divBdr>
        <w:top w:val="none" w:sz="0" w:space="0" w:color="auto"/>
        <w:left w:val="none" w:sz="0" w:space="0" w:color="auto"/>
        <w:bottom w:val="none" w:sz="0" w:space="0" w:color="auto"/>
        <w:right w:val="none" w:sz="0" w:space="0" w:color="auto"/>
      </w:divBdr>
    </w:div>
    <w:div w:id="1861968024">
      <w:bodyDiv w:val="1"/>
      <w:marLeft w:val="0"/>
      <w:marRight w:val="0"/>
      <w:marTop w:val="0"/>
      <w:marBottom w:val="0"/>
      <w:divBdr>
        <w:top w:val="none" w:sz="0" w:space="0" w:color="auto"/>
        <w:left w:val="none" w:sz="0" w:space="0" w:color="auto"/>
        <w:bottom w:val="none" w:sz="0" w:space="0" w:color="auto"/>
        <w:right w:val="none" w:sz="0" w:space="0" w:color="auto"/>
      </w:divBdr>
      <w:divsChild>
        <w:div w:id="1182669475">
          <w:marLeft w:val="0"/>
          <w:marRight w:val="0"/>
          <w:marTop w:val="0"/>
          <w:marBottom w:val="0"/>
          <w:divBdr>
            <w:top w:val="none" w:sz="0" w:space="0" w:color="auto"/>
            <w:left w:val="none" w:sz="0" w:space="0" w:color="auto"/>
            <w:bottom w:val="none" w:sz="0" w:space="0" w:color="auto"/>
            <w:right w:val="none" w:sz="0" w:space="0" w:color="auto"/>
          </w:divBdr>
          <w:divsChild>
            <w:div w:id="127745914">
              <w:marLeft w:val="0"/>
              <w:marRight w:val="0"/>
              <w:marTop w:val="0"/>
              <w:marBottom w:val="0"/>
              <w:divBdr>
                <w:top w:val="none" w:sz="0" w:space="0" w:color="auto"/>
                <w:left w:val="none" w:sz="0" w:space="0" w:color="auto"/>
                <w:bottom w:val="none" w:sz="0" w:space="0" w:color="auto"/>
                <w:right w:val="none" w:sz="0" w:space="0" w:color="auto"/>
              </w:divBdr>
              <w:divsChild>
                <w:div w:id="919755923">
                  <w:marLeft w:val="0"/>
                  <w:marRight w:val="0"/>
                  <w:marTop w:val="0"/>
                  <w:marBottom w:val="0"/>
                  <w:divBdr>
                    <w:top w:val="none" w:sz="0" w:space="0" w:color="auto"/>
                    <w:left w:val="none" w:sz="0" w:space="0" w:color="auto"/>
                    <w:bottom w:val="none" w:sz="0" w:space="0" w:color="auto"/>
                    <w:right w:val="none" w:sz="0" w:space="0" w:color="auto"/>
                  </w:divBdr>
                  <w:divsChild>
                    <w:div w:id="204578331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7105">
      <w:bodyDiv w:val="1"/>
      <w:marLeft w:val="0"/>
      <w:marRight w:val="0"/>
      <w:marTop w:val="0"/>
      <w:marBottom w:val="0"/>
      <w:divBdr>
        <w:top w:val="none" w:sz="0" w:space="0" w:color="auto"/>
        <w:left w:val="none" w:sz="0" w:space="0" w:color="auto"/>
        <w:bottom w:val="none" w:sz="0" w:space="0" w:color="auto"/>
        <w:right w:val="none" w:sz="0" w:space="0" w:color="auto"/>
      </w:divBdr>
    </w:div>
    <w:div w:id="1908104153">
      <w:bodyDiv w:val="1"/>
      <w:marLeft w:val="0"/>
      <w:marRight w:val="0"/>
      <w:marTop w:val="0"/>
      <w:marBottom w:val="0"/>
      <w:divBdr>
        <w:top w:val="none" w:sz="0" w:space="0" w:color="auto"/>
        <w:left w:val="none" w:sz="0" w:space="0" w:color="auto"/>
        <w:bottom w:val="none" w:sz="0" w:space="0" w:color="auto"/>
        <w:right w:val="none" w:sz="0" w:space="0" w:color="auto"/>
      </w:divBdr>
      <w:divsChild>
        <w:div w:id="1867672246">
          <w:marLeft w:val="0"/>
          <w:marRight w:val="0"/>
          <w:marTop w:val="0"/>
          <w:marBottom w:val="0"/>
          <w:divBdr>
            <w:top w:val="none" w:sz="0" w:space="0" w:color="auto"/>
            <w:left w:val="none" w:sz="0" w:space="0" w:color="auto"/>
            <w:bottom w:val="none" w:sz="0" w:space="0" w:color="auto"/>
            <w:right w:val="none" w:sz="0" w:space="0" w:color="auto"/>
          </w:divBdr>
          <w:divsChild>
            <w:div w:id="650137642">
              <w:marLeft w:val="0"/>
              <w:marRight w:val="0"/>
              <w:marTop w:val="0"/>
              <w:marBottom w:val="0"/>
              <w:divBdr>
                <w:top w:val="none" w:sz="0" w:space="0" w:color="auto"/>
                <w:left w:val="none" w:sz="0" w:space="0" w:color="auto"/>
                <w:bottom w:val="none" w:sz="0" w:space="0" w:color="auto"/>
                <w:right w:val="none" w:sz="0" w:space="0" w:color="auto"/>
              </w:divBdr>
              <w:divsChild>
                <w:div w:id="2004697120">
                  <w:marLeft w:val="0"/>
                  <w:marRight w:val="0"/>
                  <w:marTop w:val="0"/>
                  <w:marBottom w:val="0"/>
                  <w:divBdr>
                    <w:top w:val="none" w:sz="0" w:space="0" w:color="auto"/>
                    <w:left w:val="none" w:sz="0" w:space="0" w:color="auto"/>
                    <w:bottom w:val="none" w:sz="0" w:space="0" w:color="auto"/>
                    <w:right w:val="none" w:sz="0" w:space="0" w:color="auto"/>
                  </w:divBdr>
                  <w:divsChild>
                    <w:div w:id="970329749">
                      <w:marLeft w:val="0"/>
                      <w:marRight w:val="0"/>
                      <w:marTop w:val="0"/>
                      <w:marBottom w:val="0"/>
                      <w:divBdr>
                        <w:top w:val="none" w:sz="0" w:space="0" w:color="auto"/>
                        <w:left w:val="none" w:sz="0" w:space="0" w:color="auto"/>
                        <w:bottom w:val="none" w:sz="0" w:space="0" w:color="auto"/>
                        <w:right w:val="none" w:sz="0" w:space="0" w:color="auto"/>
                      </w:divBdr>
                      <w:divsChild>
                        <w:div w:id="175272065">
                          <w:marLeft w:val="0"/>
                          <w:marRight w:val="0"/>
                          <w:marTop w:val="0"/>
                          <w:marBottom w:val="0"/>
                          <w:divBdr>
                            <w:top w:val="none" w:sz="0" w:space="0" w:color="auto"/>
                            <w:left w:val="none" w:sz="0" w:space="0" w:color="auto"/>
                            <w:bottom w:val="none" w:sz="0" w:space="0" w:color="auto"/>
                            <w:right w:val="none" w:sz="0" w:space="0" w:color="auto"/>
                          </w:divBdr>
                          <w:divsChild>
                            <w:div w:id="18798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328958">
      <w:bodyDiv w:val="1"/>
      <w:marLeft w:val="0"/>
      <w:marRight w:val="0"/>
      <w:marTop w:val="0"/>
      <w:marBottom w:val="0"/>
      <w:divBdr>
        <w:top w:val="none" w:sz="0" w:space="0" w:color="auto"/>
        <w:left w:val="none" w:sz="0" w:space="0" w:color="auto"/>
        <w:bottom w:val="none" w:sz="0" w:space="0" w:color="auto"/>
        <w:right w:val="none" w:sz="0" w:space="0" w:color="auto"/>
      </w:divBdr>
      <w:divsChild>
        <w:div w:id="1490098384">
          <w:marLeft w:val="0"/>
          <w:marRight w:val="0"/>
          <w:marTop w:val="0"/>
          <w:marBottom w:val="0"/>
          <w:divBdr>
            <w:top w:val="none" w:sz="0" w:space="0" w:color="auto"/>
            <w:left w:val="none" w:sz="0" w:space="0" w:color="auto"/>
            <w:bottom w:val="none" w:sz="0" w:space="0" w:color="auto"/>
            <w:right w:val="none" w:sz="0" w:space="0" w:color="auto"/>
          </w:divBdr>
          <w:divsChild>
            <w:div w:id="1371227423">
              <w:marLeft w:val="0"/>
              <w:marRight w:val="0"/>
              <w:marTop w:val="0"/>
              <w:marBottom w:val="0"/>
              <w:divBdr>
                <w:top w:val="none" w:sz="0" w:space="0" w:color="auto"/>
                <w:left w:val="none" w:sz="0" w:space="0" w:color="auto"/>
                <w:bottom w:val="none" w:sz="0" w:space="0" w:color="auto"/>
                <w:right w:val="none" w:sz="0" w:space="0" w:color="auto"/>
              </w:divBdr>
              <w:divsChild>
                <w:div w:id="1378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53577">
      <w:bodyDiv w:val="1"/>
      <w:marLeft w:val="-480"/>
      <w:marRight w:val="0"/>
      <w:marTop w:val="0"/>
      <w:marBottom w:val="0"/>
      <w:divBdr>
        <w:top w:val="none" w:sz="0" w:space="0" w:color="auto"/>
        <w:left w:val="none" w:sz="0" w:space="0" w:color="auto"/>
        <w:bottom w:val="none" w:sz="0" w:space="0" w:color="auto"/>
        <w:right w:val="none" w:sz="0" w:space="0" w:color="auto"/>
      </w:divBdr>
      <w:divsChild>
        <w:div w:id="573511554">
          <w:marLeft w:val="0"/>
          <w:marRight w:val="0"/>
          <w:marTop w:val="0"/>
          <w:marBottom w:val="0"/>
          <w:divBdr>
            <w:top w:val="none" w:sz="0" w:space="0" w:color="auto"/>
            <w:left w:val="none" w:sz="0" w:space="0" w:color="auto"/>
            <w:bottom w:val="none" w:sz="0" w:space="0" w:color="auto"/>
            <w:right w:val="none" w:sz="0" w:space="0" w:color="auto"/>
          </w:divBdr>
          <w:divsChild>
            <w:div w:id="1555577027">
              <w:marLeft w:val="0"/>
              <w:marRight w:val="0"/>
              <w:marTop w:val="0"/>
              <w:marBottom w:val="0"/>
              <w:divBdr>
                <w:top w:val="none" w:sz="0" w:space="0" w:color="auto"/>
                <w:left w:val="none" w:sz="0" w:space="0" w:color="auto"/>
                <w:bottom w:val="none" w:sz="0" w:space="0" w:color="auto"/>
                <w:right w:val="none" w:sz="0" w:space="0" w:color="auto"/>
              </w:divBdr>
              <w:divsChild>
                <w:div w:id="113449004">
                  <w:marLeft w:val="0"/>
                  <w:marRight w:val="0"/>
                  <w:marTop w:val="0"/>
                  <w:marBottom w:val="240"/>
                  <w:divBdr>
                    <w:top w:val="none" w:sz="0" w:space="0" w:color="auto"/>
                    <w:left w:val="none" w:sz="0" w:space="0" w:color="auto"/>
                    <w:bottom w:val="none" w:sz="0" w:space="0" w:color="auto"/>
                    <w:right w:val="none" w:sz="0" w:space="0" w:color="auto"/>
                  </w:divBdr>
                  <w:divsChild>
                    <w:div w:id="527261386">
                      <w:marLeft w:val="0"/>
                      <w:marRight w:val="0"/>
                      <w:marTop w:val="0"/>
                      <w:marBottom w:val="0"/>
                      <w:divBdr>
                        <w:top w:val="none" w:sz="0" w:space="0" w:color="auto"/>
                        <w:left w:val="none" w:sz="0" w:space="0" w:color="auto"/>
                        <w:bottom w:val="none" w:sz="0" w:space="0" w:color="auto"/>
                        <w:right w:val="none" w:sz="0" w:space="0" w:color="auto"/>
                      </w:divBdr>
                      <w:divsChild>
                        <w:div w:id="1531844347">
                          <w:marLeft w:val="0"/>
                          <w:marRight w:val="0"/>
                          <w:marTop w:val="0"/>
                          <w:marBottom w:val="240"/>
                          <w:divBdr>
                            <w:top w:val="none" w:sz="0" w:space="0" w:color="auto"/>
                            <w:left w:val="none" w:sz="0" w:space="0" w:color="auto"/>
                            <w:bottom w:val="none" w:sz="0" w:space="0" w:color="auto"/>
                            <w:right w:val="none" w:sz="0" w:space="0" w:color="auto"/>
                          </w:divBdr>
                          <w:divsChild>
                            <w:div w:id="658268192">
                              <w:marLeft w:val="0"/>
                              <w:marRight w:val="0"/>
                              <w:marTop w:val="0"/>
                              <w:marBottom w:val="0"/>
                              <w:divBdr>
                                <w:top w:val="none" w:sz="0" w:space="0" w:color="auto"/>
                                <w:left w:val="none" w:sz="0" w:space="0" w:color="auto"/>
                                <w:bottom w:val="none" w:sz="0" w:space="0" w:color="auto"/>
                                <w:right w:val="none" w:sz="0" w:space="0" w:color="auto"/>
                              </w:divBdr>
                              <w:divsChild>
                                <w:div w:id="1388065940">
                                  <w:marLeft w:val="0"/>
                                  <w:marRight w:val="0"/>
                                  <w:marTop w:val="288"/>
                                  <w:marBottom w:val="0"/>
                                  <w:divBdr>
                                    <w:top w:val="single" w:sz="18" w:space="6" w:color="E1E9EB"/>
                                    <w:left w:val="none" w:sz="0" w:space="0" w:color="auto"/>
                                    <w:bottom w:val="none" w:sz="0" w:space="0" w:color="auto"/>
                                    <w:right w:val="none" w:sz="0" w:space="0" w:color="auto"/>
                                  </w:divBdr>
                                  <w:divsChild>
                                    <w:div w:id="1450927497">
                                      <w:marLeft w:val="0"/>
                                      <w:marRight w:val="0"/>
                                      <w:marTop w:val="120"/>
                                      <w:marBottom w:val="0"/>
                                      <w:divBdr>
                                        <w:top w:val="none" w:sz="0" w:space="0" w:color="auto"/>
                                        <w:left w:val="none" w:sz="0" w:space="0" w:color="auto"/>
                                        <w:bottom w:val="none" w:sz="0" w:space="0" w:color="auto"/>
                                        <w:right w:val="none" w:sz="0" w:space="0" w:color="auto"/>
                                      </w:divBdr>
                                      <w:divsChild>
                                        <w:div w:id="720949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583240">
      <w:bodyDiv w:val="1"/>
      <w:marLeft w:val="0"/>
      <w:marRight w:val="0"/>
      <w:marTop w:val="0"/>
      <w:marBottom w:val="0"/>
      <w:divBdr>
        <w:top w:val="none" w:sz="0" w:space="0" w:color="auto"/>
        <w:left w:val="none" w:sz="0" w:space="0" w:color="auto"/>
        <w:bottom w:val="none" w:sz="0" w:space="0" w:color="auto"/>
        <w:right w:val="none" w:sz="0" w:space="0" w:color="auto"/>
      </w:divBdr>
    </w:div>
    <w:div w:id="2015184721">
      <w:bodyDiv w:val="1"/>
      <w:marLeft w:val="0"/>
      <w:marRight w:val="0"/>
      <w:marTop w:val="0"/>
      <w:marBottom w:val="0"/>
      <w:divBdr>
        <w:top w:val="none" w:sz="0" w:space="0" w:color="auto"/>
        <w:left w:val="none" w:sz="0" w:space="0" w:color="auto"/>
        <w:bottom w:val="none" w:sz="0" w:space="0" w:color="auto"/>
        <w:right w:val="none" w:sz="0" w:space="0" w:color="auto"/>
      </w:divBdr>
    </w:div>
    <w:div w:id="2021084278">
      <w:bodyDiv w:val="1"/>
      <w:marLeft w:val="0"/>
      <w:marRight w:val="0"/>
      <w:marTop w:val="0"/>
      <w:marBottom w:val="0"/>
      <w:divBdr>
        <w:top w:val="none" w:sz="0" w:space="0" w:color="auto"/>
        <w:left w:val="none" w:sz="0" w:space="0" w:color="auto"/>
        <w:bottom w:val="none" w:sz="0" w:space="0" w:color="auto"/>
        <w:right w:val="none" w:sz="0" w:space="0" w:color="auto"/>
      </w:divBdr>
      <w:divsChild>
        <w:div w:id="228931107">
          <w:marLeft w:val="0"/>
          <w:marRight w:val="0"/>
          <w:marTop w:val="0"/>
          <w:marBottom w:val="0"/>
          <w:divBdr>
            <w:top w:val="none" w:sz="0" w:space="0" w:color="auto"/>
            <w:left w:val="none" w:sz="0" w:space="0" w:color="auto"/>
            <w:bottom w:val="none" w:sz="0" w:space="0" w:color="auto"/>
            <w:right w:val="none" w:sz="0" w:space="0" w:color="auto"/>
          </w:divBdr>
          <w:divsChild>
            <w:div w:id="52402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7889">
      <w:bodyDiv w:val="1"/>
      <w:marLeft w:val="0"/>
      <w:marRight w:val="0"/>
      <w:marTop w:val="0"/>
      <w:marBottom w:val="0"/>
      <w:divBdr>
        <w:top w:val="none" w:sz="0" w:space="0" w:color="auto"/>
        <w:left w:val="none" w:sz="0" w:space="0" w:color="auto"/>
        <w:bottom w:val="none" w:sz="0" w:space="0" w:color="auto"/>
        <w:right w:val="none" w:sz="0" w:space="0" w:color="auto"/>
      </w:divBdr>
      <w:divsChild>
        <w:div w:id="1003241930">
          <w:marLeft w:val="0"/>
          <w:marRight w:val="0"/>
          <w:marTop w:val="0"/>
          <w:marBottom w:val="0"/>
          <w:divBdr>
            <w:top w:val="none" w:sz="0" w:space="0" w:color="auto"/>
            <w:left w:val="none" w:sz="0" w:space="0" w:color="auto"/>
            <w:bottom w:val="none" w:sz="0" w:space="0" w:color="auto"/>
            <w:right w:val="none" w:sz="0" w:space="0" w:color="auto"/>
          </w:divBdr>
          <w:divsChild>
            <w:div w:id="405149866">
              <w:marLeft w:val="0"/>
              <w:marRight w:val="0"/>
              <w:marTop w:val="0"/>
              <w:marBottom w:val="0"/>
              <w:divBdr>
                <w:top w:val="none" w:sz="0" w:space="0" w:color="auto"/>
                <w:left w:val="none" w:sz="0" w:space="0" w:color="auto"/>
                <w:bottom w:val="none" w:sz="0" w:space="0" w:color="auto"/>
                <w:right w:val="none" w:sz="0" w:space="0" w:color="auto"/>
              </w:divBdr>
              <w:divsChild>
                <w:div w:id="1991521314">
                  <w:marLeft w:val="0"/>
                  <w:marRight w:val="0"/>
                  <w:marTop w:val="0"/>
                  <w:marBottom w:val="0"/>
                  <w:divBdr>
                    <w:top w:val="none" w:sz="0" w:space="0" w:color="auto"/>
                    <w:left w:val="none" w:sz="0" w:space="0" w:color="auto"/>
                    <w:bottom w:val="none" w:sz="0" w:space="0" w:color="auto"/>
                    <w:right w:val="none" w:sz="0" w:space="0" w:color="auto"/>
                  </w:divBdr>
                  <w:divsChild>
                    <w:div w:id="454300630">
                      <w:marLeft w:val="0"/>
                      <w:marRight w:val="0"/>
                      <w:marTop w:val="0"/>
                      <w:marBottom w:val="0"/>
                      <w:divBdr>
                        <w:top w:val="none" w:sz="0" w:space="0" w:color="auto"/>
                        <w:left w:val="none" w:sz="0" w:space="0" w:color="auto"/>
                        <w:bottom w:val="none" w:sz="0" w:space="0" w:color="auto"/>
                        <w:right w:val="none" w:sz="0" w:space="0" w:color="auto"/>
                      </w:divBdr>
                      <w:divsChild>
                        <w:div w:id="1225988685">
                          <w:marLeft w:val="0"/>
                          <w:marRight w:val="0"/>
                          <w:marTop w:val="0"/>
                          <w:marBottom w:val="0"/>
                          <w:divBdr>
                            <w:top w:val="none" w:sz="0" w:space="0" w:color="auto"/>
                            <w:left w:val="none" w:sz="0" w:space="0" w:color="auto"/>
                            <w:bottom w:val="none" w:sz="0" w:space="0" w:color="auto"/>
                            <w:right w:val="none" w:sz="0" w:space="0" w:color="auto"/>
                          </w:divBdr>
                          <w:divsChild>
                            <w:div w:id="1935507073">
                              <w:marLeft w:val="0"/>
                              <w:marRight w:val="0"/>
                              <w:marTop w:val="0"/>
                              <w:marBottom w:val="0"/>
                              <w:divBdr>
                                <w:top w:val="none" w:sz="0" w:space="0" w:color="auto"/>
                                <w:left w:val="none" w:sz="0" w:space="0" w:color="auto"/>
                                <w:bottom w:val="none" w:sz="0" w:space="0" w:color="auto"/>
                                <w:right w:val="none" w:sz="0" w:space="0" w:color="auto"/>
                              </w:divBdr>
                              <w:divsChild>
                                <w:div w:id="495926506">
                                  <w:marLeft w:val="0"/>
                                  <w:marRight w:val="0"/>
                                  <w:marTop w:val="0"/>
                                  <w:marBottom w:val="0"/>
                                  <w:divBdr>
                                    <w:top w:val="none" w:sz="0" w:space="0" w:color="auto"/>
                                    <w:left w:val="none" w:sz="0" w:space="0" w:color="auto"/>
                                    <w:bottom w:val="none" w:sz="0" w:space="0" w:color="auto"/>
                                    <w:right w:val="none" w:sz="0" w:space="0" w:color="auto"/>
                                  </w:divBdr>
                                  <w:divsChild>
                                    <w:div w:id="1853183673">
                                      <w:marLeft w:val="0"/>
                                      <w:marRight w:val="0"/>
                                      <w:marTop w:val="0"/>
                                      <w:marBottom w:val="0"/>
                                      <w:divBdr>
                                        <w:top w:val="none" w:sz="0" w:space="0" w:color="auto"/>
                                        <w:left w:val="none" w:sz="0" w:space="0" w:color="auto"/>
                                        <w:bottom w:val="none" w:sz="0" w:space="0" w:color="auto"/>
                                        <w:right w:val="none" w:sz="0" w:space="0" w:color="auto"/>
                                      </w:divBdr>
                                      <w:divsChild>
                                        <w:div w:id="63846006">
                                          <w:marLeft w:val="0"/>
                                          <w:marRight w:val="0"/>
                                          <w:marTop w:val="0"/>
                                          <w:marBottom w:val="0"/>
                                          <w:divBdr>
                                            <w:top w:val="none" w:sz="0" w:space="0" w:color="auto"/>
                                            <w:left w:val="none" w:sz="0" w:space="0" w:color="auto"/>
                                            <w:bottom w:val="none" w:sz="0" w:space="0" w:color="auto"/>
                                            <w:right w:val="none" w:sz="0" w:space="0" w:color="auto"/>
                                          </w:divBdr>
                                          <w:divsChild>
                                            <w:div w:id="11216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5109744">
      <w:bodyDiv w:val="1"/>
      <w:marLeft w:val="0"/>
      <w:marRight w:val="0"/>
      <w:marTop w:val="0"/>
      <w:marBottom w:val="0"/>
      <w:divBdr>
        <w:top w:val="none" w:sz="0" w:space="0" w:color="auto"/>
        <w:left w:val="none" w:sz="0" w:space="0" w:color="auto"/>
        <w:bottom w:val="none" w:sz="0" w:space="0" w:color="auto"/>
        <w:right w:val="none" w:sz="0" w:space="0" w:color="auto"/>
      </w:divBdr>
    </w:div>
    <w:div w:id="2036421803">
      <w:bodyDiv w:val="1"/>
      <w:marLeft w:val="0"/>
      <w:marRight w:val="0"/>
      <w:marTop w:val="0"/>
      <w:marBottom w:val="0"/>
      <w:divBdr>
        <w:top w:val="none" w:sz="0" w:space="0" w:color="auto"/>
        <w:left w:val="none" w:sz="0" w:space="0" w:color="auto"/>
        <w:bottom w:val="none" w:sz="0" w:space="0" w:color="auto"/>
        <w:right w:val="none" w:sz="0" w:space="0" w:color="auto"/>
      </w:divBdr>
      <w:divsChild>
        <w:div w:id="354162149">
          <w:marLeft w:val="0"/>
          <w:marRight w:val="0"/>
          <w:marTop w:val="0"/>
          <w:marBottom w:val="0"/>
          <w:divBdr>
            <w:top w:val="none" w:sz="0" w:space="0" w:color="auto"/>
            <w:left w:val="none" w:sz="0" w:space="0" w:color="auto"/>
            <w:bottom w:val="none" w:sz="0" w:space="0" w:color="auto"/>
            <w:right w:val="none" w:sz="0" w:space="0" w:color="auto"/>
          </w:divBdr>
          <w:divsChild>
            <w:div w:id="1018195269">
              <w:marLeft w:val="0"/>
              <w:marRight w:val="0"/>
              <w:marTop w:val="0"/>
              <w:marBottom w:val="0"/>
              <w:divBdr>
                <w:top w:val="none" w:sz="0" w:space="0" w:color="auto"/>
                <w:left w:val="none" w:sz="0" w:space="0" w:color="auto"/>
                <w:bottom w:val="single" w:sz="6" w:space="0" w:color="8D8D8D"/>
                <w:right w:val="none" w:sz="0" w:space="0" w:color="auto"/>
              </w:divBdr>
              <w:divsChild>
                <w:div w:id="4147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50684">
      <w:bodyDiv w:val="1"/>
      <w:marLeft w:val="0"/>
      <w:marRight w:val="0"/>
      <w:marTop w:val="0"/>
      <w:marBottom w:val="0"/>
      <w:divBdr>
        <w:top w:val="none" w:sz="0" w:space="0" w:color="auto"/>
        <w:left w:val="none" w:sz="0" w:space="0" w:color="auto"/>
        <w:bottom w:val="none" w:sz="0" w:space="0" w:color="auto"/>
        <w:right w:val="none" w:sz="0" w:space="0" w:color="auto"/>
      </w:divBdr>
      <w:divsChild>
        <w:div w:id="433016177">
          <w:marLeft w:val="0"/>
          <w:marRight w:val="0"/>
          <w:marTop w:val="0"/>
          <w:marBottom w:val="0"/>
          <w:divBdr>
            <w:top w:val="none" w:sz="0" w:space="0" w:color="auto"/>
            <w:left w:val="none" w:sz="0" w:space="0" w:color="auto"/>
            <w:bottom w:val="none" w:sz="0" w:space="0" w:color="auto"/>
            <w:right w:val="none" w:sz="0" w:space="0" w:color="auto"/>
          </w:divBdr>
          <w:divsChild>
            <w:div w:id="1863083770">
              <w:marLeft w:val="0"/>
              <w:marRight w:val="0"/>
              <w:marTop w:val="0"/>
              <w:marBottom w:val="0"/>
              <w:divBdr>
                <w:top w:val="none" w:sz="0" w:space="0" w:color="auto"/>
                <w:left w:val="none" w:sz="0" w:space="0" w:color="auto"/>
                <w:bottom w:val="none" w:sz="0" w:space="0" w:color="auto"/>
                <w:right w:val="none" w:sz="0" w:space="0" w:color="auto"/>
              </w:divBdr>
              <w:divsChild>
                <w:div w:id="2098942681">
                  <w:marLeft w:val="0"/>
                  <w:marRight w:val="0"/>
                  <w:marTop w:val="0"/>
                  <w:marBottom w:val="0"/>
                  <w:divBdr>
                    <w:top w:val="none" w:sz="0" w:space="0" w:color="auto"/>
                    <w:left w:val="none" w:sz="0" w:space="0" w:color="auto"/>
                    <w:bottom w:val="none" w:sz="0" w:space="0" w:color="auto"/>
                    <w:right w:val="none" w:sz="0" w:space="0" w:color="auto"/>
                  </w:divBdr>
                  <w:divsChild>
                    <w:div w:id="1522745365">
                      <w:marLeft w:val="0"/>
                      <w:marRight w:val="0"/>
                      <w:marTop w:val="0"/>
                      <w:marBottom w:val="0"/>
                      <w:divBdr>
                        <w:top w:val="none" w:sz="0" w:space="0" w:color="auto"/>
                        <w:left w:val="none" w:sz="0" w:space="0" w:color="auto"/>
                        <w:bottom w:val="none" w:sz="0" w:space="0" w:color="auto"/>
                        <w:right w:val="none" w:sz="0" w:space="0" w:color="auto"/>
                      </w:divBdr>
                      <w:divsChild>
                        <w:div w:id="1127892532">
                          <w:marLeft w:val="0"/>
                          <w:marRight w:val="0"/>
                          <w:marTop w:val="0"/>
                          <w:marBottom w:val="0"/>
                          <w:divBdr>
                            <w:top w:val="none" w:sz="0" w:space="0" w:color="auto"/>
                            <w:left w:val="none" w:sz="0" w:space="0" w:color="auto"/>
                            <w:bottom w:val="none" w:sz="0" w:space="0" w:color="auto"/>
                            <w:right w:val="none" w:sz="0" w:space="0" w:color="auto"/>
                          </w:divBdr>
                          <w:divsChild>
                            <w:div w:id="1816146075">
                              <w:marLeft w:val="0"/>
                              <w:marRight w:val="0"/>
                              <w:marTop w:val="0"/>
                              <w:marBottom w:val="0"/>
                              <w:divBdr>
                                <w:top w:val="none" w:sz="0" w:space="0" w:color="auto"/>
                                <w:left w:val="none" w:sz="0" w:space="0" w:color="auto"/>
                                <w:bottom w:val="none" w:sz="0" w:space="0" w:color="auto"/>
                                <w:right w:val="none" w:sz="0" w:space="0" w:color="auto"/>
                              </w:divBdr>
                              <w:divsChild>
                                <w:div w:id="98666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844404">
      <w:bodyDiv w:val="1"/>
      <w:marLeft w:val="0"/>
      <w:marRight w:val="0"/>
      <w:marTop w:val="0"/>
      <w:marBottom w:val="0"/>
      <w:divBdr>
        <w:top w:val="none" w:sz="0" w:space="0" w:color="auto"/>
        <w:left w:val="none" w:sz="0" w:space="0" w:color="auto"/>
        <w:bottom w:val="none" w:sz="0" w:space="0" w:color="auto"/>
        <w:right w:val="none" w:sz="0" w:space="0" w:color="auto"/>
      </w:divBdr>
      <w:divsChild>
        <w:div w:id="2142796348">
          <w:marLeft w:val="0"/>
          <w:marRight w:val="0"/>
          <w:marTop w:val="0"/>
          <w:marBottom w:val="0"/>
          <w:divBdr>
            <w:top w:val="none" w:sz="0" w:space="0" w:color="auto"/>
            <w:left w:val="none" w:sz="0" w:space="0" w:color="auto"/>
            <w:bottom w:val="none" w:sz="0" w:space="0" w:color="auto"/>
            <w:right w:val="none" w:sz="0" w:space="0" w:color="auto"/>
          </w:divBdr>
        </w:div>
      </w:divsChild>
    </w:div>
    <w:div w:id="2058774065">
      <w:bodyDiv w:val="1"/>
      <w:marLeft w:val="0"/>
      <w:marRight w:val="0"/>
      <w:marTop w:val="0"/>
      <w:marBottom w:val="0"/>
      <w:divBdr>
        <w:top w:val="none" w:sz="0" w:space="0" w:color="auto"/>
        <w:left w:val="none" w:sz="0" w:space="0" w:color="auto"/>
        <w:bottom w:val="none" w:sz="0" w:space="0" w:color="auto"/>
        <w:right w:val="none" w:sz="0" w:space="0" w:color="auto"/>
      </w:divBdr>
      <w:divsChild>
        <w:div w:id="1145389260">
          <w:marLeft w:val="0"/>
          <w:marRight w:val="0"/>
          <w:marTop w:val="0"/>
          <w:marBottom w:val="0"/>
          <w:divBdr>
            <w:top w:val="none" w:sz="0" w:space="0" w:color="auto"/>
            <w:left w:val="none" w:sz="0" w:space="0" w:color="auto"/>
            <w:bottom w:val="none" w:sz="0" w:space="0" w:color="auto"/>
            <w:right w:val="none" w:sz="0" w:space="0" w:color="auto"/>
          </w:divBdr>
        </w:div>
      </w:divsChild>
    </w:div>
    <w:div w:id="2097436104">
      <w:bodyDiv w:val="1"/>
      <w:marLeft w:val="0"/>
      <w:marRight w:val="0"/>
      <w:marTop w:val="0"/>
      <w:marBottom w:val="0"/>
      <w:divBdr>
        <w:top w:val="none" w:sz="0" w:space="0" w:color="auto"/>
        <w:left w:val="none" w:sz="0" w:space="0" w:color="auto"/>
        <w:bottom w:val="none" w:sz="0" w:space="0" w:color="auto"/>
        <w:right w:val="none" w:sz="0" w:space="0" w:color="auto"/>
      </w:divBdr>
      <w:divsChild>
        <w:div w:id="1501042389">
          <w:marLeft w:val="0"/>
          <w:marRight w:val="0"/>
          <w:marTop w:val="0"/>
          <w:marBottom w:val="0"/>
          <w:divBdr>
            <w:top w:val="none" w:sz="0" w:space="0" w:color="auto"/>
            <w:left w:val="none" w:sz="0" w:space="0" w:color="auto"/>
            <w:bottom w:val="none" w:sz="0" w:space="0" w:color="auto"/>
            <w:right w:val="none" w:sz="0" w:space="0" w:color="auto"/>
          </w:divBdr>
          <w:divsChild>
            <w:div w:id="975573145">
              <w:marLeft w:val="0"/>
              <w:marRight w:val="0"/>
              <w:marTop w:val="0"/>
              <w:marBottom w:val="0"/>
              <w:divBdr>
                <w:top w:val="none" w:sz="0" w:space="0" w:color="auto"/>
                <w:left w:val="none" w:sz="0" w:space="0" w:color="auto"/>
                <w:bottom w:val="none" w:sz="0" w:space="0" w:color="auto"/>
                <w:right w:val="none" w:sz="0" w:space="0" w:color="auto"/>
              </w:divBdr>
              <w:divsChild>
                <w:div w:id="1844272349">
                  <w:marLeft w:val="0"/>
                  <w:marRight w:val="0"/>
                  <w:marTop w:val="0"/>
                  <w:marBottom w:val="0"/>
                  <w:divBdr>
                    <w:top w:val="none" w:sz="0" w:space="0" w:color="auto"/>
                    <w:left w:val="none" w:sz="0" w:space="0" w:color="auto"/>
                    <w:bottom w:val="none" w:sz="0" w:space="0" w:color="auto"/>
                    <w:right w:val="none" w:sz="0" w:space="0" w:color="auto"/>
                  </w:divBdr>
                  <w:divsChild>
                    <w:div w:id="1904832669">
                      <w:marLeft w:val="0"/>
                      <w:marRight w:val="0"/>
                      <w:marTop w:val="0"/>
                      <w:marBottom w:val="0"/>
                      <w:divBdr>
                        <w:top w:val="none" w:sz="0" w:space="0" w:color="auto"/>
                        <w:left w:val="none" w:sz="0" w:space="0" w:color="auto"/>
                        <w:bottom w:val="none" w:sz="0" w:space="0" w:color="auto"/>
                        <w:right w:val="none" w:sz="0" w:space="0" w:color="auto"/>
                      </w:divBdr>
                      <w:divsChild>
                        <w:div w:id="2130968679">
                          <w:marLeft w:val="0"/>
                          <w:marRight w:val="0"/>
                          <w:marTop w:val="0"/>
                          <w:marBottom w:val="0"/>
                          <w:divBdr>
                            <w:top w:val="none" w:sz="0" w:space="0" w:color="auto"/>
                            <w:left w:val="none" w:sz="0" w:space="0" w:color="auto"/>
                            <w:bottom w:val="none" w:sz="0" w:space="0" w:color="auto"/>
                            <w:right w:val="none" w:sz="0" w:space="0" w:color="auto"/>
                          </w:divBdr>
                          <w:divsChild>
                            <w:div w:id="3451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45854">
      <w:bodyDiv w:val="1"/>
      <w:marLeft w:val="0"/>
      <w:marRight w:val="0"/>
      <w:marTop w:val="0"/>
      <w:marBottom w:val="0"/>
      <w:divBdr>
        <w:top w:val="none" w:sz="0" w:space="0" w:color="auto"/>
        <w:left w:val="none" w:sz="0" w:space="0" w:color="auto"/>
        <w:bottom w:val="none" w:sz="0" w:space="0" w:color="auto"/>
        <w:right w:val="none" w:sz="0" w:space="0" w:color="auto"/>
      </w:divBdr>
      <w:divsChild>
        <w:div w:id="739015672">
          <w:marLeft w:val="0"/>
          <w:marRight w:val="0"/>
          <w:marTop w:val="0"/>
          <w:marBottom w:val="0"/>
          <w:divBdr>
            <w:top w:val="single" w:sz="4" w:space="0" w:color="000000"/>
            <w:left w:val="single" w:sz="4" w:space="0" w:color="000000"/>
            <w:bottom w:val="single" w:sz="4" w:space="0" w:color="000000"/>
            <w:right w:val="single" w:sz="4" w:space="0" w:color="000000"/>
          </w:divBdr>
          <w:divsChild>
            <w:div w:id="1165363312">
              <w:marLeft w:val="0"/>
              <w:marRight w:val="0"/>
              <w:marTop w:val="0"/>
              <w:marBottom w:val="0"/>
              <w:divBdr>
                <w:top w:val="none" w:sz="0" w:space="0" w:color="auto"/>
                <w:left w:val="none" w:sz="0" w:space="0" w:color="auto"/>
                <w:bottom w:val="single" w:sz="4" w:space="0" w:color="000000"/>
                <w:right w:val="none" w:sz="0" w:space="0" w:color="auto"/>
              </w:divBdr>
              <w:divsChild>
                <w:div w:id="1795370362">
                  <w:marLeft w:val="2478"/>
                  <w:marRight w:val="0"/>
                  <w:marTop w:val="0"/>
                  <w:marBottom w:val="0"/>
                  <w:divBdr>
                    <w:top w:val="single" w:sz="4" w:space="0" w:color="FFFFFF"/>
                    <w:left w:val="none" w:sz="0" w:space="0" w:color="auto"/>
                    <w:bottom w:val="none" w:sz="0" w:space="0" w:color="auto"/>
                    <w:right w:val="none" w:sz="0" w:space="0" w:color="auto"/>
                  </w:divBdr>
                  <w:divsChild>
                    <w:div w:id="67118025">
                      <w:marLeft w:val="0"/>
                      <w:marRight w:val="0"/>
                      <w:marTop w:val="0"/>
                      <w:marBottom w:val="0"/>
                      <w:divBdr>
                        <w:top w:val="none" w:sz="0" w:space="0" w:color="auto"/>
                        <w:left w:val="none" w:sz="0" w:space="0" w:color="auto"/>
                        <w:bottom w:val="none" w:sz="0" w:space="0" w:color="auto"/>
                        <w:right w:val="none" w:sz="0" w:space="0" w:color="auto"/>
                      </w:divBdr>
                      <w:divsChild>
                        <w:div w:id="20711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521849">
      <w:bodyDiv w:val="1"/>
      <w:marLeft w:val="0"/>
      <w:marRight w:val="0"/>
      <w:marTop w:val="0"/>
      <w:marBottom w:val="0"/>
      <w:divBdr>
        <w:top w:val="none" w:sz="0" w:space="0" w:color="auto"/>
        <w:left w:val="none" w:sz="0" w:space="0" w:color="auto"/>
        <w:bottom w:val="none" w:sz="0" w:space="0" w:color="auto"/>
        <w:right w:val="none" w:sz="0" w:space="0" w:color="auto"/>
      </w:divBdr>
      <w:divsChild>
        <w:div w:id="1624459145">
          <w:marLeft w:val="0"/>
          <w:marRight w:val="0"/>
          <w:marTop w:val="100"/>
          <w:marBottom w:val="100"/>
          <w:divBdr>
            <w:top w:val="single" w:sz="6" w:space="0" w:color="666666"/>
            <w:left w:val="single" w:sz="6" w:space="0" w:color="666666"/>
            <w:bottom w:val="single" w:sz="6" w:space="0" w:color="666666"/>
            <w:right w:val="single" w:sz="6" w:space="0" w:color="666666"/>
          </w:divBdr>
          <w:divsChild>
            <w:div w:id="1873879305">
              <w:marLeft w:val="0"/>
              <w:marRight w:val="0"/>
              <w:marTop w:val="0"/>
              <w:marBottom w:val="0"/>
              <w:divBdr>
                <w:top w:val="none" w:sz="0" w:space="0" w:color="auto"/>
                <w:left w:val="none" w:sz="0" w:space="0" w:color="auto"/>
                <w:bottom w:val="none" w:sz="0" w:space="0" w:color="auto"/>
                <w:right w:val="none" w:sz="0" w:space="0" w:color="auto"/>
              </w:divBdr>
              <w:divsChild>
                <w:div w:id="1224295698">
                  <w:marLeft w:val="150"/>
                  <w:marRight w:val="150"/>
                  <w:marTop w:val="105"/>
                  <w:marBottom w:val="105"/>
                  <w:divBdr>
                    <w:top w:val="none" w:sz="0" w:space="0" w:color="auto"/>
                    <w:left w:val="none" w:sz="0" w:space="0" w:color="auto"/>
                    <w:bottom w:val="none" w:sz="0" w:space="0" w:color="auto"/>
                    <w:right w:val="none" w:sz="0" w:space="0" w:color="auto"/>
                  </w:divBdr>
                  <w:divsChild>
                    <w:div w:id="11541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ndexfungorum.org/Names/SynSpecies.asp?RecordID=179275" TargetMode="External"/><Relationship Id="rId21" Type="http://schemas.openxmlformats.org/officeDocument/2006/relationships/header" Target="header7.xml"/><Relationship Id="rId42" Type="http://schemas.openxmlformats.org/officeDocument/2006/relationships/hyperlink" Target="http://www.oardc.ohio-state.edu/grapeipm/images/Grape%20Plume%20Moth%20B.jpg" TargetMode="External"/><Relationship Id="rId63" Type="http://schemas.openxmlformats.org/officeDocument/2006/relationships/hyperlink" Target="http://www.indexfungorum.org/Names/genusrecord.asp?RecordID=17403" TargetMode="External"/><Relationship Id="rId84" Type="http://schemas.openxmlformats.org/officeDocument/2006/relationships/hyperlink" Target="http://www.catalogueoflife.org/browse_taxa.php?selected_taxon=4992" TargetMode="External"/><Relationship Id="rId138" Type="http://schemas.openxmlformats.org/officeDocument/2006/relationships/hyperlink" Target="http://www.agf.gov.bc.ca/cropprot/bromius_obscurus.pdf" TargetMode="External"/><Relationship Id="rId159" Type="http://schemas.openxmlformats.org/officeDocument/2006/relationships/hyperlink" Target="http://www.vegedge.umn.edu/vegpest/grapes/FleaBeetle.htm" TargetMode="External"/><Relationship Id="rId170" Type="http://schemas.openxmlformats.org/officeDocument/2006/relationships/hyperlink" Target="http://edis.ifas.ufl.edu/pdffiles/IN/IN52700.pdf" TargetMode="External"/><Relationship Id="rId191" Type="http://schemas.openxmlformats.org/officeDocument/2006/relationships/hyperlink" Target="http://www.cabdirect.org/abstracts/19921164396.html" TargetMode="External"/><Relationship Id="rId205" Type="http://schemas.openxmlformats.org/officeDocument/2006/relationships/hyperlink" Target="http://www.nysipm.cornell.edu/factsheets/grapes/diseses/grape_br.pdf" TargetMode="External"/><Relationship Id="rId107" Type="http://schemas.openxmlformats.org/officeDocument/2006/relationships/hyperlink" Target="http://www.indexfungorum.org/Names/SynSpecies.asp?RecordID=174220" TargetMode="External"/><Relationship Id="rId11" Type="http://schemas.openxmlformats.org/officeDocument/2006/relationships/footer" Target="footer1.xml"/><Relationship Id="rId32" Type="http://schemas.openxmlformats.org/officeDocument/2006/relationships/header" Target="header14.xml"/><Relationship Id="rId53" Type="http://schemas.openxmlformats.org/officeDocument/2006/relationships/hyperlink" Target="http://www.indexfungorum.org/Names/genusrecord.asp?RecordID=807" TargetMode="External"/><Relationship Id="rId74" Type="http://schemas.openxmlformats.org/officeDocument/2006/relationships/hyperlink" Target="http://www.indexfungorum.org/Names/genusrecord.asp?RecordID=8072" TargetMode="External"/><Relationship Id="rId128" Type="http://schemas.openxmlformats.org/officeDocument/2006/relationships/header" Target="header25.xml"/><Relationship Id="rId149" Type="http://schemas.openxmlformats.org/officeDocument/2006/relationships/hyperlink" Target="http://www.gwrdc.com.au/webdata/resources/project/NVH0301.pdf" TargetMode="External"/><Relationship Id="rId5" Type="http://schemas.openxmlformats.org/officeDocument/2006/relationships/webSettings" Target="webSettings.xml"/><Relationship Id="rId95" Type="http://schemas.openxmlformats.org/officeDocument/2006/relationships/hyperlink" Target="http://www.indexfungorum.org/Names/genusrecord.asp?RecordID=8760" TargetMode="External"/><Relationship Id="rId160" Type="http://schemas.openxmlformats.org/officeDocument/2006/relationships/hyperlink" Target="http://data.gbif.org/species/Trametes%20ochracea" TargetMode="External"/><Relationship Id="rId181" Type="http://schemas.openxmlformats.org/officeDocument/2006/relationships/hyperlink" Target="http://forages.oregonstate.edu/tallfescuemonograph/preface" TargetMode="External"/><Relationship Id="rId22" Type="http://schemas.openxmlformats.org/officeDocument/2006/relationships/header" Target="header8.xml"/><Relationship Id="rId43" Type="http://schemas.openxmlformats.org/officeDocument/2006/relationships/hyperlink" Target="http://www.catalogueoflife.org/browse_taxa.php?selected_taxon=840" TargetMode="External"/><Relationship Id="rId64" Type="http://schemas.openxmlformats.org/officeDocument/2006/relationships/hyperlink" Target="http://www.indexfungorum.org/Names/genusrecord.asp?RecordID=7838" TargetMode="External"/><Relationship Id="rId118" Type="http://schemas.openxmlformats.org/officeDocument/2006/relationships/header" Target="header19.xml"/><Relationship Id="rId139" Type="http://schemas.openxmlformats.org/officeDocument/2006/relationships/hyperlink" Target="http://www.ipm.ucdavis.edu/PMG/r302301411.html" TargetMode="External"/><Relationship Id="rId85" Type="http://schemas.openxmlformats.org/officeDocument/2006/relationships/hyperlink" Target="http://www.indexfungorum.org/Names/genusrecord.asp?RecordID=17727" TargetMode="External"/><Relationship Id="rId150" Type="http://schemas.openxmlformats.org/officeDocument/2006/relationships/hyperlink" Target="http://www.ento.csiro.au/aicn/index.htm" TargetMode="External"/><Relationship Id="rId171" Type="http://schemas.openxmlformats.org/officeDocument/2006/relationships/hyperlink" Target="http://www.ecolsafety.org.cn//db/Fruit/login_pg.asp" TargetMode="External"/><Relationship Id="rId192" Type="http://schemas.openxmlformats.org/officeDocument/2006/relationships/hyperlink" Target="http://www.grdc.com.au/director/events/onfarmtrials?item_id=4829BB0CA9AC5A109CF7A53B484E5905&amp;pageNumber=2" TargetMode="External"/><Relationship Id="rId206" Type="http://schemas.openxmlformats.org/officeDocument/2006/relationships/hyperlink" Target="http://www.oardc.ohio-state.edu/grapeipm/index.htm" TargetMode="External"/><Relationship Id="rId12" Type="http://schemas.openxmlformats.org/officeDocument/2006/relationships/footer" Target="footer2.xml"/><Relationship Id="rId33" Type="http://schemas.openxmlformats.org/officeDocument/2006/relationships/header" Target="header15.xml"/><Relationship Id="rId108" Type="http://schemas.openxmlformats.org/officeDocument/2006/relationships/hyperlink" Target="http://www.catalogueoflife.org/browse_taxa.php?selected_taxon=4992" TargetMode="External"/><Relationship Id="rId129" Type="http://schemas.openxmlformats.org/officeDocument/2006/relationships/hyperlink" Target="http://wiki.pestinfo.org/w/index.php?title=Arabis_mosaic_virus&amp;action=edit&amp;redlink=1" TargetMode="External"/><Relationship Id="rId54" Type="http://schemas.openxmlformats.org/officeDocument/2006/relationships/hyperlink" Target="http://www.indexfungorum.org/Names/genusrecord.asp?RecordID=809" TargetMode="External"/><Relationship Id="rId75" Type="http://schemas.openxmlformats.org/officeDocument/2006/relationships/hyperlink" Target="http://www.indexfungorum.org/Names/genusrecord.asp?RecordID=1695" TargetMode="External"/><Relationship Id="rId96" Type="http://schemas.openxmlformats.org/officeDocument/2006/relationships/hyperlink" Target="http://www.indexfungorum.org/Names/SynSpecies.asp?RecordID=300023" TargetMode="External"/><Relationship Id="rId140" Type="http://schemas.openxmlformats.org/officeDocument/2006/relationships/hyperlink" Target="http://www.agr.unipi.it/tesi05/luglio/ve_benvenuti.html" TargetMode="External"/><Relationship Id="rId161" Type="http://schemas.openxmlformats.org/officeDocument/2006/relationships/hyperlink" Target="http://www.padil.gov.au" TargetMode="External"/><Relationship Id="rId182" Type="http://schemas.openxmlformats.org/officeDocument/2006/relationships/hyperlink" Target="http://www.ncbi.nlm.nih.gov/nuccore/255964967" TargetMode="Externa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eader" Target="header20.xml"/><Relationship Id="rId44" Type="http://schemas.openxmlformats.org/officeDocument/2006/relationships/hyperlink" Target="http://www.catalogueoflife.org/browse_taxa.php?selected_taxon=4992" TargetMode="External"/><Relationship Id="rId65" Type="http://schemas.openxmlformats.org/officeDocument/2006/relationships/hyperlink" Target="http://www.indexfungorum.org/Names/genusrecord.asp?RecordID=7866" TargetMode="External"/><Relationship Id="rId86" Type="http://schemas.openxmlformats.org/officeDocument/2006/relationships/hyperlink" Target="http://www.indexfungorum.org/Names/genusrecord.asp?RecordID=2274" TargetMode="External"/><Relationship Id="rId130" Type="http://schemas.openxmlformats.org/officeDocument/2006/relationships/hyperlink" Target="http://wiki.pestinfo.org/wiki/Plant_Disease" TargetMode="External"/><Relationship Id="rId151" Type="http://schemas.openxmlformats.org/officeDocument/2006/relationships/hyperlink" Target="http://www.ent.iastate.edu/soybeaninsects/Eaton%201978" TargetMode="External"/><Relationship Id="rId172" Type="http://schemas.openxmlformats.org/officeDocument/2006/relationships/hyperlink" Target="http://www.ho.haslo.pl/article.php?id=1119" TargetMode="External"/><Relationship Id="rId193" Type="http://schemas.openxmlformats.org/officeDocument/2006/relationships/hyperlink" Target="http://www.fao.org/docrep/003/x6897e/x6897e05.htm" TargetMode="External"/><Relationship Id="rId207" Type="http://schemas.openxmlformats.org/officeDocument/2006/relationships/hyperlink" Target="http://www.wto.org/english/tratop_e/sps_e/spsagr_e.htm" TargetMode="External"/><Relationship Id="rId13" Type="http://schemas.openxmlformats.org/officeDocument/2006/relationships/image" Target="media/image3.png"/><Relationship Id="rId109" Type="http://schemas.openxmlformats.org/officeDocument/2006/relationships/hyperlink" Target="http://www.indexfungorum.org/Names/genusrecord.asp?RecordID=18512" TargetMode="External"/><Relationship Id="rId34" Type="http://schemas.openxmlformats.org/officeDocument/2006/relationships/footer" Target="footer5.xml"/><Relationship Id="rId55" Type="http://schemas.openxmlformats.org/officeDocument/2006/relationships/hyperlink" Target="http://www.indexfungorum.org/Names/genusrecord.asp?RecordID=809" TargetMode="External"/><Relationship Id="rId76" Type="http://schemas.openxmlformats.org/officeDocument/2006/relationships/hyperlink" Target="http://www.indexfungorum.org/Names/genusrecord.asp?RecordID=8103" TargetMode="External"/><Relationship Id="rId97" Type="http://schemas.openxmlformats.org/officeDocument/2006/relationships/hyperlink" Target="http://www.catalogueoflife.org/browse_taxa.php?selected_taxon=4992" TargetMode="External"/><Relationship Id="rId120" Type="http://schemas.openxmlformats.org/officeDocument/2006/relationships/footer" Target="footer7.xml"/><Relationship Id="rId141" Type="http://schemas.openxmlformats.org/officeDocument/2006/relationships/hyperlink" Target="http://www.inrb.pt/fotos/editor2/inia/ean_1.pdf" TargetMode="External"/><Relationship Id="rId7" Type="http://schemas.openxmlformats.org/officeDocument/2006/relationships/endnotes" Target="endnotes.xml"/><Relationship Id="rId162" Type="http://schemas.openxmlformats.org/officeDocument/2006/relationships/hyperlink" Target="http://www.agroatlas.ru/en/content/pests/Aporia_crataegi/" TargetMode="External"/><Relationship Id="rId183" Type="http://schemas.openxmlformats.org/officeDocument/2006/relationships/hyperlink" Target="http://www.plantmeds.com/pnhopliabeetle.pdf" TargetMode="External"/><Relationship Id="rId24" Type="http://schemas.openxmlformats.org/officeDocument/2006/relationships/hyperlink" Target="http://www.indexfungorum.org/Names/SynSpecies.asp?RecordID=103753" TargetMode="External"/><Relationship Id="rId45" Type="http://schemas.openxmlformats.org/officeDocument/2006/relationships/hyperlink" Target="http://www.catalogueoflife.org/browse_taxa.php?selected_taxon=5164" TargetMode="External"/><Relationship Id="rId66" Type="http://schemas.openxmlformats.org/officeDocument/2006/relationships/hyperlink" Target="http://www.indexfungorum.org/Names/genusrecord.asp?RecordID=7866" TargetMode="External"/><Relationship Id="rId87" Type="http://schemas.openxmlformats.org/officeDocument/2006/relationships/hyperlink" Target="http://www.catalogueoflife.org/browse_taxa.php?selected_taxon=4992" TargetMode="External"/><Relationship Id="rId110" Type="http://schemas.openxmlformats.org/officeDocument/2006/relationships/hyperlink" Target="http://www.indexfungorum.org/Names/SynSpecies.asp?RecordID=338860" TargetMode="External"/><Relationship Id="rId131" Type="http://schemas.openxmlformats.org/officeDocument/2006/relationships/hyperlink" Target="http://www.environment.gov.au/biodiversity/abrs/online-resources/fauna/afd/" TargetMode="External"/><Relationship Id="rId152" Type="http://schemas.openxmlformats.org/officeDocument/2006/relationships/hyperlink" Target="http://wiki.pestinfo.org/wiki/Esteban_A._Engel" TargetMode="External"/><Relationship Id="rId173" Type="http://schemas.openxmlformats.org/officeDocument/2006/relationships/hyperlink" Target="http://www.agric.wa.gov.au/objtwr/imported_assets/content/pw/ph/dis/fn/fs2006_brownrot_amackie.pdf" TargetMode="External"/><Relationship Id="rId194" Type="http://schemas.openxmlformats.org/officeDocument/2006/relationships/hyperlink" Target="http://afrsweb.usda.gov/SP2UserFiles/person/2863/pdfdocuments/JEE%20GBB%201984.pdf" TargetMode="External"/><Relationship Id="rId208" Type="http://schemas.openxmlformats.org/officeDocument/2006/relationships/hyperlink" Target="http://www.ipm.ucdavis.edu/PMG/r734500311.html" TargetMode="Externa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hyperlink" Target="http://www.indexfungorum.org/Names/genusrecord.asp?RecordID=815" TargetMode="External"/><Relationship Id="rId77" Type="http://schemas.openxmlformats.org/officeDocument/2006/relationships/hyperlink" Target="http://www.indexfungorum.org/Names/genusrecord.asp?RecordID=1898" TargetMode="External"/><Relationship Id="rId100" Type="http://schemas.openxmlformats.org/officeDocument/2006/relationships/hyperlink" Target="http://www.catalogueoflife.org/browse_taxa.php?selected_taxon=4992" TargetMode="External"/><Relationship Id="rId105" Type="http://schemas.openxmlformats.org/officeDocument/2006/relationships/hyperlink" Target="http://www.indexfungorum.org/Names/NamesRecord.asp?RecordID=357049" TargetMode="External"/><Relationship Id="rId126" Type="http://schemas.openxmlformats.org/officeDocument/2006/relationships/header" Target="header23.xml"/><Relationship Id="rId147" Type="http://schemas.openxmlformats.org/officeDocument/2006/relationships/hyperlink" Target="http://nt.ars-grin.gov/taxadescriptions/factsheets/pdfPrintFile.cfm?thisApp=Phakopsoraeuvitis" TargetMode="External"/><Relationship Id="rId168" Type="http://schemas.openxmlformats.org/officeDocument/2006/relationships/hyperlink" Target="http://www.cabdirect.org/abstracts/19932335018.html" TargetMode="External"/><Relationship Id="rId8" Type="http://schemas.openxmlformats.org/officeDocument/2006/relationships/image" Target="media/image1.png"/><Relationship Id="rId51" Type="http://schemas.openxmlformats.org/officeDocument/2006/relationships/hyperlink" Target="http://www.indexfungorum.org/Names/genusrecord.asp?RecordID=746" TargetMode="External"/><Relationship Id="rId72" Type="http://schemas.openxmlformats.org/officeDocument/2006/relationships/hyperlink" Target="http://www.indexfungorum.org/Names/genusrecord.asp?RecordID=8001" TargetMode="External"/><Relationship Id="rId93" Type="http://schemas.openxmlformats.org/officeDocument/2006/relationships/hyperlink" Target="http://www.indexfungorum.org/Names/NamesRecord.asp?RecordID=174045" TargetMode="External"/><Relationship Id="rId98" Type="http://schemas.openxmlformats.org/officeDocument/2006/relationships/hyperlink" Target="http://www.catalogueoflife.org/browse_taxa.php?selected_taxon=4992" TargetMode="External"/><Relationship Id="rId121" Type="http://schemas.openxmlformats.org/officeDocument/2006/relationships/header" Target="header21.xml"/><Relationship Id="rId142" Type="http://schemas.openxmlformats.org/officeDocument/2006/relationships/hyperlink" Target="http://www.cabdirect.org:80/search.html?q=do%3A%22Vignevini%22" TargetMode="External"/><Relationship Id="rId163" Type="http://schemas.openxmlformats.org/officeDocument/2006/relationships/hyperlink" Target="http://www.plantations2020.com.au/reports/pfnq/acrobat/2-4_griffiths_et_al.pdf" TargetMode="External"/><Relationship Id="rId184" Type="http://schemas.openxmlformats.org/officeDocument/2006/relationships/hyperlink" Target="http://www.cabi.org/cpc/Default.aspx?site=161&amp;page=874&amp;LoadModule=CABISEARCHRESULTS&amp;query=au:%22Pitta%2c+G.+P.+B.%22" TargetMode="External"/><Relationship Id="rId189" Type="http://schemas.openxmlformats.org/officeDocument/2006/relationships/hyperlink" Target="http://www.aphis.usda.gov/ppq/pra/clclementine.pdf" TargetMode="External"/><Relationship Id="rId3" Type="http://schemas.openxmlformats.org/officeDocument/2006/relationships/styles" Target="styles.xml"/><Relationship Id="rId214" Type="http://schemas.openxmlformats.org/officeDocument/2006/relationships/customXml" Target="../customXml/item3.xml"/><Relationship Id="rId25" Type="http://schemas.openxmlformats.org/officeDocument/2006/relationships/hyperlink" Target="http://www.aqis.gov.au/icon" TargetMode="External"/><Relationship Id="rId46" Type="http://schemas.openxmlformats.org/officeDocument/2006/relationships/hyperlink" Target="http://www.catalogueoflife.org/browse_taxa.php?selected_taxon=4817" TargetMode="External"/><Relationship Id="rId67" Type="http://schemas.openxmlformats.org/officeDocument/2006/relationships/hyperlink" Target="http://www.indexfungorum.org/Names/genusrecord.asp?RecordID=1464" TargetMode="External"/><Relationship Id="rId116" Type="http://schemas.openxmlformats.org/officeDocument/2006/relationships/hyperlink" Target="http://www.indexfungorum.org/Names/SynSpecies.asp?RecordID=260289" TargetMode="External"/><Relationship Id="rId137" Type="http://schemas.openxmlformats.org/officeDocument/2006/relationships/hyperlink" Target="http://bccm.belspo.be/db/mucl_species_details.php?NUM=12093&amp;FIRSTITEM=1&amp;RANGE=100" TargetMode="External"/><Relationship Id="rId158" Type="http://schemas.openxmlformats.org/officeDocument/2006/relationships/hyperlink" Target="http://www.agroatlas.ru/pests/Eupoecilia_ambiguella_en.htm" TargetMode="External"/><Relationship Id="rId20" Type="http://schemas.openxmlformats.org/officeDocument/2006/relationships/header" Target="header6.xml"/><Relationship Id="rId41" Type="http://schemas.openxmlformats.org/officeDocument/2006/relationships/hyperlink" Target="http://www.oardc.ohio-state.edu/grapeipm/images/green%20fruit%20worm.jpg" TargetMode="External"/><Relationship Id="rId62" Type="http://schemas.openxmlformats.org/officeDocument/2006/relationships/hyperlink" Target="http://www.indexfungorum.org/Names/genusrecord.asp?RecordID=7798" TargetMode="External"/><Relationship Id="rId83" Type="http://schemas.openxmlformats.org/officeDocument/2006/relationships/hyperlink" Target="http://www.indexfungorum.org/Names/SynSpecies.asp?RecordID=107680" TargetMode="External"/><Relationship Id="rId88" Type="http://schemas.openxmlformats.org/officeDocument/2006/relationships/hyperlink" Target="http://www.catalogueoflife.org/browse_taxa.php?selected_taxon=4992" TargetMode="External"/><Relationship Id="rId111" Type="http://schemas.openxmlformats.org/officeDocument/2006/relationships/hyperlink" Target="http://www.catalogueoflife.org/browse_taxa.php?selected_taxon=4992" TargetMode="External"/><Relationship Id="rId132" Type="http://schemas.openxmlformats.org/officeDocument/2006/relationships/hyperlink" Target="http://www.agroatlas.ru" TargetMode="External"/><Relationship Id="rId153" Type="http://schemas.openxmlformats.org/officeDocument/2006/relationships/hyperlink" Target="http://wiki.pestinfo.org/w/index.php?title=Grapevine_Syrah_virus-1&amp;action=edit&amp;redlink=1" TargetMode="External"/><Relationship Id="rId174" Type="http://schemas.openxmlformats.org/officeDocument/2006/relationships/hyperlink" Target="http://www.dpvweb.net/dpv/showdpv.php?dpvno=186" TargetMode="External"/><Relationship Id="rId179" Type="http://schemas.openxmlformats.org/officeDocument/2006/relationships/hyperlink" Target="http://edis.ifas.ufl.edu" TargetMode="External"/><Relationship Id="rId195" Type="http://schemas.openxmlformats.org/officeDocument/2006/relationships/hyperlink" Target="http://esa.confex.com/esa/2001/techprogram/paper_3670.htm" TargetMode="External"/><Relationship Id="rId209" Type="http://schemas.openxmlformats.org/officeDocument/2006/relationships/header" Target="header26.xml"/><Relationship Id="rId190" Type="http://schemas.openxmlformats.org/officeDocument/2006/relationships/hyperlink" Target="http://www.umass.edu/fruitadvisor/nesfpmg/" TargetMode="External"/><Relationship Id="rId204" Type="http://schemas.openxmlformats.org/officeDocument/2006/relationships/hyperlink" Target="http://edis.ifas.ufl.edu" TargetMode="External"/><Relationship Id="rId15" Type="http://schemas.openxmlformats.org/officeDocument/2006/relationships/footer" Target="footer3.xml"/><Relationship Id="rId36" Type="http://schemas.openxmlformats.org/officeDocument/2006/relationships/footer" Target="footer6.xml"/><Relationship Id="rId57" Type="http://schemas.openxmlformats.org/officeDocument/2006/relationships/hyperlink" Target="http://www.indexfungorum.org/Names/NamesRecord.asp?RecordID=310634" TargetMode="External"/><Relationship Id="rId106" Type="http://schemas.openxmlformats.org/officeDocument/2006/relationships/hyperlink" Target="http://www.indexfungorum.org/Names/NamesRecord.asp?RecordID=357050" TargetMode="External"/><Relationship Id="rId12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header" Target="header13.xml"/><Relationship Id="rId52" Type="http://schemas.openxmlformats.org/officeDocument/2006/relationships/hyperlink" Target="http://www.indexfungorum.org/Names/genusrecord.asp?RecordID=7476" TargetMode="External"/><Relationship Id="rId73" Type="http://schemas.openxmlformats.org/officeDocument/2006/relationships/hyperlink" Target="http://www.indexfungorum.org/Names/genusrecord.asp?RecordID=8072" TargetMode="External"/><Relationship Id="rId78" Type="http://schemas.openxmlformats.org/officeDocument/2006/relationships/hyperlink" Target="http://www.indexfungorum.org/Names/genusrecord.asp?RecordID=1950" TargetMode="External"/><Relationship Id="rId94" Type="http://schemas.openxmlformats.org/officeDocument/2006/relationships/hyperlink" Target="http://www.indexfungorum.org/Names/NamesRecord.asp?RecordID=332823" TargetMode="External"/><Relationship Id="rId99" Type="http://schemas.openxmlformats.org/officeDocument/2006/relationships/hyperlink" Target="http://www.catalogueoflife.org/browse_taxa.php?selected_taxon=4992" TargetMode="External"/><Relationship Id="rId101" Type="http://schemas.openxmlformats.org/officeDocument/2006/relationships/hyperlink" Target="http://www.catalogueoflife.org/browse_taxa.php?selected_taxon=4992" TargetMode="External"/><Relationship Id="rId122" Type="http://schemas.openxmlformats.org/officeDocument/2006/relationships/footer" Target="footer8.xml"/><Relationship Id="rId143" Type="http://schemas.openxmlformats.org/officeDocument/2006/relationships/hyperlink" Target="http://www.prodinra.inra.fr/prodinra/pinra/data/2008/06/PROD2008d0be8eb_20080625041803219.pdf" TargetMode="External"/><Relationship Id="rId148" Type="http://schemas.openxmlformats.org/officeDocument/2006/relationships/hyperlink" Target="http://www.mendeley.com/profiles/hano-maree/" TargetMode="External"/><Relationship Id="rId164" Type="http://schemas.openxmlformats.org/officeDocument/2006/relationships/hyperlink" Target="http://200.20.168.5/publica/livros_pdf/catalogue.pdf" TargetMode="External"/><Relationship Id="rId169" Type="http://schemas.openxmlformats.org/officeDocument/2006/relationships/hyperlink" Target="http://www.padil.gov.au" TargetMode="External"/><Relationship Id="rId185" Type="http://schemas.openxmlformats.org/officeDocument/2006/relationships/hyperlink" Target="http://tpittaway.tripod.com/china/china.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oardc.ohio-state.edu/grapeipm/insects_attacking_grape_foliage.htm" TargetMode="External"/><Relationship Id="rId210" Type="http://schemas.openxmlformats.org/officeDocument/2006/relationships/header" Target="header27.xml"/><Relationship Id="rId215" Type="http://schemas.openxmlformats.org/officeDocument/2006/relationships/customXml" Target="../customXml/item4.xml"/><Relationship Id="rId26" Type="http://schemas.openxmlformats.org/officeDocument/2006/relationships/header" Target="header10.xml"/><Relationship Id="rId47" Type="http://schemas.openxmlformats.org/officeDocument/2006/relationships/hyperlink" Target="http://www.catalogueoflife.org/browse_taxa.php?selected_taxon=5261" TargetMode="External"/><Relationship Id="rId68" Type="http://schemas.openxmlformats.org/officeDocument/2006/relationships/hyperlink" Target="http://www.catalogueoflife.org/browse_taxa.php?selected_taxon=4992" TargetMode="External"/><Relationship Id="rId89" Type="http://schemas.openxmlformats.org/officeDocument/2006/relationships/hyperlink" Target="http://www.indexfungorum.org/Names/SynSpecies.asp?RecordID=236149" TargetMode="External"/><Relationship Id="rId112" Type="http://schemas.openxmlformats.org/officeDocument/2006/relationships/hyperlink" Target="http://www.catalogueoflife.org/browse_taxa.php?selected_taxon=4992" TargetMode="External"/><Relationship Id="rId133" Type="http://schemas.openxmlformats.org/officeDocument/2006/relationships/hyperlink" Target="http://www.agroatlas.ru/en/content/pests/Autographa_gamma/" TargetMode="External"/><Relationship Id="rId154" Type="http://schemas.openxmlformats.org/officeDocument/2006/relationships/hyperlink" Target="http://www.eppo.org" TargetMode="External"/><Relationship Id="rId175" Type="http://schemas.openxmlformats.org/officeDocument/2006/relationships/hyperlink" Target="http://wiki.pestinfo.org/wiki/Rita_Marullo" TargetMode="External"/><Relationship Id="rId196" Type="http://schemas.openxmlformats.org/officeDocument/2006/relationships/hyperlink" Target="http://www.ulstermuseum.org.uk/lepidoptera/species.asp?item=6384" TargetMode="External"/><Relationship Id="rId200" Type="http://schemas.openxmlformats.org/officeDocument/2006/relationships/hyperlink" Target="http://www.mycologia.org/search?author1=Pedro+W.+Crous&amp;sortspec=date&amp;submit=Submit" TargetMode="External"/><Relationship Id="rId16" Type="http://schemas.openxmlformats.org/officeDocument/2006/relationships/header" Target="header3.xml"/><Relationship Id="rId37" Type="http://schemas.openxmlformats.org/officeDocument/2006/relationships/header" Target="header17.xml"/><Relationship Id="rId58" Type="http://schemas.openxmlformats.org/officeDocument/2006/relationships/hyperlink" Target="http://www.indexfungorum.org/Names/genusrecord.asp?RecordID=7601" TargetMode="External"/><Relationship Id="rId79" Type="http://schemas.openxmlformats.org/officeDocument/2006/relationships/hyperlink" Target="http://www.indexfungorum.org/Names/genusrecord.asp?RecordID=8240" TargetMode="External"/><Relationship Id="rId102" Type="http://schemas.openxmlformats.org/officeDocument/2006/relationships/hyperlink" Target="http://www.indexfungorum.org/Names/genusrecord.asp?RecordID=8971" TargetMode="External"/><Relationship Id="rId123" Type="http://schemas.openxmlformats.org/officeDocument/2006/relationships/hyperlink" Target="http://www.cabi.org/cpc/Default.aspx?site=161&amp;page=868&amp;LoadModule=datasheet&amp;CompID=1&amp;dsID=56504" TargetMode="External"/><Relationship Id="rId144" Type="http://schemas.openxmlformats.org/officeDocument/2006/relationships/hyperlink" Target="http://biology.anu.edu.au/Groups/MES/vide/.%20" TargetMode="External"/><Relationship Id="rId90" Type="http://schemas.openxmlformats.org/officeDocument/2006/relationships/hyperlink" Target="http://www.indexfungorum.org/Names/NamesRecord.asp?RecordID=160667" TargetMode="External"/><Relationship Id="rId165" Type="http://schemas.openxmlformats.org/officeDocument/2006/relationships/hyperlink" Target="http://www.dpvweb.net/dpv/showdpv.php?dpvno=28" TargetMode="External"/><Relationship Id="rId186" Type="http://schemas.openxmlformats.org/officeDocument/2006/relationships/hyperlink" Target="http://www.cnr.berkeley.edu/xylella/index.html" TargetMode="External"/><Relationship Id="rId211" Type="http://schemas.openxmlformats.org/officeDocument/2006/relationships/fontTable" Target="fontTable.xml"/><Relationship Id="rId27" Type="http://schemas.openxmlformats.org/officeDocument/2006/relationships/header" Target="header11.xml"/><Relationship Id="rId48" Type="http://schemas.openxmlformats.org/officeDocument/2006/relationships/hyperlink" Target="http://www.catalogueoflife.org/browse_taxa.php?selected_taxon=5261" TargetMode="External"/><Relationship Id="rId69" Type="http://schemas.openxmlformats.org/officeDocument/2006/relationships/hyperlink" Target="http://www.indexfungorum.org/Names/genusrecord.asp?RecordID=1504" TargetMode="External"/><Relationship Id="rId113" Type="http://schemas.openxmlformats.org/officeDocument/2006/relationships/hyperlink" Target="http://www.indexfungorum.org/Names/NamesRecord.asp?RecordID=306126" TargetMode="External"/><Relationship Id="rId134" Type="http://schemas.openxmlformats.org/officeDocument/2006/relationships/hyperlink" Target="http://www.agroatlas.ru/en/content/pests/Melolontha_melolontha/" TargetMode="External"/><Relationship Id="rId80" Type="http://schemas.openxmlformats.org/officeDocument/2006/relationships/hyperlink" Target="http://www.indexfungorum.org/Names/SynSpecies.asp?RecordID=342592" TargetMode="External"/><Relationship Id="rId155" Type="http://schemas.openxmlformats.org/officeDocument/2006/relationships/hyperlink" Target="http://wiki.pestinfo.org/w/index.php?title=Togninia_viticola/Phaeoacremonium_viticola&amp;action=edit&amp;redlink=1" TargetMode="External"/><Relationship Id="rId176" Type="http://schemas.openxmlformats.org/officeDocument/2006/relationships/hyperlink" Target="http://wiki.pestinfo.org/wiki/Bulletin_of_Insectology" TargetMode="External"/><Relationship Id="rId197" Type="http://schemas.openxmlformats.org/officeDocument/2006/relationships/hyperlink" Target="http://ipm.illinois.edu/landturf/insects/cottony_maple_scale/index.html%20" TargetMode="External"/><Relationship Id="rId201" Type="http://schemas.openxmlformats.org/officeDocument/2006/relationships/hyperlink" Target="http://www.mycologia.org/search?author1=J.Z.+(Ewald)+Groenewald&amp;sortspec=date&amp;submit=Submit" TargetMode="External"/><Relationship Id="rId17" Type="http://schemas.openxmlformats.org/officeDocument/2006/relationships/header" Target="header4.xml"/><Relationship Id="rId38" Type="http://schemas.openxmlformats.org/officeDocument/2006/relationships/header" Target="header18.xml"/><Relationship Id="rId59" Type="http://schemas.openxmlformats.org/officeDocument/2006/relationships/hyperlink" Target="http://www.indexfungorum.org/Names/genusrecord.asp?RecordID=7737" TargetMode="External"/><Relationship Id="rId103" Type="http://schemas.openxmlformats.org/officeDocument/2006/relationships/hyperlink" Target="http://www.indexfungorum.org/Names/SynSpecies.asp?RecordID=120504" TargetMode="External"/><Relationship Id="rId124" Type="http://schemas.openxmlformats.org/officeDocument/2006/relationships/hyperlink" Target="http://www.indexfungorum.org/Names/Names.asp?strGenus=Sphaeria" TargetMode="External"/><Relationship Id="rId70" Type="http://schemas.openxmlformats.org/officeDocument/2006/relationships/hyperlink" Target="http://www.indexfungorum.org/Names/genusrecord.asp?RecordID=1504" TargetMode="External"/><Relationship Id="rId91" Type="http://schemas.openxmlformats.org/officeDocument/2006/relationships/hyperlink" Target="http://www.indexfungorum.org/Names/genusrecord.asp?RecordID=17858" TargetMode="External"/><Relationship Id="rId145" Type="http://schemas.openxmlformats.org/officeDocument/2006/relationships/hyperlink" Target="http://www.speciesfungorum.org/" TargetMode="External"/><Relationship Id="rId166" Type="http://schemas.openxmlformats.org/officeDocument/2006/relationships/hyperlink" Target="http://books.google.com.au/books?id=6CR1vQUMw-sC&amp;printsec=frontcover" TargetMode="External"/><Relationship Id="rId187" Type="http://schemas.openxmlformats.org/officeDocument/2006/relationships/hyperlink" Target="http://www.nhm.ac.uk/entomology/hostplants/"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www.indexfungorum.org/Names/SynSpecies.asp?RecordID=500227" TargetMode="External"/><Relationship Id="rId49" Type="http://schemas.openxmlformats.org/officeDocument/2006/relationships/hyperlink" Target="http://www.catalogueoflife.org/browse_taxa.php?selected_taxon=5261" TargetMode="External"/><Relationship Id="rId114" Type="http://schemas.openxmlformats.org/officeDocument/2006/relationships/hyperlink" Target="http://www.indexfungorum.org/Names/SynSpecies.asp?RecordID=306362" TargetMode="External"/><Relationship Id="rId60" Type="http://schemas.openxmlformats.org/officeDocument/2006/relationships/hyperlink" Target="http://www.indexfungorum.org/Names/genusrecord.asp?RecordID=7753" TargetMode="External"/><Relationship Id="rId81" Type="http://schemas.openxmlformats.org/officeDocument/2006/relationships/hyperlink" Target="http://www.indexfungorum.org/Names/SynSpecies.asp?RecordID=158777" TargetMode="External"/><Relationship Id="rId135" Type="http://schemas.openxmlformats.org/officeDocument/2006/relationships/hyperlink" Target="http://www.agroatlas.spb.ru/en/content/pests/Eupoecilia_ambiguella" TargetMode="External"/><Relationship Id="rId156" Type="http://schemas.openxmlformats.org/officeDocument/2006/relationships/hyperlink" Target="http://www.agric.wa.gov.au/objtwr/imported_assets/content/pw/ph/dis/vit/fs2006_blackrot_neyres.pdf" TargetMode="External"/><Relationship Id="rId177" Type="http://schemas.openxmlformats.org/officeDocument/2006/relationships/hyperlink" Target="http://www.cabdirect.org/abstracts/19881104649.html" TargetMode="External"/><Relationship Id="rId198" Type="http://schemas.openxmlformats.org/officeDocument/2006/relationships/hyperlink" Target="http://naldc.nal.usda.gov/download/CAT11065905/PDF" TargetMode="External"/><Relationship Id="rId202" Type="http://schemas.openxmlformats.org/officeDocument/2006/relationships/hyperlink" Target="http://www.mycologia.org/search?author1=Paul+H.+Fourie&amp;sortspec=date&amp;submit=Submit" TargetMode="External"/><Relationship Id="rId18" Type="http://schemas.openxmlformats.org/officeDocument/2006/relationships/footer" Target="footer4.xml"/><Relationship Id="rId39" Type="http://schemas.openxmlformats.org/officeDocument/2006/relationships/hyperlink" Target="http://www.ipm.ucdavis.edu/PMG/G/I-CO-GSQU-CD.001.html" TargetMode="External"/><Relationship Id="rId50" Type="http://schemas.openxmlformats.org/officeDocument/2006/relationships/hyperlink" Target="http://www.catalogueoflife.org/browse_taxa.php?selected_taxon=4992" TargetMode="External"/><Relationship Id="rId104" Type="http://schemas.openxmlformats.org/officeDocument/2006/relationships/hyperlink" Target="http://www.indexfungorum.org/Names/SynSpecies.asp?RecordID=500227" TargetMode="External"/><Relationship Id="rId125" Type="http://schemas.openxmlformats.org/officeDocument/2006/relationships/header" Target="header22.xml"/><Relationship Id="rId146" Type="http://schemas.openxmlformats.org/officeDocument/2006/relationships/hyperlink" Target="http://entnemdept.ufl.edu/creatures/veg/leaf/beet_armyworm.htm" TargetMode="External"/><Relationship Id="rId167" Type="http://schemas.openxmlformats.org/officeDocument/2006/relationships/hyperlink" Target="http://www.mushroomexpert.com/hapalopilus_nidulans.html" TargetMode="External"/><Relationship Id="rId188" Type="http://schemas.openxmlformats.org/officeDocument/2006/relationships/hyperlink" Target="http://www.google.com.au/search?tbo=p&amp;tbm=bks&amp;q=inauthor:%22Philippe+Rolshausen%22" TargetMode="External"/><Relationship Id="rId71" Type="http://schemas.openxmlformats.org/officeDocument/2006/relationships/hyperlink" Target="http://www.indexfungorum.org/Names/genusrecord.asp?RecordID=7986" TargetMode="External"/><Relationship Id="rId92" Type="http://schemas.openxmlformats.org/officeDocument/2006/relationships/hyperlink" Target="http://www.indexfungorum.org/Names/genusrecord.asp?RecordID=16179" TargetMode="External"/><Relationship Id="rId213"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hyperlink" Target="http://www.indexfungorum.org/Names/NamesRecord.asp?RecordID=357050" TargetMode="External"/><Relationship Id="rId40" Type="http://schemas.openxmlformats.org/officeDocument/2006/relationships/hyperlink" Target="http://www.oardc.ohio-state.edu/grapeipm/images/Eight-Spotted%20Forester_Adult%20(Fig%2030).jpg" TargetMode="External"/><Relationship Id="rId115" Type="http://schemas.openxmlformats.org/officeDocument/2006/relationships/hyperlink" Target="http://www.indexfungorum.org/Names/SynSpecies.asp?RecordID=119974" TargetMode="External"/><Relationship Id="rId136" Type="http://schemas.openxmlformats.org/officeDocument/2006/relationships/hyperlink" Target="http://www.agroatlas.ru/en/content/pests/Sparganothis_pilleriana/" TargetMode="External"/><Relationship Id="rId157" Type="http://schemas.openxmlformats.org/officeDocument/2006/relationships/hyperlink" Target="http://nt.ars-grin.gov/fungaldatabases/fungushost/fungushost.cfm" TargetMode="External"/><Relationship Id="rId178" Type="http://schemas.openxmlformats.org/officeDocument/2006/relationships/hyperlink" Target="http://www-s.life.illinois.edu/pyrenos/" TargetMode="External"/><Relationship Id="rId61" Type="http://schemas.openxmlformats.org/officeDocument/2006/relationships/hyperlink" Target="http://www.indexfungorum.org/Names/genusrecord.asp?RecordID=7795" TargetMode="External"/><Relationship Id="rId82" Type="http://schemas.openxmlformats.org/officeDocument/2006/relationships/hyperlink" Target="http://www.catalogueoflife.org/browse_taxa.php?selected_taxon=4992" TargetMode="External"/><Relationship Id="rId199" Type="http://schemas.openxmlformats.org/officeDocument/2006/relationships/hyperlink" Target="http://www.mycologia.org/search?author1=Jan+M.+van+Niekerk&amp;sortspec=date&amp;submit=Submit" TargetMode="External"/><Relationship Id="rId203" Type="http://schemas.openxmlformats.org/officeDocument/2006/relationships/hyperlink" Target="http://www.mycologia.org/search?author1=Francois+Halleen&amp;sortspec=date&amp;submit=Sub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F182DA92-3529-461C-9CA1-BA06B589B587}"/>
</file>

<file path=customXml/itemProps2.xml><?xml version="1.0" encoding="utf-8"?>
<ds:datastoreItem xmlns:ds="http://schemas.openxmlformats.org/officeDocument/2006/customXml" ds:itemID="{8A9558CA-3B16-48D4-96E4-A570E65FDDC8}"/>
</file>

<file path=customXml/itemProps3.xml><?xml version="1.0" encoding="utf-8"?>
<ds:datastoreItem xmlns:ds="http://schemas.openxmlformats.org/officeDocument/2006/customXml" ds:itemID="{E9F69646-127D-4929-8440-E281B3042163}"/>
</file>

<file path=customXml/itemProps4.xml><?xml version="1.0" encoding="utf-8"?>
<ds:datastoreItem xmlns:ds="http://schemas.openxmlformats.org/officeDocument/2006/customXml" ds:itemID="{C18CC6A7-E595-4FC3-ADF9-091DEEBB9628}"/>
</file>

<file path=docProps/app.xml><?xml version="1.0" encoding="utf-8"?>
<Properties xmlns="http://schemas.openxmlformats.org/officeDocument/2006/extended-properties" xmlns:vt="http://schemas.openxmlformats.org/officeDocument/2006/docPropsVTypes">
  <Template>Normal.dotm</Template>
  <TotalTime>0</TotalTime>
  <Pages>42</Pages>
  <Words>91579</Words>
  <Characters>524752</Characters>
  <Application>Microsoft Office Word</Application>
  <DocSecurity>0</DocSecurity>
  <Lines>9900</Lines>
  <Paragraphs>4599</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611732</CharactersWithSpaces>
  <SharedDoc>false</SharedDoc>
  <HLinks>
    <vt:vector size="1218" baseType="variant">
      <vt:variant>
        <vt:i4>3211293</vt:i4>
      </vt:variant>
      <vt:variant>
        <vt:i4>755</vt:i4>
      </vt:variant>
      <vt:variant>
        <vt:i4>0</vt:i4>
      </vt:variant>
      <vt:variant>
        <vt:i4>5</vt:i4>
      </vt:variant>
      <vt:variant>
        <vt:lpwstr>http://www.wto.org/english/tratop_e/sps_e/spsagr_e.htm</vt:lpwstr>
      </vt:variant>
      <vt:variant>
        <vt:lpwstr/>
      </vt:variant>
      <vt:variant>
        <vt:i4>7143542</vt:i4>
      </vt:variant>
      <vt:variant>
        <vt:i4>752</vt:i4>
      </vt:variant>
      <vt:variant>
        <vt:i4>0</vt:i4>
      </vt:variant>
      <vt:variant>
        <vt:i4>5</vt:i4>
      </vt:variant>
      <vt:variant>
        <vt:lpwstr>http://www.oardc.ohio-state.edu/grapeipm/index.htm</vt:lpwstr>
      </vt:variant>
      <vt:variant>
        <vt:lpwstr/>
      </vt:variant>
      <vt:variant>
        <vt:i4>3670080</vt:i4>
      </vt:variant>
      <vt:variant>
        <vt:i4>749</vt:i4>
      </vt:variant>
      <vt:variant>
        <vt:i4>0</vt:i4>
      </vt:variant>
      <vt:variant>
        <vt:i4>5</vt:i4>
      </vt:variant>
      <vt:variant>
        <vt:lpwstr>http://www.nysipm.cornell.edu/factsheets/grapes/diseses/grape_br.pdf</vt:lpwstr>
      </vt:variant>
      <vt:variant>
        <vt:lpwstr/>
      </vt:variant>
      <vt:variant>
        <vt:i4>1376276</vt:i4>
      </vt:variant>
      <vt:variant>
        <vt:i4>746</vt:i4>
      </vt:variant>
      <vt:variant>
        <vt:i4>0</vt:i4>
      </vt:variant>
      <vt:variant>
        <vt:i4>5</vt:i4>
      </vt:variant>
      <vt:variant>
        <vt:lpwstr>http://edis.ifas.ufl.edu/</vt:lpwstr>
      </vt:variant>
      <vt:variant>
        <vt:lpwstr/>
      </vt:variant>
      <vt:variant>
        <vt:i4>5374025</vt:i4>
      </vt:variant>
      <vt:variant>
        <vt:i4>743</vt:i4>
      </vt:variant>
      <vt:variant>
        <vt:i4>0</vt:i4>
      </vt:variant>
      <vt:variant>
        <vt:i4>5</vt:i4>
      </vt:variant>
      <vt:variant>
        <vt:lpwstr>http://pnwfungi.wsu.edu/programs/searchHostResult.asp?hostGenus=Vitis</vt:lpwstr>
      </vt:variant>
      <vt:variant>
        <vt:lpwstr/>
      </vt:variant>
      <vt:variant>
        <vt:i4>5439557</vt:i4>
      </vt:variant>
      <vt:variant>
        <vt:i4>740</vt:i4>
      </vt:variant>
      <vt:variant>
        <vt:i4>0</vt:i4>
      </vt:variant>
      <vt:variant>
        <vt:i4>5</vt:i4>
      </vt:variant>
      <vt:variant>
        <vt:lpwstr>http://www.mycologia.org/search?author1=Francois+Halleen&amp;sortspec=date&amp;submit=Submit</vt:lpwstr>
      </vt:variant>
      <vt:variant>
        <vt:lpwstr/>
      </vt:variant>
      <vt:variant>
        <vt:i4>6946929</vt:i4>
      </vt:variant>
      <vt:variant>
        <vt:i4>737</vt:i4>
      </vt:variant>
      <vt:variant>
        <vt:i4>0</vt:i4>
      </vt:variant>
      <vt:variant>
        <vt:i4>5</vt:i4>
      </vt:variant>
      <vt:variant>
        <vt:lpwstr>http://www.mycologia.org/search?author1=Paul+H.+Fourie&amp;sortspec=date&amp;submit=Submit</vt:lpwstr>
      </vt:variant>
      <vt:variant>
        <vt:lpwstr/>
      </vt:variant>
      <vt:variant>
        <vt:i4>3145843</vt:i4>
      </vt:variant>
      <vt:variant>
        <vt:i4>734</vt:i4>
      </vt:variant>
      <vt:variant>
        <vt:i4>0</vt:i4>
      </vt:variant>
      <vt:variant>
        <vt:i4>5</vt:i4>
      </vt:variant>
      <vt:variant>
        <vt:lpwstr>http://www.mycologia.org/search?author1=J.Z.+(Ewald)+Groenewald&amp;sortspec=date&amp;submit=Submit</vt:lpwstr>
      </vt:variant>
      <vt:variant>
        <vt:lpwstr/>
      </vt:variant>
      <vt:variant>
        <vt:i4>3211307</vt:i4>
      </vt:variant>
      <vt:variant>
        <vt:i4>731</vt:i4>
      </vt:variant>
      <vt:variant>
        <vt:i4>0</vt:i4>
      </vt:variant>
      <vt:variant>
        <vt:i4>5</vt:i4>
      </vt:variant>
      <vt:variant>
        <vt:lpwstr>http://www.mycologia.org/search?author1=Pedro+W.+Crous&amp;sortspec=date&amp;submit=Submit</vt:lpwstr>
      </vt:variant>
      <vt:variant>
        <vt:lpwstr/>
      </vt:variant>
      <vt:variant>
        <vt:i4>2424947</vt:i4>
      </vt:variant>
      <vt:variant>
        <vt:i4>728</vt:i4>
      </vt:variant>
      <vt:variant>
        <vt:i4>0</vt:i4>
      </vt:variant>
      <vt:variant>
        <vt:i4>5</vt:i4>
      </vt:variant>
      <vt:variant>
        <vt:lpwstr>http://www.mycologia.org/search?author1=Jan+M.+van+Niekerk&amp;sortspec=date&amp;submit=Submit</vt:lpwstr>
      </vt:variant>
      <vt:variant>
        <vt:lpwstr/>
      </vt:variant>
      <vt:variant>
        <vt:i4>3604593</vt:i4>
      </vt:variant>
      <vt:variant>
        <vt:i4>725</vt:i4>
      </vt:variant>
      <vt:variant>
        <vt:i4>0</vt:i4>
      </vt:variant>
      <vt:variant>
        <vt:i4>5</vt:i4>
      </vt:variant>
      <vt:variant>
        <vt:lpwstr>http://naldc.nal.usda.gov/download/CAT11065905/PDF</vt:lpwstr>
      </vt:variant>
      <vt:variant>
        <vt:lpwstr/>
      </vt:variant>
      <vt:variant>
        <vt:i4>8323190</vt:i4>
      </vt:variant>
      <vt:variant>
        <vt:i4>722</vt:i4>
      </vt:variant>
      <vt:variant>
        <vt:i4>0</vt:i4>
      </vt:variant>
      <vt:variant>
        <vt:i4>5</vt:i4>
      </vt:variant>
      <vt:variant>
        <vt:lpwstr>http://www.ipm.ucdavis.edu/PMG/r734500311.html</vt:lpwstr>
      </vt:variant>
      <vt:variant>
        <vt:lpwstr/>
      </vt:variant>
      <vt:variant>
        <vt:i4>1900636</vt:i4>
      </vt:variant>
      <vt:variant>
        <vt:i4>719</vt:i4>
      </vt:variant>
      <vt:variant>
        <vt:i4>0</vt:i4>
      </vt:variant>
      <vt:variant>
        <vt:i4>5</vt:i4>
      </vt:variant>
      <vt:variant>
        <vt:lpwstr>http://www.ulstermuseum.org.uk/lepidoptera/species.asp?item=6384</vt:lpwstr>
      </vt:variant>
      <vt:variant>
        <vt:lpwstr/>
      </vt:variant>
      <vt:variant>
        <vt:i4>5177441</vt:i4>
      </vt:variant>
      <vt:variant>
        <vt:i4>716</vt:i4>
      </vt:variant>
      <vt:variant>
        <vt:i4>0</vt:i4>
      </vt:variant>
      <vt:variant>
        <vt:i4>5</vt:i4>
      </vt:variant>
      <vt:variant>
        <vt:lpwstr>http://esa.confex.com/esa/2001/techprogram/paper_3670.htm</vt:lpwstr>
      </vt:variant>
      <vt:variant>
        <vt:lpwstr/>
      </vt:variant>
      <vt:variant>
        <vt:i4>6553725</vt:i4>
      </vt:variant>
      <vt:variant>
        <vt:i4>713</vt:i4>
      </vt:variant>
      <vt:variant>
        <vt:i4>0</vt:i4>
      </vt:variant>
      <vt:variant>
        <vt:i4>5</vt:i4>
      </vt:variant>
      <vt:variant>
        <vt:lpwstr>http://www.dpvweb.net/dpv/showdpv.php?dpvno=360</vt:lpwstr>
      </vt:variant>
      <vt:variant>
        <vt:lpwstr/>
      </vt:variant>
      <vt:variant>
        <vt:i4>6619241</vt:i4>
      </vt:variant>
      <vt:variant>
        <vt:i4>710</vt:i4>
      </vt:variant>
      <vt:variant>
        <vt:i4>0</vt:i4>
      </vt:variant>
      <vt:variant>
        <vt:i4>5</vt:i4>
      </vt:variant>
      <vt:variant>
        <vt:lpwstr>http://www.indianjournals.com/ijor.aspx?target=ijor:jer&amp;volume=24&amp;issue=1&amp;article=011</vt:lpwstr>
      </vt:variant>
      <vt:variant>
        <vt:lpwstr>afn001</vt:lpwstr>
      </vt:variant>
      <vt:variant>
        <vt:i4>2883646</vt:i4>
      </vt:variant>
      <vt:variant>
        <vt:i4>707</vt:i4>
      </vt:variant>
      <vt:variant>
        <vt:i4>0</vt:i4>
      </vt:variant>
      <vt:variant>
        <vt:i4>5</vt:i4>
      </vt:variant>
      <vt:variant>
        <vt:lpwstr>http://afrsweb.usda.gov/SP2UserFiles/person/2863/pdfdocuments/JEE GBB 1984.pdf</vt:lpwstr>
      </vt:variant>
      <vt:variant>
        <vt:lpwstr/>
      </vt:variant>
      <vt:variant>
        <vt:i4>2883701</vt:i4>
      </vt:variant>
      <vt:variant>
        <vt:i4>704</vt:i4>
      </vt:variant>
      <vt:variant>
        <vt:i4>0</vt:i4>
      </vt:variant>
      <vt:variant>
        <vt:i4>5</vt:i4>
      </vt:variant>
      <vt:variant>
        <vt:lpwstr>http://www.hear.org/pph/pathogens/3860.htm</vt:lpwstr>
      </vt:variant>
      <vt:variant>
        <vt:lpwstr/>
      </vt:variant>
      <vt:variant>
        <vt:i4>983107</vt:i4>
      </vt:variant>
      <vt:variant>
        <vt:i4>701</vt:i4>
      </vt:variant>
      <vt:variant>
        <vt:i4>0</vt:i4>
      </vt:variant>
      <vt:variant>
        <vt:i4>5</vt:i4>
      </vt:variant>
      <vt:variant>
        <vt:lpwstr>http://www.fao.org/docrep/003/x6897e/x6897e05.htm</vt:lpwstr>
      </vt:variant>
      <vt:variant>
        <vt:lpwstr/>
      </vt:variant>
      <vt:variant>
        <vt:i4>65658</vt:i4>
      </vt:variant>
      <vt:variant>
        <vt:i4>698</vt:i4>
      </vt:variant>
      <vt:variant>
        <vt:i4>0</vt:i4>
      </vt:variant>
      <vt:variant>
        <vt:i4>5</vt:i4>
      </vt:variant>
      <vt:variant>
        <vt:lpwstr>http://www.grdc.com.au/director/events/onfarmtrials?item_id=4829BB0CA9AC5A109CF7A53B484E5905&amp;pageNumber=2</vt:lpwstr>
      </vt:variant>
      <vt:variant>
        <vt:lpwstr/>
      </vt:variant>
      <vt:variant>
        <vt:i4>2424950</vt:i4>
      </vt:variant>
      <vt:variant>
        <vt:i4>695</vt:i4>
      </vt:variant>
      <vt:variant>
        <vt:i4>0</vt:i4>
      </vt:variant>
      <vt:variant>
        <vt:i4>5</vt:i4>
      </vt:variant>
      <vt:variant>
        <vt:lpwstr>http://www.cabdirect.org/abstracts/19921164396.html</vt:lpwstr>
      </vt:variant>
      <vt:variant>
        <vt:lpwstr/>
      </vt:variant>
      <vt:variant>
        <vt:i4>3604524</vt:i4>
      </vt:variant>
      <vt:variant>
        <vt:i4>692</vt:i4>
      </vt:variant>
      <vt:variant>
        <vt:i4>0</vt:i4>
      </vt:variant>
      <vt:variant>
        <vt:i4>5</vt:i4>
      </vt:variant>
      <vt:variant>
        <vt:lpwstr>http://www.umass.edu/fruitadvisor/nesfpmg/</vt:lpwstr>
      </vt:variant>
      <vt:variant>
        <vt:lpwstr/>
      </vt:variant>
      <vt:variant>
        <vt:i4>3473444</vt:i4>
      </vt:variant>
      <vt:variant>
        <vt:i4>689</vt:i4>
      </vt:variant>
      <vt:variant>
        <vt:i4>0</vt:i4>
      </vt:variant>
      <vt:variant>
        <vt:i4>5</vt:i4>
      </vt:variant>
      <vt:variant>
        <vt:lpwstr>http://www.aphis.usda.gov/ppq/pra/clclementine.pdf</vt:lpwstr>
      </vt:variant>
      <vt:variant>
        <vt:lpwstr/>
      </vt:variant>
      <vt:variant>
        <vt:i4>3866738</vt:i4>
      </vt:variant>
      <vt:variant>
        <vt:i4>686</vt:i4>
      </vt:variant>
      <vt:variant>
        <vt:i4>0</vt:i4>
      </vt:variant>
      <vt:variant>
        <vt:i4>5</vt:i4>
      </vt:variant>
      <vt:variant>
        <vt:lpwstr>http://www.google.com.au/search?tbo=p&amp;tbm=bks&amp;q=inauthor:%22Philippe+Rolshausen%22</vt:lpwstr>
      </vt:variant>
      <vt:variant>
        <vt:lpwstr/>
      </vt:variant>
      <vt:variant>
        <vt:i4>4063273</vt:i4>
      </vt:variant>
      <vt:variant>
        <vt:i4>683</vt:i4>
      </vt:variant>
      <vt:variant>
        <vt:i4>0</vt:i4>
      </vt:variant>
      <vt:variant>
        <vt:i4>5</vt:i4>
      </vt:variant>
      <vt:variant>
        <vt:lpwstr>http://www.nhm.ac.uk/entomology/hostplants/</vt:lpwstr>
      </vt:variant>
      <vt:variant>
        <vt:lpwstr/>
      </vt:variant>
      <vt:variant>
        <vt:i4>2949234</vt:i4>
      </vt:variant>
      <vt:variant>
        <vt:i4>680</vt:i4>
      </vt:variant>
      <vt:variant>
        <vt:i4>0</vt:i4>
      </vt:variant>
      <vt:variant>
        <vt:i4>5</vt:i4>
      </vt:variant>
      <vt:variant>
        <vt:lpwstr>http://www.cnr.berkeley.edu/xylella/index.html</vt:lpwstr>
      </vt:variant>
      <vt:variant>
        <vt:lpwstr/>
      </vt:variant>
      <vt:variant>
        <vt:i4>2424867</vt:i4>
      </vt:variant>
      <vt:variant>
        <vt:i4>677</vt:i4>
      </vt:variant>
      <vt:variant>
        <vt:i4>0</vt:i4>
      </vt:variant>
      <vt:variant>
        <vt:i4>5</vt:i4>
      </vt:variant>
      <vt:variant>
        <vt:lpwstr>http://tpittaway.tripod.com/china/china.htm</vt:lpwstr>
      </vt:variant>
      <vt:variant>
        <vt:lpwstr/>
      </vt:variant>
      <vt:variant>
        <vt:i4>1900609</vt:i4>
      </vt:variant>
      <vt:variant>
        <vt:i4>674</vt:i4>
      </vt:variant>
      <vt:variant>
        <vt:i4>0</vt:i4>
      </vt:variant>
      <vt:variant>
        <vt:i4>5</vt:i4>
      </vt:variant>
      <vt:variant>
        <vt:lpwstr>http://www.cabi.org/cpc/Default.aspx?site=161&amp;page=874&amp;LoadModule=CABISEARCHRESULTS&amp;query=au:%22Pitta%2c+G.+P.+B.%22</vt:lpwstr>
      </vt:variant>
      <vt:variant>
        <vt:lpwstr/>
      </vt:variant>
      <vt:variant>
        <vt:i4>7733309</vt:i4>
      </vt:variant>
      <vt:variant>
        <vt:i4>671</vt:i4>
      </vt:variant>
      <vt:variant>
        <vt:i4>0</vt:i4>
      </vt:variant>
      <vt:variant>
        <vt:i4>5</vt:i4>
      </vt:variant>
      <vt:variant>
        <vt:lpwstr>http://www.plantmeds.com/pnhopliabeetle.pdf</vt:lpwstr>
      </vt:variant>
      <vt:variant>
        <vt:lpwstr/>
      </vt:variant>
      <vt:variant>
        <vt:i4>589889</vt:i4>
      </vt:variant>
      <vt:variant>
        <vt:i4>668</vt:i4>
      </vt:variant>
      <vt:variant>
        <vt:i4>0</vt:i4>
      </vt:variant>
      <vt:variant>
        <vt:i4>5</vt:i4>
      </vt:variant>
      <vt:variant>
        <vt:lpwstr>http://www.ncbi.nlm.nih.gov/nuccore/255964967</vt:lpwstr>
      </vt:variant>
      <vt:variant>
        <vt:lpwstr/>
      </vt:variant>
      <vt:variant>
        <vt:i4>2949222</vt:i4>
      </vt:variant>
      <vt:variant>
        <vt:i4>665</vt:i4>
      </vt:variant>
      <vt:variant>
        <vt:i4>0</vt:i4>
      </vt:variant>
      <vt:variant>
        <vt:i4>5</vt:i4>
      </vt:variant>
      <vt:variant>
        <vt:lpwstr>http://forages.oregonstate.edu/tallfescuemonograph/preface</vt:lpwstr>
      </vt:variant>
      <vt:variant>
        <vt:lpwstr/>
      </vt:variant>
      <vt:variant>
        <vt:i4>458798</vt:i4>
      </vt:variant>
      <vt:variant>
        <vt:i4>662</vt:i4>
      </vt:variant>
      <vt:variant>
        <vt:i4>0</vt:i4>
      </vt:variant>
      <vt:variant>
        <vt:i4>5</vt:i4>
      </vt:variant>
      <vt:variant>
        <vt:lpwstr>http://www.oardc.ohio-state.edu/grapeipm/insects_attacking_grape_foliage.htm</vt:lpwstr>
      </vt:variant>
      <vt:variant>
        <vt:lpwstr/>
      </vt:variant>
      <vt:variant>
        <vt:i4>1376276</vt:i4>
      </vt:variant>
      <vt:variant>
        <vt:i4>659</vt:i4>
      </vt:variant>
      <vt:variant>
        <vt:i4>0</vt:i4>
      </vt:variant>
      <vt:variant>
        <vt:i4>5</vt:i4>
      </vt:variant>
      <vt:variant>
        <vt:lpwstr>http://edis.ifas.ufl.edu/</vt:lpwstr>
      </vt:variant>
      <vt:variant>
        <vt:lpwstr/>
      </vt:variant>
      <vt:variant>
        <vt:i4>6946917</vt:i4>
      </vt:variant>
      <vt:variant>
        <vt:i4>656</vt:i4>
      </vt:variant>
      <vt:variant>
        <vt:i4>0</vt:i4>
      </vt:variant>
      <vt:variant>
        <vt:i4>5</vt:i4>
      </vt:variant>
      <vt:variant>
        <vt:lpwstr>http://www-s.life.illinois.edu/pyrenos/</vt:lpwstr>
      </vt:variant>
      <vt:variant>
        <vt:lpwstr/>
      </vt:variant>
      <vt:variant>
        <vt:i4>131081</vt:i4>
      </vt:variant>
      <vt:variant>
        <vt:i4>653</vt:i4>
      </vt:variant>
      <vt:variant>
        <vt:i4>0</vt:i4>
      </vt:variant>
      <vt:variant>
        <vt:i4>5</vt:i4>
      </vt:variant>
      <vt:variant>
        <vt:lpwstr>http://creatures.ifas.ufl.edu/orn/shrubs/citrus_flatid_planthopper.htm</vt:lpwstr>
      </vt:variant>
      <vt:variant>
        <vt:lpwstr/>
      </vt:variant>
      <vt:variant>
        <vt:i4>2621553</vt:i4>
      </vt:variant>
      <vt:variant>
        <vt:i4>650</vt:i4>
      </vt:variant>
      <vt:variant>
        <vt:i4>0</vt:i4>
      </vt:variant>
      <vt:variant>
        <vt:i4>5</vt:i4>
      </vt:variant>
      <vt:variant>
        <vt:lpwstr>http://www.cabdirect.org/abstracts/19881104649.html</vt:lpwstr>
      </vt:variant>
      <vt:variant>
        <vt:lpwstr/>
      </vt:variant>
      <vt:variant>
        <vt:i4>7667764</vt:i4>
      </vt:variant>
      <vt:variant>
        <vt:i4>647</vt:i4>
      </vt:variant>
      <vt:variant>
        <vt:i4>0</vt:i4>
      </vt:variant>
      <vt:variant>
        <vt:i4>5</vt:i4>
      </vt:variant>
      <vt:variant>
        <vt:lpwstr>http://wiki.pestinfo.org/wiki/Bulletin_of_Insectology</vt:lpwstr>
      </vt:variant>
      <vt:variant>
        <vt:lpwstr/>
      </vt:variant>
      <vt:variant>
        <vt:i4>2490455</vt:i4>
      </vt:variant>
      <vt:variant>
        <vt:i4>644</vt:i4>
      </vt:variant>
      <vt:variant>
        <vt:i4>0</vt:i4>
      </vt:variant>
      <vt:variant>
        <vt:i4>5</vt:i4>
      </vt:variant>
      <vt:variant>
        <vt:lpwstr>http://wiki.pestinfo.org/wiki/Rita_Marullo</vt:lpwstr>
      </vt:variant>
      <vt:variant>
        <vt:lpwstr/>
      </vt:variant>
      <vt:variant>
        <vt:i4>6619263</vt:i4>
      </vt:variant>
      <vt:variant>
        <vt:i4>641</vt:i4>
      </vt:variant>
      <vt:variant>
        <vt:i4>0</vt:i4>
      </vt:variant>
      <vt:variant>
        <vt:i4>5</vt:i4>
      </vt:variant>
      <vt:variant>
        <vt:lpwstr>http://www.dpvweb.net/dpv/showdpv.php?dpvno=176</vt:lpwstr>
      </vt:variant>
      <vt:variant>
        <vt:lpwstr/>
      </vt:variant>
      <vt:variant>
        <vt:i4>4849760</vt:i4>
      </vt:variant>
      <vt:variant>
        <vt:i4>638</vt:i4>
      </vt:variant>
      <vt:variant>
        <vt:i4>0</vt:i4>
      </vt:variant>
      <vt:variant>
        <vt:i4>5</vt:i4>
      </vt:variant>
      <vt:variant>
        <vt:lpwstr>http://www.agric.wa.gov.au/objtwr/imported_assets/content/pw/ph/dis/fn/fs2006_brownrot_amackie.pdf</vt:lpwstr>
      </vt:variant>
      <vt:variant>
        <vt:lpwstr/>
      </vt:variant>
      <vt:variant>
        <vt:i4>7143550</vt:i4>
      </vt:variant>
      <vt:variant>
        <vt:i4>635</vt:i4>
      </vt:variant>
      <vt:variant>
        <vt:i4>0</vt:i4>
      </vt:variant>
      <vt:variant>
        <vt:i4>5</vt:i4>
      </vt:variant>
      <vt:variant>
        <vt:lpwstr>http://www.ho.haslo.pl/article.php?id=1119</vt:lpwstr>
      </vt:variant>
      <vt:variant>
        <vt:lpwstr/>
      </vt:variant>
      <vt:variant>
        <vt:i4>4063302</vt:i4>
      </vt:variant>
      <vt:variant>
        <vt:i4>632</vt:i4>
      </vt:variant>
      <vt:variant>
        <vt:i4>0</vt:i4>
      </vt:variant>
      <vt:variant>
        <vt:i4>5</vt:i4>
      </vt:variant>
      <vt:variant>
        <vt:lpwstr>http://www.ecolsafety.org.cn//db/Fruit/login_pg.asp</vt:lpwstr>
      </vt:variant>
      <vt:variant>
        <vt:lpwstr/>
      </vt:variant>
      <vt:variant>
        <vt:i4>196678</vt:i4>
      </vt:variant>
      <vt:variant>
        <vt:i4>629</vt:i4>
      </vt:variant>
      <vt:variant>
        <vt:i4>0</vt:i4>
      </vt:variant>
      <vt:variant>
        <vt:i4>5</vt:i4>
      </vt:variant>
      <vt:variant>
        <vt:lpwstr>http://edis.ifas.ufl.edu/pdffiles/IN/IN52700.pdf</vt:lpwstr>
      </vt:variant>
      <vt:variant>
        <vt:lpwstr/>
      </vt:variant>
      <vt:variant>
        <vt:i4>786498</vt:i4>
      </vt:variant>
      <vt:variant>
        <vt:i4>626</vt:i4>
      </vt:variant>
      <vt:variant>
        <vt:i4>0</vt:i4>
      </vt:variant>
      <vt:variant>
        <vt:i4>5</vt:i4>
      </vt:variant>
      <vt:variant>
        <vt:lpwstr>http://www.padil.gov.au/</vt:lpwstr>
      </vt:variant>
      <vt:variant>
        <vt:lpwstr/>
      </vt:variant>
      <vt:variant>
        <vt:i4>3014780</vt:i4>
      </vt:variant>
      <vt:variant>
        <vt:i4>623</vt:i4>
      </vt:variant>
      <vt:variant>
        <vt:i4>0</vt:i4>
      </vt:variant>
      <vt:variant>
        <vt:i4>5</vt:i4>
      </vt:variant>
      <vt:variant>
        <vt:lpwstr>http://www.cabdirect.org/abstracts/19932335018.html</vt:lpwstr>
      </vt:variant>
      <vt:variant>
        <vt:lpwstr/>
      </vt:variant>
      <vt:variant>
        <vt:i4>393313</vt:i4>
      </vt:variant>
      <vt:variant>
        <vt:i4>620</vt:i4>
      </vt:variant>
      <vt:variant>
        <vt:i4>0</vt:i4>
      </vt:variant>
      <vt:variant>
        <vt:i4>5</vt:i4>
      </vt:variant>
      <vt:variant>
        <vt:lpwstr>http://www.mushroomexpert.com/hapalopilus_nidulans.html</vt:lpwstr>
      </vt:variant>
      <vt:variant>
        <vt:lpwstr/>
      </vt:variant>
      <vt:variant>
        <vt:i4>2359338</vt:i4>
      </vt:variant>
      <vt:variant>
        <vt:i4>617</vt:i4>
      </vt:variant>
      <vt:variant>
        <vt:i4>0</vt:i4>
      </vt:variant>
      <vt:variant>
        <vt:i4>5</vt:i4>
      </vt:variant>
      <vt:variant>
        <vt:lpwstr>http://books.google.com.au/books?id=6CR1vQUMw-sC&amp;printsec=frontcover</vt:lpwstr>
      </vt:variant>
      <vt:variant>
        <vt:lpwstr>v=onepage&amp;q&amp;f=false</vt:lpwstr>
      </vt:variant>
      <vt:variant>
        <vt:i4>6946940</vt:i4>
      </vt:variant>
      <vt:variant>
        <vt:i4>614</vt:i4>
      </vt:variant>
      <vt:variant>
        <vt:i4>0</vt:i4>
      </vt:variant>
      <vt:variant>
        <vt:i4>5</vt:i4>
      </vt:variant>
      <vt:variant>
        <vt:lpwstr>http://www.dpvweb.net/dpv/showdpv.php?dpvno=28</vt:lpwstr>
      </vt:variant>
      <vt:variant>
        <vt:lpwstr/>
      </vt:variant>
      <vt:variant>
        <vt:i4>4587568</vt:i4>
      </vt:variant>
      <vt:variant>
        <vt:i4>611</vt:i4>
      </vt:variant>
      <vt:variant>
        <vt:i4>0</vt:i4>
      </vt:variant>
      <vt:variant>
        <vt:i4>5</vt:i4>
      </vt:variant>
      <vt:variant>
        <vt:lpwstr>http://200.20.168.5/publica/livros_pdf/catalogue.pdf</vt:lpwstr>
      </vt:variant>
      <vt:variant>
        <vt:lpwstr/>
      </vt:variant>
      <vt:variant>
        <vt:i4>786489</vt:i4>
      </vt:variant>
      <vt:variant>
        <vt:i4>608</vt:i4>
      </vt:variant>
      <vt:variant>
        <vt:i4>0</vt:i4>
      </vt:variant>
      <vt:variant>
        <vt:i4>5</vt:i4>
      </vt:variant>
      <vt:variant>
        <vt:lpwstr>http://www.plantations2020.com.au/reports/pfnq/acrobat/2-4_griffiths_et_al.pdf</vt:lpwstr>
      </vt:variant>
      <vt:variant>
        <vt:lpwstr/>
      </vt:variant>
      <vt:variant>
        <vt:i4>2818143</vt:i4>
      </vt:variant>
      <vt:variant>
        <vt:i4>605</vt:i4>
      </vt:variant>
      <vt:variant>
        <vt:i4>0</vt:i4>
      </vt:variant>
      <vt:variant>
        <vt:i4>5</vt:i4>
      </vt:variant>
      <vt:variant>
        <vt:lpwstr>http://www.agroatlas.ru/en/content/pests/Aporia_crataegi/</vt:lpwstr>
      </vt:variant>
      <vt:variant>
        <vt:lpwstr/>
      </vt:variant>
      <vt:variant>
        <vt:i4>786498</vt:i4>
      </vt:variant>
      <vt:variant>
        <vt:i4>602</vt:i4>
      </vt:variant>
      <vt:variant>
        <vt:i4>0</vt:i4>
      </vt:variant>
      <vt:variant>
        <vt:i4>5</vt:i4>
      </vt:variant>
      <vt:variant>
        <vt:lpwstr>http://www.padil.gov.au/</vt:lpwstr>
      </vt:variant>
      <vt:variant>
        <vt:lpwstr/>
      </vt:variant>
      <vt:variant>
        <vt:i4>3342390</vt:i4>
      </vt:variant>
      <vt:variant>
        <vt:i4>599</vt:i4>
      </vt:variant>
      <vt:variant>
        <vt:i4>0</vt:i4>
      </vt:variant>
      <vt:variant>
        <vt:i4>5</vt:i4>
      </vt:variant>
      <vt:variant>
        <vt:lpwstr>http://data.gbif.org/species/Trametes ochracea</vt:lpwstr>
      </vt:variant>
      <vt:variant>
        <vt:lpwstr/>
      </vt:variant>
      <vt:variant>
        <vt:i4>27</vt:i4>
      </vt:variant>
      <vt:variant>
        <vt:i4>596</vt:i4>
      </vt:variant>
      <vt:variant>
        <vt:i4>0</vt:i4>
      </vt:variant>
      <vt:variant>
        <vt:i4>5</vt:i4>
      </vt:variant>
      <vt:variant>
        <vt:lpwstr>http://www.vegedge.umn.edu/vegpest/grapes/FleaBeetle.htm</vt:lpwstr>
      </vt:variant>
      <vt:variant>
        <vt:lpwstr/>
      </vt:variant>
      <vt:variant>
        <vt:i4>524298</vt:i4>
      </vt:variant>
      <vt:variant>
        <vt:i4>593</vt:i4>
      </vt:variant>
      <vt:variant>
        <vt:i4>0</vt:i4>
      </vt:variant>
      <vt:variant>
        <vt:i4>5</vt:i4>
      </vt:variant>
      <vt:variant>
        <vt:lpwstr>http://www.agroatlas.ru/pests/Eupoecilia_ambiguella_en.htm</vt:lpwstr>
      </vt:variant>
      <vt:variant>
        <vt:lpwstr/>
      </vt:variant>
      <vt:variant>
        <vt:i4>2031630</vt:i4>
      </vt:variant>
      <vt:variant>
        <vt:i4>590</vt:i4>
      </vt:variant>
      <vt:variant>
        <vt:i4>0</vt:i4>
      </vt:variant>
      <vt:variant>
        <vt:i4>5</vt:i4>
      </vt:variant>
      <vt:variant>
        <vt:lpwstr>http://nt.ars-grin.gov/fungaldatabases/fungushost/fungushost.cfm</vt:lpwstr>
      </vt:variant>
      <vt:variant>
        <vt:lpwstr/>
      </vt:variant>
      <vt:variant>
        <vt:i4>1900586</vt:i4>
      </vt:variant>
      <vt:variant>
        <vt:i4>587</vt:i4>
      </vt:variant>
      <vt:variant>
        <vt:i4>0</vt:i4>
      </vt:variant>
      <vt:variant>
        <vt:i4>5</vt:i4>
      </vt:variant>
      <vt:variant>
        <vt:lpwstr>http://www.agric.wa.gov.au/objtwr/imported_assets/content/pw/ph/dis/vit/fs2006_blackrot_neyres.pdf</vt:lpwstr>
      </vt:variant>
      <vt:variant>
        <vt:lpwstr/>
      </vt:variant>
      <vt:variant>
        <vt:i4>524357</vt:i4>
      </vt:variant>
      <vt:variant>
        <vt:i4>584</vt:i4>
      </vt:variant>
      <vt:variant>
        <vt:i4>0</vt:i4>
      </vt:variant>
      <vt:variant>
        <vt:i4>5</vt:i4>
      </vt:variant>
      <vt:variant>
        <vt:lpwstr>http://wiki.pestinfo.org/w/index.php?title=Togninia_viticola/Phaeoacremonium_viticola&amp;action=edit&amp;redlink=1</vt:lpwstr>
      </vt:variant>
      <vt:variant>
        <vt:lpwstr/>
      </vt:variant>
      <vt:variant>
        <vt:i4>5046343</vt:i4>
      </vt:variant>
      <vt:variant>
        <vt:i4>581</vt:i4>
      </vt:variant>
      <vt:variant>
        <vt:i4>0</vt:i4>
      </vt:variant>
      <vt:variant>
        <vt:i4>5</vt:i4>
      </vt:variant>
      <vt:variant>
        <vt:lpwstr>http://www.eppo.org/</vt:lpwstr>
      </vt:variant>
      <vt:variant>
        <vt:lpwstr/>
      </vt:variant>
      <vt:variant>
        <vt:i4>5505042</vt:i4>
      </vt:variant>
      <vt:variant>
        <vt:i4>578</vt:i4>
      </vt:variant>
      <vt:variant>
        <vt:i4>0</vt:i4>
      </vt:variant>
      <vt:variant>
        <vt:i4>5</vt:i4>
      </vt:variant>
      <vt:variant>
        <vt:lpwstr>http://wiki.pestinfo.org/w/index.php?title=Grapevine_Syrah_virus-1&amp;action=edit&amp;redlink=1</vt:lpwstr>
      </vt:variant>
      <vt:variant>
        <vt:lpwstr/>
      </vt:variant>
      <vt:variant>
        <vt:i4>5898334</vt:i4>
      </vt:variant>
      <vt:variant>
        <vt:i4>575</vt:i4>
      </vt:variant>
      <vt:variant>
        <vt:i4>0</vt:i4>
      </vt:variant>
      <vt:variant>
        <vt:i4>5</vt:i4>
      </vt:variant>
      <vt:variant>
        <vt:lpwstr>http://wiki.pestinfo.org/wiki/Esteban_A._Engel</vt:lpwstr>
      </vt:variant>
      <vt:variant>
        <vt:lpwstr/>
      </vt:variant>
      <vt:variant>
        <vt:i4>4391005</vt:i4>
      </vt:variant>
      <vt:variant>
        <vt:i4>572</vt:i4>
      </vt:variant>
      <vt:variant>
        <vt:i4>0</vt:i4>
      </vt:variant>
      <vt:variant>
        <vt:i4>5</vt:i4>
      </vt:variant>
      <vt:variant>
        <vt:lpwstr>http://www.bioinfo.org.uk/html/t54045.htm</vt:lpwstr>
      </vt:variant>
      <vt:variant>
        <vt:lpwstr/>
      </vt:variant>
      <vt:variant>
        <vt:i4>4849675</vt:i4>
      </vt:variant>
      <vt:variant>
        <vt:i4>569</vt:i4>
      </vt:variant>
      <vt:variant>
        <vt:i4>0</vt:i4>
      </vt:variant>
      <vt:variant>
        <vt:i4>5</vt:i4>
      </vt:variant>
      <vt:variant>
        <vt:lpwstr>http://www.ent.iastate.edu/soybeaninsects/Eaton 1978</vt:lpwstr>
      </vt:variant>
      <vt:variant>
        <vt:lpwstr/>
      </vt:variant>
      <vt:variant>
        <vt:i4>1900626</vt:i4>
      </vt:variant>
      <vt:variant>
        <vt:i4>566</vt:i4>
      </vt:variant>
      <vt:variant>
        <vt:i4>0</vt:i4>
      </vt:variant>
      <vt:variant>
        <vt:i4>5</vt:i4>
      </vt:variant>
      <vt:variant>
        <vt:lpwstr>http://www.gwrdc.com.au/webdata/resources/project/NVH0301.pdf</vt:lpwstr>
      </vt:variant>
      <vt:variant>
        <vt:lpwstr/>
      </vt:variant>
      <vt:variant>
        <vt:i4>5046274</vt:i4>
      </vt:variant>
      <vt:variant>
        <vt:i4>563</vt:i4>
      </vt:variant>
      <vt:variant>
        <vt:i4>0</vt:i4>
      </vt:variant>
      <vt:variant>
        <vt:i4>5</vt:i4>
      </vt:variant>
      <vt:variant>
        <vt:lpwstr>http://www.mendeley.com/profiles/hano-maree/</vt:lpwstr>
      </vt:variant>
      <vt:variant>
        <vt:lpwstr/>
      </vt:variant>
      <vt:variant>
        <vt:i4>4849759</vt:i4>
      </vt:variant>
      <vt:variant>
        <vt:i4>560</vt:i4>
      </vt:variant>
      <vt:variant>
        <vt:i4>0</vt:i4>
      </vt:variant>
      <vt:variant>
        <vt:i4>5</vt:i4>
      </vt:variant>
      <vt:variant>
        <vt:lpwstr>http://nt.ars-grin.gov/taxadescriptions/factsheets/pdfPrintFile.cfm?thisApp=Phakopsoraeuvitis</vt:lpwstr>
      </vt:variant>
      <vt:variant>
        <vt:lpwstr/>
      </vt:variant>
      <vt:variant>
        <vt:i4>5701758</vt:i4>
      </vt:variant>
      <vt:variant>
        <vt:i4>557</vt:i4>
      </vt:variant>
      <vt:variant>
        <vt:i4>0</vt:i4>
      </vt:variant>
      <vt:variant>
        <vt:i4>5</vt:i4>
      </vt:variant>
      <vt:variant>
        <vt:lpwstr>http://entnemdept.ufl.edu/creatures/veg/leaf/beet_armyworm.htm</vt:lpwstr>
      </vt:variant>
      <vt:variant>
        <vt:lpwstr/>
      </vt:variant>
      <vt:variant>
        <vt:i4>2228328</vt:i4>
      </vt:variant>
      <vt:variant>
        <vt:i4>554</vt:i4>
      </vt:variant>
      <vt:variant>
        <vt:i4>0</vt:i4>
      </vt:variant>
      <vt:variant>
        <vt:i4>5</vt:i4>
      </vt:variant>
      <vt:variant>
        <vt:lpwstr>http://www.speciesfungorum.org/</vt:lpwstr>
      </vt:variant>
      <vt:variant>
        <vt:lpwstr/>
      </vt:variant>
      <vt:variant>
        <vt:i4>3604481</vt:i4>
      </vt:variant>
      <vt:variant>
        <vt:i4>551</vt:i4>
      </vt:variant>
      <vt:variant>
        <vt:i4>0</vt:i4>
      </vt:variant>
      <vt:variant>
        <vt:i4>5</vt:i4>
      </vt:variant>
      <vt:variant>
        <vt:lpwstr>http://www.prodinra.inra.fr/prodinra/pinra/data/2008/06/PROD2008d0be8eb_20080625041803219.pdf</vt:lpwstr>
      </vt:variant>
      <vt:variant>
        <vt:lpwstr/>
      </vt:variant>
      <vt:variant>
        <vt:i4>3670078</vt:i4>
      </vt:variant>
      <vt:variant>
        <vt:i4>548</vt:i4>
      </vt:variant>
      <vt:variant>
        <vt:i4>0</vt:i4>
      </vt:variant>
      <vt:variant>
        <vt:i4>5</vt:i4>
      </vt:variant>
      <vt:variant>
        <vt:lpwstr>http://www.cabdirect.org/search.html?q=do%3A%22Vignevini%22</vt:lpwstr>
      </vt:variant>
      <vt:variant>
        <vt:lpwstr/>
      </vt:variant>
      <vt:variant>
        <vt:i4>65572</vt:i4>
      </vt:variant>
      <vt:variant>
        <vt:i4>545</vt:i4>
      </vt:variant>
      <vt:variant>
        <vt:i4>0</vt:i4>
      </vt:variant>
      <vt:variant>
        <vt:i4>5</vt:i4>
      </vt:variant>
      <vt:variant>
        <vt:lpwstr>http://www.inrb.pt/fotos/editor2/inia/ean_1.pdf</vt:lpwstr>
      </vt:variant>
      <vt:variant>
        <vt:lpwstr/>
      </vt:variant>
      <vt:variant>
        <vt:i4>6946889</vt:i4>
      </vt:variant>
      <vt:variant>
        <vt:i4>542</vt:i4>
      </vt:variant>
      <vt:variant>
        <vt:i4>0</vt:i4>
      </vt:variant>
      <vt:variant>
        <vt:i4>5</vt:i4>
      </vt:variant>
      <vt:variant>
        <vt:lpwstr>http://www.agr.unipi.it/tesi05/luglio/ve_benvenuti.html</vt:lpwstr>
      </vt:variant>
      <vt:variant>
        <vt:lpwstr/>
      </vt:variant>
      <vt:variant>
        <vt:i4>8061043</vt:i4>
      </vt:variant>
      <vt:variant>
        <vt:i4>539</vt:i4>
      </vt:variant>
      <vt:variant>
        <vt:i4>0</vt:i4>
      </vt:variant>
      <vt:variant>
        <vt:i4>5</vt:i4>
      </vt:variant>
      <vt:variant>
        <vt:lpwstr>http://www.ipm.ucdavis.edu/PMG/r302301411.html</vt:lpwstr>
      </vt:variant>
      <vt:variant>
        <vt:lpwstr/>
      </vt:variant>
      <vt:variant>
        <vt:i4>983090</vt:i4>
      </vt:variant>
      <vt:variant>
        <vt:i4>536</vt:i4>
      </vt:variant>
      <vt:variant>
        <vt:i4>0</vt:i4>
      </vt:variant>
      <vt:variant>
        <vt:i4>5</vt:i4>
      </vt:variant>
      <vt:variant>
        <vt:lpwstr>http://www.agf.gov.bc.ca/cropprot/bromius_obscurus.pdf</vt:lpwstr>
      </vt:variant>
      <vt:variant>
        <vt:lpwstr/>
      </vt:variant>
      <vt:variant>
        <vt:i4>5767255</vt:i4>
      </vt:variant>
      <vt:variant>
        <vt:i4>533</vt:i4>
      </vt:variant>
      <vt:variant>
        <vt:i4>0</vt:i4>
      </vt:variant>
      <vt:variant>
        <vt:i4>5</vt:i4>
      </vt:variant>
      <vt:variant>
        <vt:lpwstr>http://bccm.belspo.be/db/mucl_species_details.php?NUM=12093&amp;FIRSTITEM=1&amp;RANGE=100</vt:lpwstr>
      </vt:variant>
      <vt:variant>
        <vt:lpwstr/>
      </vt:variant>
      <vt:variant>
        <vt:i4>3276896</vt:i4>
      </vt:variant>
      <vt:variant>
        <vt:i4>530</vt:i4>
      </vt:variant>
      <vt:variant>
        <vt:i4>0</vt:i4>
      </vt:variant>
      <vt:variant>
        <vt:i4>5</vt:i4>
      </vt:variant>
      <vt:variant>
        <vt:lpwstr>http://www.ento.csiro.au/aicn/index.htm</vt:lpwstr>
      </vt:variant>
      <vt:variant>
        <vt:lpwstr/>
      </vt:variant>
      <vt:variant>
        <vt:i4>3604561</vt:i4>
      </vt:variant>
      <vt:variant>
        <vt:i4>527</vt:i4>
      </vt:variant>
      <vt:variant>
        <vt:i4>0</vt:i4>
      </vt:variant>
      <vt:variant>
        <vt:i4>5</vt:i4>
      </vt:variant>
      <vt:variant>
        <vt:lpwstr>http://www.agroatlas.ru/en/content/pests/Sparganothis_pilleriana/</vt:lpwstr>
      </vt:variant>
      <vt:variant>
        <vt:lpwstr/>
      </vt:variant>
      <vt:variant>
        <vt:i4>5963903</vt:i4>
      </vt:variant>
      <vt:variant>
        <vt:i4>524</vt:i4>
      </vt:variant>
      <vt:variant>
        <vt:i4>0</vt:i4>
      </vt:variant>
      <vt:variant>
        <vt:i4>5</vt:i4>
      </vt:variant>
      <vt:variant>
        <vt:lpwstr>http://www.agroatlas.spb.ru/en/content/pests/Eupoecilia_ambiguella</vt:lpwstr>
      </vt:variant>
      <vt:variant>
        <vt:lpwstr/>
      </vt:variant>
      <vt:variant>
        <vt:i4>6094883</vt:i4>
      </vt:variant>
      <vt:variant>
        <vt:i4>521</vt:i4>
      </vt:variant>
      <vt:variant>
        <vt:i4>0</vt:i4>
      </vt:variant>
      <vt:variant>
        <vt:i4>5</vt:i4>
      </vt:variant>
      <vt:variant>
        <vt:lpwstr>http://www.agroatlas.ru/en/content/pests/Melolontha_melolontha/</vt:lpwstr>
      </vt:variant>
      <vt:variant>
        <vt:lpwstr/>
      </vt:variant>
      <vt:variant>
        <vt:i4>1966122</vt:i4>
      </vt:variant>
      <vt:variant>
        <vt:i4>518</vt:i4>
      </vt:variant>
      <vt:variant>
        <vt:i4>0</vt:i4>
      </vt:variant>
      <vt:variant>
        <vt:i4>5</vt:i4>
      </vt:variant>
      <vt:variant>
        <vt:lpwstr>http://www.agroatlas.ru/en/content/pests/Autographa_gamma/</vt:lpwstr>
      </vt:variant>
      <vt:variant>
        <vt:lpwstr/>
      </vt:variant>
      <vt:variant>
        <vt:i4>1769494</vt:i4>
      </vt:variant>
      <vt:variant>
        <vt:i4>515</vt:i4>
      </vt:variant>
      <vt:variant>
        <vt:i4>0</vt:i4>
      </vt:variant>
      <vt:variant>
        <vt:i4>5</vt:i4>
      </vt:variant>
      <vt:variant>
        <vt:lpwstr>http://www.agroatlas.ru/</vt:lpwstr>
      </vt:variant>
      <vt:variant>
        <vt:lpwstr/>
      </vt:variant>
      <vt:variant>
        <vt:i4>4063277</vt:i4>
      </vt:variant>
      <vt:variant>
        <vt:i4>512</vt:i4>
      </vt:variant>
      <vt:variant>
        <vt:i4>0</vt:i4>
      </vt:variant>
      <vt:variant>
        <vt:i4>5</vt:i4>
      </vt:variant>
      <vt:variant>
        <vt:lpwstr>http://www.environment.gov.au/biodiversity/abrs/online-resources/fauna/afd/</vt:lpwstr>
      </vt:variant>
      <vt:variant>
        <vt:lpwstr/>
      </vt:variant>
      <vt:variant>
        <vt:i4>1048677</vt:i4>
      </vt:variant>
      <vt:variant>
        <vt:i4>509</vt:i4>
      </vt:variant>
      <vt:variant>
        <vt:i4>0</vt:i4>
      </vt:variant>
      <vt:variant>
        <vt:i4>5</vt:i4>
      </vt:variant>
      <vt:variant>
        <vt:lpwstr>http://wiki.pestinfo.org/wiki/Plant_Disease</vt:lpwstr>
      </vt:variant>
      <vt:variant>
        <vt:lpwstr/>
      </vt:variant>
      <vt:variant>
        <vt:i4>3670134</vt:i4>
      </vt:variant>
      <vt:variant>
        <vt:i4>506</vt:i4>
      </vt:variant>
      <vt:variant>
        <vt:i4>0</vt:i4>
      </vt:variant>
      <vt:variant>
        <vt:i4>5</vt:i4>
      </vt:variant>
      <vt:variant>
        <vt:lpwstr>http://wiki.pestinfo.org/w/index.php?title=Arabis_mosaic_virus&amp;action=edit&amp;redlink=1</vt:lpwstr>
      </vt:variant>
      <vt:variant>
        <vt:lpwstr/>
      </vt:variant>
      <vt:variant>
        <vt:i4>6553710</vt:i4>
      </vt:variant>
      <vt:variant>
        <vt:i4>487</vt:i4>
      </vt:variant>
      <vt:variant>
        <vt:i4>0</vt:i4>
      </vt:variant>
      <vt:variant>
        <vt:i4>5</vt:i4>
      </vt:variant>
      <vt:variant>
        <vt:lpwstr>http://www.indexfungorum.org/Names/Names.asp?strGenus=Sphaeria</vt:lpwstr>
      </vt:variant>
      <vt:variant>
        <vt:lpwstr/>
      </vt:variant>
      <vt:variant>
        <vt:i4>6750246</vt:i4>
      </vt:variant>
      <vt:variant>
        <vt:i4>484</vt:i4>
      </vt:variant>
      <vt:variant>
        <vt:i4>0</vt:i4>
      </vt:variant>
      <vt:variant>
        <vt:i4>5</vt:i4>
      </vt:variant>
      <vt:variant>
        <vt:lpwstr>http://www.cabi.org/cpc/Default.aspx?site=161&amp;page=868&amp;LoadModule=datasheet&amp;CompID=1&amp;dsID=56504</vt:lpwstr>
      </vt:variant>
      <vt:variant>
        <vt:lpwstr/>
      </vt:variant>
      <vt:variant>
        <vt:i4>1507399</vt:i4>
      </vt:variant>
      <vt:variant>
        <vt:i4>481</vt:i4>
      </vt:variant>
      <vt:variant>
        <vt:i4>0</vt:i4>
      </vt:variant>
      <vt:variant>
        <vt:i4>5</vt:i4>
      </vt:variant>
      <vt:variant>
        <vt:lpwstr>http://www.indexfungorum.org/Names/SynSpecies.asp?RecordID=179275</vt:lpwstr>
      </vt:variant>
      <vt:variant>
        <vt:lpwstr/>
      </vt:variant>
      <vt:variant>
        <vt:i4>1179718</vt:i4>
      </vt:variant>
      <vt:variant>
        <vt:i4>478</vt:i4>
      </vt:variant>
      <vt:variant>
        <vt:i4>0</vt:i4>
      </vt:variant>
      <vt:variant>
        <vt:i4>5</vt:i4>
      </vt:variant>
      <vt:variant>
        <vt:lpwstr>http://www.indexfungorum.org/Names/SynSpecies.asp?RecordID=260289</vt:lpwstr>
      </vt:variant>
      <vt:variant>
        <vt:lpwstr/>
      </vt:variant>
      <vt:variant>
        <vt:i4>1507402</vt:i4>
      </vt:variant>
      <vt:variant>
        <vt:i4>475</vt:i4>
      </vt:variant>
      <vt:variant>
        <vt:i4>0</vt:i4>
      </vt:variant>
      <vt:variant>
        <vt:i4>5</vt:i4>
      </vt:variant>
      <vt:variant>
        <vt:lpwstr>http://www.indexfungorum.org/Names/SynSpecies.asp?RecordID=119974</vt:lpwstr>
      </vt:variant>
      <vt:variant>
        <vt:lpwstr/>
      </vt:variant>
      <vt:variant>
        <vt:i4>1769537</vt:i4>
      </vt:variant>
      <vt:variant>
        <vt:i4>472</vt:i4>
      </vt:variant>
      <vt:variant>
        <vt:i4>0</vt:i4>
      </vt:variant>
      <vt:variant>
        <vt:i4>5</vt:i4>
      </vt:variant>
      <vt:variant>
        <vt:lpwstr>http://www.indexfungorum.org/Names/SynSpecies.asp?RecordID=306362</vt:lpwstr>
      </vt:variant>
      <vt:variant>
        <vt:lpwstr/>
      </vt:variant>
      <vt:variant>
        <vt:i4>2359337</vt:i4>
      </vt:variant>
      <vt:variant>
        <vt:i4>469</vt:i4>
      </vt:variant>
      <vt:variant>
        <vt:i4>0</vt:i4>
      </vt:variant>
      <vt:variant>
        <vt:i4>5</vt:i4>
      </vt:variant>
      <vt:variant>
        <vt:lpwstr>http://www.indexfungorum.org/Names/NamesRecord.asp?RecordID=306126</vt:lpwstr>
      </vt:variant>
      <vt:variant>
        <vt:lpwstr/>
      </vt:variant>
      <vt:variant>
        <vt:i4>7274550</vt:i4>
      </vt:variant>
      <vt:variant>
        <vt:i4>466</vt:i4>
      </vt:variant>
      <vt:variant>
        <vt:i4>0</vt:i4>
      </vt:variant>
      <vt:variant>
        <vt:i4>5</vt:i4>
      </vt:variant>
      <vt:variant>
        <vt:lpwstr>http://www.catalogueoflife.org/browse_taxa.php?selected_taxon=4992</vt:lpwstr>
      </vt:variant>
      <vt:variant>
        <vt:lpwstr/>
      </vt:variant>
      <vt:variant>
        <vt:i4>7274550</vt:i4>
      </vt:variant>
      <vt:variant>
        <vt:i4>463</vt:i4>
      </vt:variant>
      <vt:variant>
        <vt:i4>0</vt:i4>
      </vt:variant>
      <vt:variant>
        <vt:i4>5</vt:i4>
      </vt:variant>
      <vt:variant>
        <vt:lpwstr>http://www.catalogueoflife.org/browse_taxa.php?selected_taxon=4992</vt:lpwstr>
      </vt:variant>
      <vt:variant>
        <vt:lpwstr/>
      </vt:variant>
      <vt:variant>
        <vt:i4>1376329</vt:i4>
      </vt:variant>
      <vt:variant>
        <vt:i4>460</vt:i4>
      </vt:variant>
      <vt:variant>
        <vt:i4>0</vt:i4>
      </vt:variant>
      <vt:variant>
        <vt:i4>5</vt:i4>
      </vt:variant>
      <vt:variant>
        <vt:lpwstr>http://www.indexfungorum.org/Names/SynSpecies.asp?RecordID=338860</vt:lpwstr>
      </vt:variant>
      <vt:variant>
        <vt:lpwstr/>
      </vt:variant>
      <vt:variant>
        <vt:i4>1048590</vt:i4>
      </vt:variant>
      <vt:variant>
        <vt:i4>457</vt:i4>
      </vt:variant>
      <vt:variant>
        <vt:i4>0</vt:i4>
      </vt:variant>
      <vt:variant>
        <vt:i4>5</vt:i4>
      </vt:variant>
      <vt:variant>
        <vt:lpwstr>http://www.indexfungorum.org/Names/genusrecord.asp?RecordID=18512</vt:lpwstr>
      </vt:variant>
      <vt:variant>
        <vt:lpwstr/>
      </vt:variant>
      <vt:variant>
        <vt:i4>7274550</vt:i4>
      </vt:variant>
      <vt:variant>
        <vt:i4>454</vt:i4>
      </vt:variant>
      <vt:variant>
        <vt:i4>0</vt:i4>
      </vt:variant>
      <vt:variant>
        <vt:i4>5</vt:i4>
      </vt:variant>
      <vt:variant>
        <vt:lpwstr>http://www.catalogueoflife.org/browse_taxa.php?selected_taxon=4992</vt:lpwstr>
      </vt:variant>
      <vt:variant>
        <vt:lpwstr/>
      </vt:variant>
      <vt:variant>
        <vt:i4>2031687</vt:i4>
      </vt:variant>
      <vt:variant>
        <vt:i4>451</vt:i4>
      </vt:variant>
      <vt:variant>
        <vt:i4>0</vt:i4>
      </vt:variant>
      <vt:variant>
        <vt:i4>5</vt:i4>
      </vt:variant>
      <vt:variant>
        <vt:lpwstr>http://www.indexfungorum.org/Names/SynSpecies.asp?RecordID=174220</vt:lpwstr>
      </vt:variant>
      <vt:variant>
        <vt:lpwstr/>
      </vt:variant>
      <vt:variant>
        <vt:i4>2490415</vt:i4>
      </vt:variant>
      <vt:variant>
        <vt:i4>448</vt:i4>
      </vt:variant>
      <vt:variant>
        <vt:i4>0</vt:i4>
      </vt:variant>
      <vt:variant>
        <vt:i4>5</vt:i4>
      </vt:variant>
      <vt:variant>
        <vt:lpwstr>http://www.indexfungorum.org/Names/NamesRecord.asp?RecordID=357050</vt:lpwstr>
      </vt:variant>
      <vt:variant>
        <vt:lpwstr/>
      </vt:variant>
      <vt:variant>
        <vt:i4>3080238</vt:i4>
      </vt:variant>
      <vt:variant>
        <vt:i4>445</vt:i4>
      </vt:variant>
      <vt:variant>
        <vt:i4>0</vt:i4>
      </vt:variant>
      <vt:variant>
        <vt:i4>5</vt:i4>
      </vt:variant>
      <vt:variant>
        <vt:lpwstr>http://www.indexfungorum.org/Names/NamesRecord.asp?RecordID=357049</vt:lpwstr>
      </vt:variant>
      <vt:variant>
        <vt:lpwstr/>
      </vt:variant>
      <vt:variant>
        <vt:i4>2031680</vt:i4>
      </vt:variant>
      <vt:variant>
        <vt:i4>442</vt:i4>
      </vt:variant>
      <vt:variant>
        <vt:i4>0</vt:i4>
      </vt:variant>
      <vt:variant>
        <vt:i4>5</vt:i4>
      </vt:variant>
      <vt:variant>
        <vt:lpwstr>http://www.indexfungorum.org/Names/SynSpecies.asp?RecordID=500227</vt:lpwstr>
      </vt:variant>
      <vt:variant>
        <vt:lpwstr/>
      </vt:variant>
      <vt:variant>
        <vt:i4>1638469</vt:i4>
      </vt:variant>
      <vt:variant>
        <vt:i4>439</vt:i4>
      </vt:variant>
      <vt:variant>
        <vt:i4>0</vt:i4>
      </vt:variant>
      <vt:variant>
        <vt:i4>5</vt:i4>
      </vt:variant>
      <vt:variant>
        <vt:lpwstr>http://www.indexfungorum.org/Names/SynSpecies.asp?RecordID=120504</vt:lpwstr>
      </vt:variant>
      <vt:variant>
        <vt:lpwstr/>
      </vt:variant>
      <vt:variant>
        <vt:i4>1114117</vt:i4>
      </vt:variant>
      <vt:variant>
        <vt:i4>436</vt:i4>
      </vt:variant>
      <vt:variant>
        <vt:i4>0</vt:i4>
      </vt:variant>
      <vt:variant>
        <vt:i4>5</vt:i4>
      </vt:variant>
      <vt:variant>
        <vt:lpwstr>http://www.indexfungorum.org/Names/genusrecord.asp?RecordID=8971</vt:lpwstr>
      </vt:variant>
      <vt:variant>
        <vt:lpwstr/>
      </vt:variant>
      <vt:variant>
        <vt:i4>7274550</vt:i4>
      </vt:variant>
      <vt:variant>
        <vt:i4>433</vt:i4>
      </vt:variant>
      <vt:variant>
        <vt:i4>0</vt:i4>
      </vt:variant>
      <vt:variant>
        <vt:i4>5</vt:i4>
      </vt:variant>
      <vt:variant>
        <vt:lpwstr>http://www.catalogueoflife.org/browse_taxa.php?selected_taxon=4992</vt:lpwstr>
      </vt:variant>
      <vt:variant>
        <vt:lpwstr/>
      </vt:variant>
      <vt:variant>
        <vt:i4>7274550</vt:i4>
      </vt:variant>
      <vt:variant>
        <vt:i4>430</vt:i4>
      </vt:variant>
      <vt:variant>
        <vt:i4>0</vt:i4>
      </vt:variant>
      <vt:variant>
        <vt:i4>5</vt:i4>
      </vt:variant>
      <vt:variant>
        <vt:lpwstr>http://www.catalogueoflife.org/browse_taxa.php?selected_taxon=4992</vt:lpwstr>
      </vt:variant>
      <vt:variant>
        <vt:lpwstr/>
      </vt:variant>
      <vt:variant>
        <vt:i4>7274550</vt:i4>
      </vt:variant>
      <vt:variant>
        <vt:i4>427</vt:i4>
      </vt:variant>
      <vt:variant>
        <vt:i4>0</vt:i4>
      </vt:variant>
      <vt:variant>
        <vt:i4>5</vt:i4>
      </vt:variant>
      <vt:variant>
        <vt:lpwstr>http://www.catalogueoflife.org/browse_taxa.php?selected_taxon=4992</vt:lpwstr>
      </vt:variant>
      <vt:variant>
        <vt:lpwstr/>
      </vt:variant>
      <vt:variant>
        <vt:i4>7274550</vt:i4>
      </vt:variant>
      <vt:variant>
        <vt:i4>424</vt:i4>
      </vt:variant>
      <vt:variant>
        <vt:i4>0</vt:i4>
      </vt:variant>
      <vt:variant>
        <vt:i4>5</vt:i4>
      </vt:variant>
      <vt:variant>
        <vt:lpwstr>http://www.catalogueoflife.org/browse_taxa.php?selected_taxon=4992</vt:lpwstr>
      </vt:variant>
      <vt:variant>
        <vt:lpwstr/>
      </vt:variant>
      <vt:variant>
        <vt:i4>7274550</vt:i4>
      </vt:variant>
      <vt:variant>
        <vt:i4>421</vt:i4>
      </vt:variant>
      <vt:variant>
        <vt:i4>0</vt:i4>
      </vt:variant>
      <vt:variant>
        <vt:i4>5</vt:i4>
      </vt:variant>
      <vt:variant>
        <vt:lpwstr>http://www.catalogueoflife.org/browse_taxa.php?selected_taxon=4992</vt:lpwstr>
      </vt:variant>
      <vt:variant>
        <vt:lpwstr/>
      </vt:variant>
      <vt:variant>
        <vt:i4>1638466</vt:i4>
      </vt:variant>
      <vt:variant>
        <vt:i4>418</vt:i4>
      </vt:variant>
      <vt:variant>
        <vt:i4>0</vt:i4>
      </vt:variant>
      <vt:variant>
        <vt:i4>5</vt:i4>
      </vt:variant>
      <vt:variant>
        <vt:lpwstr>http://www.indexfungorum.org/Names/SynSpecies.asp?RecordID=300023</vt:lpwstr>
      </vt:variant>
      <vt:variant>
        <vt:lpwstr/>
      </vt:variant>
      <vt:variant>
        <vt:i4>1966084</vt:i4>
      </vt:variant>
      <vt:variant>
        <vt:i4>415</vt:i4>
      </vt:variant>
      <vt:variant>
        <vt:i4>0</vt:i4>
      </vt:variant>
      <vt:variant>
        <vt:i4>5</vt:i4>
      </vt:variant>
      <vt:variant>
        <vt:lpwstr>http://www.indexfungorum.org/Names/genusrecord.asp?RecordID=8760</vt:lpwstr>
      </vt:variant>
      <vt:variant>
        <vt:lpwstr/>
      </vt:variant>
      <vt:variant>
        <vt:i4>2818093</vt:i4>
      </vt:variant>
      <vt:variant>
        <vt:i4>412</vt:i4>
      </vt:variant>
      <vt:variant>
        <vt:i4>0</vt:i4>
      </vt:variant>
      <vt:variant>
        <vt:i4>5</vt:i4>
      </vt:variant>
      <vt:variant>
        <vt:lpwstr>http://www.indexfungorum.org/Names/NamesRecord.asp?RecordID=332823</vt:lpwstr>
      </vt:variant>
      <vt:variant>
        <vt:lpwstr/>
      </vt:variant>
      <vt:variant>
        <vt:i4>2162735</vt:i4>
      </vt:variant>
      <vt:variant>
        <vt:i4>409</vt:i4>
      </vt:variant>
      <vt:variant>
        <vt:i4>0</vt:i4>
      </vt:variant>
      <vt:variant>
        <vt:i4>5</vt:i4>
      </vt:variant>
      <vt:variant>
        <vt:lpwstr>http://www.indexfungorum.org/Names/NamesRecord.asp?RecordID=174045</vt:lpwstr>
      </vt:variant>
      <vt:variant>
        <vt:lpwstr/>
      </vt:variant>
      <vt:variant>
        <vt:i4>1572874</vt:i4>
      </vt:variant>
      <vt:variant>
        <vt:i4>406</vt:i4>
      </vt:variant>
      <vt:variant>
        <vt:i4>0</vt:i4>
      </vt:variant>
      <vt:variant>
        <vt:i4>5</vt:i4>
      </vt:variant>
      <vt:variant>
        <vt:lpwstr>http://www.indexfungorum.org/Names/genusrecord.asp?RecordID=16179</vt:lpwstr>
      </vt:variant>
      <vt:variant>
        <vt:lpwstr/>
      </vt:variant>
      <vt:variant>
        <vt:i4>1769475</vt:i4>
      </vt:variant>
      <vt:variant>
        <vt:i4>403</vt:i4>
      </vt:variant>
      <vt:variant>
        <vt:i4>0</vt:i4>
      </vt:variant>
      <vt:variant>
        <vt:i4>5</vt:i4>
      </vt:variant>
      <vt:variant>
        <vt:lpwstr>http://www.indexfungorum.org/Names/genusrecord.asp?RecordID=17858</vt:lpwstr>
      </vt:variant>
      <vt:variant>
        <vt:lpwstr/>
      </vt:variant>
      <vt:variant>
        <vt:i4>2359337</vt:i4>
      </vt:variant>
      <vt:variant>
        <vt:i4>400</vt:i4>
      </vt:variant>
      <vt:variant>
        <vt:i4>0</vt:i4>
      </vt:variant>
      <vt:variant>
        <vt:i4>5</vt:i4>
      </vt:variant>
      <vt:variant>
        <vt:lpwstr>http://www.indexfungorum.org/Names/NamesRecord.asp?RecordID=160667</vt:lpwstr>
      </vt:variant>
      <vt:variant>
        <vt:lpwstr/>
      </vt:variant>
      <vt:variant>
        <vt:i4>1572928</vt:i4>
      </vt:variant>
      <vt:variant>
        <vt:i4>397</vt:i4>
      </vt:variant>
      <vt:variant>
        <vt:i4>0</vt:i4>
      </vt:variant>
      <vt:variant>
        <vt:i4>5</vt:i4>
      </vt:variant>
      <vt:variant>
        <vt:lpwstr>http://www.indexfungorum.org/Names/SynSpecies.asp?RecordID=236149</vt:lpwstr>
      </vt:variant>
      <vt:variant>
        <vt:lpwstr/>
      </vt:variant>
      <vt:variant>
        <vt:i4>7274550</vt:i4>
      </vt:variant>
      <vt:variant>
        <vt:i4>394</vt:i4>
      </vt:variant>
      <vt:variant>
        <vt:i4>0</vt:i4>
      </vt:variant>
      <vt:variant>
        <vt:i4>5</vt:i4>
      </vt:variant>
      <vt:variant>
        <vt:lpwstr>http://www.catalogueoflife.org/browse_taxa.php?selected_taxon=4992</vt:lpwstr>
      </vt:variant>
      <vt:variant>
        <vt:lpwstr/>
      </vt:variant>
      <vt:variant>
        <vt:i4>7274550</vt:i4>
      </vt:variant>
      <vt:variant>
        <vt:i4>391</vt:i4>
      </vt:variant>
      <vt:variant>
        <vt:i4>0</vt:i4>
      </vt:variant>
      <vt:variant>
        <vt:i4>5</vt:i4>
      </vt:variant>
      <vt:variant>
        <vt:lpwstr>http://www.catalogueoflife.org/browse_taxa.php?selected_taxon=4992</vt:lpwstr>
      </vt:variant>
      <vt:variant>
        <vt:lpwstr/>
      </vt:variant>
      <vt:variant>
        <vt:i4>2031631</vt:i4>
      </vt:variant>
      <vt:variant>
        <vt:i4>388</vt:i4>
      </vt:variant>
      <vt:variant>
        <vt:i4>0</vt:i4>
      </vt:variant>
      <vt:variant>
        <vt:i4>5</vt:i4>
      </vt:variant>
      <vt:variant>
        <vt:lpwstr>http://www.indexfungorum.org/Names/genusrecord.asp?RecordID=2274</vt:lpwstr>
      </vt:variant>
      <vt:variant>
        <vt:lpwstr/>
      </vt:variant>
      <vt:variant>
        <vt:i4>1835020</vt:i4>
      </vt:variant>
      <vt:variant>
        <vt:i4>385</vt:i4>
      </vt:variant>
      <vt:variant>
        <vt:i4>0</vt:i4>
      </vt:variant>
      <vt:variant>
        <vt:i4>5</vt:i4>
      </vt:variant>
      <vt:variant>
        <vt:lpwstr>http://www.indexfungorum.org/Names/genusrecord.asp?RecordID=17727</vt:lpwstr>
      </vt:variant>
      <vt:variant>
        <vt:lpwstr/>
      </vt:variant>
      <vt:variant>
        <vt:i4>7274550</vt:i4>
      </vt:variant>
      <vt:variant>
        <vt:i4>382</vt:i4>
      </vt:variant>
      <vt:variant>
        <vt:i4>0</vt:i4>
      </vt:variant>
      <vt:variant>
        <vt:i4>5</vt:i4>
      </vt:variant>
      <vt:variant>
        <vt:lpwstr>http://www.catalogueoflife.org/browse_taxa.php?selected_taxon=4992</vt:lpwstr>
      </vt:variant>
      <vt:variant>
        <vt:lpwstr/>
      </vt:variant>
      <vt:variant>
        <vt:i4>1441860</vt:i4>
      </vt:variant>
      <vt:variant>
        <vt:i4>379</vt:i4>
      </vt:variant>
      <vt:variant>
        <vt:i4>0</vt:i4>
      </vt:variant>
      <vt:variant>
        <vt:i4>5</vt:i4>
      </vt:variant>
      <vt:variant>
        <vt:lpwstr>http://www.indexfungorum.org/Names/SynSpecies.asp?RecordID=107680</vt:lpwstr>
      </vt:variant>
      <vt:variant>
        <vt:lpwstr/>
      </vt:variant>
      <vt:variant>
        <vt:i4>7274550</vt:i4>
      </vt:variant>
      <vt:variant>
        <vt:i4>376</vt:i4>
      </vt:variant>
      <vt:variant>
        <vt:i4>0</vt:i4>
      </vt:variant>
      <vt:variant>
        <vt:i4>5</vt:i4>
      </vt:variant>
      <vt:variant>
        <vt:lpwstr>http://www.catalogueoflife.org/browse_taxa.php?selected_taxon=4992</vt:lpwstr>
      </vt:variant>
      <vt:variant>
        <vt:lpwstr/>
      </vt:variant>
      <vt:variant>
        <vt:i4>1441856</vt:i4>
      </vt:variant>
      <vt:variant>
        <vt:i4>373</vt:i4>
      </vt:variant>
      <vt:variant>
        <vt:i4>0</vt:i4>
      </vt:variant>
      <vt:variant>
        <vt:i4>5</vt:i4>
      </vt:variant>
      <vt:variant>
        <vt:lpwstr>http://www.indexfungorum.org/Names/SynSpecies.asp?RecordID=158777</vt:lpwstr>
      </vt:variant>
      <vt:variant>
        <vt:lpwstr/>
      </vt:variant>
      <vt:variant>
        <vt:i4>1048643</vt:i4>
      </vt:variant>
      <vt:variant>
        <vt:i4>370</vt:i4>
      </vt:variant>
      <vt:variant>
        <vt:i4>0</vt:i4>
      </vt:variant>
      <vt:variant>
        <vt:i4>5</vt:i4>
      </vt:variant>
      <vt:variant>
        <vt:lpwstr>http://www.indexfungorum.org/Names/SynSpecies.asp?RecordID=342592</vt:lpwstr>
      </vt:variant>
      <vt:variant>
        <vt:lpwstr/>
      </vt:variant>
      <vt:variant>
        <vt:i4>1769478</vt:i4>
      </vt:variant>
      <vt:variant>
        <vt:i4>367</vt:i4>
      </vt:variant>
      <vt:variant>
        <vt:i4>0</vt:i4>
      </vt:variant>
      <vt:variant>
        <vt:i4>5</vt:i4>
      </vt:variant>
      <vt:variant>
        <vt:lpwstr>http://www.indexfungorum.org/Names/genusrecord.asp?RecordID=8240</vt:lpwstr>
      </vt:variant>
      <vt:variant>
        <vt:lpwstr/>
      </vt:variant>
      <vt:variant>
        <vt:i4>1048590</vt:i4>
      </vt:variant>
      <vt:variant>
        <vt:i4>364</vt:i4>
      </vt:variant>
      <vt:variant>
        <vt:i4>0</vt:i4>
      </vt:variant>
      <vt:variant>
        <vt:i4>5</vt:i4>
      </vt:variant>
      <vt:variant>
        <vt:lpwstr>http://www.indexfungorum.org/Names/genusrecord.asp?RecordID=1950</vt:lpwstr>
      </vt:variant>
      <vt:variant>
        <vt:lpwstr/>
      </vt:variant>
      <vt:variant>
        <vt:i4>1638402</vt:i4>
      </vt:variant>
      <vt:variant>
        <vt:i4>361</vt:i4>
      </vt:variant>
      <vt:variant>
        <vt:i4>0</vt:i4>
      </vt:variant>
      <vt:variant>
        <vt:i4>5</vt:i4>
      </vt:variant>
      <vt:variant>
        <vt:lpwstr>http://www.indexfungorum.org/Names/genusrecord.asp?RecordID=1898</vt:lpwstr>
      </vt:variant>
      <vt:variant>
        <vt:lpwstr/>
      </vt:variant>
      <vt:variant>
        <vt:i4>1769474</vt:i4>
      </vt:variant>
      <vt:variant>
        <vt:i4>358</vt:i4>
      </vt:variant>
      <vt:variant>
        <vt:i4>0</vt:i4>
      </vt:variant>
      <vt:variant>
        <vt:i4>5</vt:i4>
      </vt:variant>
      <vt:variant>
        <vt:lpwstr>http://www.indexfungorum.org/Names/genusrecord.asp?RecordID=8103</vt:lpwstr>
      </vt:variant>
      <vt:variant>
        <vt:lpwstr/>
      </vt:variant>
      <vt:variant>
        <vt:i4>1703938</vt:i4>
      </vt:variant>
      <vt:variant>
        <vt:i4>355</vt:i4>
      </vt:variant>
      <vt:variant>
        <vt:i4>0</vt:i4>
      </vt:variant>
      <vt:variant>
        <vt:i4>5</vt:i4>
      </vt:variant>
      <vt:variant>
        <vt:lpwstr>http://www.indexfungorum.org/Names/genusrecord.asp?RecordID=1695</vt:lpwstr>
      </vt:variant>
      <vt:variant>
        <vt:lpwstr/>
      </vt:variant>
      <vt:variant>
        <vt:i4>1769477</vt:i4>
      </vt:variant>
      <vt:variant>
        <vt:i4>352</vt:i4>
      </vt:variant>
      <vt:variant>
        <vt:i4>0</vt:i4>
      </vt:variant>
      <vt:variant>
        <vt:i4>5</vt:i4>
      </vt:variant>
      <vt:variant>
        <vt:lpwstr>http://www.indexfungorum.org/Names/genusrecord.asp?RecordID=8072</vt:lpwstr>
      </vt:variant>
      <vt:variant>
        <vt:lpwstr/>
      </vt:variant>
      <vt:variant>
        <vt:i4>1769477</vt:i4>
      </vt:variant>
      <vt:variant>
        <vt:i4>349</vt:i4>
      </vt:variant>
      <vt:variant>
        <vt:i4>0</vt:i4>
      </vt:variant>
      <vt:variant>
        <vt:i4>5</vt:i4>
      </vt:variant>
      <vt:variant>
        <vt:lpwstr>http://www.indexfungorum.org/Names/genusrecord.asp?RecordID=8072</vt:lpwstr>
      </vt:variant>
      <vt:variant>
        <vt:lpwstr/>
      </vt:variant>
      <vt:variant>
        <vt:i4>1572866</vt:i4>
      </vt:variant>
      <vt:variant>
        <vt:i4>346</vt:i4>
      </vt:variant>
      <vt:variant>
        <vt:i4>0</vt:i4>
      </vt:variant>
      <vt:variant>
        <vt:i4>5</vt:i4>
      </vt:variant>
      <vt:variant>
        <vt:lpwstr>http://www.indexfungorum.org/Names/genusrecord.asp?RecordID=8001</vt:lpwstr>
      </vt:variant>
      <vt:variant>
        <vt:lpwstr/>
      </vt:variant>
      <vt:variant>
        <vt:i4>1441797</vt:i4>
      </vt:variant>
      <vt:variant>
        <vt:i4>343</vt:i4>
      </vt:variant>
      <vt:variant>
        <vt:i4>0</vt:i4>
      </vt:variant>
      <vt:variant>
        <vt:i4>5</vt:i4>
      </vt:variant>
      <vt:variant>
        <vt:lpwstr>http://www.indexfungorum.org/Names/genusrecord.asp?RecordID=7986</vt:lpwstr>
      </vt:variant>
      <vt:variant>
        <vt:lpwstr/>
      </vt:variant>
      <vt:variant>
        <vt:i4>1572875</vt:i4>
      </vt:variant>
      <vt:variant>
        <vt:i4>340</vt:i4>
      </vt:variant>
      <vt:variant>
        <vt:i4>0</vt:i4>
      </vt:variant>
      <vt:variant>
        <vt:i4>5</vt:i4>
      </vt:variant>
      <vt:variant>
        <vt:lpwstr>http://www.indexfungorum.org/Names/genusrecord.asp?RecordID=1504</vt:lpwstr>
      </vt:variant>
      <vt:variant>
        <vt:lpwstr/>
      </vt:variant>
      <vt:variant>
        <vt:i4>1572875</vt:i4>
      </vt:variant>
      <vt:variant>
        <vt:i4>337</vt:i4>
      </vt:variant>
      <vt:variant>
        <vt:i4>0</vt:i4>
      </vt:variant>
      <vt:variant>
        <vt:i4>5</vt:i4>
      </vt:variant>
      <vt:variant>
        <vt:lpwstr>http://www.indexfungorum.org/Names/genusrecord.asp?RecordID=1504</vt:lpwstr>
      </vt:variant>
      <vt:variant>
        <vt:lpwstr/>
      </vt:variant>
      <vt:variant>
        <vt:i4>7274550</vt:i4>
      </vt:variant>
      <vt:variant>
        <vt:i4>334</vt:i4>
      </vt:variant>
      <vt:variant>
        <vt:i4>0</vt:i4>
      </vt:variant>
      <vt:variant>
        <vt:i4>5</vt:i4>
      </vt:variant>
      <vt:variant>
        <vt:lpwstr>http://www.catalogueoflife.org/browse_taxa.php?selected_taxon=4992</vt:lpwstr>
      </vt:variant>
      <vt:variant>
        <vt:lpwstr/>
      </vt:variant>
      <vt:variant>
        <vt:i4>1638413</vt:i4>
      </vt:variant>
      <vt:variant>
        <vt:i4>331</vt:i4>
      </vt:variant>
      <vt:variant>
        <vt:i4>0</vt:i4>
      </vt:variant>
      <vt:variant>
        <vt:i4>5</vt:i4>
      </vt:variant>
      <vt:variant>
        <vt:lpwstr>http://www.indexfungorum.org/Names/genusrecord.asp?RecordID=1464</vt:lpwstr>
      </vt:variant>
      <vt:variant>
        <vt:lpwstr/>
      </vt:variant>
      <vt:variant>
        <vt:i4>1507339</vt:i4>
      </vt:variant>
      <vt:variant>
        <vt:i4>328</vt:i4>
      </vt:variant>
      <vt:variant>
        <vt:i4>0</vt:i4>
      </vt:variant>
      <vt:variant>
        <vt:i4>5</vt:i4>
      </vt:variant>
      <vt:variant>
        <vt:lpwstr>http://www.indexfungorum.org/Names/genusrecord.asp?RecordID=7866</vt:lpwstr>
      </vt:variant>
      <vt:variant>
        <vt:lpwstr/>
      </vt:variant>
      <vt:variant>
        <vt:i4>1507339</vt:i4>
      </vt:variant>
      <vt:variant>
        <vt:i4>325</vt:i4>
      </vt:variant>
      <vt:variant>
        <vt:i4>0</vt:i4>
      </vt:variant>
      <vt:variant>
        <vt:i4>5</vt:i4>
      </vt:variant>
      <vt:variant>
        <vt:lpwstr>http://www.indexfungorum.org/Names/genusrecord.asp?RecordID=7866</vt:lpwstr>
      </vt:variant>
      <vt:variant>
        <vt:lpwstr/>
      </vt:variant>
      <vt:variant>
        <vt:i4>1638414</vt:i4>
      </vt:variant>
      <vt:variant>
        <vt:i4>322</vt:i4>
      </vt:variant>
      <vt:variant>
        <vt:i4>0</vt:i4>
      </vt:variant>
      <vt:variant>
        <vt:i4>5</vt:i4>
      </vt:variant>
      <vt:variant>
        <vt:lpwstr>http://www.indexfungorum.org/Names/genusrecord.asp?RecordID=7838</vt:lpwstr>
      </vt:variant>
      <vt:variant>
        <vt:lpwstr/>
      </vt:variant>
      <vt:variant>
        <vt:i4>1966095</vt:i4>
      </vt:variant>
      <vt:variant>
        <vt:i4>319</vt:i4>
      </vt:variant>
      <vt:variant>
        <vt:i4>0</vt:i4>
      </vt:variant>
      <vt:variant>
        <vt:i4>5</vt:i4>
      </vt:variant>
      <vt:variant>
        <vt:lpwstr>http://www.indexfungorum.org/Names/genusrecord.asp?RecordID=17403</vt:lpwstr>
      </vt:variant>
      <vt:variant>
        <vt:lpwstr/>
      </vt:variant>
      <vt:variant>
        <vt:i4>1441796</vt:i4>
      </vt:variant>
      <vt:variant>
        <vt:i4>316</vt:i4>
      </vt:variant>
      <vt:variant>
        <vt:i4>0</vt:i4>
      </vt:variant>
      <vt:variant>
        <vt:i4>5</vt:i4>
      </vt:variant>
      <vt:variant>
        <vt:lpwstr>http://www.indexfungorum.org/Names/genusrecord.asp?RecordID=7798</vt:lpwstr>
      </vt:variant>
      <vt:variant>
        <vt:lpwstr/>
      </vt:variant>
      <vt:variant>
        <vt:i4>1769476</vt:i4>
      </vt:variant>
      <vt:variant>
        <vt:i4>313</vt:i4>
      </vt:variant>
      <vt:variant>
        <vt:i4>0</vt:i4>
      </vt:variant>
      <vt:variant>
        <vt:i4>5</vt:i4>
      </vt:variant>
      <vt:variant>
        <vt:lpwstr>http://www.indexfungorum.org/Names/genusrecord.asp?RecordID=7795</vt:lpwstr>
      </vt:variant>
      <vt:variant>
        <vt:lpwstr/>
      </vt:variant>
      <vt:variant>
        <vt:i4>1900552</vt:i4>
      </vt:variant>
      <vt:variant>
        <vt:i4>310</vt:i4>
      </vt:variant>
      <vt:variant>
        <vt:i4>0</vt:i4>
      </vt:variant>
      <vt:variant>
        <vt:i4>5</vt:i4>
      </vt:variant>
      <vt:variant>
        <vt:lpwstr>http://www.indexfungorum.org/Names/genusrecord.asp?RecordID=7753</vt:lpwstr>
      </vt:variant>
      <vt:variant>
        <vt:lpwstr/>
      </vt:variant>
      <vt:variant>
        <vt:i4>1638414</vt:i4>
      </vt:variant>
      <vt:variant>
        <vt:i4>307</vt:i4>
      </vt:variant>
      <vt:variant>
        <vt:i4>0</vt:i4>
      </vt:variant>
      <vt:variant>
        <vt:i4>5</vt:i4>
      </vt:variant>
      <vt:variant>
        <vt:lpwstr>http://www.indexfungorum.org/Names/genusrecord.asp?RecordID=7737</vt:lpwstr>
      </vt:variant>
      <vt:variant>
        <vt:lpwstr/>
      </vt:variant>
      <vt:variant>
        <vt:i4>1048590</vt:i4>
      </vt:variant>
      <vt:variant>
        <vt:i4>304</vt:i4>
      </vt:variant>
      <vt:variant>
        <vt:i4>0</vt:i4>
      </vt:variant>
      <vt:variant>
        <vt:i4>5</vt:i4>
      </vt:variant>
      <vt:variant>
        <vt:lpwstr>http://www.indexfungorum.org/Names/genusrecord.asp?RecordID=1158</vt:lpwstr>
      </vt:variant>
      <vt:variant>
        <vt:lpwstr/>
      </vt:variant>
      <vt:variant>
        <vt:i4>1966093</vt:i4>
      </vt:variant>
      <vt:variant>
        <vt:i4>301</vt:i4>
      </vt:variant>
      <vt:variant>
        <vt:i4>0</vt:i4>
      </vt:variant>
      <vt:variant>
        <vt:i4>5</vt:i4>
      </vt:variant>
      <vt:variant>
        <vt:lpwstr>http://www.indexfungorum.org/Names/genusrecord.asp?RecordID=7601</vt:lpwstr>
      </vt:variant>
      <vt:variant>
        <vt:lpwstr/>
      </vt:variant>
      <vt:variant>
        <vt:i4>2097198</vt:i4>
      </vt:variant>
      <vt:variant>
        <vt:i4>298</vt:i4>
      </vt:variant>
      <vt:variant>
        <vt:i4>0</vt:i4>
      </vt:variant>
      <vt:variant>
        <vt:i4>5</vt:i4>
      </vt:variant>
      <vt:variant>
        <vt:lpwstr>http://www.indexfungorum.org/Names/NamesRecord.asp?RecordID=310634</vt:lpwstr>
      </vt:variant>
      <vt:variant>
        <vt:lpwstr/>
      </vt:variant>
      <vt:variant>
        <vt:i4>2621490</vt:i4>
      </vt:variant>
      <vt:variant>
        <vt:i4>295</vt:i4>
      </vt:variant>
      <vt:variant>
        <vt:i4>0</vt:i4>
      </vt:variant>
      <vt:variant>
        <vt:i4>5</vt:i4>
      </vt:variant>
      <vt:variant>
        <vt:lpwstr>http://www.indexfungorum.org/Names/genusrecord.asp?RecordID=815</vt:lpwstr>
      </vt:variant>
      <vt:variant>
        <vt:lpwstr/>
      </vt:variant>
      <vt:variant>
        <vt:i4>2687026</vt:i4>
      </vt:variant>
      <vt:variant>
        <vt:i4>292</vt:i4>
      </vt:variant>
      <vt:variant>
        <vt:i4>0</vt:i4>
      </vt:variant>
      <vt:variant>
        <vt:i4>5</vt:i4>
      </vt:variant>
      <vt:variant>
        <vt:lpwstr>http://www.indexfungorum.org/Names/genusrecord.asp?RecordID=809</vt:lpwstr>
      </vt:variant>
      <vt:variant>
        <vt:lpwstr/>
      </vt:variant>
      <vt:variant>
        <vt:i4>2687026</vt:i4>
      </vt:variant>
      <vt:variant>
        <vt:i4>289</vt:i4>
      </vt:variant>
      <vt:variant>
        <vt:i4>0</vt:i4>
      </vt:variant>
      <vt:variant>
        <vt:i4>5</vt:i4>
      </vt:variant>
      <vt:variant>
        <vt:lpwstr>http://www.indexfungorum.org/Names/genusrecord.asp?RecordID=809</vt:lpwstr>
      </vt:variant>
      <vt:variant>
        <vt:lpwstr/>
      </vt:variant>
      <vt:variant>
        <vt:i4>2687026</vt:i4>
      </vt:variant>
      <vt:variant>
        <vt:i4>286</vt:i4>
      </vt:variant>
      <vt:variant>
        <vt:i4>0</vt:i4>
      </vt:variant>
      <vt:variant>
        <vt:i4>5</vt:i4>
      </vt:variant>
      <vt:variant>
        <vt:lpwstr>http://www.indexfungorum.org/Names/genusrecord.asp?RecordID=807</vt:lpwstr>
      </vt:variant>
      <vt:variant>
        <vt:lpwstr/>
      </vt:variant>
      <vt:variant>
        <vt:i4>1769482</vt:i4>
      </vt:variant>
      <vt:variant>
        <vt:i4>283</vt:i4>
      </vt:variant>
      <vt:variant>
        <vt:i4>0</vt:i4>
      </vt:variant>
      <vt:variant>
        <vt:i4>5</vt:i4>
      </vt:variant>
      <vt:variant>
        <vt:lpwstr>http://www.indexfungorum.org/Names/genusrecord.asp?RecordID=7476</vt:lpwstr>
      </vt:variant>
      <vt:variant>
        <vt:lpwstr/>
      </vt:variant>
      <vt:variant>
        <vt:i4>2949181</vt:i4>
      </vt:variant>
      <vt:variant>
        <vt:i4>280</vt:i4>
      </vt:variant>
      <vt:variant>
        <vt:i4>0</vt:i4>
      </vt:variant>
      <vt:variant>
        <vt:i4>5</vt:i4>
      </vt:variant>
      <vt:variant>
        <vt:lpwstr>http://www.indexfungorum.org/Names/genusrecord.asp?RecordID=746</vt:lpwstr>
      </vt:variant>
      <vt:variant>
        <vt:lpwstr/>
      </vt:variant>
      <vt:variant>
        <vt:i4>7274550</vt:i4>
      </vt:variant>
      <vt:variant>
        <vt:i4>277</vt:i4>
      </vt:variant>
      <vt:variant>
        <vt:i4>0</vt:i4>
      </vt:variant>
      <vt:variant>
        <vt:i4>5</vt:i4>
      </vt:variant>
      <vt:variant>
        <vt:lpwstr>http://www.catalogueoflife.org/browse_taxa.php?selected_taxon=4992</vt:lpwstr>
      </vt:variant>
      <vt:variant>
        <vt:lpwstr/>
      </vt:variant>
      <vt:variant>
        <vt:i4>6750264</vt:i4>
      </vt:variant>
      <vt:variant>
        <vt:i4>274</vt:i4>
      </vt:variant>
      <vt:variant>
        <vt:i4>0</vt:i4>
      </vt:variant>
      <vt:variant>
        <vt:i4>5</vt:i4>
      </vt:variant>
      <vt:variant>
        <vt:lpwstr>http://www.catalogueoflife.org/browse_taxa.php?selected_taxon=5261</vt:lpwstr>
      </vt:variant>
      <vt:variant>
        <vt:lpwstr/>
      </vt:variant>
      <vt:variant>
        <vt:i4>6750264</vt:i4>
      </vt:variant>
      <vt:variant>
        <vt:i4>271</vt:i4>
      </vt:variant>
      <vt:variant>
        <vt:i4>0</vt:i4>
      </vt:variant>
      <vt:variant>
        <vt:i4>5</vt:i4>
      </vt:variant>
      <vt:variant>
        <vt:lpwstr>http://www.catalogueoflife.org/browse_taxa.php?selected_taxon=5261</vt:lpwstr>
      </vt:variant>
      <vt:variant>
        <vt:lpwstr/>
      </vt:variant>
      <vt:variant>
        <vt:i4>6750264</vt:i4>
      </vt:variant>
      <vt:variant>
        <vt:i4>268</vt:i4>
      </vt:variant>
      <vt:variant>
        <vt:i4>0</vt:i4>
      </vt:variant>
      <vt:variant>
        <vt:i4>5</vt:i4>
      </vt:variant>
      <vt:variant>
        <vt:lpwstr>http://www.catalogueoflife.org/browse_taxa.php?selected_taxon=5261</vt:lpwstr>
      </vt:variant>
      <vt:variant>
        <vt:lpwstr/>
      </vt:variant>
      <vt:variant>
        <vt:i4>7012414</vt:i4>
      </vt:variant>
      <vt:variant>
        <vt:i4>265</vt:i4>
      </vt:variant>
      <vt:variant>
        <vt:i4>0</vt:i4>
      </vt:variant>
      <vt:variant>
        <vt:i4>5</vt:i4>
      </vt:variant>
      <vt:variant>
        <vt:lpwstr>http://www.catalogueoflife.org/browse_taxa.php?selected_taxon=4817</vt:lpwstr>
      </vt:variant>
      <vt:variant>
        <vt:lpwstr/>
      </vt:variant>
      <vt:variant>
        <vt:i4>6357048</vt:i4>
      </vt:variant>
      <vt:variant>
        <vt:i4>262</vt:i4>
      </vt:variant>
      <vt:variant>
        <vt:i4>0</vt:i4>
      </vt:variant>
      <vt:variant>
        <vt:i4>5</vt:i4>
      </vt:variant>
      <vt:variant>
        <vt:lpwstr>http://www.catalogueoflife.org/browse_taxa.php?selected_taxon=5164</vt:lpwstr>
      </vt:variant>
      <vt:variant>
        <vt:lpwstr/>
      </vt:variant>
      <vt:variant>
        <vt:i4>7274550</vt:i4>
      </vt:variant>
      <vt:variant>
        <vt:i4>259</vt:i4>
      </vt:variant>
      <vt:variant>
        <vt:i4>0</vt:i4>
      </vt:variant>
      <vt:variant>
        <vt:i4>5</vt:i4>
      </vt:variant>
      <vt:variant>
        <vt:lpwstr>http://www.catalogueoflife.org/browse_taxa.php?selected_taxon=4992</vt:lpwstr>
      </vt:variant>
      <vt:variant>
        <vt:lpwstr/>
      </vt:variant>
      <vt:variant>
        <vt:i4>5242883</vt:i4>
      </vt:variant>
      <vt:variant>
        <vt:i4>256</vt:i4>
      </vt:variant>
      <vt:variant>
        <vt:i4>0</vt:i4>
      </vt:variant>
      <vt:variant>
        <vt:i4>5</vt:i4>
      </vt:variant>
      <vt:variant>
        <vt:lpwstr>http://www.catalogueoflife.org/browse_taxa.php?selected_taxon=840</vt:lpwstr>
      </vt:variant>
      <vt:variant>
        <vt:lpwstr/>
      </vt:variant>
      <vt:variant>
        <vt:i4>3407930</vt:i4>
      </vt:variant>
      <vt:variant>
        <vt:i4>249</vt:i4>
      </vt:variant>
      <vt:variant>
        <vt:i4>0</vt:i4>
      </vt:variant>
      <vt:variant>
        <vt:i4>5</vt:i4>
      </vt:variant>
      <vt:variant>
        <vt:lpwstr>http://www.oardc.ohio-state.edu/grapeipm/images/Grape Plume Moth B.jpg</vt:lpwstr>
      </vt:variant>
      <vt:variant>
        <vt:lpwstr/>
      </vt:variant>
      <vt:variant>
        <vt:i4>6029326</vt:i4>
      </vt:variant>
      <vt:variant>
        <vt:i4>246</vt:i4>
      </vt:variant>
      <vt:variant>
        <vt:i4>0</vt:i4>
      </vt:variant>
      <vt:variant>
        <vt:i4>5</vt:i4>
      </vt:variant>
      <vt:variant>
        <vt:lpwstr>http://www.oardc.ohio-state.edu/grapeipm/images/green fruit worm.jpg</vt:lpwstr>
      </vt:variant>
      <vt:variant>
        <vt:lpwstr/>
      </vt:variant>
      <vt:variant>
        <vt:i4>5308448</vt:i4>
      </vt:variant>
      <vt:variant>
        <vt:i4>243</vt:i4>
      </vt:variant>
      <vt:variant>
        <vt:i4>0</vt:i4>
      </vt:variant>
      <vt:variant>
        <vt:i4>5</vt:i4>
      </vt:variant>
      <vt:variant>
        <vt:lpwstr>http://www.oardc.ohio-state.edu/grapeipm/images/Eight-Spotted Forester_Adult (Fig 30).jpg</vt:lpwstr>
      </vt:variant>
      <vt:variant>
        <vt:lpwstr/>
      </vt:variant>
      <vt:variant>
        <vt:i4>3211380</vt:i4>
      </vt:variant>
      <vt:variant>
        <vt:i4>240</vt:i4>
      </vt:variant>
      <vt:variant>
        <vt:i4>0</vt:i4>
      </vt:variant>
      <vt:variant>
        <vt:i4>5</vt:i4>
      </vt:variant>
      <vt:variant>
        <vt:lpwstr>http://www.ipm.ucdavis.edu/PMG/G/I-CO-GSQU-CD.001.html</vt:lpwstr>
      </vt:variant>
      <vt:variant>
        <vt:lpwstr/>
      </vt:variant>
      <vt:variant>
        <vt:i4>2490415</vt:i4>
      </vt:variant>
      <vt:variant>
        <vt:i4>234</vt:i4>
      </vt:variant>
      <vt:variant>
        <vt:i4>0</vt:i4>
      </vt:variant>
      <vt:variant>
        <vt:i4>5</vt:i4>
      </vt:variant>
      <vt:variant>
        <vt:lpwstr>http://www.indexfungorum.org/Names/NamesRecord.asp?RecordID=357050</vt:lpwstr>
      </vt:variant>
      <vt:variant>
        <vt:lpwstr/>
      </vt:variant>
      <vt:variant>
        <vt:i4>2031680</vt:i4>
      </vt:variant>
      <vt:variant>
        <vt:i4>231</vt:i4>
      </vt:variant>
      <vt:variant>
        <vt:i4>0</vt:i4>
      </vt:variant>
      <vt:variant>
        <vt:i4>5</vt:i4>
      </vt:variant>
      <vt:variant>
        <vt:lpwstr>http://www.indexfungorum.org/Names/SynSpecies.asp?RecordID=500227</vt:lpwstr>
      </vt:variant>
      <vt:variant>
        <vt:lpwstr/>
      </vt:variant>
      <vt:variant>
        <vt:i4>4128878</vt:i4>
      </vt:variant>
      <vt:variant>
        <vt:i4>228</vt:i4>
      </vt:variant>
      <vt:variant>
        <vt:i4>0</vt:i4>
      </vt:variant>
      <vt:variant>
        <vt:i4>5</vt:i4>
      </vt:variant>
      <vt:variant>
        <vt:lpwstr>http://www.aqis.gov.au/icon</vt:lpwstr>
      </vt:variant>
      <vt:variant>
        <vt:lpwstr/>
      </vt:variant>
      <vt:variant>
        <vt:i4>2031685</vt:i4>
      </vt:variant>
      <vt:variant>
        <vt:i4>225</vt:i4>
      </vt:variant>
      <vt:variant>
        <vt:i4>0</vt:i4>
      </vt:variant>
      <vt:variant>
        <vt:i4>5</vt:i4>
      </vt:variant>
      <vt:variant>
        <vt:lpwstr>http://www.indexfungorum.org/Names/SynSpecies.asp?RecordID=103753</vt:lpwstr>
      </vt:variant>
      <vt:variant>
        <vt:lpwstr/>
      </vt:variant>
      <vt:variant>
        <vt:i4>1048627</vt:i4>
      </vt:variant>
      <vt:variant>
        <vt:i4>194</vt:i4>
      </vt:variant>
      <vt:variant>
        <vt:i4>0</vt:i4>
      </vt:variant>
      <vt:variant>
        <vt:i4>5</vt:i4>
      </vt:variant>
      <vt:variant>
        <vt:lpwstr/>
      </vt:variant>
      <vt:variant>
        <vt:lpwstr>_Toc336347208</vt:lpwstr>
      </vt:variant>
      <vt:variant>
        <vt:i4>1048627</vt:i4>
      </vt:variant>
      <vt:variant>
        <vt:i4>188</vt:i4>
      </vt:variant>
      <vt:variant>
        <vt:i4>0</vt:i4>
      </vt:variant>
      <vt:variant>
        <vt:i4>5</vt:i4>
      </vt:variant>
      <vt:variant>
        <vt:lpwstr/>
      </vt:variant>
      <vt:variant>
        <vt:lpwstr>_Toc336347207</vt:lpwstr>
      </vt:variant>
      <vt:variant>
        <vt:i4>1048627</vt:i4>
      </vt:variant>
      <vt:variant>
        <vt:i4>182</vt:i4>
      </vt:variant>
      <vt:variant>
        <vt:i4>0</vt:i4>
      </vt:variant>
      <vt:variant>
        <vt:i4>5</vt:i4>
      </vt:variant>
      <vt:variant>
        <vt:lpwstr/>
      </vt:variant>
      <vt:variant>
        <vt:lpwstr>_Toc336347206</vt:lpwstr>
      </vt:variant>
      <vt:variant>
        <vt:i4>1048627</vt:i4>
      </vt:variant>
      <vt:variant>
        <vt:i4>176</vt:i4>
      </vt:variant>
      <vt:variant>
        <vt:i4>0</vt:i4>
      </vt:variant>
      <vt:variant>
        <vt:i4>5</vt:i4>
      </vt:variant>
      <vt:variant>
        <vt:lpwstr/>
      </vt:variant>
      <vt:variant>
        <vt:lpwstr>_Toc336347205</vt:lpwstr>
      </vt:variant>
      <vt:variant>
        <vt:i4>1048627</vt:i4>
      </vt:variant>
      <vt:variant>
        <vt:i4>170</vt:i4>
      </vt:variant>
      <vt:variant>
        <vt:i4>0</vt:i4>
      </vt:variant>
      <vt:variant>
        <vt:i4>5</vt:i4>
      </vt:variant>
      <vt:variant>
        <vt:lpwstr/>
      </vt:variant>
      <vt:variant>
        <vt:lpwstr>_Toc336347204</vt:lpwstr>
      </vt:variant>
      <vt:variant>
        <vt:i4>1048627</vt:i4>
      </vt:variant>
      <vt:variant>
        <vt:i4>164</vt:i4>
      </vt:variant>
      <vt:variant>
        <vt:i4>0</vt:i4>
      </vt:variant>
      <vt:variant>
        <vt:i4>5</vt:i4>
      </vt:variant>
      <vt:variant>
        <vt:lpwstr/>
      </vt:variant>
      <vt:variant>
        <vt:lpwstr>_Toc336347203</vt:lpwstr>
      </vt:variant>
      <vt:variant>
        <vt:i4>1048627</vt:i4>
      </vt:variant>
      <vt:variant>
        <vt:i4>158</vt:i4>
      </vt:variant>
      <vt:variant>
        <vt:i4>0</vt:i4>
      </vt:variant>
      <vt:variant>
        <vt:i4>5</vt:i4>
      </vt:variant>
      <vt:variant>
        <vt:lpwstr/>
      </vt:variant>
      <vt:variant>
        <vt:lpwstr>_Toc336347202</vt:lpwstr>
      </vt:variant>
      <vt:variant>
        <vt:i4>1048627</vt:i4>
      </vt:variant>
      <vt:variant>
        <vt:i4>152</vt:i4>
      </vt:variant>
      <vt:variant>
        <vt:i4>0</vt:i4>
      </vt:variant>
      <vt:variant>
        <vt:i4>5</vt:i4>
      </vt:variant>
      <vt:variant>
        <vt:lpwstr/>
      </vt:variant>
      <vt:variant>
        <vt:lpwstr>_Toc336347201</vt:lpwstr>
      </vt:variant>
      <vt:variant>
        <vt:i4>1048627</vt:i4>
      </vt:variant>
      <vt:variant>
        <vt:i4>146</vt:i4>
      </vt:variant>
      <vt:variant>
        <vt:i4>0</vt:i4>
      </vt:variant>
      <vt:variant>
        <vt:i4>5</vt:i4>
      </vt:variant>
      <vt:variant>
        <vt:lpwstr/>
      </vt:variant>
      <vt:variant>
        <vt:lpwstr>_Toc336347200</vt:lpwstr>
      </vt:variant>
      <vt:variant>
        <vt:i4>1638448</vt:i4>
      </vt:variant>
      <vt:variant>
        <vt:i4>140</vt:i4>
      </vt:variant>
      <vt:variant>
        <vt:i4>0</vt:i4>
      </vt:variant>
      <vt:variant>
        <vt:i4>5</vt:i4>
      </vt:variant>
      <vt:variant>
        <vt:lpwstr/>
      </vt:variant>
      <vt:variant>
        <vt:lpwstr>_Toc336347199</vt:lpwstr>
      </vt:variant>
      <vt:variant>
        <vt:i4>1638448</vt:i4>
      </vt:variant>
      <vt:variant>
        <vt:i4>134</vt:i4>
      </vt:variant>
      <vt:variant>
        <vt:i4>0</vt:i4>
      </vt:variant>
      <vt:variant>
        <vt:i4>5</vt:i4>
      </vt:variant>
      <vt:variant>
        <vt:lpwstr/>
      </vt:variant>
      <vt:variant>
        <vt:lpwstr>_Toc336347198</vt:lpwstr>
      </vt:variant>
      <vt:variant>
        <vt:i4>1638448</vt:i4>
      </vt:variant>
      <vt:variant>
        <vt:i4>128</vt:i4>
      </vt:variant>
      <vt:variant>
        <vt:i4>0</vt:i4>
      </vt:variant>
      <vt:variant>
        <vt:i4>5</vt:i4>
      </vt:variant>
      <vt:variant>
        <vt:lpwstr/>
      </vt:variant>
      <vt:variant>
        <vt:lpwstr>_Toc336347197</vt:lpwstr>
      </vt:variant>
      <vt:variant>
        <vt:i4>1638448</vt:i4>
      </vt:variant>
      <vt:variant>
        <vt:i4>122</vt:i4>
      </vt:variant>
      <vt:variant>
        <vt:i4>0</vt:i4>
      </vt:variant>
      <vt:variant>
        <vt:i4>5</vt:i4>
      </vt:variant>
      <vt:variant>
        <vt:lpwstr/>
      </vt:variant>
      <vt:variant>
        <vt:lpwstr>_Toc336347196</vt:lpwstr>
      </vt:variant>
      <vt:variant>
        <vt:i4>1638448</vt:i4>
      </vt:variant>
      <vt:variant>
        <vt:i4>116</vt:i4>
      </vt:variant>
      <vt:variant>
        <vt:i4>0</vt:i4>
      </vt:variant>
      <vt:variant>
        <vt:i4>5</vt:i4>
      </vt:variant>
      <vt:variant>
        <vt:lpwstr/>
      </vt:variant>
      <vt:variant>
        <vt:lpwstr>_Toc336347195</vt:lpwstr>
      </vt:variant>
      <vt:variant>
        <vt:i4>1638448</vt:i4>
      </vt:variant>
      <vt:variant>
        <vt:i4>110</vt:i4>
      </vt:variant>
      <vt:variant>
        <vt:i4>0</vt:i4>
      </vt:variant>
      <vt:variant>
        <vt:i4>5</vt:i4>
      </vt:variant>
      <vt:variant>
        <vt:lpwstr/>
      </vt:variant>
      <vt:variant>
        <vt:lpwstr>_Toc336347194</vt:lpwstr>
      </vt:variant>
      <vt:variant>
        <vt:i4>1638448</vt:i4>
      </vt:variant>
      <vt:variant>
        <vt:i4>104</vt:i4>
      </vt:variant>
      <vt:variant>
        <vt:i4>0</vt:i4>
      </vt:variant>
      <vt:variant>
        <vt:i4>5</vt:i4>
      </vt:variant>
      <vt:variant>
        <vt:lpwstr/>
      </vt:variant>
      <vt:variant>
        <vt:lpwstr>_Toc336347193</vt:lpwstr>
      </vt:variant>
      <vt:variant>
        <vt:i4>1638448</vt:i4>
      </vt:variant>
      <vt:variant>
        <vt:i4>98</vt:i4>
      </vt:variant>
      <vt:variant>
        <vt:i4>0</vt:i4>
      </vt:variant>
      <vt:variant>
        <vt:i4>5</vt:i4>
      </vt:variant>
      <vt:variant>
        <vt:lpwstr/>
      </vt:variant>
      <vt:variant>
        <vt:lpwstr>_Toc336347192</vt:lpwstr>
      </vt:variant>
      <vt:variant>
        <vt:i4>1638448</vt:i4>
      </vt:variant>
      <vt:variant>
        <vt:i4>92</vt:i4>
      </vt:variant>
      <vt:variant>
        <vt:i4>0</vt:i4>
      </vt:variant>
      <vt:variant>
        <vt:i4>5</vt:i4>
      </vt:variant>
      <vt:variant>
        <vt:lpwstr/>
      </vt:variant>
      <vt:variant>
        <vt:lpwstr>_Toc336347191</vt:lpwstr>
      </vt:variant>
      <vt:variant>
        <vt:i4>1638448</vt:i4>
      </vt:variant>
      <vt:variant>
        <vt:i4>86</vt:i4>
      </vt:variant>
      <vt:variant>
        <vt:i4>0</vt:i4>
      </vt:variant>
      <vt:variant>
        <vt:i4>5</vt:i4>
      </vt:variant>
      <vt:variant>
        <vt:lpwstr/>
      </vt:variant>
      <vt:variant>
        <vt:lpwstr>_Toc336347190</vt:lpwstr>
      </vt:variant>
      <vt:variant>
        <vt:i4>1572912</vt:i4>
      </vt:variant>
      <vt:variant>
        <vt:i4>80</vt:i4>
      </vt:variant>
      <vt:variant>
        <vt:i4>0</vt:i4>
      </vt:variant>
      <vt:variant>
        <vt:i4>5</vt:i4>
      </vt:variant>
      <vt:variant>
        <vt:lpwstr/>
      </vt:variant>
      <vt:variant>
        <vt:lpwstr>_Toc336347189</vt:lpwstr>
      </vt:variant>
      <vt:variant>
        <vt:i4>1572912</vt:i4>
      </vt:variant>
      <vt:variant>
        <vt:i4>74</vt:i4>
      </vt:variant>
      <vt:variant>
        <vt:i4>0</vt:i4>
      </vt:variant>
      <vt:variant>
        <vt:i4>5</vt:i4>
      </vt:variant>
      <vt:variant>
        <vt:lpwstr/>
      </vt:variant>
      <vt:variant>
        <vt:lpwstr>_Toc336347188</vt:lpwstr>
      </vt:variant>
      <vt:variant>
        <vt:i4>1572912</vt:i4>
      </vt:variant>
      <vt:variant>
        <vt:i4>68</vt:i4>
      </vt:variant>
      <vt:variant>
        <vt:i4>0</vt:i4>
      </vt:variant>
      <vt:variant>
        <vt:i4>5</vt:i4>
      </vt:variant>
      <vt:variant>
        <vt:lpwstr/>
      </vt:variant>
      <vt:variant>
        <vt:lpwstr>_Toc336347187</vt:lpwstr>
      </vt:variant>
      <vt:variant>
        <vt:i4>1572912</vt:i4>
      </vt:variant>
      <vt:variant>
        <vt:i4>62</vt:i4>
      </vt:variant>
      <vt:variant>
        <vt:i4>0</vt:i4>
      </vt:variant>
      <vt:variant>
        <vt:i4>5</vt:i4>
      </vt:variant>
      <vt:variant>
        <vt:lpwstr/>
      </vt:variant>
      <vt:variant>
        <vt:lpwstr>_Toc336347186</vt:lpwstr>
      </vt:variant>
      <vt:variant>
        <vt:i4>1572912</vt:i4>
      </vt:variant>
      <vt:variant>
        <vt:i4>56</vt:i4>
      </vt:variant>
      <vt:variant>
        <vt:i4>0</vt:i4>
      </vt:variant>
      <vt:variant>
        <vt:i4>5</vt:i4>
      </vt:variant>
      <vt:variant>
        <vt:lpwstr/>
      </vt:variant>
      <vt:variant>
        <vt:lpwstr>_Toc336347185</vt:lpwstr>
      </vt:variant>
      <vt:variant>
        <vt:i4>1572912</vt:i4>
      </vt:variant>
      <vt:variant>
        <vt:i4>50</vt:i4>
      </vt:variant>
      <vt:variant>
        <vt:i4>0</vt:i4>
      </vt:variant>
      <vt:variant>
        <vt:i4>5</vt:i4>
      </vt:variant>
      <vt:variant>
        <vt:lpwstr/>
      </vt:variant>
      <vt:variant>
        <vt:lpwstr>_Toc336347184</vt:lpwstr>
      </vt:variant>
      <vt:variant>
        <vt:i4>1572912</vt:i4>
      </vt:variant>
      <vt:variant>
        <vt:i4>44</vt:i4>
      </vt:variant>
      <vt:variant>
        <vt:i4>0</vt:i4>
      </vt:variant>
      <vt:variant>
        <vt:i4>5</vt:i4>
      </vt:variant>
      <vt:variant>
        <vt:lpwstr/>
      </vt:variant>
      <vt:variant>
        <vt:lpwstr>_Toc336347183</vt:lpwstr>
      </vt:variant>
      <vt:variant>
        <vt:i4>1572912</vt:i4>
      </vt:variant>
      <vt:variant>
        <vt:i4>38</vt:i4>
      </vt:variant>
      <vt:variant>
        <vt:i4>0</vt:i4>
      </vt:variant>
      <vt:variant>
        <vt:i4>5</vt:i4>
      </vt:variant>
      <vt:variant>
        <vt:lpwstr/>
      </vt:variant>
      <vt:variant>
        <vt:lpwstr>_Toc336347182</vt:lpwstr>
      </vt:variant>
      <vt:variant>
        <vt:i4>1572912</vt:i4>
      </vt:variant>
      <vt:variant>
        <vt:i4>32</vt:i4>
      </vt:variant>
      <vt:variant>
        <vt:i4>0</vt:i4>
      </vt:variant>
      <vt:variant>
        <vt:i4>5</vt:i4>
      </vt:variant>
      <vt:variant>
        <vt:lpwstr/>
      </vt:variant>
      <vt:variant>
        <vt:lpwstr>_Toc336347181</vt:lpwstr>
      </vt:variant>
      <vt:variant>
        <vt:i4>1572912</vt:i4>
      </vt:variant>
      <vt:variant>
        <vt:i4>26</vt:i4>
      </vt:variant>
      <vt:variant>
        <vt:i4>0</vt:i4>
      </vt:variant>
      <vt:variant>
        <vt:i4>5</vt:i4>
      </vt:variant>
      <vt:variant>
        <vt:lpwstr/>
      </vt:variant>
      <vt:variant>
        <vt:lpwstr>_Toc336347180</vt:lpwstr>
      </vt:variant>
      <vt:variant>
        <vt:i4>1507376</vt:i4>
      </vt:variant>
      <vt:variant>
        <vt:i4>20</vt:i4>
      </vt:variant>
      <vt:variant>
        <vt:i4>0</vt:i4>
      </vt:variant>
      <vt:variant>
        <vt:i4>5</vt:i4>
      </vt:variant>
      <vt:variant>
        <vt:lpwstr/>
      </vt:variant>
      <vt:variant>
        <vt:lpwstr>_Toc336347179</vt:lpwstr>
      </vt:variant>
      <vt:variant>
        <vt:i4>1507376</vt:i4>
      </vt:variant>
      <vt:variant>
        <vt:i4>14</vt:i4>
      </vt:variant>
      <vt:variant>
        <vt:i4>0</vt:i4>
      </vt:variant>
      <vt:variant>
        <vt:i4>5</vt:i4>
      </vt:variant>
      <vt:variant>
        <vt:lpwstr/>
      </vt:variant>
      <vt:variant>
        <vt:lpwstr>_Toc336347178</vt:lpwstr>
      </vt:variant>
      <vt:variant>
        <vt:i4>1507376</vt:i4>
      </vt:variant>
      <vt:variant>
        <vt:i4>8</vt:i4>
      </vt:variant>
      <vt:variant>
        <vt:i4>0</vt:i4>
      </vt:variant>
      <vt:variant>
        <vt:i4>5</vt:i4>
      </vt:variant>
      <vt:variant>
        <vt:lpwstr/>
      </vt:variant>
      <vt:variant>
        <vt:lpwstr>_Toc336347177</vt:lpwstr>
      </vt:variant>
      <vt:variant>
        <vt:i4>1507376</vt:i4>
      </vt:variant>
      <vt:variant>
        <vt:i4>2</vt:i4>
      </vt:variant>
      <vt:variant>
        <vt:i4>0</vt:i4>
      </vt:variant>
      <vt:variant>
        <vt:i4>5</vt:i4>
      </vt:variant>
      <vt:variant>
        <vt:lpwstr/>
      </vt:variant>
      <vt:variant>
        <vt:lpwstr>_Toc336347176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2010-10-27T03:47:00Z</cp:lastPrinted>
  <dcterms:created xsi:type="dcterms:W3CDTF">2013-01-18T04:49:00Z</dcterms:created>
  <dcterms:modified xsi:type="dcterms:W3CDTF">2013-01-18T04:49:00Z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2011858622</vt:i4>
  </property>
  <property fmtid="{D5CDD505-2E9C-101B-9397-08002B2CF9AE}" pid="3" name="ContentTypeId">
    <vt:lpwstr>0x01010078F6B24EF29B14488A4D3E054F39A21B</vt:lpwstr>
  </property>
</Properties>
</file>