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iagrams/data1.xml" ContentType="application/vnd.openxmlformats-officedocument.drawingml.diagramData+xml"/>
  <Override PartName="/word/document.xml" ContentType="application/vnd.openxmlformats-officedocument.wordprocessingml.document.main+xml"/>
  <Override PartName="/word/header18.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17.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6.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4.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868" w:rsidRDefault="00FF2B57">
      <w:pPr>
        <w:pStyle w:val="Title"/>
        <w:pBdr>
          <w:bottom w:val="single" w:sz="4" w:space="1" w:color="auto"/>
        </w:pBdr>
        <w:spacing w:before="480"/>
        <w:rPr>
          <w:sz w:val="56"/>
          <w:szCs w:val="56"/>
        </w:rPr>
      </w:pPr>
      <w:r>
        <w:rPr>
          <w:sz w:val="56"/>
          <w:szCs w:val="56"/>
        </w:rPr>
        <w:t>Draft pest risk analysis for ‘</w:t>
      </w:r>
      <w:r>
        <w:rPr>
          <w:i/>
          <w:sz w:val="56"/>
          <w:szCs w:val="56"/>
        </w:rPr>
        <w:t xml:space="preserve">Candidatus </w:t>
      </w:r>
      <w:r>
        <w:rPr>
          <w:sz w:val="56"/>
          <w:szCs w:val="56"/>
        </w:rPr>
        <w:t>Liberibacter</w:t>
      </w:r>
      <w:r>
        <w:rPr>
          <w:i/>
          <w:sz w:val="56"/>
          <w:szCs w:val="56"/>
        </w:rPr>
        <w:t xml:space="preserve"> </w:t>
      </w:r>
      <w:r>
        <w:rPr>
          <w:sz w:val="56"/>
          <w:szCs w:val="56"/>
        </w:rPr>
        <w:t>solanacearum’ associated with apiaceous crops</w:t>
      </w:r>
    </w:p>
    <w:p w:rsidR="00AE7868" w:rsidRDefault="00FF2B57">
      <w:pPr>
        <w:jc w:val="right"/>
      </w:pPr>
      <w:r>
        <w:t>December 2015</w:t>
      </w:r>
    </w:p>
    <w:p w:rsidR="00AE7868" w:rsidRDefault="00FF2B57">
      <w:pPr>
        <w:pStyle w:val="Picture"/>
        <w:jc w:val="center"/>
      </w:pPr>
      <w:r>
        <w:rPr>
          <w:noProof/>
          <w:lang w:eastAsia="en-AU"/>
        </w:rPr>
        <w:lastRenderedPageBreak/>
        <w:drawing>
          <wp:inline distT="0" distB="0" distL="0" distR="0">
            <wp:extent cx="5342991" cy="5289386"/>
            <wp:effectExtent l="19050" t="0" r="0" b="0"/>
            <wp:docPr id="9" name="Picture 1" descr="The Australian Government Department of Agriculture Biosecurity Bi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8" cstate="print"/>
                    <a:srcRect/>
                    <a:stretch>
                      <a:fillRect/>
                    </a:stretch>
                  </pic:blipFill>
                  <pic:spPr bwMode="auto">
                    <a:xfrm>
                      <a:off x="0" y="0"/>
                      <a:ext cx="5345893" cy="5292259"/>
                    </a:xfrm>
                    <a:prstGeom prst="rect">
                      <a:avLst/>
                    </a:prstGeom>
                    <a:noFill/>
                    <a:ln w="9525">
                      <a:noFill/>
                      <a:miter lim="800000"/>
                      <a:headEnd/>
                      <a:tailEnd/>
                    </a:ln>
                  </pic:spPr>
                </pic:pic>
              </a:graphicData>
            </a:graphic>
          </wp:inline>
        </w:drawing>
      </w:r>
    </w:p>
    <w:p w:rsidR="00AE7868" w:rsidRDefault="00AE7868">
      <w:pPr>
        <w:pStyle w:val="Picture"/>
      </w:pPr>
    </w:p>
    <w:p w:rsidR="00AE7868" w:rsidRDefault="00AE7868">
      <w:pPr>
        <w:pStyle w:val="Picture"/>
        <w:jc w:val="center"/>
        <w:sectPr w:rsidR="00AE7868">
          <w:headerReference w:type="default" r:id="rId9"/>
          <w:footerReference w:type="default" r:id="rId10"/>
          <w:headerReference w:type="first" r:id="rId11"/>
          <w:footerReference w:type="first" r:id="rId12"/>
          <w:type w:val="oddPage"/>
          <w:pgSz w:w="11906" w:h="16838"/>
          <w:pgMar w:top="1418" w:right="1418" w:bottom="1418" w:left="1418" w:header="567" w:footer="283" w:gutter="0"/>
          <w:pgNumType w:fmt="lowerRoman" w:start="1"/>
          <w:cols w:space="708"/>
          <w:docGrid w:linePitch="360"/>
        </w:sectPr>
      </w:pPr>
    </w:p>
    <w:p w:rsidR="00AE7868" w:rsidRDefault="00FF2B57">
      <w:pPr>
        <w:pStyle w:val="Picture"/>
        <w:rPr>
          <w:sz w:val="18"/>
        </w:rPr>
      </w:pPr>
      <w:r>
        <w:rPr>
          <w:sz w:val="18"/>
        </w:rPr>
        <w:lastRenderedPageBreak/>
        <w:t>© Commonwealth of Australia 2015</w:t>
      </w:r>
    </w:p>
    <w:p w:rsidR="00AE7868" w:rsidRDefault="00FF2B57">
      <w:pPr>
        <w:pStyle w:val="TableText"/>
        <w:rPr>
          <w:rFonts w:ascii="Calibri" w:hAnsi="Calibri"/>
          <w:b/>
        </w:rPr>
      </w:pPr>
      <w:r>
        <w:rPr>
          <w:rFonts w:ascii="Calibri" w:hAnsi="Calibri"/>
          <w:b/>
        </w:rPr>
        <w:t>Ownership of intellectual property rights</w:t>
      </w:r>
    </w:p>
    <w:p w:rsidR="00AE7868" w:rsidRDefault="00FF2B57">
      <w:pPr>
        <w:pStyle w:val="TableText"/>
        <w:spacing w:after="240"/>
      </w:pPr>
      <w:r>
        <w:t>Unless otherwise noted, copyright (and any other intellectual property rights, if any) in this publication is owned by the Commonwealth of Australia (referred to as the Commonwealth).</w:t>
      </w:r>
    </w:p>
    <w:p w:rsidR="00AE7868" w:rsidRDefault="00FF2B57">
      <w:pPr>
        <w:pStyle w:val="TableText"/>
        <w:rPr>
          <w:rFonts w:ascii="Calibri" w:hAnsi="Calibri"/>
          <w:b/>
        </w:rPr>
      </w:pPr>
      <w:r>
        <w:rPr>
          <w:rFonts w:ascii="Calibri" w:hAnsi="Calibri"/>
          <w:b/>
        </w:rPr>
        <w:t>Creative Commons licence</w:t>
      </w:r>
    </w:p>
    <w:p w:rsidR="00AE7868" w:rsidRDefault="00FF2B57">
      <w:pPr>
        <w:pStyle w:val="TableText"/>
        <w:spacing w:after="240"/>
      </w:pPr>
      <w:r>
        <w:t>All material in this publication is licensed under a Creative Commons Attribution 3.0 Australia Licence, save for content supplied by third parties, photographic images, logos and the Commonwealth Coat of Arms.</w:t>
      </w:r>
    </w:p>
    <w:p w:rsidR="00AE7868" w:rsidRDefault="00FF2B57">
      <w:pPr>
        <w:pStyle w:val="TableText"/>
        <w:spacing w:after="240"/>
      </w:pPr>
      <w:r>
        <w:rPr>
          <w:noProof/>
          <w:lang w:eastAsia="en-AU"/>
        </w:rPr>
        <w:drawing>
          <wp:inline distT="0" distB="0" distL="0" distR="0">
            <wp:extent cx="723900" cy="255905"/>
            <wp:effectExtent l="19050" t="0" r="0" b="0"/>
            <wp:docPr id="6"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3"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rsidR="00AE7868" w:rsidRDefault="00FF2B57">
      <w:pPr>
        <w:pStyle w:val="TableText"/>
        <w:spacing w:after="240"/>
      </w:pPr>
      <w: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4" w:history="1">
        <w:r>
          <w:rPr>
            <w:rStyle w:val="Hyperlink"/>
          </w:rPr>
          <w:t>creativecommons.org/licenses/by/3.0/au/deed.en</w:t>
        </w:r>
      </w:hyperlink>
      <w:r>
        <w:t xml:space="preserve">. The full licence terms are available from </w:t>
      </w:r>
      <w:hyperlink r:id="rId15" w:history="1">
        <w:r>
          <w:rPr>
            <w:rStyle w:val="Hyperlink"/>
          </w:rPr>
          <w:t>creativecommons.org/licenses/by/3.0/au/legalcode</w:t>
        </w:r>
      </w:hyperlink>
      <w:r>
        <w:t>.</w:t>
      </w:r>
    </w:p>
    <w:p w:rsidR="00AE7868" w:rsidRDefault="00FF2B57">
      <w:pPr>
        <w:pStyle w:val="TableText"/>
        <w:spacing w:after="240"/>
      </w:pPr>
      <w:r>
        <w:t xml:space="preserve">Inquiries about the licence and any use of this document should be sent to </w:t>
      </w:r>
      <w:hyperlink r:id="rId16" w:history="1">
        <w:r>
          <w:rPr>
            <w:rStyle w:val="Hyperlink"/>
          </w:rPr>
          <w:t>copyright@agriculture.gov.au</w:t>
        </w:r>
      </w:hyperlink>
      <w:r>
        <w:t>.</w:t>
      </w:r>
    </w:p>
    <w:p w:rsidR="00AE7868" w:rsidRDefault="00FF2B57">
      <w:pPr>
        <w:pStyle w:val="TableText"/>
        <w:spacing w:after="240"/>
      </w:pPr>
      <w:r>
        <w:t xml:space="preserve">This publication (and any material sourced from it) should be attributed as: Australian Department of Agriculture and Water Resources 2015, </w:t>
      </w:r>
      <w:r>
        <w:rPr>
          <w:i/>
        </w:rPr>
        <w:t>Draft pest risk analysis for ‘</w:t>
      </w:r>
      <w:r>
        <w:t>Candidatus</w:t>
      </w:r>
      <w:r>
        <w:rPr>
          <w:i/>
        </w:rPr>
        <w:t xml:space="preserve"> Liberibacter solanacearum’ associated with apiaceous crops</w:t>
      </w:r>
      <w:r>
        <w:t>. CC BY 3.0</w:t>
      </w:r>
    </w:p>
    <w:p w:rsidR="00AE7868" w:rsidRDefault="00FF2B57">
      <w:pPr>
        <w:pStyle w:val="TableText"/>
        <w:rPr>
          <w:rFonts w:ascii="Calibri" w:hAnsi="Calibri"/>
          <w:b/>
        </w:rPr>
      </w:pPr>
      <w:r>
        <w:rPr>
          <w:rFonts w:ascii="Calibri" w:hAnsi="Calibri"/>
          <w:b/>
        </w:rPr>
        <w:t>Cataloguing data</w:t>
      </w:r>
    </w:p>
    <w:p w:rsidR="00AE7868" w:rsidRDefault="00FF2B57">
      <w:pPr>
        <w:pStyle w:val="TableText"/>
        <w:spacing w:after="240"/>
      </w:pPr>
      <w:r>
        <w:lastRenderedPageBreak/>
        <w:t>Australian Government Department of Agriculture and Water Resources 2015,</w:t>
      </w:r>
      <w:r>
        <w:rPr>
          <w:color w:val="FF0000"/>
        </w:rPr>
        <w:t xml:space="preserve"> </w:t>
      </w:r>
      <w:r>
        <w:rPr>
          <w:i/>
        </w:rPr>
        <w:t>Draft pest risk analysis for ‘</w:t>
      </w:r>
      <w:r>
        <w:t>Candidatus</w:t>
      </w:r>
      <w:r>
        <w:rPr>
          <w:i/>
        </w:rPr>
        <w:t xml:space="preserve"> Liberibacter solanacearum’ associated with apiaceous crops</w:t>
      </w:r>
      <w:r>
        <w:t>, Department of Agriculture and Water Resources, Canberra.</w:t>
      </w:r>
    </w:p>
    <w:p w:rsidR="00AE7868" w:rsidRDefault="00FF2B57">
      <w:pPr>
        <w:pStyle w:val="TableText"/>
        <w:spacing w:after="240"/>
      </w:pPr>
      <w:r>
        <w:t xml:space="preserve">This publication is available at </w:t>
      </w:r>
      <w:hyperlink r:id="rId17" w:history="1">
        <w:r>
          <w:rPr>
            <w:rStyle w:val="Hyperlink"/>
          </w:rPr>
          <w:t>agriculture.gov.au</w:t>
        </w:r>
      </w:hyperlink>
      <w:r>
        <w:t>.</w:t>
      </w:r>
    </w:p>
    <w:p w:rsidR="00AE7868" w:rsidRDefault="00FF2B57">
      <w:pPr>
        <w:pStyle w:val="TableText"/>
      </w:pPr>
      <w:r>
        <w:t>Australian Government Department of Agriculture and Water Resources</w:t>
      </w:r>
      <w:r>
        <w:br/>
        <w:t>GPO Box 858 Canberra ACT 2601</w:t>
      </w:r>
    </w:p>
    <w:p w:rsidR="00AE7868" w:rsidRDefault="00FF2B57">
      <w:pPr>
        <w:pStyle w:val="TableText"/>
        <w:tabs>
          <w:tab w:val="left" w:pos="1134"/>
        </w:tabs>
      </w:pPr>
      <w:r>
        <w:t xml:space="preserve">Switchboard: </w:t>
      </w:r>
      <w:r>
        <w:tab/>
        <w:t>+61 2 6272 3933 or 1800 900 090</w:t>
      </w:r>
    </w:p>
    <w:p w:rsidR="00AE7868" w:rsidRDefault="00FF2B57">
      <w:pPr>
        <w:pStyle w:val="TableText"/>
        <w:tabs>
          <w:tab w:val="left" w:pos="1134"/>
        </w:tabs>
      </w:pPr>
      <w:r>
        <w:t xml:space="preserve">Facsimile: </w:t>
      </w:r>
      <w:r>
        <w:tab/>
        <w:t>+61 2 6272 3307</w:t>
      </w:r>
    </w:p>
    <w:p w:rsidR="00AE7868" w:rsidRDefault="00FF2B57">
      <w:pPr>
        <w:pStyle w:val="TableText"/>
        <w:tabs>
          <w:tab w:val="left" w:pos="1134"/>
        </w:tabs>
        <w:spacing w:after="240"/>
      </w:pPr>
      <w:r>
        <w:t>Email:</w:t>
      </w:r>
      <w:r>
        <w:tab/>
      </w:r>
      <w:hyperlink r:id="rId18" w:history="1">
        <w:r>
          <w:rPr>
            <w:rStyle w:val="Hyperlink"/>
          </w:rPr>
          <w:t>plant@agriculture.gov.au</w:t>
        </w:r>
      </w:hyperlink>
    </w:p>
    <w:p w:rsidR="00AE7868" w:rsidRDefault="00FF2B57">
      <w:pPr>
        <w:pStyle w:val="TableText"/>
        <w:rPr>
          <w:rFonts w:ascii="Calibri" w:hAnsi="Calibri"/>
          <w:b/>
        </w:rPr>
      </w:pPr>
      <w:r>
        <w:rPr>
          <w:rFonts w:ascii="Calibri" w:hAnsi="Calibri"/>
          <w:b/>
        </w:rPr>
        <w:t>Liability</w:t>
      </w:r>
    </w:p>
    <w:p w:rsidR="00AE7868" w:rsidRDefault="00FF2B57">
      <w:pPr>
        <w:pStyle w:val="TableText"/>
        <w:spacing w:after="240"/>
      </w:pPr>
      <w: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rsidR="00AE7868" w:rsidRDefault="00FF2B57">
      <w:pPr>
        <w:pStyle w:val="TableText"/>
        <w:rPr>
          <w:rFonts w:ascii="Calibri" w:hAnsi="Calibri"/>
          <w:b/>
        </w:rPr>
      </w:pPr>
      <w:r>
        <w:rPr>
          <w:rFonts w:ascii="Calibri" w:hAnsi="Calibri"/>
          <w:b/>
        </w:rPr>
        <w:t>Stakeholder submissions on draft reports</w:t>
      </w:r>
    </w:p>
    <w:p w:rsidR="00AE7868" w:rsidRDefault="00FF2B57">
      <w:pPr>
        <w:pStyle w:val="TableText"/>
        <w:spacing w:after="240"/>
      </w:pPr>
      <w:r>
        <w:t>This draft report has been issued to give all interested parties an opportunity to comment on relevant technical biosecurity issues, with supporting rationale. A final report will then be produced taking into consideration any comments received.</w:t>
      </w:r>
    </w:p>
    <w:p w:rsidR="00AE7868" w:rsidRDefault="00FF2B57">
      <w:pPr>
        <w:pStyle w:val="TableText"/>
        <w:spacing w:after="240"/>
      </w:pPr>
      <w:r>
        <w:lastRenderedPageBreak/>
        <w:t xml:space="preserve">Submissions should be sent to the Australian Government Department of Agriculture and Water Resources following the conditions specified within the related Biosecurity Advice, which is available at: </w:t>
      </w:r>
      <w:hyperlink r:id="rId19" w:history="1">
        <w:r>
          <w:rPr>
            <w:rStyle w:val="Hyperlink"/>
          </w:rPr>
          <w:t>agriculture.gov.au/ba/memos</w:t>
        </w:r>
      </w:hyperlink>
      <w:r>
        <w:t xml:space="preserve"> </w:t>
      </w:r>
    </w:p>
    <w:p w:rsidR="00AE7868" w:rsidRDefault="00AE7868">
      <w:pPr>
        <w:pStyle w:val="TableText"/>
        <w:spacing w:after="160"/>
        <w:rPr>
          <w:rFonts w:ascii="Cambria" w:hAnsi="Cambria"/>
          <w:szCs w:val="18"/>
        </w:rPr>
      </w:pPr>
    </w:p>
    <w:p w:rsidR="00AE7868" w:rsidRDefault="00AE7868">
      <w:pPr>
        <w:pStyle w:val="TableText"/>
        <w:spacing w:after="160"/>
        <w:rPr>
          <w:rFonts w:ascii="Cambria" w:hAnsi="Cambria"/>
          <w:sz w:val="22"/>
        </w:rPr>
      </w:pPr>
    </w:p>
    <w:p w:rsidR="00AE7868" w:rsidRDefault="00AE7868">
      <w:pPr>
        <w:pStyle w:val="TableText"/>
        <w:spacing w:after="160"/>
        <w:rPr>
          <w:rFonts w:ascii="Cambria" w:hAnsi="Cambria"/>
          <w:sz w:val="22"/>
        </w:rPr>
        <w:sectPr w:rsidR="00AE7868">
          <w:headerReference w:type="default" r:id="rId20"/>
          <w:footerReference w:type="default" r:id="rId21"/>
          <w:footerReference w:type="first" r:id="rId22"/>
          <w:pgSz w:w="11906" w:h="16838"/>
          <w:pgMar w:top="1418" w:right="1418" w:bottom="1418" w:left="1418" w:header="567" w:footer="283" w:gutter="0"/>
          <w:pgNumType w:fmt="lowerRoman"/>
          <w:cols w:space="708"/>
          <w:titlePg/>
          <w:docGrid w:linePitch="360"/>
        </w:sectPr>
      </w:pPr>
    </w:p>
    <w:p w:rsidR="00AE7868" w:rsidRDefault="00FF2B57">
      <w:pPr>
        <w:pStyle w:val="TOCHeading"/>
        <w:pageBreakBefore w:val="0"/>
        <w:spacing w:after="120"/>
        <w:rPr>
          <w:rFonts w:eastAsiaTheme="majorEastAsia" w:cstheme="majorBidi"/>
          <w:b/>
          <w:color w:val="D52B1E"/>
          <w:sz w:val="34"/>
          <w:lang w:val="en-AU"/>
        </w:rPr>
      </w:pPr>
      <w:r>
        <w:rPr>
          <w:rFonts w:eastAsiaTheme="majorEastAsia" w:cstheme="majorBidi"/>
          <w:b/>
          <w:color w:val="D52B1E"/>
          <w:sz w:val="34"/>
          <w:lang w:val="en-AU"/>
        </w:rPr>
        <w:lastRenderedPageBreak/>
        <w:t>Contents</w:t>
      </w:r>
    </w:p>
    <w:p w:rsidR="0076290A" w:rsidRDefault="00652C73">
      <w:pPr>
        <w:pStyle w:val="TOC1"/>
        <w:rPr>
          <w:rFonts w:eastAsiaTheme="minorEastAsia"/>
          <w:b w:val="0"/>
          <w:noProof/>
          <w:lang w:eastAsia="en-AU"/>
        </w:rPr>
      </w:pPr>
      <w:r>
        <w:rPr>
          <w:rFonts w:asciiTheme="majorHAnsi" w:hAnsiTheme="majorHAnsi"/>
          <w:sz w:val="24"/>
          <w:szCs w:val="24"/>
        </w:rPr>
        <w:fldChar w:fldCharType="begin"/>
      </w:r>
      <w:r w:rsidR="00FF2B57">
        <w:rPr>
          <w:rFonts w:asciiTheme="majorHAnsi" w:hAnsiTheme="majorHAnsi"/>
        </w:rPr>
        <w:instrText xml:space="preserve"> TOC \o "1-3" </w:instrText>
      </w:r>
      <w:r>
        <w:rPr>
          <w:rFonts w:asciiTheme="majorHAnsi" w:hAnsiTheme="majorHAnsi"/>
          <w:sz w:val="24"/>
          <w:szCs w:val="24"/>
        </w:rPr>
        <w:fldChar w:fldCharType="separate"/>
      </w:r>
      <w:r w:rsidR="0076290A" w:rsidRPr="000F78FF">
        <w:rPr>
          <w:noProof/>
        </w:rPr>
        <w:t>Acronyms and abbreviations</w:t>
      </w:r>
      <w:r w:rsidR="0076290A">
        <w:rPr>
          <w:noProof/>
        </w:rPr>
        <w:tab/>
      </w:r>
      <w:r w:rsidR="0076290A">
        <w:rPr>
          <w:noProof/>
        </w:rPr>
        <w:fldChar w:fldCharType="begin"/>
      </w:r>
      <w:r w:rsidR="0076290A">
        <w:rPr>
          <w:noProof/>
        </w:rPr>
        <w:instrText xml:space="preserve"> PAGEREF _Toc437355999 \h </w:instrText>
      </w:r>
      <w:r w:rsidR="0076290A">
        <w:rPr>
          <w:noProof/>
        </w:rPr>
      </w:r>
      <w:r w:rsidR="0076290A">
        <w:rPr>
          <w:noProof/>
        </w:rPr>
        <w:fldChar w:fldCharType="separate"/>
      </w:r>
      <w:r w:rsidR="0076290A">
        <w:rPr>
          <w:noProof/>
        </w:rPr>
        <w:t>x</w:t>
      </w:r>
      <w:r w:rsidR="0076290A">
        <w:rPr>
          <w:noProof/>
        </w:rPr>
        <w:fldChar w:fldCharType="end"/>
      </w:r>
    </w:p>
    <w:p w:rsidR="0076290A" w:rsidRDefault="0076290A">
      <w:pPr>
        <w:pStyle w:val="TOC1"/>
        <w:rPr>
          <w:rFonts w:eastAsiaTheme="minorEastAsia"/>
          <w:b w:val="0"/>
          <w:noProof/>
          <w:lang w:eastAsia="en-AU"/>
        </w:rPr>
      </w:pPr>
      <w:r w:rsidRPr="000F78FF">
        <w:rPr>
          <w:noProof/>
        </w:rPr>
        <w:t>Summary</w:t>
      </w:r>
      <w:r>
        <w:rPr>
          <w:noProof/>
        </w:rPr>
        <w:tab/>
      </w:r>
      <w:r>
        <w:rPr>
          <w:noProof/>
        </w:rPr>
        <w:fldChar w:fldCharType="begin"/>
      </w:r>
      <w:r>
        <w:rPr>
          <w:noProof/>
        </w:rPr>
        <w:instrText xml:space="preserve"> PAGEREF _Toc437356000 \h </w:instrText>
      </w:r>
      <w:r>
        <w:rPr>
          <w:noProof/>
        </w:rPr>
      </w:r>
      <w:r>
        <w:rPr>
          <w:noProof/>
        </w:rPr>
        <w:fldChar w:fldCharType="separate"/>
      </w:r>
      <w:r>
        <w:rPr>
          <w:noProof/>
        </w:rPr>
        <w:t>11</w:t>
      </w:r>
      <w:r>
        <w:rPr>
          <w:noProof/>
        </w:rPr>
        <w:fldChar w:fldCharType="end"/>
      </w:r>
    </w:p>
    <w:p w:rsidR="0076290A" w:rsidRDefault="0076290A">
      <w:pPr>
        <w:pStyle w:val="TOC1"/>
        <w:rPr>
          <w:rFonts w:eastAsiaTheme="minorEastAsia"/>
          <w:b w:val="0"/>
          <w:noProof/>
          <w:lang w:eastAsia="en-AU"/>
        </w:rPr>
      </w:pPr>
      <w:r w:rsidRPr="000F78FF">
        <w:rPr>
          <w:rFonts w:ascii="Arial" w:eastAsiaTheme="majorEastAsia" w:hAnsi="Arial" w:cstheme="majorBidi"/>
          <w:noProof/>
          <w:color w:val="D52B1E"/>
        </w:rPr>
        <w:t>1.</w:t>
      </w:r>
      <w:r>
        <w:rPr>
          <w:rFonts w:eastAsiaTheme="minorEastAsia"/>
          <w:b w:val="0"/>
          <w:noProof/>
          <w:lang w:eastAsia="en-AU"/>
        </w:rPr>
        <w:tab/>
      </w:r>
      <w:r w:rsidRPr="000F78FF">
        <w:rPr>
          <w:rFonts w:eastAsiaTheme="majorEastAsia" w:cstheme="majorBidi"/>
          <w:noProof/>
          <w:color w:val="D52B1E"/>
        </w:rPr>
        <w:t>Introduction</w:t>
      </w:r>
      <w:r>
        <w:rPr>
          <w:noProof/>
        </w:rPr>
        <w:tab/>
      </w:r>
      <w:r>
        <w:rPr>
          <w:noProof/>
        </w:rPr>
        <w:fldChar w:fldCharType="begin"/>
      </w:r>
      <w:r>
        <w:rPr>
          <w:noProof/>
        </w:rPr>
        <w:instrText xml:space="preserve"> PAGEREF _Toc437356001 \h </w:instrText>
      </w:r>
      <w:r>
        <w:rPr>
          <w:noProof/>
        </w:rPr>
      </w:r>
      <w:r>
        <w:rPr>
          <w:noProof/>
        </w:rPr>
        <w:fldChar w:fldCharType="separate"/>
      </w:r>
      <w:r>
        <w:rPr>
          <w:noProof/>
        </w:rPr>
        <w:t>13</w:t>
      </w:r>
      <w:r>
        <w:rPr>
          <w:noProof/>
        </w:rPr>
        <w:fldChar w:fldCharType="end"/>
      </w:r>
    </w:p>
    <w:p w:rsidR="0076290A" w:rsidRDefault="0076290A">
      <w:pPr>
        <w:pStyle w:val="TOC2"/>
        <w:tabs>
          <w:tab w:val="left" w:pos="1800"/>
        </w:tabs>
        <w:rPr>
          <w:rFonts w:eastAsiaTheme="minorEastAsia"/>
          <w:noProof/>
          <w:lang w:eastAsia="en-AU"/>
        </w:rPr>
      </w:pPr>
      <w:r w:rsidRPr="000F78FF">
        <w:rPr>
          <w:rFonts w:eastAsiaTheme="majorEastAsia" w:cstheme="majorBidi"/>
          <w:noProof/>
          <w:color w:val="773141"/>
        </w:rPr>
        <w:t>1.1</w:t>
      </w:r>
      <w:r>
        <w:rPr>
          <w:rFonts w:eastAsiaTheme="minorEastAsia"/>
          <w:noProof/>
          <w:lang w:eastAsia="en-AU"/>
        </w:rPr>
        <w:tab/>
      </w:r>
      <w:r w:rsidRPr="000F78FF">
        <w:rPr>
          <w:rFonts w:eastAsiaTheme="majorEastAsia" w:cstheme="majorBidi"/>
          <w:noProof/>
          <w:color w:val="773141"/>
        </w:rPr>
        <w:t>Australia’s biosecurity policy framework</w:t>
      </w:r>
      <w:r>
        <w:rPr>
          <w:noProof/>
        </w:rPr>
        <w:tab/>
      </w:r>
      <w:r>
        <w:rPr>
          <w:noProof/>
        </w:rPr>
        <w:fldChar w:fldCharType="begin"/>
      </w:r>
      <w:r>
        <w:rPr>
          <w:noProof/>
        </w:rPr>
        <w:instrText xml:space="preserve"> PAGEREF _Toc437356002 \h </w:instrText>
      </w:r>
      <w:r>
        <w:rPr>
          <w:noProof/>
        </w:rPr>
      </w:r>
      <w:r>
        <w:rPr>
          <w:noProof/>
        </w:rPr>
        <w:fldChar w:fldCharType="separate"/>
      </w:r>
      <w:r>
        <w:rPr>
          <w:noProof/>
        </w:rPr>
        <w:t>13</w:t>
      </w:r>
      <w:r>
        <w:rPr>
          <w:noProof/>
        </w:rPr>
        <w:fldChar w:fldCharType="end"/>
      </w:r>
    </w:p>
    <w:p w:rsidR="0076290A" w:rsidRDefault="0076290A">
      <w:pPr>
        <w:pStyle w:val="TOC2"/>
        <w:tabs>
          <w:tab w:val="left" w:pos="1800"/>
        </w:tabs>
        <w:rPr>
          <w:rFonts w:eastAsiaTheme="minorEastAsia"/>
          <w:noProof/>
          <w:lang w:eastAsia="en-AU"/>
        </w:rPr>
      </w:pPr>
      <w:r w:rsidRPr="000F78FF">
        <w:rPr>
          <w:rFonts w:eastAsiaTheme="majorEastAsia" w:cstheme="majorBidi"/>
          <w:noProof/>
          <w:color w:val="773141"/>
        </w:rPr>
        <w:t>1.2</w:t>
      </w:r>
      <w:r>
        <w:rPr>
          <w:rFonts w:eastAsiaTheme="minorEastAsia"/>
          <w:noProof/>
          <w:lang w:eastAsia="en-AU"/>
        </w:rPr>
        <w:tab/>
      </w:r>
      <w:r w:rsidRPr="000F78FF">
        <w:rPr>
          <w:rFonts w:eastAsiaTheme="majorEastAsia" w:cstheme="majorBidi"/>
          <w:noProof/>
          <w:color w:val="773141"/>
        </w:rPr>
        <w:t>This pest risk analysis</w:t>
      </w:r>
      <w:r>
        <w:rPr>
          <w:noProof/>
        </w:rPr>
        <w:tab/>
      </w:r>
      <w:r>
        <w:rPr>
          <w:noProof/>
        </w:rPr>
        <w:fldChar w:fldCharType="begin"/>
      </w:r>
      <w:r>
        <w:rPr>
          <w:noProof/>
        </w:rPr>
        <w:instrText xml:space="preserve"> PAGEREF _Toc437356003 \h </w:instrText>
      </w:r>
      <w:r>
        <w:rPr>
          <w:noProof/>
        </w:rPr>
      </w:r>
      <w:r>
        <w:rPr>
          <w:noProof/>
        </w:rPr>
        <w:fldChar w:fldCharType="separate"/>
      </w:r>
      <w:r>
        <w:rPr>
          <w:noProof/>
        </w:rPr>
        <w:t>13</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1.2.1</w:t>
      </w:r>
      <w:r>
        <w:rPr>
          <w:rFonts w:eastAsiaTheme="minorEastAsia"/>
          <w:noProof/>
          <w:lang w:eastAsia="en-AU"/>
        </w:rPr>
        <w:tab/>
      </w:r>
      <w:r w:rsidRPr="000F78FF">
        <w:rPr>
          <w:rFonts w:ascii="Calibri" w:hAnsi="Calibri"/>
          <w:noProof/>
        </w:rPr>
        <w:t>Background</w:t>
      </w:r>
      <w:r>
        <w:rPr>
          <w:noProof/>
        </w:rPr>
        <w:tab/>
      </w:r>
      <w:r>
        <w:rPr>
          <w:noProof/>
        </w:rPr>
        <w:fldChar w:fldCharType="begin"/>
      </w:r>
      <w:r>
        <w:rPr>
          <w:noProof/>
        </w:rPr>
        <w:instrText xml:space="preserve"> PAGEREF _Toc437356004 \h </w:instrText>
      </w:r>
      <w:r>
        <w:rPr>
          <w:noProof/>
        </w:rPr>
      </w:r>
      <w:r>
        <w:rPr>
          <w:noProof/>
        </w:rPr>
        <w:fldChar w:fldCharType="separate"/>
      </w:r>
      <w:r>
        <w:rPr>
          <w:noProof/>
        </w:rPr>
        <w:t>13</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1.2.2</w:t>
      </w:r>
      <w:r>
        <w:rPr>
          <w:rFonts w:eastAsiaTheme="minorEastAsia"/>
          <w:noProof/>
          <w:lang w:eastAsia="en-AU"/>
        </w:rPr>
        <w:tab/>
      </w:r>
      <w:r w:rsidRPr="000F78FF">
        <w:rPr>
          <w:rFonts w:ascii="Calibri" w:hAnsi="Calibri"/>
          <w:noProof/>
        </w:rPr>
        <w:t>Scope</w:t>
      </w:r>
      <w:r>
        <w:rPr>
          <w:noProof/>
        </w:rPr>
        <w:tab/>
      </w:r>
      <w:r>
        <w:rPr>
          <w:noProof/>
        </w:rPr>
        <w:fldChar w:fldCharType="begin"/>
      </w:r>
      <w:r>
        <w:rPr>
          <w:noProof/>
        </w:rPr>
        <w:instrText xml:space="preserve"> PAGEREF _Toc437356005 \h </w:instrText>
      </w:r>
      <w:r>
        <w:rPr>
          <w:noProof/>
        </w:rPr>
      </w:r>
      <w:r>
        <w:rPr>
          <w:noProof/>
        </w:rPr>
        <w:fldChar w:fldCharType="separate"/>
      </w:r>
      <w:r>
        <w:rPr>
          <w:noProof/>
        </w:rPr>
        <w:t>15</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1.2.3</w:t>
      </w:r>
      <w:r>
        <w:rPr>
          <w:rFonts w:eastAsiaTheme="minorEastAsia"/>
          <w:noProof/>
          <w:lang w:eastAsia="en-AU"/>
        </w:rPr>
        <w:tab/>
      </w:r>
      <w:r w:rsidRPr="000F78FF">
        <w:rPr>
          <w:rFonts w:ascii="Calibri" w:hAnsi="Calibri"/>
          <w:noProof/>
        </w:rPr>
        <w:t>Consultation</w:t>
      </w:r>
      <w:r>
        <w:rPr>
          <w:noProof/>
        </w:rPr>
        <w:tab/>
      </w:r>
      <w:r>
        <w:rPr>
          <w:noProof/>
        </w:rPr>
        <w:fldChar w:fldCharType="begin"/>
      </w:r>
      <w:r>
        <w:rPr>
          <w:noProof/>
        </w:rPr>
        <w:instrText xml:space="preserve"> PAGEREF _Toc437356006 \h </w:instrText>
      </w:r>
      <w:r>
        <w:rPr>
          <w:noProof/>
        </w:rPr>
      </w:r>
      <w:r>
        <w:rPr>
          <w:noProof/>
        </w:rPr>
        <w:fldChar w:fldCharType="separate"/>
      </w:r>
      <w:r>
        <w:rPr>
          <w:noProof/>
        </w:rPr>
        <w:t>15</w:t>
      </w:r>
      <w:r>
        <w:rPr>
          <w:noProof/>
        </w:rPr>
        <w:fldChar w:fldCharType="end"/>
      </w:r>
    </w:p>
    <w:p w:rsidR="0076290A" w:rsidRDefault="0076290A">
      <w:pPr>
        <w:pStyle w:val="TOC1"/>
        <w:rPr>
          <w:rFonts w:eastAsiaTheme="minorEastAsia"/>
          <w:b w:val="0"/>
          <w:noProof/>
          <w:lang w:eastAsia="en-AU"/>
        </w:rPr>
      </w:pPr>
      <w:r w:rsidRPr="000F78FF">
        <w:rPr>
          <w:rFonts w:eastAsiaTheme="majorEastAsia" w:cstheme="majorBidi"/>
          <w:noProof/>
          <w:color w:val="D52B1E"/>
        </w:rPr>
        <w:t>2</w:t>
      </w:r>
      <w:r>
        <w:rPr>
          <w:rFonts w:eastAsiaTheme="minorEastAsia"/>
          <w:b w:val="0"/>
          <w:noProof/>
          <w:lang w:eastAsia="en-AU"/>
        </w:rPr>
        <w:tab/>
      </w:r>
      <w:r w:rsidRPr="000F78FF">
        <w:rPr>
          <w:rFonts w:eastAsiaTheme="majorEastAsia" w:cstheme="majorBidi"/>
          <w:noProof/>
          <w:color w:val="D52B1E"/>
        </w:rPr>
        <w:t>Method for pest risk analysis</w:t>
      </w:r>
      <w:r>
        <w:rPr>
          <w:noProof/>
        </w:rPr>
        <w:tab/>
      </w:r>
      <w:r>
        <w:rPr>
          <w:noProof/>
        </w:rPr>
        <w:fldChar w:fldCharType="begin"/>
      </w:r>
      <w:r>
        <w:rPr>
          <w:noProof/>
        </w:rPr>
        <w:instrText xml:space="preserve"> PAGEREF _Toc437356007 \h </w:instrText>
      </w:r>
      <w:r>
        <w:rPr>
          <w:noProof/>
        </w:rPr>
      </w:r>
      <w:r>
        <w:rPr>
          <w:noProof/>
        </w:rPr>
        <w:fldChar w:fldCharType="separate"/>
      </w:r>
      <w:r>
        <w:rPr>
          <w:noProof/>
        </w:rPr>
        <w:t>17</w:t>
      </w:r>
      <w:r>
        <w:rPr>
          <w:noProof/>
        </w:rPr>
        <w:fldChar w:fldCharType="end"/>
      </w:r>
    </w:p>
    <w:p w:rsidR="0076290A" w:rsidRDefault="0076290A">
      <w:pPr>
        <w:pStyle w:val="TOC2"/>
        <w:tabs>
          <w:tab w:val="left" w:pos="1800"/>
        </w:tabs>
        <w:rPr>
          <w:rFonts w:eastAsiaTheme="minorEastAsia"/>
          <w:noProof/>
          <w:lang w:eastAsia="en-AU"/>
        </w:rPr>
      </w:pPr>
      <w:r w:rsidRPr="000F78FF">
        <w:rPr>
          <w:rFonts w:eastAsiaTheme="majorEastAsia" w:cstheme="majorBidi"/>
          <w:noProof/>
          <w:color w:val="773141"/>
        </w:rPr>
        <w:t>2.1</w:t>
      </w:r>
      <w:r>
        <w:rPr>
          <w:rFonts w:eastAsiaTheme="minorEastAsia"/>
          <w:noProof/>
          <w:lang w:eastAsia="en-AU"/>
        </w:rPr>
        <w:tab/>
      </w:r>
      <w:r w:rsidRPr="000F78FF">
        <w:rPr>
          <w:rFonts w:eastAsiaTheme="majorEastAsia" w:cstheme="majorBidi"/>
          <w:noProof/>
          <w:color w:val="773141"/>
        </w:rPr>
        <w:t>Stage 1: Initiation of the Pest Risk Analysis (PRA)</w:t>
      </w:r>
      <w:r>
        <w:rPr>
          <w:noProof/>
        </w:rPr>
        <w:tab/>
      </w:r>
      <w:r>
        <w:rPr>
          <w:noProof/>
        </w:rPr>
        <w:fldChar w:fldCharType="begin"/>
      </w:r>
      <w:r>
        <w:rPr>
          <w:noProof/>
        </w:rPr>
        <w:instrText xml:space="preserve"> PAGEREF _Toc437356008 \h </w:instrText>
      </w:r>
      <w:r>
        <w:rPr>
          <w:noProof/>
        </w:rPr>
      </w:r>
      <w:r>
        <w:rPr>
          <w:noProof/>
        </w:rPr>
        <w:fldChar w:fldCharType="separate"/>
      </w:r>
      <w:r>
        <w:rPr>
          <w:noProof/>
        </w:rPr>
        <w:t>17</w:t>
      </w:r>
      <w:r>
        <w:rPr>
          <w:noProof/>
        </w:rPr>
        <w:fldChar w:fldCharType="end"/>
      </w:r>
    </w:p>
    <w:p w:rsidR="0076290A" w:rsidRDefault="0076290A">
      <w:pPr>
        <w:pStyle w:val="TOC2"/>
        <w:tabs>
          <w:tab w:val="left" w:pos="1800"/>
        </w:tabs>
        <w:rPr>
          <w:rFonts w:eastAsiaTheme="minorEastAsia"/>
          <w:noProof/>
          <w:lang w:eastAsia="en-AU"/>
        </w:rPr>
      </w:pPr>
      <w:r w:rsidRPr="000F78FF">
        <w:rPr>
          <w:rFonts w:eastAsiaTheme="majorEastAsia" w:cstheme="majorBidi"/>
          <w:noProof/>
          <w:color w:val="773141"/>
        </w:rPr>
        <w:t>2.2</w:t>
      </w:r>
      <w:r>
        <w:rPr>
          <w:rFonts w:eastAsiaTheme="minorEastAsia"/>
          <w:noProof/>
          <w:lang w:eastAsia="en-AU"/>
        </w:rPr>
        <w:tab/>
      </w:r>
      <w:r w:rsidRPr="000F78FF">
        <w:rPr>
          <w:rFonts w:eastAsiaTheme="majorEastAsia" w:cstheme="majorBidi"/>
          <w:noProof/>
          <w:color w:val="773141"/>
        </w:rPr>
        <w:t>Stage 2: Pest risk assessment</w:t>
      </w:r>
      <w:r>
        <w:rPr>
          <w:noProof/>
        </w:rPr>
        <w:tab/>
      </w:r>
      <w:r>
        <w:rPr>
          <w:noProof/>
        </w:rPr>
        <w:fldChar w:fldCharType="begin"/>
      </w:r>
      <w:r>
        <w:rPr>
          <w:noProof/>
        </w:rPr>
        <w:instrText xml:space="preserve"> PAGEREF _Toc437356009 \h </w:instrText>
      </w:r>
      <w:r>
        <w:rPr>
          <w:noProof/>
        </w:rPr>
      </w:r>
      <w:r>
        <w:rPr>
          <w:noProof/>
        </w:rPr>
        <w:fldChar w:fldCharType="separate"/>
      </w:r>
      <w:r>
        <w:rPr>
          <w:noProof/>
        </w:rPr>
        <w:t>18</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2.2.1</w:t>
      </w:r>
      <w:r>
        <w:rPr>
          <w:rFonts w:eastAsiaTheme="minorEastAsia"/>
          <w:noProof/>
          <w:lang w:eastAsia="en-AU"/>
        </w:rPr>
        <w:tab/>
      </w:r>
      <w:r w:rsidRPr="000F78FF">
        <w:rPr>
          <w:rFonts w:ascii="Calibri" w:hAnsi="Calibri"/>
          <w:noProof/>
        </w:rPr>
        <w:t>Pest categorisation</w:t>
      </w:r>
      <w:r>
        <w:rPr>
          <w:noProof/>
        </w:rPr>
        <w:tab/>
      </w:r>
      <w:r>
        <w:rPr>
          <w:noProof/>
        </w:rPr>
        <w:fldChar w:fldCharType="begin"/>
      </w:r>
      <w:r>
        <w:rPr>
          <w:noProof/>
        </w:rPr>
        <w:instrText xml:space="preserve"> PAGEREF _Toc437356010 \h </w:instrText>
      </w:r>
      <w:r>
        <w:rPr>
          <w:noProof/>
        </w:rPr>
      </w:r>
      <w:r>
        <w:rPr>
          <w:noProof/>
        </w:rPr>
        <w:fldChar w:fldCharType="separate"/>
      </w:r>
      <w:r>
        <w:rPr>
          <w:noProof/>
        </w:rPr>
        <w:t>18</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2.2.2</w:t>
      </w:r>
      <w:r>
        <w:rPr>
          <w:rFonts w:eastAsiaTheme="minorEastAsia"/>
          <w:noProof/>
          <w:lang w:eastAsia="en-AU"/>
        </w:rPr>
        <w:tab/>
      </w:r>
      <w:r w:rsidRPr="000F78FF">
        <w:rPr>
          <w:rFonts w:ascii="Calibri" w:hAnsi="Calibri"/>
          <w:noProof/>
        </w:rPr>
        <w:t>Assessment of the likelihood of entry, establishment and spread</w:t>
      </w:r>
      <w:r>
        <w:rPr>
          <w:noProof/>
        </w:rPr>
        <w:tab/>
      </w:r>
      <w:r>
        <w:rPr>
          <w:noProof/>
        </w:rPr>
        <w:fldChar w:fldCharType="begin"/>
      </w:r>
      <w:r>
        <w:rPr>
          <w:noProof/>
        </w:rPr>
        <w:instrText xml:space="preserve"> PAGEREF _Toc437356011 \h </w:instrText>
      </w:r>
      <w:r>
        <w:rPr>
          <w:noProof/>
        </w:rPr>
      </w:r>
      <w:r>
        <w:rPr>
          <w:noProof/>
        </w:rPr>
        <w:fldChar w:fldCharType="separate"/>
      </w:r>
      <w:r>
        <w:rPr>
          <w:noProof/>
        </w:rPr>
        <w:t>18</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2.2.3</w:t>
      </w:r>
      <w:r>
        <w:rPr>
          <w:rFonts w:eastAsiaTheme="minorEastAsia"/>
          <w:noProof/>
          <w:lang w:eastAsia="en-AU"/>
        </w:rPr>
        <w:tab/>
      </w:r>
      <w:r w:rsidRPr="000F78FF">
        <w:rPr>
          <w:rFonts w:ascii="Calibri" w:hAnsi="Calibri"/>
          <w:noProof/>
        </w:rPr>
        <w:t>Assessment of potential consequences</w:t>
      </w:r>
      <w:r>
        <w:rPr>
          <w:noProof/>
        </w:rPr>
        <w:tab/>
      </w:r>
      <w:r>
        <w:rPr>
          <w:noProof/>
        </w:rPr>
        <w:fldChar w:fldCharType="begin"/>
      </w:r>
      <w:r>
        <w:rPr>
          <w:noProof/>
        </w:rPr>
        <w:instrText xml:space="preserve"> PAGEREF _Toc437356012 \h </w:instrText>
      </w:r>
      <w:r>
        <w:rPr>
          <w:noProof/>
        </w:rPr>
      </w:r>
      <w:r>
        <w:rPr>
          <w:noProof/>
        </w:rPr>
        <w:fldChar w:fldCharType="separate"/>
      </w:r>
      <w:r>
        <w:rPr>
          <w:noProof/>
        </w:rPr>
        <w:t>21</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2.2.4</w:t>
      </w:r>
      <w:r>
        <w:rPr>
          <w:rFonts w:eastAsiaTheme="minorEastAsia"/>
          <w:noProof/>
          <w:lang w:eastAsia="en-AU"/>
        </w:rPr>
        <w:tab/>
      </w:r>
      <w:r w:rsidRPr="000F78FF">
        <w:rPr>
          <w:rFonts w:ascii="Calibri" w:hAnsi="Calibri"/>
          <w:noProof/>
        </w:rPr>
        <w:t>Estimation of the unrestricted risk</w:t>
      </w:r>
      <w:r>
        <w:rPr>
          <w:noProof/>
        </w:rPr>
        <w:tab/>
      </w:r>
      <w:r>
        <w:rPr>
          <w:noProof/>
        </w:rPr>
        <w:fldChar w:fldCharType="begin"/>
      </w:r>
      <w:r>
        <w:rPr>
          <w:noProof/>
        </w:rPr>
        <w:instrText xml:space="preserve"> PAGEREF _Toc437356013 \h </w:instrText>
      </w:r>
      <w:r>
        <w:rPr>
          <w:noProof/>
        </w:rPr>
      </w:r>
      <w:r>
        <w:rPr>
          <w:noProof/>
        </w:rPr>
        <w:fldChar w:fldCharType="separate"/>
      </w:r>
      <w:r>
        <w:rPr>
          <w:noProof/>
        </w:rPr>
        <w:t>23</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lastRenderedPageBreak/>
        <w:t>2.2.5</w:t>
      </w:r>
      <w:r>
        <w:rPr>
          <w:rFonts w:eastAsiaTheme="minorEastAsia"/>
          <w:noProof/>
          <w:lang w:eastAsia="en-AU"/>
        </w:rPr>
        <w:tab/>
      </w:r>
      <w:r w:rsidRPr="000F78FF">
        <w:rPr>
          <w:rFonts w:ascii="Calibri" w:hAnsi="Calibri"/>
          <w:noProof/>
        </w:rPr>
        <w:t>Australia’s appropriate level of protection (ALOP)</w:t>
      </w:r>
      <w:r>
        <w:rPr>
          <w:noProof/>
        </w:rPr>
        <w:tab/>
      </w:r>
      <w:r>
        <w:rPr>
          <w:noProof/>
        </w:rPr>
        <w:fldChar w:fldCharType="begin"/>
      </w:r>
      <w:r>
        <w:rPr>
          <w:noProof/>
        </w:rPr>
        <w:instrText xml:space="preserve"> PAGEREF _Toc437356014 \h </w:instrText>
      </w:r>
      <w:r>
        <w:rPr>
          <w:noProof/>
        </w:rPr>
      </w:r>
      <w:r>
        <w:rPr>
          <w:noProof/>
        </w:rPr>
        <w:fldChar w:fldCharType="separate"/>
      </w:r>
      <w:r>
        <w:rPr>
          <w:noProof/>
        </w:rPr>
        <w:t>24</w:t>
      </w:r>
      <w:r>
        <w:rPr>
          <w:noProof/>
        </w:rPr>
        <w:fldChar w:fldCharType="end"/>
      </w:r>
    </w:p>
    <w:p w:rsidR="0076290A" w:rsidRDefault="0076290A">
      <w:pPr>
        <w:pStyle w:val="TOC2"/>
        <w:tabs>
          <w:tab w:val="left" w:pos="1800"/>
        </w:tabs>
        <w:rPr>
          <w:rFonts w:eastAsiaTheme="minorEastAsia"/>
          <w:noProof/>
          <w:lang w:eastAsia="en-AU"/>
        </w:rPr>
      </w:pPr>
      <w:r w:rsidRPr="000F78FF">
        <w:rPr>
          <w:rFonts w:eastAsiaTheme="majorEastAsia" w:cstheme="majorBidi"/>
          <w:noProof/>
          <w:color w:val="773141"/>
        </w:rPr>
        <w:t>2.3</w:t>
      </w:r>
      <w:r>
        <w:rPr>
          <w:rFonts w:eastAsiaTheme="minorEastAsia"/>
          <w:noProof/>
          <w:lang w:eastAsia="en-AU"/>
        </w:rPr>
        <w:tab/>
      </w:r>
      <w:r w:rsidRPr="000F78FF">
        <w:rPr>
          <w:rFonts w:eastAsiaTheme="majorEastAsia" w:cstheme="majorBidi"/>
          <w:noProof/>
          <w:color w:val="773141"/>
        </w:rPr>
        <w:t>Stage 3: Pest risk management</w:t>
      </w:r>
      <w:r>
        <w:rPr>
          <w:noProof/>
        </w:rPr>
        <w:tab/>
      </w:r>
      <w:r>
        <w:rPr>
          <w:noProof/>
        </w:rPr>
        <w:fldChar w:fldCharType="begin"/>
      </w:r>
      <w:r>
        <w:rPr>
          <w:noProof/>
        </w:rPr>
        <w:instrText xml:space="preserve"> PAGEREF _Toc437356015 \h </w:instrText>
      </w:r>
      <w:r>
        <w:rPr>
          <w:noProof/>
        </w:rPr>
      </w:r>
      <w:r>
        <w:rPr>
          <w:noProof/>
        </w:rPr>
        <w:fldChar w:fldCharType="separate"/>
      </w:r>
      <w:r>
        <w:rPr>
          <w:noProof/>
        </w:rPr>
        <w:t>24</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2.3.1</w:t>
      </w:r>
      <w:r>
        <w:rPr>
          <w:rFonts w:eastAsiaTheme="minorEastAsia"/>
          <w:noProof/>
          <w:lang w:eastAsia="en-AU"/>
        </w:rPr>
        <w:tab/>
      </w:r>
      <w:r w:rsidRPr="000F78FF">
        <w:rPr>
          <w:rFonts w:ascii="Calibri" w:hAnsi="Calibri"/>
          <w:noProof/>
        </w:rPr>
        <w:t>Identification and selection of appropriate risk management options</w:t>
      </w:r>
      <w:r>
        <w:rPr>
          <w:noProof/>
        </w:rPr>
        <w:tab/>
      </w:r>
      <w:r>
        <w:rPr>
          <w:noProof/>
        </w:rPr>
        <w:fldChar w:fldCharType="begin"/>
      </w:r>
      <w:r>
        <w:rPr>
          <w:noProof/>
        </w:rPr>
        <w:instrText xml:space="preserve"> PAGEREF _Toc437356016 \h </w:instrText>
      </w:r>
      <w:r>
        <w:rPr>
          <w:noProof/>
        </w:rPr>
      </w:r>
      <w:r>
        <w:rPr>
          <w:noProof/>
        </w:rPr>
        <w:fldChar w:fldCharType="separate"/>
      </w:r>
      <w:r>
        <w:rPr>
          <w:noProof/>
        </w:rPr>
        <w:t>24</w:t>
      </w:r>
      <w:r>
        <w:rPr>
          <w:noProof/>
        </w:rPr>
        <w:fldChar w:fldCharType="end"/>
      </w:r>
    </w:p>
    <w:p w:rsidR="0076290A" w:rsidRDefault="0076290A">
      <w:pPr>
        <w:pStyle w:val="TOC1"/>
        <w:rPr>
          <w:rFonts w:eastAsiaTheme="minorEastAsia"/>
          <w:b w:val="0"/>
          <w:noProof/>
          <w:lang w:eastAsia="en-AU"/>
        </w:rPr>
      </w:pPr>
      <w:r w:rsidRPr="000F78FF">
        <w:rPr>
          <w:rFonts w:eastAsiaTheme="majorEastAsia" w:cstheme="majorBidi"/>
          <w:noProof/>
          <w:color w:val="D52B1E"/>
        </w:rPr>
        <w:t>3</w:t>
      </w:r>
      <w:r>
        <w:rPr>
          <w:rFonts w:eastAsiaTheme="minorEastAsia"/>
          <w:b w:val="0"/>
          <w:noProof/>
          <w:lang w:eastAsia="en-AU"/>
        </w:rPr>
        <w:tab/>
      </w:r>
      <w:r w:rsidRPr="000F78FF">
        <w:rPr>
          <w:rFonts w:eastAsiaTheme="majorEastAsia" w:cstheme="majorBidi"/>
          <w:noProof/>
          <w:color w:val="D52B1E"/>
        </w:rPr>
        <w:t>The pathogen</w:t>
      </w:r>
      <w:r>
        <w:rPr>
          <w:noProof/>
        </w:rPr>
        <w:tab/>
      </w:r>
      <w:r>
        <w:rPr>
          <w:noProof/>
        </w:rPr>
        <w:fldChar w:fldCharType="begin"/>
      </w:r>
      <w:r>
        <w:rPr>
          <w:noProof/>
        </w:rPr>
        <w:instrText xml:space="preserve"> PAGEREF _Toc437356017 \h </w:instrText>
      </w:r>
      <w:r>
        <w:rPr>
          <w:noProof/>
        </w:rPr>
      </w:r>
      <w:r>
        <w:rPr>
          <w:noProof/>
        </w:rPr>
        <w:fldChar w:fldCharType="separate"/>
      </w:r>
      <w:r>
        <w:rPr>
          <w:noProof/>
        </w:rPr>
        <w:t>26</w:t>
      </w:r>
      <w:r>
        <w:rPr>
          <w:noProof/>
        </w:rPr>
        <w:fldChar w:fldCharType="end"/>
      </w:r>
    </w:p>
    <w:p w:rsidR="0076290A" w:rsidRDefault="0076290A">
      <w:pPr>
        <w:pStyle w:val="TOC2"/>
        <w:tabs>
          <w:tab w:val="left" w:pos="1800"/>
        </w:tabs>
        <w:rPr>
          <w:rFonts w:eastAsiaTheme="minorEastAsia"/>
          <w:noProof/>
          <w:lang w:eastAsia="en-AU"/>
        </w:rPr>
      </w:pPr>
      <w:r w:rsidRPr="000F78FF">
        <w:rPr>
          <w:rFonts w:eastAsiaTheme="majorEastAsia" w:cstheme="majorBidi"/>
          <w:noProof/>
          <w:color w:val="773141"/>
        </w:rPr>
        <w:t>3.1</w:t>
      </w:r>
      <w:r>
        <w:rPr>
          <w:rFonts w:eastAsiaTheme="minorEastAsia"/>
          <w:noProof/>
          <w:lang w:eastAsia="en-AU"/>
        </w:rPr>
        <w:tab/>
      </w:r>
      <w:r w:rsidRPr="000F78FF">
        <w:rPr>
          <w:rFonts w:eastAsiaTheme="majorEastAsia" w:cstheme="majorBidi"/>
          <w:noProof/>
          <w:color w:val="773141"/>
        </w:rPr>
        <w:t>‘</w:t>
      </w:r>
      <w:r w:rsidRPr="000F78FF">
        <w:rPr>
          <w:rFonts w:eastAsiaTheme="majorEastAsia" w:cstheme="majorBidi"/>
          <w:i/>
          <w:noProof/>
          <w:color w:val="773141"/>
        </w:rPr>
        <w:t xml:space="preserve">Candidatus </w:t>
      </w:r>
      <w:r w:rsidRPr="000F78FF">
        <w:rPr>
          <w:rFonts w:eastAsiaTheme="majorEastAsia" w:cstheme="majorBidi"/>
          <w:noProof/>
          <w:color w:val="773141"/>
        </w:rPr>
        <w:t>Liberibacter’ species</w:t>
      </w:r>
      <w:r>
        <w:rPr>
          <w:noProof/>
        </w:rPr>
        <w:tab/>
      </w:r>
      <w:r>
        <w:rPr>
          <w:noProof/>
        </w:rPr>
        <w:fldChar w:fldCharType="begin"/>
      </w:r>
      <w:r>
        <w:rPr>
          <w:noProof/>
        </w:rPr>
        <w:instrText xml:space="preserve"> PAGEREF _Toc437356018 \h </w:instrText>
      </w:r>
      <w:r>
        <w:rPr>
          <w:noProof/>
        </w:rPr>
      </w:r>
      <w:r>
        <w:rPr>
          <w:noProof/>
        </w:rPr>
        <w:fldChar w:fldCharType="separate"/>
      </w:r>
      <w:r>
        <w:rPr>
          <w:noProof/>
        </w:rPr>
        <w:t>26</w:t>
      </w:r>
      <w:r>
        <w:rPr>
          <w:noProof/>
        </w:rPr>
        <w:fldChar w:fldCharType="end"/>
      </w:r>
    </w:p>
    <w:p w:rsidR="0076290A" w:rsidRDefault="0076290A">
      <w:pPr>
        <w:pStyle w:val="TOC2"/>
        <w:tabs>
          <w:tab w:val="left" w:pos="1800"/>
        </w:tabs>
        <w:rPr>
          <w:rFonts w:eastAsiaTheme="minorEastAsia"/>
          <w:noProof/>
          <w:lang w:eastAsia="en-AU"/>
        </w:rPr>
      </w:pPr>
      <w:r w:rsidRPr="000F78FF">
        <w:rPr>
          <w:rFonts w:eastAsiaTheme="majorEastAsia" w:cstheme="majorBidi"/>
          <w:noProof/>
          <w:color w:val="773141"/>
        </w:rPr>
        <w:t>3.2</w:t>
      </w:r>
      <w:r>
        <w:rPr>
          <w:rFonts w:eastAsiaTheme="minorEastAsia"/>
          <w:noProof/>
          <w:lang w:eastAsia="en-AU"/>
        </w:rPr>
        <w:tab/>
      </w:r>
      <w:r w:rsidRPr="000F78FF">
        <w:rPr>
          <w:rFonts w:eastAsiaTheme="majorEastAsia" w:cstheme="majorBidi"/>
          <w:noProof/>
          <w:color w:val="773141"/>
        </w:rPr>
        <w:t>‘</w:t>
      </w:r>
      <w:r w:rsidRPr="000F78FF">
        <w:rPr>
          <w:rFonts w:eastAsiaTheme="majorEastAsia" w:cstheme="majorBidi"/>
          <w:i/>
          <w:noProof/>
          <w:color w:val="773141"/>
        </w:rPr>
        <w:t xml:space="preserve">Candidatus </w:t>
      </w:r>
      <w:r w:rsidRPr="000F78FF">
        <w:rPr>
          <w:rFonts w:eastAsiaTheme="majorEastAsia" w:cstheme="majorBidi"/>
          <w:noProof/>
          <w:color w:val="773141"/>
        </w:rPr>
        <w:t>Liberibacter solanacearum’</w:t>
      </w:r>
      <w:r>
        <w:rPr>
          <w:noProof/>
        </w:rPr>
        <w:tab/>
      </w:r>
      <w:r>
        <w:rPr>
          <w:noProof/>
        </w:rPr>
        <w:fldChar w:fldCharType="begin"/>
      </w:r>
      <w:r>
        <w:rPr>
          <w:noProof/>
        </w:rPr>
        <w:instrText xml:space="preserve"> PAGEREF _Toc437356019 \h </w:instrText>
      </w:r>
      <w:r>
        <w:rPr>
          <w:noProof/>
        </w:rPr>
      </w:r>
      <w:r>
        <w:rPr>
          <w:noProof/>
        </w:rPr>
        <w:fldChar w:fldCharType="separate"/>
      </w:r>
      <w:r>
        <w:rPr>
          <w:noProof/>
        </w:rPr>
        <w:t>28</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3.2.1</w:t>
      </w:r>
      <w:r>
        <w:rPr>
          <w:rFonts w:eastAsiaTheme="minorEastAsia"/>
          <w:noProof/>
          <w:lang w:eastAsia="en-AU"/>
        </w:rPr>
        <w:tab/>
      </w:r>
      <w:r w:rsidRPr="000F78FF">
        <w:rPr>
          <w:rFonts w:ascii="Calibri" w:hAnsi="Calibri"/>
          <w:noProof/>
        </w:rPr>
        <w:t>Haplotypes of ‘</w:t>
      </w:r>
      <w:r w:rsidRPr="000F78FF">
        <w:rPr>
          <w:rFonts w:ascii="Calibri" w:hAnsi="Calibri"/>
          <w:i/>
          <w:noProof/>
        </w:rPr>
        <w:t>Candidatus</w:t>
      </w:r>
      <w:r w:rsidRPr="000F78FF">
        <w:rPr>
          <w:rFonts w:ascii="Calibri" w:hAnsi="Calibri"/>
          <w:noProof/>
        </w:rPr>
        <w:t xml:space="preserve"> Liberibacter solanacearum’</w:t>
      </w:r>
      <w:r>
        <w:rPr>
          <w:noProof/>
        </w:rPr>
        <w:tab/>
      </w:r>
      <w:r>
        <w:rPr>
          <w:noProof/>
        </w:rPr>
        <w:fldChar w:fldCharType="begin"/>
      </w:r>
      <w:r>
        <w:rPr>
          <w:noProof/>
        </w:rPr>
        <w:instrText xml:space="preserve"> PAGEREF _Toc437356020 \h </w:instrText>
      </w:r>
      <w:r>
        <w:rPr>
          <w:noProof/>
        </w:rPr>
      </w:r>
      <w:r>
        <w:rPr>
          <w:noProof/>
        </w:rPr>
        <w:fldChar w:fldCharType="separate"/>
      </w:r>
      <w:r>
        <w:rPr>
          <w:noProof/>
        </w:rPr>
        <w:t>29</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3.2.2</w:t>
      </w:r>
      <w:r>
        <w:rPr>
          <w:rFonts w:eastAsiaTheme="minorEastAsia"/>
          <w:noProof/>
          <w:lang w:eastAsia="en-AU"/>
        </w:rPr>
        <w:tab/>
      </w:r>
      <w:r w:rsidRPr="000F78FF">
        <w:rPr>
          <w:rFonts w:ascii="Calibri" w:hAnsi="Calibri"/>
          <w:noProof/>
        </w:rPr>
        <w:t>Symptoms of ‘</w:t>
      </w:r>
      <w:r w:rsidRPr="000F78FF">
        <w:rPr>
          <w:rFonts w:ascii="Calibri" w:hAnsi="Calibri"/>
          <w:i/>
          <w:noProof/>
        </w:rPr>
        <w:t>Candidatus</w:t>
      </w:r>
      <w:r w:rsidRPr="000F78FF">
        <w:rPr>
          <w:rFonts w:ascii="Calibri" w:hAnsi="Calibri"/>
          <w:noProof/>
        </w:rPr>
        <w:t xml:space="preserve"> Liberibacter solanacearum’</w:t>
      </w:r>
      <w:r>
        <w:rPr>
          <w:noProof/>
        </w:rPr>
        <w:tab/>
      </w:r>
      <w:r>
        <w:rPr>
          <w:noProof/>
        </w:rPr>
        <w:fldChar w:fldCharType="begin"/>
      </w:r>
      <w:r>
        <w:rPr>
          <w:noProof/>
        </w:rPr>
        <w:instrText xml:space="preserve"> PAGEREF _Toc437356021 \h </w:instrText>
      </w:r>
      <w:r>
        <w:rPr>
          <w:noProof/>
        </w:rPr>
      </w:r>
      <w:r>
        <w:rPr>
          <w:noProof/>
        </w:rPr>
        <w:fldChar w:fldCharType="separate"/>
      </w:r>
      <w:r>
        <w:rPr>
          <w:noProof/>
        </w:rPr>
        <w:t>29</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3.2.3</w:t>
      </w:r>
      <w:r>
        <w:rPr>
          <w:rFonts w:eastAsiaTheme="minorEastAsia"/>
          <w:noProof/>
          <w:lang w:eastAsia="en-AU"/>
        </w:rPr>
        <w:tab/>
      </w:r>
      <w:r w:rsidRPr="000F78FF">
        <w:rPr>
          <w:rFonts w:ascii="Calibri" w:hAnsi="Calibri"/>
          <w:noProof/>
        </w:rPr>
        <w:t>Transmission of ‘</w:t>
      </w:r>
      <w:r w:rsidRPr="000F78FF">
        <w:rPr>
          <w:rFonts w:ascii="Calibri" w:hAnsi="Calibri"/>
          <w:i/>
          <w:noProof/>
        </w:rPr>
        <w:t>Candidatus</w:t>
      </w:r>
      <w:r w:rsidRPr="000F78FF">
        <w:rPr>
          <w:rFonts w:ascii="Calibri" w:hAnsi="Calibri"/>
          <w:noProof/>
        </w:rPr>
        <w:t xml:space="preserve"> Liberibacter solanacearum’</w:t>
      </w:r>
      <w:r>
        <w:rPr>
          <w:noProof/>
        </w:rPr>
        <w:tab/>
      </w:r>
      <w:r>
        <w:rPr>
          <w:noProof/>
        </w:rPr>
        <w:fldChar w:fldCharType="begin"/>
      </w:r>
      <w:r>
        <w:rPr>
          <w:noProof/>
        </w:rPr>
        <w:instrText xml:space="preserve"> PAGEREF _Toc437356022 \h </w:instrText>
      </w:r>
      <w:r>
        <w:rPr>
          <w:noProof/>
        </w:rPr>
      </w:r>
      <w:r>
        <w:rPr>
          <w:noProof/>
        </w:rPr>
        <w:fldChar w:fldCharType="separate"/>
      </w:r>
      <w:r>
        <w:rPr>
          <w:noProof/>
        </w:rPr>
        <w:t>31</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3.2.4</w:t>
      </w:r>
      <w:r>
        <w:rPr>
          <w:rFonts w:eastAsiaTheme="minorEastAsia"/>
          <w:noProof/>
          <w:lang w:eastAsia="en-AU"/>
        </w:rPr>
        <w:tab/>
      </w:r>
      <w:r w:rsidRPr="000F78FF">
        <w:rPr>
          <w:rFonts w:ascii="Calibri" w:hAnsi="Calibri"/>
          <w:noProof/>
        </w:rPr>
        <w:t>Psyllid vectors and carriers of ‘</w:t>
      </w:r>
      <w:r w:rsidRPr="000F78FF">
        <w:rPr>
          <w:rFonts w:ascii="Calibri" w:hAnsi="Calibri"/>
          <w:i/>
          <w:noProof/>
        </w:rPr>
        <w:t>Candidatus</w:t>
      </w:r>
      <w:r w:rsidRPr="000F78FF">
        <w:rPr>
          <w:rFonts w:ascii="Calibri" w:hAnsi="Calibri"/>
          <w:noProof/>
        </w:rPr>
        <w:t xml:space="preserve"> Liberibacter solanacearum’ in apiaceous crops</w:t>
      </w:r>
      <w:r>
        <w:rPr>
          <w:noProof/>
        </w:rPr>
        <w:tab/>
      </w:r>
      <w:r>
        <w:rPr>
          <w:noProof/>
        </w:rPr>
        <w:tab/>
      </w:r>
      <w:r>
        <w:rPr>
          <w:noProof/>
        </w:rPr>
        <w:fldChar w:fldCharType="begin"/>
      </w:r>
      <w:r>
        <w:rPr>
          <w:noProof/>
        </w:rPr>
        <w:instrText xml:space="preserve"> PAGEREF _Toc437356023 \h </w:instrText>
      </w:r>
      <w:r>
        <w:rPr>
          <w:noProof/>
        </w:rPr>
      </w:r>
      <w:r>
        <w:rPr>
          <w:noProof/>
        </w:rPr>
        <w:fldChar w:fldCharType="separate"/>
      </w:r>
      <w:r>
        <w:rPr>
          <w:noProof/>
        </w:rPr>
        <w:t>33</w:t>
      </w:r>
      <w:r>
        <w:rPr>
          <w:noProof/>
        </w:rPr>
        <w:fldChar w:fldCharType="end"/>
      </w:r>
    </w:p>
    <w:p w:rsidR="0076290A" w:rsidRDefault="0076290A">
      <w:pPr>
        <w:pStyle w:val="TOC1"/>
        <w:rPr>
          <w:rFonts w:eastAsiaTheme="minorEastAsia"/>
          <w:b w:val="0"/>
          <w:noProof/>
          <w:lang w:eastAsia="en-AU"/>
        </w:rPr>
      </w:pPr>
      <w:r w:rsidRPr="000F78FF">
        <w:rPr>
          <w:rFonts w:eastAsiaTheme="majorEastAsia" w:cstheme="majorBidi"/>
          <w:noProof/>
          <w:color w:val="D52B1E"/>
        </w:rPr>
        <w:t>4</w:t>
      </w:r>
      <w:r>
        <w:rPr>
          <w:rFonts w:eastAsiaTheme="minorEastAsia"/>
          <w:b w:val="0"/>
          <w:noProof/>
          <w:lang w:eastAsia="en-AU"/>
        </w:rPr>
        <w:tab/>
      </w:r>
      <w:r w:rsidRPr="000F78FF">
        <w:rPr>
          <w:rFonts w:eastAsiaTheme="majorEastAsia" w:cstheme="majorBidi"/>
          <w:noProof/>
          <w:color w:val="D52B1E"/>
        </w:rPr>
        <w:t>Pest risk assessment</w:t>
      </w:r>
      <w:r>
        <w:rPr>
          <w:noProof/>
        </w:rPr>
        <w:tab/>
      </w:r>
      <w:r>
        <w:rPr>
          <w:noProof/>
        </w:rPr>
        <w:fldChar w:fldCharType="begin"/>
      </w:r>
      <w:r>
        <w:rPr>
          <w:noProof/>
        </w:rPr>
        <w:instrText xml:space="preserve"> PAGEREF _Toc437356024 \h </w:instrText>
      </w:r>
      <w:r>
        <w:rPr>
          <w:noProof/>
        </w:rPr>
      </w:r>
      <w:r>
        <w:rPr>
          <w:noProof/>
        </w:rPr>
        <w:fldChar w:fldCharType="separate"/>
      </w:r>
      <w:r>
        <w:rPr>
          <w:noProof/>
        </w:rPr>
        <w:t>40</w:t>
      </w:r>
      <w:r>
        <w:rPr>
          <w:noProof/>
        </w:rPr>
        <w:fldChar w:fldCharType="end"/>
      </w:r>
    </w:p>
    <w:p w:rsidR="0076290A" w:rsidRDefault="0076290A">
      <w:pPr>
        <w:pStyle w:val="TOC2"/>
        <w:tabs>
          <w:tab w:val="left" w:pos="1800"/>
        </w:tabs>
        <w:rPr>
          <w:rFonts w:eastAsiaTheme="minorEastAsia"/>
          <w:noProof/>
          <w:lang w:eastAsia="en-AU"/>
        </w:rPr>
      </w:pPr>
      <w:r w:rsidRPr="000F78FF">
        <w:rPr>
          <w:rFonts w:eastAsiaTheme="majorEastAsia" w:cstheme="majorBidi"/>
          <w:noProof/>
          <w:color w:val="773141"/>
        </w:rPr>
        <w:t>4.1</w:t>
      </w:r>
      <w:r>
        <w:rPr>
          <w:rFonts w:eastAsiaTheme="minorEastAsia"/>
          <w:noProof/>
          <w:lang w:eastAsia="en-AU"/>
        </w:rPr>
        <w:tab/>
      </w:r>
      <w:r w:rsidRPr="000F78FF">
        <w:rPr>
          <w:rFonts w:eastAsiaTheme="majorEastAsia" w:cstheme="majorBidi"/>
          <w:noProof/>
          <w:color w:val="773141"/>
        </w:rPr>
        <w:t>‘</w:t>
      </w:r>
      <w:r w:rsidRPr="000F78FF">
        <w:rPr>
          <w:rFonts w:eastAsiaTheme="majorEastAsia" w:cstheme="majorBidi"/>
          <w:i/>
          <w:noProof/>
          <w:color w:val="773141"/>
        </w:rPr>
        <w:t>Candidatus</w:t>
      </w:r>
      <w:r w:rsidRPr="000F78FF">
        <w:rPr>
          <w:rFonts w:eastAsiaTheme="majorEastAsia" w:cstheme="majorBidi"/>
          <w:noProof/>
          <w:color w:val="773141"/>
        </w:rPr>
        <w:t xml:space="preserve"> Liberibacter solanacearum’</w:t>
      </w:r>
      <w:r>
        <w:rPr>
          <w:noProof/>
        </w:rPr>
        <w:tab/>
      </w:r>
      <w:r>
        <w:rPr>
          <w:noProof/>
        </w:rPr>
        <w:fldChar w:fldCharType="begin"/>
      </w:r>
      <w:r>
        <w:rPr>
          <w:noProof/>
        </w:rPr>
        <w:instrText xml:space="preserve"> PAGEREF _Toc437356025 \h </w:instrText>
      </w:r>
      <w:r>
        <w:rPr>
          <w:noProof/>
        </w:rPr>
      </w:r>
      <w:r>
        <w:rPr>
          <w:noProof/>
        </w:rPr>
        <w:fldChar w:fldCharType="separate"/>
      </w:r>
      <w:r>
        <w:rPr>
          <w:noProof/>
        </w:rPr>
        <w:t>40</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4.1.1</w:t>
      </w:r>
      <w:r>
        <w:rPr>
          <w:rFonts w:eastAsiaTheme="minorEastAsia"/>
          <w:noProof/>
          <w:lang w:eastAsia="en-AU"/>
        </w:rPr>
        <w:tab/>
      </w:r>
      <w:r w:rsidRPr="000F78FF">
        <w:rPr>
          <w:rFonts w:ascii="Calibri" w:hAnsi="Calibri"/>
          <w:noProof/>
        </w:rPr>
        <w:t>Likelihood of entry</w:t>
      </w:r>
      <w:r>
        <w:rPr>
          <w:noProof/>
        </w:rPr>
        <w:tab/>
      </w:r>
      <w:r>
        <w:rPr>
          <w:noProof/>
        </w:rPr>
        <w:fldChar w:fldCharType="begin"/>
      </w:r>
      <w:r>
        <w:rPr>
          <w:noProof/>
        </w:rPr>
        <w:instrText xml:space="preserve"> PAGEREF _Toc437356026 \h </w:instrText>
      </w:r>
      <w:r>
        <w:rPr>
          <w:noProof/>
        </w:rPr>
      </w:r>
      <w:r>
        <w:rPr>
          <w:noProof/>
        </w:rPr>
        <w:fldChar w:fldCharType="separate"/>
      </w:r>
      <w:r>
        <w:rPr>
          <w:noProof/>
        </w:rPr>
        <w:t>40</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4.1.2</w:t>
      </w:r>
      <w:r>
        <w:rPr>
          <w:rFonts w:eastAsiaTheme="minorEastAsia"/>
          <w:noProof/>
          <w:lang w:eastAsia="en-AU"/>
        </w:rPr>
        <w:tab/>
      </w:r>
      <w:r w:rsidRPr="000F78FF">
        <w:rPr>
          <w:rFonts w:ascii="Calibri" w:hAnsi="Calibri"/>
          <w:noProof/>
        </w:rPr>
        <w:t>Likelihood of establishment</w:t>
      </w:r>
      <w:r>
        <w:rPr>
          <w:noProof/>
        </w:rPr>
        <w:tab/>
      </w:r>
      <w:r>
        <w:rPr>
          <w:noProof/>
        </w:rPr>
        <w:fldChar w:fldCharType="begin"/>
      </w:r>
      <w:r>
        <w:rPr>
          <w:noProof/>
        </w:rPr>
        <w:instrText xml:space="preserve"> PAGEREF _Toc437356027 \h </w:instrText>
      </w:r>
      <w:r>
        <w:rPr>
          <w:noProof/>
        </w:rPr>
      </w:r>
      <w:r>
        <w:rPr>
          <w:noProof/>
        </w:rPr>
        <w:fldChar w:fldCharType="separate"/>
      </w:r>
      <w:r>
        <w:rPr>
          <w:noProof/>
        </w:rPr>
        <w:t>46</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4.1.3</w:t>
      </w:r>
      <w:r>
        <w:rPr>
          <w:rFonts w:eastAsiaTheme="minorEastAsia"/>
          <w:noProof/>
          <w:lang w:eastAsia="en-AU"/>
        </w:rPr>
        <w:tab/>
      </w:r>
      <w:r w:rsidRPr="000F78FF">
        <w:rPr>
          <w:rFonts w:ascii="Calibri" w:hAnsi="Calibri"/>
          <w:noProof/>
        </w:rPr>
        <w:t>Likelihood of spread</w:t>
      </w:r>
      <w:r>
        <w:rPr>
          <w:noProof/>
        </w:rPr>
        <w:tab/>
      </w:r>
      <w:r>
        <w:rPr>
          <w:noProof/>
        </w:rPr>
        <w:fldChar w:fldCharType="begin"/>
      </w:r>
      <w:r>
        <w:rPr>
          <w:noProof/>
        </w:rPr>
        <w:instrText xml:space="preserve"> PAGEREF _Toc437356028 \h </w:instrText>
      </w:r>
      <w:r>
        <w:rPr>
          <w:noProof/>
        </w:rPr>
      </w:r>
      <w:r>
        <w:rPr>
          <w:noProof/>
        </w:rPr>
        <w:fldChar w:fldCharType="separate"/>
      </w:r>
      <w:r>
        <w:rPr>
          <w:noProof/>
        </w:rPr>
        <w:t>49</w:t>
      </w:r>
      <w:r>
        <w:rPr>
          <w:noProof/>
        </w:rPr>
        <w:fldChar w:fldCharType="end"/>
      </w:r>
    </w:p>
    <w:p w:rsidR="0076290A" w:rsidRDefault="0076290A">
      <w:pPr>
        <w:pStyle w:val="TOC3"/>
        <w:tabs>
          <w:tab w:val="left" w:pos="1800"/>
        </w:tabs>
        <w:rPr>
          <w:rFonts w:eastAsiaTheme="minorEastAsia"/>
          <w:noProof/>
          <w:lang w:eastAsia="en-AU"/>
        </w:rPr>
      </w:pPr>
      <w:r>
        <w:rPr>
          <w:noProof/>
        </w:rPr>
        <w:t>4.1.4</w:t>
      </w:r>
      <w:r>
        <w:rPr>
          <w:rFonts w:eastAsiaTheme="minorEastAsia"/>
          <w:noProof/>
          <w:lang w:eastAsia="en-AU"/>
        </w:rPr>
        <w:tab/>
      </w:r>
      <w:r w:rsidRPr="000F78FF">
        <w:rPr>
          <w:rFonts w:ascii="Calibri" w:hAnsi="Calibri"/>
          <w:noProof/>
        </w:rPr>
        <w:t>Overall likelihood of entry, establishment and spread</w:t>
      </w:r>
      <w:r>
        <w:rPr>
          <w:noProof/>
        </w:rPr>
        <w:tab/>
      </w:r>
      <w:r>
        <w:rPr>
          <w:noProof/>
        </w:rPr>
        <w:fldChar w:fldCharType="begin"/>
      </w:r>
      <w:r>
        <w:rPr>
          <w:noProof/>
        </w:rPr>
        <w:instrText xml:space="preserve"> PAGEREF _Toc437356029 \h </w:instrText>
      </w:r>
      <w:r>
        <w:rPr>
          <w:noProof/>
        </w:rPr>
      </w:r>
      <w:r>
        <w:rPr>
          <w:noProof/>
        </w:rPr>
        <w:fldChar w:fldCharType="separate"/>
      </w:r>
      <w:r>
        <w:rPr>
          <w:noProof/>
        </w:rPr>
        <w:t>55</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lastRenderedPageBreak/>
        <w:t>4.1.5</w:t>
      </w:r>
      <w:r>
        <w:rPr>
          <w:rFonts w:eastAsiaTheme="minorEastAsia"/>
          <w:noProof/>
          <w:lang w:eastAsia="en-AU"/>
        </w:rPr>
        <w:tab/>
      </w:r>
      <w:r w:rsidRPr="000F78FF">
        <w:rPr>
          <w:rFonts w:ascii="Calibri" w:hAnsi="Calibri"/>
          <w:noProof/>
        </w:rPr>
        <w:t>Consequences</w:t>
      </w:r>
      <w:r>
        <w:rPr>
          <w:noProof/>
        </w:rPr>
        <w:tab/>
      </w:r>
      <w:r>
        <w:rPr>
          <w:noProof/>
        </w:rPr>
        <w:fldChar w:fldCharType="begin"/>
      </w:r>
      <w:r>
        <w:rPr>
          <w:noProof/>
        </w:rPr>
        <w:instrText xml:space="preserve"> PAGEREF _Toc437356030 \h </w:instrText>
      </w:r>
      <w:r>
        <w:rPr>
          <w:noProof/>
        </w:rPr>
      </w:r>
      <w:r>
        <w:rPr>
          <w:noProof/>
        </w:rPr>
        <w:fldChar w:fldCharType="separate"/>
      </w:r>
      <w:r>
        <w:rPr>
          <w:noProof/>
        </w:rPr>
        <w:t>55</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4.1.6</w:t>
      </w:r>
      <w:r>
        <w:rPr>
          <w:rFonts w:eastAsiaTheme="minorEastAsia"/>
          <w:noProof/>
          <w:lang w:eastAsia="en-AU"/>
        </w:rPr>
        <w:tab/>
      </w:r>
      <w:r w:rsidRPr="000F78FF">
        <w:rPr>
          <w:rFonts w:ascii="Calibri" w:hAnsi="Calibri"/>
          <w:noProof/>
        </w:rPr>
        <w:t>Unrestricted risk estimate</w:t>
      </w:r>
      <w:r>
        <w:rPr>
          <w:noProof/>
        </w:rPr>
        <w:tab/>
      </w:r>
      <w:r>
        <w:rPr>
          <w:noProof/>
        </w:rPr>
        <w:fldChar w:fldCharType="begin"/>
      </w:r>
      <w:r>
        <w:rPr>
          <w:noProof/>
        </w:rPr>
        <w:instrText xml:space="preserve"> PAGEREF _Toc437356031 \h </w:instrText>
      </w:r>
      <w:r>
        <w:rPr>
          <w:noProof/>
        </w:rPr>
      </w:r>
      <w:r>
        <w:rPr>
          <w:noProof/>
        </w:rPr>
        <w:fldChar w:fldCharType="separate"/>
      </w:r>
      <w:r>
        <w:rPr>
          <w:noProof/>
        </w:rPr>
        <w:t>57</w:t>
      </w:r>
      <w:r>
        <w:rPr>
          <w:noProof/>
        </w:rPr>
        <w:fldChar w:fldCharType="end"/>
      </w:r>
    </w:p>
    <w:p w:rsidR="0076290A" w:rsidRDefault="0076290A">
      <w:pPr>
        <w:pStyle w:val="TOC1"/>
        <w:rPr>
          <w:rFonts w:eastAsiaTheme="minorEastAsia"/>
          <w:b w:val="0"/>
          <w:noProof/>
          <w:lang w:eastAsia="en-AU"/>
        </w:rPr>
      </w:pPr>
      <w:r w:rsidRPr="000F78FF">
        <w:rPr>
          <w:rFonts w:eastAsiaTheme="majorEastAsia" w:cstheme="majorBidi"/>
          <w:noProof/>
          <w:color w:val="D52B1E"/>
        </w:rPr>
        <w:t>5</w:t>
      </w:r>
      <w:r>
        <w:rPr>
          <w:rFonts w:eastAsiaTheme="minorEastAsia"/>
          <w:b w:val="0"/>
          <w:noProof/>
          <w:lang w:eastAsia="en-AU"/>
        </w:rPr>
        <w:tab/>
      </w:r>
      <w:r w:rsidRPr="000F78FF">
        <w:rPr>
          <w:rFonts w:eastAsiaTheme="majorEastAsia" w:cstheme="majorBidi"/>
          <w:noProof/>
          <w:color w:val="D52B1E"/>
        </w:rPr>
        <w:t>Pest risk management</w:t>
      </w:r>
      <w:r>
        <w:rPr>
          <w:noProof/>
        </w:rPr>
        <w:tab/>
      </w:r>
      <w:r>
        <w:rPr>
          <w:noProof/>
        </w:rPr>
        <w:fldChar w:fldCharType="begin"/>
      </w:r>
      <w:r>
        <w:rPr>
          <w:noProof/>
        </w:rPr>
        <w:instrText xml:space="preserve"> PAGEREF _Toc437356032 \h </w:instrText>
      </w:r>
      <w:r>
        <w:rPr>
          <w:noProof/>
        </w:rPr>
      </w:r>
      <w:r>
        <w:rPr>
          <w:noProof/>
        </w:rPr>
        <w:fldChar w:fldCharType="separate"/>
      </w:r>
      <w:r>
        <w:rPr>
          <w:noProof/>
        </w:rPr>
        <w:t>59</w:t>
      </w:r>
      <w:r>
        <w:rPr>
          <w:noProof/>
        </w:rPr>
        <w:fldChar w:fldCharType="end"/>
      </w:r>
    </w:p>
    <w:p w:rsidR="0076290A" w:rsidRDefault="0076290A">
      <w:pPr>
        <w:pStyle w:val="TOC2"/>
        <w:tabs>
          <w:tab w:val="left" w:pos="1800"/>
        </w:tabs>
        <w:rPr>
          <w:rFonts w:eastAsiaTheme="minorEastAsia"/>
          <w:noProof/>
          <w:lang w:eastAsia="en-AU"/>
        </w:rPr>
      </w:pPr>
      <w:r w:rsidRPr="000F78FF">
        <w:rPr>
          <w:rFonts w:eastAsiaTheme="majorEastAsia" w:cstheme="majorBidi"/>
          <w:noProof/>
          <w:color w:val="773141"/>
        </w:rPr>
        <w:t>5.1</w:t>
      </w:r>
      <w:r>
        <w:rPr>
          <w:rFonts w:eastAsiaTheme="minorEastAsia"/>
          <w:noProof/>
          <w:lang w:eastAsia="en-AU"/>
        </w:rPr>
        <w:tab/>
      </w:r>
      <w:r w:rsidRPr="000F78FF">
        <w:rPr>
          <w:rFonts w:eastAsiaTheme="majorEastAsia" w:cstheme="majorBidi"/>
          <w:noProof/>
          <w:color w:val="773141"/>
        </w:rPr>
        <w:t>Introduction of emergency measures</w:t>
      </w:r>
      <w:r>
        <w:rPr>
          <w:noProof/>
        </w:rPr>
        <w:tab/>
      </w:r>
      <w:r>
        <w:rPr>
          <w:noProof/>
        </w:rPr>
        <w:fldChar w:fldCharType="begin"/>
      </w:r>
      <w:r>
        <w:rPr>
          <w:noProof/>
        </w:rPr>
        <w:instrText xml:space="preserve"> PAGEREF _Toc437356033 \h </w:instrText>
      </w:r>
      <w:r>
        <w:rPr>
          <w:noProof/>
        </w:rPr>
      </w:r>
      <w:r>
        <w:rPr>
          <w:noProof/>
        </w:rPr>
        <w:fldChar w:fldCharType="separate"/>
      </w:r>
      <w:r>
        <w:rPr>
          <w:noProof/>
        </w:rPr>
        <w:t>59</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5.1.1</w:t>
      </w:r>
      <w:r>
        <w:rPr>
          <w:rFonts w:eastAsiaTheme="minorEastAsia"/>
          <w:noProof/>
          <w:lang w:eastAsia="en-AU"/>
        </w:rPr>
        <w:tab/>
      </w:r>
      <w:r w:rsidRPr="000F78FF">
        <w:rPr>
          <w:rFonts w:ascii="Calibri" w:hAnsi="Calibri"/>
          <w:noProof/>
        </w:rPr>
        <w:t>Emergency measures for carrot seeds for sowing (commercial lots)</w:t>
      </w:r>
      <w:r>
        <w:rPr>
          <w:noProof/>
        </w:rPr>
        <w:tab/>
      </w:r>
      <w:r>
        <w:rPr>
          <w:noProof/>
        </w:rPr>
        <w:fldChar w:fldCharType="begin"/>
      </w:r>
      <w:r>
        <w:rPr>
          <w:noProof/>
        </w:rPr>
        <w:instrText xml:space="preserve"> PAGEREF _Toc437356034 \h </w:instrText>
      </w:r>
      <w:r>
        <w:rPr>
          <w:noProof/>
        </w:rPr>
      </w:r>
      <w:r>
        <w:rPr>
          <w:noProof/>
        </w:rPr>
        <w:fldChar w:fldCharType="separate"/>
      </w:r>
      <w:r>
        <w:rPr>
          <w:noProof/>
        </w:rPr>
        <w:t>60</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5.1.2</w:t>
      </w:r>
      <w:r>
        <w:rPr>
          <w:rFonts w:eastAsiaTheme="minorEastAsia"/>
          <w:noProof/>
          <w:lang w:eastAsia="en-AU"/>
        </w:rPr>
        <w:tab/>
      </w:r>
      <w:r w:rsidRPr="000F78FF">
        <w:rPr>
          <w:rFonts w:ascii="Calibri" w:hAnsi="Calibri"/>
          <w:noProof/>
        </w:rPr>
        <w:t>Emergency measures for carrot seeds for sowing (small lots)</w:t>
      </w:r>
      <w:r>
        <w:rPr>
          <w:noProof/>
        </w:rPr>
        <w:tab/>
      </w:r>
      <w:r>
        <w:rPr>
          <w:noProof/>
        </w:rPr>
        <w:fldChar w:fldCharType="begin"/>
      </w:r>
      <w:r>
        <w:rPr>
          <w:noProof/>
        </w:rPr>
        <w:instrText xml:space="preserve"> PAGEREF _Toc437356035 \h </w:instrText>
      </w:r>
      <w:r>
        <w:rPr>
          <w:noProof/>
        </w:rPr>
      </w:r>
      <w:r>
        <w:rPr>
          <w:noProof/>
        </w:rPr>
        <w:fldChar w:fldCharType="separate"/>
      </w:r>
      <w:r>
        <w:rPr>
          <w:noProof/>
        </w:rPr>
        <w:t>60</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5.1.3</w:t>
      </w:r>
      <w:r>
        <w:rPr>
          <w:rFonts w:eastAsiaTheme="minorEastAsia"/>
          <w:noProof/>
          <w:lang w:eastAsia="en-AU"/>
        </w:rPr>
        <w:tab/>
      </w:r>
      <w:r w:rsidRPr="000F78FF">
        <w:rPr>
          <w:rFonts w:ascii="Calibri" w:hAnsi="Calibri"/>
          <w:noProof/>
        </w:rPr>
        <w:t>Emergency measures for carrot and celery tissue cultures</w:t>
      </w:r>
      <w:r>
        <w:rPr>
          <w:noProof/>
        </w:rPr>
        <w:tab/>
      </w:r>
      <w:r>
        <w:rPr>
          <w:noProof/>
        </w:rPr>
        <w:fldChar w:fldCharType="begin"/>
      </w:r>
      <w:r>
        <w:rPr>
          <w:noProof/>
        </w:rPr>
        <w:instrText xml:space="preserve"> PAGEREF _Toc437356036 \h </w:instrText>
      </w:r>
      <w:r>
        <w:rPr>
          <w:noProof/>
        </w:rPr>
      </w:r>
      <w:r>
        <w:rPr>
          <w:noProof/>
        </w:rPr>
        <w:fldChar w:fldCharType="separate"/>
      </w:r>
      <w:r>
        <w:rPr>
          <w:noProof/>
        </w:rPr>
        <w:t>60</w:t>
      </w:r>
      <w:r>
        <w:rPr>
          <w:noProof/>
        </w:rPr>
        <w:fldChar w:fldCharType="end"/>
      </w:r>
    </w:p>
    <w:p w:rsidR="0076290A" w:rsidRDefault="0076290A">
      <w:pPr>
        <w:pStyle w:val="TOC2"/>
        <w:tabs>
          <w:tab w:val="left" w:pos="1800"/>
        </w:tabs>
        <w:rPr>
          <w:rFonts w:eastAsiaTheme="minorEastAsia"/>
          <w:noProof/>
          <w:lang w:eastAsia="en-AU"/>
        </w:rPr>
      </w:pPr>
      <w:r w:rsidRPr="000F78FF">
        <w:rPr>
          <w:rFonts w:eastAsiaTheme="majorEastAsia" w:cstheme="majorBidi"/>
          <w:noProof/>
          <w:color w:val="773141"/>
        </w:rPr>
        <w:t>5.2</w:t>
      </w:r>
      <w:r>
        <w:rPr>
          <w:rFonts w:eastAsiaTheme="minorEastAsia"/>
          <w:noProof/>
          <w:lang w:eastAsia="en-AU"/>
        </w:rPr>
        <w:tab/>
      </w:r>
      <w:r w:rsidRPr="000F78FF">
        <w:rPr>
          <w:rFonts w:eastAsiaTheme="majorEastAsia" w:cstheme="majorBidi"/>
          <w:noProof/>
          <w:color w:val="773141"/>
        </w:rPr>
        <w:t>Evaluation of emergency measures</w:t>
      </w:r>
      <w:r>
        <w:rPr>
          <w:noProof/>
        </w:rPr>
        <w:tab/>
      </w:r>
      <w:r>
        <w:rPr>
          <w:noProof/>
        </w:rPr>
        <w:fldChar w:fldCharType="begin"/>
      </w:r>
      <w:r>
        <w:rPr>
          <w:noProof/>
        </w:rPr>
        <w:instrText xml:space="preserve"> PAGEREF _Toc437356037 \h </w:instrText>
      </w:r>
      <w:r>
        <w:rPr>
          <w:noProof/>
        </w:rPr>
      </w:r>
      <w:r>
        <w:rPr>
          <w:noProof/>
        </w:rPr>
        <w:fldChar w:fldCharType="separate"/>
      </w:r>
      <w:r>
        <w:rPr>
          <w:noProof/>
        </w:rPr>
        <w:t>60</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5.2.1</w:t>
      </w:r>
      <w:r>
        <w:rPr>
          <w:rFonts w:eastAsiaTheme="minorEastAsia"/>
          <w:noProof/>
          <w:lang w:eastAsia="en-AU"/>
        </w:rPr>
        <w:tab/>
      </w:r>
      <w:r w:rsidRPr="000F78FF">
        <w:rPr>
          <w:rFonts w:ascii="Calibri" w:hAnsi="Calibri"/>
          <w:noProof/>
        </w:rPr>
        <w:t>Seeds for sowing from all sources—carrot (commercial lots)</w:t>
      </w:r>
      <w:r>
        <w:rPr>
          <w:noProof/>
        </w:rPr>
        <w:tab/>
      </w:r>
      <w:r>
        <w:rPr>
          <w:noProof/>
        </w:rPr>
        <w:fldChar w:fldCharType="begin"/>
      </w:r>
      <w:r>
        <w:rPr>
          <w:noProof/>
        </w:rPr>
        <w:instrText xml:space="preserve"> PAGEREF _Toc437356038 \h </w:instrText>
      </w:r>
      <w:r>
        <w:rPr>
          <w:noProof/>
        </w:rPr>
      </w:r>
      <w:r>
        <w:rPr>
          <w:noProof/>
        </w:rPr>
        <w:fldChar w:fldCharType="separate"/>
      </w:r>
      <w:r>
        <w:rPr>
          <w:noProof/>
        </w:rPr>
        <w:t>60</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5.2.2</w:t>
      </w:r>
      <w:r>
        <w:rPr>
          <w:rFonts w:eastAsiaTheme="minorEastAsia"/>
          <w:noProof/>
          <w:lang w:eastAsia="en-AU"/>
        </w:rPr>
        <w:tab/>
      </w:r>
      <w:r w:rsidRPr="000F78FF">
        <w:rPr>
          <w:rFonts w:ascii="Calibri" w:hAnsi="Calibri"/>
          <w:noProof/>
        </w:rPr>
        <w:t>Seeds for sowing from all sources—carrot (small lots)</w:t>
      </w:r>
      <w:r>
        <w:rPr>
          <w:noProof/>
        </w:rPr>
        <w:tab/>
      </w:r>
      <w:r>
        <w:rPr>
          <w:noProof/>
        </w:rPr>
        <w:fldChar w:fldCharType="begin"/>
      </w:r>
      <w:r>
        <w:rPr>
          <w:noProof/>
        </w:rPr>
        <w:instrText xml:space="preserve"> PAGEREF _Toc437356039 \h </w:instrText>
      </w:r>
      <w:r>
        <w:rPr>
          <w:noProof/>
        </w:rPr>
      </w:r>
      <w:r>
        <w:rPr>
          <w:noProof/>
        </w:rPr>
        <w:fldChar w:fldCharType="separate"/>
      </w:r>
      <w:r>
        <w:rPr>
          <w:noProof/>
        </w:rPr>
        <w:t>61</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5.2.3</w:t>
      </w:r>
      <w:r>
        <w:rPr>
          <w:rFonts w:eastAsiaTheme="minorEastAsia"/>
          <w:noProof/>
          <w:lang w:eastAsia="en-AU"/>
        </w:rPr>
        <w:tab/>
      </w:r>
      <w:r w:rsidRPr="000F78FF">
        <w:rPr>
          <w:rFonts w:ascii="Calibri" w:hAnsi="Calibri"/>
          <w:noProof/>
        </w:rPr>
        <w:t>Tissue cultures from all sources—carrot and celery</w:t>
      </w:r>
      <w:r>
        <w:rPr>
          <w:noProof/>
        </w:rPr>
        <w:tab/>
      </w:r>
      <w:r>
        <w:rPr>
          <w:noProof/>
        </w:rPr>
        <w:fldChar w:fldCharType="begin"/>
      </w:r>
      <w:r>
        <w:rPr>
          <w:noProof/>
        </w:rPr>
        <w:instrText xml:space="preserve"> PAGEREF _Toc437356040 \h </w:instrText>
      </w:r>
      <w:r>
        <w:rPr>
          <w:noProof/>
        </w:rPr>
      </w:r>
      <w:r>
        <w:rPr>
          <w:noProof/>
        </w:rPr>
        <w:fldChar w:fldCharType="separate"/>
      </w:r>
      <w:r>
        <w:rPr>
          <w:noProof/>
        </w:rPr>
        <w:t>61</w:t>
      </w:r>
      <w:r>
        <w:rPr>
          <w:noProof/>
        </w:rPr>
        <w:fldChar w:fldCharType="end"/>
      </w:r>
    </w:p>
    <w:p w:rsidR="0076290A" w:rsidRDefault="0076290A">
      <w:pPr>
        <w:pStyle w:val="TOC2"/>
        <w:tabs>
          <w:tab w:val="left" w:pos="1800"/>
        </w:tabs>
        <w:rPr>
          <w:rFonts w:eastAsiaTheme="minorEastAsia"/>
          <w:noProof/>
          <w:lang w:eastAsia="en-AU"/>
        </w:rPr>
      </w:pPr>
      <w:r w:rsidRPr="000F78FF">
        <w:rPr>
          <w:rFonts w:eastAsiaTheme="majorEastAsia" w:cstheme="majorBidi"/>
          <w:noProof/>
          <w:color w:val="773141"/>
        </w:rPr>
        <w:t>5.3</w:t>
      </w:r>
      <w:r>
        <w:rPr>
          <w:rFonts w:eastAsiaTheme="minorEastAsia"/>
          <w:noProof/>
          <w:lang w:eastAsia="en-AU"/>
        </w:rPr>
        <w:tab/>
      </w:r>
      <w:r w:rsidRPr="000F78FF">
        <w:rPr>
          <w:rFonts w:eastAsiaTheme="majorEastAsia" w:cstheme="majorBidi"/>
          <w:noProof/>
          <w:color w:val="773141"/>
        </w:rPr>
        <w:t>Proposed risk mitigation measures</w:t>
      </w:r>
      <w:r>
        <w:rPr>
          <w:noProof/>
        </w:rPr>
        <w:tab/>
      </w:r>
      <w:r>
        <w:rPr>
          <w:noProof/>
        </w:rPr>
        <w:fldChar w:fldCharType="begin"/>
      </w:r>
      <w:r>
        <w:rPr>
          <w:noProof/>
        </w:rPr>
        <w:instrText xml:space="preserve"> PAGEREF _Toc437356041 \h </w:instrText>
      </w:r>
      <w:r>
        <w:rPr>
          <w:noProof/>
        </w:rPr>
      </w:r>
      <w:r>
        <w:rPr>
          <w:noProof/>
        </w:rPr>
        <w:fldChar w:fldCharType="separate"/>
      </w:r>
      <w:r>
        <w:rPr>
          <w:noProof/>
        </w:rPr>
        <w:t>62</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5.3.1</w:t>
      </w:r>
      <w:r>
        <w:rPr>
          <w:rFonts w:eastAsiaTheme="minorEastAsia"/>
          <w:noProof/>
          <w:lang w:eastAsia="en-AU"/>
        </w:rPr>
        <w:tab/>
      </w:r>
      <w:r w:rsidRPr="000F78FF">
        <w:rPr>
          <w:rFonts w:ascii="Calibri" w:hAnsi="Calibri"/>
          <w:noProof/>
        </w:rPr>
        <w:t>Seeds for sowing from all sources—carrot (commercial lots)</w:t>
      </w:r>
      <w:r>
        <w:rPr>
          <w:noProof/>
        </w:rPr>
        <w:tab/>
      </w:r>
      <w:r>
        <w:rPr>
          <w:noProof/>
        </w:rPr>
        <w:fldChar w:fldCharType="begin"/>
      </w:r>
      <w:r>
        <w:rPr>
          <w:noProof/>
        </w:rPr>
        <w:instrText xml:space="preserve"> PAGEREF _Toc437356042 \h </w:instrText>
      </w:r>
      <w:r>
        <w:rPr>
          <w:noProof/>
        </w:rPr>
      </w:r>
      <w:r>
        <w:rPr>
          <w:noProof/>
        </w:rPr>
        <w:fldChar w:fldCharType="separate"/>
      </w:r>
      <w:r>
        <w:rPr>
          <w:noProof/>
        </w:rPr>
        <w:t>62</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t>5.3.2</w:t>
      </w:r>
      <w:r>
        <w:rPr>
          <w:rFonts w:eastAsiaTheme="minorEastAsia"/>
          <w:noProof/>
          <w:lang w:eastAsia="en-AU"/>
        </w:rPr>
        <w:tab/>
      </w:r>
      <w:r w:rsidRPr="000F78FF">
        <w:rPr>
          <w:rFonts w:ascii="Calibri" w:hAnsi="Calibri"/>
          <w:noProof/>
        </w:rPr>
        <w:t>Seeds for sowing from all sources—carrot (small lots)</w:t>
      </w:r>
      <w:r>
        <w:rPr>
          <w:noProof/>
        </w:rPr>
        <w:tab/>
      </w:r>
      <w:r>
        <w:rPr>
          <w:noProof/>
        </w:rPr>
        <w:fldChar w:fldCharType="begin"/>
      </w:r>
      <w:r>
        <w:rPr>
          <w:noProof/>
        </w:rPr>
        <w:instrText xml:space="preserve"> PAGEREF _Toc437356043 \h </w:instrText>
      </w:r>
      <w:r>
        <w:rPr>
          <w:noProof/>
        </w:rPr>
      </w:r>
      <w:r>
        <w:rPr>
          <w:noProof/>
        </w:rPr>
        <w:fldChar w:fldCharType="separate"/>
      </w:r>
      <w:r>
        <w:rPr>
          <w:noProof/>
        </w:rPr>
        <w:t>62</w:t>
      </w:r>
      <w:r>
        <w:rPr>
          <w:noProof/>
        </w:rPr>
        <w:fldChar w:fldCharType="end"/>
      </w:r>
    </w:p>
    <w:p w:rsidR="0076290A" w:rsidRDefault="0076290A">
      <w:pPr>
        <w:pStyle w:val="TOC3"/>
        <w:tabs>
          <w:tab w:val="left" w:pos="1800"/>
        </w:tabs>
        <w:rPr>
          <w:rFonts w:eastAsiaTheme="minorEastAsia"/>
          <w:noProof/>
          <w:lang w:eastAsia="en-AU"/>
        </w:rPr>
      </w:pPr>
      <w:r w:rsidRPr="000F78FF">
        <w:rPr>
          <w:rFonts w:ascii="Calibri" w:hAnsi="Calibri"/>
          <w:noProof/>
        </w:rPr>
        <w:lastRenderedPageBreak/>
        <w:t>5.3.3</w:t>
      </w:r>
      <w:r>
        <w:rPr>
          <w:rFonts w:eastAsiaTheme="minorEastAsia"/>
          <w:noProof/>
          <w:lang w:eastAsia="en-AU"/>
        </w:rPr>
        <w:tab/>
      </w:r>
      <w:r w:rsidRPr="000F78FF">
        <w:rPr>
          <w:rFonts w:ascii="Calibri" w:hAnsi="Calibri"/>
          <w:noProof/>
        </w:rPr>
        <w:t>Tissue cultures—carrot, celery and parsnip</w:t>
      </w:r>
      <w:r>
        <w:rPr>
          <w:noProof/>
        </w:rPr>
        <w:tab/>
      </w:r>
      <w:r>
        <w:rPr>
          <w:noProof/>
        </w:rPr>
        <w:fldChar w:fldCharType="begin"/>
      </w:r>
      <w:r>
        <w:rPr>
          <w:noProof/>
        </w:rPr>
        <w:instrText xml:space="preserve"> PAGEREF _Toc437356044 \h </w:instrText>
      </w:r>
      <w:r>
        <w:rPr>
          <w:noProof/>
        </w:rPr>
      </w:r>
      <w:r>
        <w:rPr>
          <w:noProof/>
        </w:rPr>
        <w:fldChar w:fldCharType="separate"/>
      </w:r>
      <w:r>
        <w:rPr>
          <w:noProof/>
        </w:rPr>
        <w:t>63</w:t>
      </w:r>
      <w:r>
        <w:rPr>
          <w:noProof/>
        </w:rPr>
        <w:fldChar w:fldCharType="end"/>
      </w:r>
    </w:p>
    <w:p w:rsidR="0076290A" w:rsidRDefault="0076290A">
      <w:pPr>
        <w:pStyle w:val="TOC1"/>
        <w:rPr>
          <w:rFonts w:eastAsiaTheme="minorEastAsia"/>
          <w:b w:val="0"/>
          <w:noProof/>
          <w:lang w:eastAsia="en-AU"/>
        </w:rPr>
      </w:pPr>
      <w:r w:rsidRPr="000F78FF">
        <w:rPr>
          <w:rFonts w:eastAsiaTheme="majorEastAsia" w:cstheme="majorBidi"/>
          <w:noProof/>
          <w:color w:val="D52B1E"/>
        </w:rPr>
        <w:t>6</w:t>
      </w:r>
      <w:r>
        <w:rPr>
          <w:rFonts w:eastAsiaTheme="minorEastAsia"/>
          <w:b w:val="0"/>
          <w:noProof/>
          <w:lang w:eastAsia="en-AU"/>
        </w:rPr>
        <w:tab/>
      </w:r>
      <w:r w:rsidRPr="000F78FF">
        <w:rPr>
          <w:rFonts w:eastAsiaTheme="majorEastAsia" w:cstheme="majorBidi"/>
          <w:noProof/>
          <w:color w:val="D52B1E"/>
        </w:rPr>
        <w:t>Conclusion</w:t>
      </w:r>
      <w:r>
        <w:rPr>
          <w:noProof/>
        </w:rPr>
        <w:tab/>
      </w:r>
      <w:r>
        <w:rPr>
          <w:noProof/>
        </w:rPr>
        <w:fldChar w:fldCharType="begin"/>
      </w:r>
      <w:r>
        <w:rPr>
          <w:noProof/>
        </w:rPr>
        <w:instrText xml:space="preserve"> PAGEREF _Toc437356045 \h </w:instrText>
      </w:r>
      <w:r>
        <w:rPr>
          <w:noProof/>
        </w:rPr>
      </w:r>
      <w:r>
        <w:rPr>
          <w:noProof/>
        </w:rPr>
        <w:fldChar w:fldCharType="separate"/>
      </w:r>
      <w:r>
        <w:rPr>
          <w:noProof/>
        </w:rPr>
        <w:t>65</w:t>
      </w:r>
      <w:r>
        <w:rPr>
          <w:noProof/>
        </w:rPr>
        <w:fldChar w:fldCharType="end"/>
      </w:r>
    </w:p>
    <w:p w:rsidR="0076290A" w:rsidRDefault="0076290A">
      <w:pPr>
        <w:pStyle w:val="TOC1"/>
        <w:rPr>
          <w:rFonts w:eastAsiaTheme="minorEastAsia"/>
          <w:b w:val="0"/>
          <w:noProof/>
          <w:lang w:eastAsia="en-AU"/>
        </w:rPr>
      </w:pPr>
      <w:r w:rsidRPr="000F78FF">
        <w:rPr>
          <w:noProof/>
        </w:rPr>
        <w:t>Appendix A: Stakeholders comments on emergency measures</w:t>
      </w:r>
      <w:r>
        <w:rPr>
          <w:noProof/>
        </w:rPr>
        <w:tab/>
      </w:r>
      <w:r>
        <w:rPr>
          <w:noProof/>
        </w:rPr>
        <w:fldChar w:fldCharType="begin"/>
      </w:r>
      <w:r>
        <w:rPr>
          <w:noProof/>
        </w:rPr>
        <w:instrText xml:space="preserve"> PAGEREF _Toc437356046 \h </w:instrText>
      </w:r>
      <w:r>
        <w:rPr>
          <w:noProof/>
        </w:rPr>
      </w:r>
      <w:r>
        <w:rPr>
          <w:noProof/>
        </w:rPr>
        <w:fldChar w:fldCharType="separate"/>
      </w:r>
      <w:r>
        <w:rPr>
          <w:noProof/>
        </w:rPr>
        <w:t>67</w:t>
      </w:r>
      <w:r>
        <w:rPr>
          <w:noProof/>
        </w:rPr>
        <w:fldChar w:fldCharType="end"/>
      </w:r>
    </w:p>
    <w:p w:rsidR="0076290A" w:rsidRDefault="0076290A">
      <w:pPr>
        <w:pStyle w:val="TOC2"/>
        <w:rPr>
          <w:rFonts w:eastAsiaTheme="minorEastAsia"/>
          <w:noProof/>
          <w:lang w:eastAsia="en-AU"/>
        </w:rPr>
      </w:pPr>
      <w:r w:rsidRPr="000F78FF">
        <w:rPr>
          <w:rFonts w:eastAsiaTheme="majorEastAsia" w:cstheme="majorBidi"/>
          <w:noProof/>
          <w:color w:val="773141"/>
        </w:rPr>
        <w:t>Issues raised by stakeholders in response to emergency measures</w:t>
      </w:r>
      <w:r>
        <w:rPr>
          <w:noProof/>
        </w:rPr>
        <w:tab/>
      </w:r>
      <w:r>
        <w:rPr>
          <w:noProof/>
        </w:rPr>
        <w:fldChar w:fldCharType="begin"/>
      </w:r>
      <w:r>
        <w:rPr>
          <w:noProof/>
        </w:rPr>
        <w:instrText xml:space="preserve"> PAGEREF _Toc437356047 \h </w:instrText>
      </w:r>
      <w:r>
        <w:rPr>
          <w:noProof/>
        </w:rPr>
      </w:r>
      <w:r>
        <w:rPr>
          <w:noProof/>
        </w:rPr>
        <w:fldChar w:fldCharType="separate"/>
      </w:r>
      <w:r>
        <w:rPr>
          <w:noProof/>
        </w:rPr>
        <w:t>67</w:t>
      </w:r>
      <w:r>
        <w:rPr>
          <w:noProof/>
        </w:rPr>
        <w:fldChar w:fldCharType="end"/>
      </w:r>
    </w:p>
    <w:p w:rsidR="0076290A" w:rsidRDefault="0076290A">
      <w:pPr>
        <w:pStyle w:val="TOC3"/>
        <w:rPr>
          <w:rFonts w:eastAsiaTheme="minorEastAsia"/>
          <w:noProof/>
          <w:lang w:eastAsia="en-AU"/>
        </w:rPr>
      </w:pPr>
      <w:r w:rsidRPr="000F78FF">
        <w:rPr>
          <w:rFonts w:ascii="Calibri" w:hAnsi="Calibri"/>
          <w:noProof/>
        </w:rPr>
        <w:t xml:space="preserve">Questions in relation to </w:t>
      </w:r>
      <w:r w:rsidRPr="000F78FF">
        <w:rPr>
          <w:rFonts w:ascii="Calibri" w:hAnsi="Calibri"/>
          <w:i/>
          <w:noProof/>
        </w:rPr>
        <w:t>‘Candidatus</w:t>
      </w:r>
      <w:r w:rsidRPr="000F78FF">
        <w:rPr>
          <w:rFonts w:ascii="Calibri" w:hAnsi="Calibri"/>
          <w:noProof/>
        </w:rPr>
        <w:t xml:space="preserve"> Liberibacter solanacearum’</w:t>
      </w:r>
      <w:r>
        <w:rPr>
          <w:noProof/>
        </w:rPr>
        <w:tab/>
      </w:r>
      <w:r>
        <w:rPr>
          <w:noProof/>
        </w:rPr>
        <w:fldChar w:fldCharType="begin"/>
      </w:r>
      <w:r>
        <w:rPr>
          <w:noProof/>
        </w:rPr>
        <w:instrText xml:space="preserve"> PAGEREF _Toc437356048 \h </w:instrText>
      </w:r>
      <w:r>
        <w:rPr>
          <w:noProof/>
        </w:rPr>
      </w:r>
      <w:r>
        <w:rPr>
          <w:noProof/>
        </w:rPr>
        <w:fldChar w:fldCharType="separate"/>
      </w:r>
      <w:r>
        <w:rPr>
          <w:noProof/>
        </w:rPr>
        <w:t>67</w:t>
      </w:r>
      <w:r>
        <w:rPr>
          <w:noProof/>
        </w:rPr>
        <w:fldChar w:fldCharType="end"/>
      </w:r>
    </w:p>
    <w:p w:rsidR="0076290A" w:rsidRDefault="0076290A">
      <w:pPr>
        <w:pStyle w:val="TOC3"/>
        <w:rPr>
          <w:rFonts w:eastAsiaTheme="minorEastAsia"/>
          <w:noProof/>
          <w:lang w:eastAsia="en-AU"/>
        </w:rPr>
      </w:pPr>
      <w:r w:rsidRPr="000F78FF">
        <w:rPr>
          <w:rFonts w:ascii="Calibri" w:hAnsi="Calibri"/>
          <w:noProof/>
        </w:rPr>
        <w:t>Questions in relation to risk and impact</w:t>
      </w:r>
      <w:r>
        <w:rPr>
          <w:noProof/>
        </w:rPr>
        <w:tab/>
      </w:r>
      <w:r>
        <w:rPr>
          <w:noProof/>
        </w:rPr>
        <w:fldChar w:fldCharType="begin"/>
      </w:r>
      <w:r>
        <w:rPr>
          <w:noProof/>
        </w:rPr>
        <w:instrText xml:space="preserve"> PAGEREF _Toc437356049 \h </w:instrText>
      </w:r>
      <w:r>
        <w:rPr>
          <w:noProof/>
        </w:rPr>
      </w:r>
      <w:r>
        <w:rPr>
          <w:noProof/>
        </w:rPr>
        <w:fldChar w:fldCharType="separate"/>
      </w:r>
      <w:r>
        <w:rPr>
          <w:noProof/>
        </w:rPr>
        <w:t>71</w:t>
      </w:r>
      <w:r>
        <w:rPr>
          <w:noProof/>
        </w:rPr>
        <w:fldChar w:fldCharType="end"/>
      </w:r>
    </w:p>
    <w:p w:rsidR="0076290A" w:rsidRDefault="0076290A">
      <w:pPr>
        <w:pStyle w:val="TOC3"/>
        <w:rPr>
          <w:rFonts w:eastAsiaTheme="minorEastAsia"/>
          <w:noProof/>
          <w:lang w:eastAsia="en-AU"/>
        </w:rPr>
      </w:pPr>
      <w:r w:rsidRPr="000F78FF">
        <w:rPr>
          <w:rFonts w:ascii="Calibri" w:hAnsi="Calibri"/>
          <w:noProof/>
        </w:rPr>
        <w:t>Questions in relation to detection methods</w:t>
      </w:r>
      <w:r>
        <w:rPr>
          <w:noProof/>
        </w:rPr>
        <w:tab/>
      </w:r>
      <w:r>
        <w:rPr>
          <w:noProof/>
        </w:rPr>
        <w:fldChar w:fldCharType="begin"/>
      </w:r>
      <w:r>
        <w:rPr>
          <w:noProof/>
        </w:rPr>
        <w:instrText xml:space="preserve"> PAGEREF _Toc437356050 \h </w:instrText>
      </w:r>
      <w:r>
        <w:rPr>
          <w:noProof/>
        </w:rPr>
      </w:r>
      <w:r>
        <w:rPr>
          <w:noProof/>
        </w:rPr>
        <w:fldChar w:fldCharType="separate"/>
      </w:r>
      <w:r>
        <w:rPr>
          <w:noProof/>
        </w:rPr>
        <w:t>72</w:t>
      </w:r>
      <w:r>
        <w:rPr>
          <w:noProof/>
        </w:rPr>
        <w:fldChar w:fldCharType="end"/>
      </w:r>
    </w:p>
    <w:p w:rsidR="0076290A" w:rsidRDefault="0076290A">
      <w:pPr>
        <w:pStyle w:val="TOC3"/>
        <w:rPr>
          <w:rFonts w:eastAsiaTheme="minorEastAsia"/>
          <w:noProof/>
          <w:lang w:eastAsia="en-AU"/>
        </w:rPr>
      </w:pPr>
      <w:r w:rsidRPr="000F78FF">
        <w:rPr>
          <w:rFonts w:ascii="Calibri" w:hAnsi="Calibri"/>
          <w:noProof/>
        </w:rPr>
        <w:t>Questions in relation to emergency measures</w:t>
      </w:r>
      <w:r>
        <w:rPr>
          <w:noProof/>
        </w:rPr>
        <w:tab/>
      </w:r>
      <w:r>
        <w:rPr>
          <w:noProof/>
        </w:rPr>
        <w:fldChar w:fldCharType="begin"/>
      </w:r>
      <w:r>
        <w:rPr>
          <w:noProof/>
        </w:rPr>
        <w:instrText xml:space="preserve"> PAGEREF _Toc437356051 \h </w:instrText>
      </w:r>
      <w:r>
        <w:rPr>
          <w:noProof/>
        </w:rPr>
      </w:r>
      <w:r>
        <w:rPr>
          <w:noProof/>
        </w:rPr>
        <w:fldChar w:fldCharType="separate"/>
      </w:r>
      <w:r>
        <w:rPr>
          <w:noProof/>
        </w:rPr>
        <w:t>72</w:t>
      </w:r>
      <w:r>
        <w:rPr>
          <w:noProof/>
        </w:rPr>
        <w:fldChar w:fldCharType="end"/>
      </w:r>
    </w:p>
    <w:p w:rsidR="0076290A" w:rsidRDefault="0076290A">
      <w:pPr>
        <w:pStyle w:val="TOC1"/>
        <w:rPr>
          <w:rFonts w:eastAsiaTheme="minorEastAsia"/>
          <w:b w:val="0"/>
          <w:noProof/>
          <w:lang w:eastAsia="en-AU"/>
        </w:rPr>
      </w:pPr>
      <w:r w:rsidRPr="000F78FF">
        <w:rPr>
          <w:noProof/>
        </w:rPr>
        <w:t>Appendix B: Additional quarantine pest data</w:t>
      </w:r>
      <w:r>
        <w:rPr>
          <w:noProof/>
        </w:rPr>
        <w:tab/>
      </w:r>
      <w:r>
        <w:rPr>
          <w:noProof/>
        </w:rPr>
        <w:fldChar w:fldCharType="begin"/>
      </w:r>
      <w:r>
        <w:rPr>
          <w:noProof/>
        </w:rPr>
        <w:instrText xml:space="preserve"> PAGEREF _Toc437356052 \h </w:instrText>
      </w:r>
      <w:r>
        <w:rPr>
          <w:noProof/>
        </w:rPr>
      </w:r>
      <w:r>
        <w:rPr>
          <w:noProof/>
        </w:rPr>
        <w:fldChar w:fldCharType="separate"/>
      </w:r>
      <w:r>
        <w:rPr>
          <w:noProof/>
        </w:rPr>
        <w:t>75</w:t>
      </w:r>
      <w:r>
        <w:rPr>
          <w:noProof/>
        </w:rPr>
        <w:fldChar w:fldCharType="end"/>
      </w:r>
    </w:p>
    <w:p w:rsidR="0076290A" w:rsidRDefault="0076290A">
      <w:pPr>
        <w:pStyle w:val="TOC1"/>
        <w:rPr>
          <w:rFonts w:eastAsiaTheme="minorEastAsia"/>
          <w:b w:val="0"/>
          <w:noProof/>
          <w:lang w:eastAsia="en-AU"/>
        </w:rPr>
      </w:pPr>
      <w:r w:rsidRPr="000F78FF">
        <w:rPr>
          <w:noProof/>
        </w:rPr>
        <w:t>Glossary</w:t>
      </w:r>
      <w:r>
        <w:rPr>
          <w:noProof/>
        </w:rPr>
        <w:tab/>
      </w:r>
      <w:r>
        <w:rPr>
          <w:noProof/>
        </w:rPr>
        <w:fldChar w:fldCharType="begin"/>
      </w:r>
      <w:r>
        <w:rPr>
          <w:noProof/>
        </w:rPr>
        <w:instrText xml:space="preserve"> PAGEREF _Toc437356053 \h </w:instrText>
      </w:r>
      <w:r>
        <w:rPr>
          <w:noProof/>
        </w:rPr>
      </w:r>
      <w:r>
        <w:rPr>
          <w:noProof/>
        </w:rPr>
        <w:fldChar w:fldCharType="separate"/>
      </w:r>
      <w:r>
        <w:rPr>
          <w:noProof/>
        </w:rPr>
        <w:t>76</w:t>
      </w:r>
      <w:r>
        <w:rPr>
          <w:noProof/>
        </w:rPr>
        <w:fldChar w:fldCharType="end"/>
      </w:r>
    </w:p>
    <w:p w:rsidR="0076290A" w:rsidRDefault="0076290A">
      <w:pPr>
        <w:pStyle w:val="TOC1"/>
        <w:rPr>
          <w:rFonts w:eastAsiaTheme="minorEastAsia"/>
          <w:b w:val="0"/>
          <w:noProof/>
          <w:lang w:eastAsia="en-AU"/>
        </w:rPr>
      </w:pPr>
      <w:r w:rsidRPr="000F78FF">
        <w:rPr>
          <w:noProof/>
        </w:rPr>
        <w:t>References</w:t>
      </w:r>
      <w:r>
        <w:rPr>
          <w:noProof/>
        </w:rPr>
        <w:tab/>
      </w:r>
      <w:r>
        <w:rPr>
          <w:noProof/>
        </w:rPr>
        <w:fldChar w:fldCharType="begin"/>
      </w:r>
      <w:r>
        <w:rPr>
          <w:noProof/>
        </w:rPr>
        <w:instrText xml:space="preserve"> PAGEREF _Toc437356054 \h </w:instrText>
      </w:r>
      <w:r>
        <w:rPr>
          <w:noProof/>
        </w:rPr>
      </w:r>
      <w:r>
        <w:rPr>
          <w:noProof/>
        </w:rPr>
        <w:fldChar w:fldCharType="separate"/>
      </w:r>
      <w:r>
        <w:rPr>
          <w:noProof/>
        </w:rPr>
        <w:t>80</w:t>
      </w:r>
      <w:r>
        <w:rPr>
          <w:noProof/>
        </w:rPr>
        <w:fldChar w:fldCharType="end"/>
      </w:r>
    </w:p>
    <w:p w:rsidR="00AE7868" w:rsidRDefault="00652C73">
      <w:pPr>
        <w:pStyle w:val="TOCHeading"/>
        <w:pageBreakBefore w:val="0"/>
        <w:spacing w:before="80" w:after="80"/>
        <w:rPr>
          <w:rFonts w:asciiTheme="majorHAnsi" w:hAnsiTheme="majorHAnsi"/>
          <w:b/>
          <w:bCs w:val="0"/>
          <w:color w:val="auto"/>
          <w:sz w:val="22"/>
          <w:szCs w:val="22"/>
          <w:lang w:val="en-AU"/>
        </w:rPr>
        <w:sectPr w:rsidR="00AE7868">
          <w:headerReference w:type="default" r:id="rId23"/>
          <w:headerReference w:type="first" r:id="rId24"/>
          <w:pgSz w:w="11906" w:h="16838"/>
          <w:pgMar w:top="1418" w:right="1418" w:bottom="1418" w:left="1418" w:header="567" w:footer="283" w:gutter="0"/>
          <w:pgNumType w:fmt="lowerRoman"/>
          <w:cols w:space="708"/>
          <w:titlePg/>
          <w:docGrid w:linePitch="360"/>
        </w:sectPr>
      </w:pPr>
      <w:r>
        <w:rPr>
          <w:rFonts w:asciiTheme="majorHAnsi" w:hAnsiTheme="majorHAnsi"/>
          <w:color w:val="auto"/>
          <w:sz w:val="22"/>
          <w:szCs w:val="22"/>
          <w:lang w:val="en-AU"/>
        </w:rPr>
        <w:fldChar w:fldCharType="end"/>
      </w:r>
    </w:p>
    <w:p w:rsidR="00AE7868" w:rsidRDefault="00652C73">
      <w:pPr>
        <w:pStyle w:val="TOCHeading"/>
        <w:pageBreakBefore w:val="0"/>
        <w:spacing w:after="120"/>
        <w:rPr>
          <w:rFonts w:eastAsiaTheme="majorEastAsia" w:cstheme="majorBidi"/>
          <w:b/>
          <w:color w:val="D52B1E"/>
          <w:sz w:val="34"/>
        </w:rPr>
      </w:pPr>
      <w:r>
        <w:rPr>
          <w:rFonts w:eastAsiaTheme="majorEastAsia" w:cstheme="majorBidi"/>
          <w:b/>
          <w:color w:val="D52B1E"/>
          <w:sz w:val="34"/>
          <w:lang w:val="en-AU"/>
        </w:rPr>
        <w:lastRenderedPageBreak/>
        <w:fldChar w:fldCharType="begin"/>
      </w:r>
      <w:r w:rsidR="00FF2B57">
        <w:rPr>
          <w:rFonts w:eastAsiaTheme="majorEastAsia" w:cstheme="majorBidi"/>
          <w:b/>
          <w:color w:val="D52B1E"/>
          <w:sz w:val="34"/>
          <w:lang w:val="en-AU"/>
        </w:rPr>
        <w:instrText xml:space="preserve"> TOC \c "Figure" </w:instrText>
      </w:r>
      <w:r>
        <w:rPr>
          <w:rFonts w:eastAsiaTheme="majorEastAsia" w:cstheme="majorBidi"/>
          <w:b/>
          <w:color w:val="D52B1E"/>
          <w:sz w:val="34"/>
          <w:lang w:val="en-AU"/>
        </w:rPr>
        <w:fldChar w:fldCharType="end"/>
      </w:r>
      <w:r w:rsidR="00FF2B57">
        <w:rPr>
          <w:rFonts w:eastAsiaTheme="majorEastAsia" w:cstheme="majorBidi"/>
          <w:b/>
          <w:color w:val="D52B1E"/>
          <w:sz w:val="34"/>
          <w:lang w:val="en-AU"/>
        </w:rPr>
        <w:t>Tables</w:t>
      </w:r>
    </w:p>
    <w:p w:rsidR="0076290A" w:rsidRDefault="00652C73">
      <w:pPr>
        <w:pStyle w:val="TableofFigures"/>
        <w:tabs>
          <w:tab w:val="right" w:leader="dot" w:pos="9060"/>
        </w:tabs>
        <w:rPr>
          <w:rFonts w:eastAsiaTheme="minorEastAsia"/>
          <w:noProof/>
          <w:lang w:eastAsia="en-AU"/>
        </w:rPr>
      </w:pPr>
      <w:r>
        <w:rPr>
          <w:bCs/>
          <w:sz w:val="24"/>
          <w:szCs w:val="24"/>
        </w:rPr>
        <w:fldChar w:fldCharType="begin"/>
      </w:r>
      <w:r w:rsidR="00FF2B57">
        <w:rPr>
          <w:bCs/>
        </w:rPr>
        <w:instrText xml:space="preserve"> TOC \t "Caption,1" \c "Table" </w:instrText>
      </w:r>
      <w:r>
        <w:rPr>
          <w:bCs/>
          <w:sz w:val="24"/>
          <w:szCs w:val="24"/>
        </w:rPr>
        <w:fldChar w:fldCharType="separate"/>
      </w:r>
      <w:r w:rsidR="0076290A" w:rsidRPr="002822AE">
        <w:rPr>
          <w:rFonts w:asciiTheme="majorHAnsi" w:eastAsiaTheme="majorEastAsia" w:hAnsiTheme="majorHAnsi" w:cstheme="majorBidi"/>
          <w:noProof/>
          <w:color w:val="595959" w:themeColor="text1" w:themeTint="A6"/>
        </w:rPr>
        <w:t>Table 1 Potential pathways by which ‘</w:t>
      </w:r>
      <w:r w:rsidR="0076290A" w:rsidRPr="002822AE">
        <w:rPr>
          <w:rFonts w:asciiTheme="majorHAnsi" w:eastAsiaTheme="majorEastAsia" w:hAnsiTheme="majorHAnsi" w:cstheme="majorBidi"/>
          <w:i/>
          <w:noProof/>
          <w:color w:val="595959" w:themeColor="text1" w:themeTint="A6"/>
        </w:rPr>
        <w:t>Ca</w:t>
      </w:r>
      <w:r w:rsidR="0076290A" w:rsidRPr="002822AE">
        <w:rPr>
          <w:rFonts w:asciiTheme="majorHAnsi" w:eastAsiaTheme="majorEastAsia" w:hAnsiTheme="majorHAnsi" w:cstheme="majorBidi"/>
          <w:noProof/>
          <w:color w:val="595959" w:themeColor="text1" w:themeTint="A6"/>
        </w:rPr>
        <w:t>. L. solanacearum’ may enter Australia</w:t>
      </w:r>
      <w:r w:rsidR="0076290A">
        <w:rPr>
          <w:noProof/>
        </w:rPr>
        <w:tab/>
      </w:r>
      <w:r w:rsidR="0076290A">
        <w:rPr>
          <w:noProof/>
        </w:rPr>
        <w:fldChar w:fldCharType="begin"/>
      </w:r>
      <w:r w:rsidR="0076290A">
        <w:rPr>
          <w:noProof/>
        </w:rPr>
        <w:instrText xml:space="preserve"> PAGEREF _Toc437355942 \h </w:instrText>
      </w:r>
      <w:r w:rsidR="0076290A">
        <w:rPr>
          <w:noProof/>
        </w:rPr>
      </w:r>
      <w:r w:rsidR="0076290A">
        <w:rPr>
          <w:noProof/>
        </w:rPr>
        <w:fldChar w:fldCharType="separate"/>
      </w:r>
      <w:r w:rsidR="0076290A">
        <w:rPr>
          <w:noProof/>
        </w:rPr>
        <w:t>15</w:t>
      </w:r>
      <w:r w:rsidR="0076290A">
        <w:rPr>
          <w:noProof/>
        </w:rPr>
        <w:fldChar w:fldCharType="end"/>
      </w:r>
    </w:p>
    <w:p w:rsidR="0076290A" w:rsidRDefault="0076290A">
      <w:pPr>
        <w:pStyle w:val="TableofFigures"/>
        <w:tabs>
          <w:tab w:val="right" w:leader="dot" w:pos="9060"/>
        </w:tabs>
        <w:rPr>
          <w:rFonts w:eastAsiaTheme="minorEastAsia"/>
          <w:noProof/>
          <w:lang w:eastAsia="en-AU"/>
        </w:rPr>
      </w:pPr>
      <w:r w:rsidRPr="002822AE">
        <w:rPr>
          <w:rFonts w:asciiTheme="majorHAnsi" w:eastAsiaTheme="majorEastAsia" w:hAnsiTheme="majorHAnsi" w:cstheme="majorBidi"/>
          <w:noProof/>
          <w:color w:val="595959" w:themeColor="text1" w:themeTint="A6"/>
        </w:rPr>
        <w:t>Table 2 Nomenclature of likelihoods</w:t>
      </w:r>
      <w:r>
        <w:rPr>
          <w:noProof/>
        </w:rPr>
        <w:tab/>
      </w:r>
      <w:r>
        <w:rPr>
          <w:noProof/>
        </w:rPr>
        <w:fldChar w:fldCharType="begin"/>
      </w:r>
      <w:r>
        <w:rPr>
          <w:noProof/>
        </w:rPr>
        <w:instrText xml:space="preserve"> PAGEREF _Toc437355943 \h </w:instrText>
      </w:r>
      <w:r>
        <w:rPr>
          <w:noProof/>
        </w:rPr>
      </w:r>
      <w:r>
        <w:rPr>
          <w:noProof/>
        </w:rPr>
        <w:fldChar w:fldCharType="separate"/>
      </w:r>
      <w:r>
        <w:rPr>
          <w:noProof/>
        </w:rPr>
        <w:t>18</w:t>
      </w:r>
      <w:r>
        <w:rPr>
          <w:noProof/>
        </w:rPr>
        <w:fldChar w:fldCharType="end"/>
      </w:r>
    </w:p>
    <w:p w:rsidR="0076290A" w:rsidRDefault="0076290A">
      <w:pPr>
        <w:pStyle w:val="TableofFigures"/>
        <w:tabs>
          <w:tab w:val="right" w:leader="dot" w:pos="9060"/>
        </w:tabs>
        <w:rPr>
          <w:rFonts w:eastAsiaTheme="minorEastAsia"/>
          <w:noProof/>
          <w:lang w:eastAsia="en-AU"/>
        </w:rPr>
      </w:pPr>
      <w:r w:rsidRPr="002822AE">
        <w:rPr>
          <w:rFonts w:asciiTheme="majorHAnsi" w:eastAsiaTheme="majorEastAsia" w:hAnsiTheme="majorHAnsi" w:cstheme="majorBidi"/>
          <w:noProof/>
          <w:color w:val="595959" w:themeColor="text1" w:themeTint="A6"/>
        </w:rPr>
        <w:t>Table 3 Matrix of rules for combining likelihoods</w:t>
      </w:r>
      <w:r>
        <w:rPr>
          <w:noProof/>
        </w:rPr>
        <w:tab/>
      </w:r>
      <w:r>
        <w:rPr>
          <w:noProof/>
        </w:rPr>
        <w:fldChar w:fldCharType="begin"/>
      </w:r>
      <w:r>
        <w:rPr>
          <w:noProof/>
        </w:rPr>
        <w:instrText xml:space="preserve"> PAGEREF _Toc437355944 \h </w:instrText>
      </w:r>
      <w:r>
        <w:rPr>
          <w:noProof/>
        </w:rPr>
      </w:r>
      <w:r>
        <w:rPr>
          <w:noProof/>
        </w:rPr>
        <w:fldChar w:fldCharType="separate"/>
      </w:r>
      <w:r>
        <w:rPr>
          <w:noProof/>
        </w:rPr>
        <w:t>19</w:t>
      </w:r>
      <w:r>
        <w:rPr>
          <w:noProof/>
        </w:rPr>
        <w:fldChar w:fldCharType="end"/>
      </w:r>
    </w:p>
    <w:p w:rsidR="0076290A" w:rsidRDefault="0076290A">
      <w:pPr>
        <w:pStyle w:val="TableofFigures"/>
        <w:tabs>
          <w:tab w:val="right" w:leader="dot" w:pos="9060"/>
        </w:tabs>
        <w:rPr>
          <w:rFonts w:eastAsiaTheme="minorEastAsia"/>
          <w:noProof/>
          <w:lang w:eastAsia="en-AU"/>
        </w:rPr>
      </w:pPr>
      <w:r w:rsidRPr="002822AE">
        <w:rPr>
          <w:rFonts w:asciiTheme="majorHAnsi" w:eastAsiaTheme="majorEastAsia" w:hAnsiTheme="majorHAnsi" w:cstheme="majorBidi"/>
          <w:noProof/>
          <w:color w:val="595959" w:themeColor="text1" w:themeTint="A6"/>
        </w:rPr>
        <w:t>Table 4 Decision rules for determining the consequence impact score based on the magnitude of consequences at four geographic scales</w:t>
      </w:r>
      <w:r>
        <w:rPr>
          <w:noProof/>
        </w:rPr>
        <w:tab/>
      </w:r>
      <w:r>
        <w:rPr>
          <w:noProof/>
        </w:rPr>
        <w:fldChar w:fldCharType="begin"/>
      </w:r>
      <w:r>
        <w:rPr>
          <w:noProof/>
        </w:rPr>
        <w:instrText xml:space="preserve"> PAGEREF _Toc437355945 \h </w:instrText>
      </w:r>
      <w:r>
        <w:rPr>
          <w:noProof/>
        </w:rPr>
      </w:r>
      <w:r>
        <w:rPr>
          <w:noProof/>
        </w:rPr>
        <w:fldChar w:fldCharType="separate"/>
      </w:r>
      <w:r>
        <w:rPr>
          <w:noProof/>
        </w:rPr>
        <w:t>21</w:t>
      </w:r>
      <w:r>
        <w:rPr>
          <w:noProof/>
        </w:rPr>
        <w:fldChar w:fldCharType="end"/>
      </w:r>
    </w:p>
    <w:p w:rsidR="0076290A" w:rsidRDefault="0076290A">
      <w:pPr>
        <w:pStyle w:val="TableofFigures"/>
        <w:tabs>
          <w:tab w:val="right" w:leader="dot" w:pos="9060"/>
        </w:tabs>
        <w:rPr>
          <w:rFonts w:eastAsiaTheme="minorEastAsia"/>
          <w:noProof/>
          <w:lang w:eastAsia="en-AU"/>
        </w:rPr>
      </w:pPr>
      <w:r w:rsidRPr="002822AE">
        <w:rPr>
          <w:rFonts w:asciiTheme="majorHAnsi" w:eastAsiaTheme="majorEastAsia" w:hAnsiTheme="majorHAnsi" w:cstheme="majorBidi"/>
          <w:noProof/>
          <w:color w:val="595959" w:themeColor="text1" w:themeTint="A6"/>
        </w:rPr>
        <w:t>Table 5 Decision rules for determining the overall consequence rating for each pest</w:t>
      </w:r>
      <w:r>
        <w:rPr>
          <w:noProof/>
        </w:rPr>
        <w:tab/>
      </w:r>
      <w:r>
        <w:rPr>
          <w:noProof/>
        </w:rPr>
        <w:fldChar w:fldCharType="begin"/>
      </w:r>
      <w:r>
        <w:rPr>
          <w:noProof/>
        </w:rPr>
        <w:instrText xml:space="preserve"> PAGEREF _Toc437355946 \h </w:instrText>
      </w:r>
      <w:r>
        <w:rPr>
          <w:noProof/>
        </w:rPr>
      </w:r>
      <w:r>
        <w:rPr>
          <w:noProof/>
        </w:rPr>
        <w:fldChar w:fldCharType="separate"/>
      </w:r>
      <w:r>
        <w:rPr>
          <w:noProof/>
        </w:rPr>
        <w:t>21</w:t>
      </w:r>
      <w:r>
        <w:rPr>
          <w:noProof/>
        </w:rPr>
        <w:fldChar w:fldCharType="end"/>
      </w:r>
    </w:p>
    <w:p w:rsidR="0076290A" w:rsidRDefault="0076290A">
      <w:pPr>
        <w:pStyle w:val="TableofFigures"/>
        <w:tabs>
          <w:tab w:val="right" w:leader="dot" w:pos="9060"/>
        </w:tabs>
        <w:rPr>
          <w:rFonts w:eastAsiaTheme="minorEastAsia"/>
          <w:noProof/>
          <w:lang w:eastAsia="en-AU"/>
        </w:rPr>
      </w:pPr>
      <w:r w:rsidRPr="002822AE">
        <w:rPr>
          <w:rFonts w:asciiTheme="majorHAnsi" w:eastAsiaTheme="majorEastAsia" w:hAnsiTheme="majorHAnsi" w:cstheme="majorBidi"/>
          <w:noProof/>
          <w:color w:val="595959" w:themeColor="text1" w:themeTint="A6"/>
        </w:rPr>
        <w:t>Table 6 Risk estimation matrix</w:t>
      </w:r>
      <w:r>
        <w:rPr>
          <w:noProof/>
        </w:rPr>
        <w:tab/>
      </w:r>
      <w:r>
        <w:rPr>
          <w:noProof/>
        </w:rPr>
        <w:fldChar w:fldCharType="begin"/>
      </w:r>
      <w:r>
        <w:rPr>
          <w:noProof/>
        </w:rPr>
        <w:instrText xml:space="preserve"> PAGEREF _Toc437355947 \h </w:instrText>
      </w:r>
      <w:r>
        <w:rPr>
          <w:noProof/>
        </w:rPr>
      </w:r>
      <w:r>
        <w:rPr>
          <w:noProof/>
        </w:rPr>
        <w:fldChar w:fldCharType="separate"/>
      </w:r>
      <w:r>
        <w:rPr>
          <w:noProof/>
        </w:rPr>
        <w:t>22</w:t>
      </w:r>
      <w:r>
        <w:rPr>
          <w:noProof/>
        </w:rPr>
        <w:fldChar w:fldCharType="end"/>
      </w:r>
    </w:p>
    <w:p w:rsidR="0076290A" w:rsidRDefault="0076290A">
      <w:pPr>
        <w:pStyle w:val="TableofFigures"/>
        <w:tabs>
          <w:tab w:val="right" w:leader="dot" w:pos="9060"/>
        </w:tabs>
        <w:rPr>
          <w:rFonts w:eastAsiaTheme="minorEastAsia"/>
          <w:noProof/>
          <w:lang w:eastAsia="en-AU"/>
        </w:rPr>
      </w:pPr>
      <w:r w:rsidRPr="002822AE">
        <w:rPr>
          <w:rFonts w:asciiTheme="majorHAnsi" w:eastAsiaTheme="majorEastAsia" w:hAnsiTheme="majorHAnsi" w:cstheme="majorBidi"/>
          <w:noProof/>
          <w:color w:val="595959" w:themeColor="text1" w:themeTint="A6"/>
        </w:rPr>
        <w:t>Table 7 Characteristics of ‘</w:t>
      </w:r>
      <w:r w:rsidRPr="002822AE">
        <w:rPr>
          <w:rFonts w:asciiTheme="majorHAnsi" w:eastAsiaTheme="majorEastAsia" w:hAnsiTheme="majorHAnsi" w:cstheme="majorBidi"/>
          <w:i/>
          <w:noProof/>
          <w:color w:val="595959" w:themeColor="text1" w:themeTint="A6"/>
        </w:rPr>
        <w:t xml:space="preserve">Candidatus </w:t>
      </w:r>
      <w:r w:rsidRPr="002822AE">
        <w:rPr>
          <w:rFonts w:asciiTheme="majorHAnsi" w:eastAsiaTheme="majorEastAsia" w:hAnsiTheme="majorHAnsi" w:cstheme="majorBidi"/>
          <w:noProof/>
          <w:color w:val="595959" w:themeColor="text1" w:themeTint="A6"/>
        </w:rPr>
        <w:t>Liberibacter’ species</w:t>
      </w:r>
      <w:r>
        <w:rPr>
          <w:noProof/>
        </w:rPr>
        <w:tab/>
      </w:r>
      <w:r>
        <w:rPr>
          <w:noProof/>
        </w:rPr>
        <w:fldChar w:fldCharType="begin"/>
      </w:r>
      <w:r>
        <w:rPr>
          <w:noProof/>
        </w:rPr>
        <w:instrText xml:space="preserve"> PAGEREF _Toc437355948 \h </w:instrText>
      </w:r>
      <w:r>
        <w:rPr>
          <w:noProof/>
        </w:rPr>
      </w:r>
      <w:r>
        <w:rPr>
          <w:noProof/>
        </w:rPr>
        <w:fldChar w:fldCharType="separate"/>
      </w:r>
      <w:r>
        <w:rPr>
          <w:noProof/>
        </w:rPr>
        <w:t>24</w:t>
      </w:r>
      <w:r>
        <w:rPr>
          <w:noProof/>
        </w:rPr>
        <w:fldChar w:fldCharType="end"/>
      </w:r>
    </w:p>
    <w:p w:rsidR="0076290A" w:rsidRDefault="0076290A">
      <w:pPr>
        <w:pStyle w:val="TableofFigures"/>
        <w:tabs>
          <w:tab w:val="right" w:leader="dot" w:pos="9060"/>
        </w:tabs>
        <w:rPr>
          <w:rFonts w:eastAsiaTheme="minorEastAsia"/>
          <w:noProof/>
          <w:lang w:eastAsia="en-AU"/>
        </w:rPr>
      </w:pPr>
      <w:r w:rsidRPr="002822AE">
        <w:rPr>
          <w:rFonts w:asciiTheme="majorHAnsi" w:eastAsiaTheme="majorEastAsia" w:hAnsiTheme="majorHAnsi" w:cstheme="majorBidi"/>
          <w:noProof/>
          <w:color w:val="595959" w:themeColor="text1" w:themeTint="A6"/>
        </w:rPr>
        <w:t>Table 8: ‘</w:t>
      </w:r>
      <w:r w:rsidRPr="002822AE">
        <w:rPr>
          <w:rFonts w:asciiTheme="majorHAnsi" w:eastAsiaTheme="majorEastAsia" w:hAnsiTheme="majorHAnsi" w:cstheme="majorBidi"/>
          <w:i/>
          <w:noProof/>
          <w:color w:val="595959" w:themeColor="text1" w:themeTint="A6"/>
        </w:rPr>
        <w:t xml:space="preserve">Candidatus </w:t>
      </w:r>
      <w:r w:rsidRPr="002822AE">
        <w:rPr>
          <w:rFonts w:asciiTheme="majorHAnsi" w:eastAsiaTheme="majorEastAsia" w:hAnsiTheme="majorHAnsi" w:cstheme="majorBidi"/>
          <w:noProof/>
          <w:color w:val="595959" w:themeColor="text1" w:themeTint="A6"/>
        </w:rPr>
        <w:t>Liberibacter solanacearum’ haplotypes, vectors, natural hosts and distribution</w:t>
      </w:r>
      <w:r>
        <w:rPr>
          <w:noProof/>
        </w:rPr>
        <w:tab/>
      </w:r>
      <w:r>
        <w:rPr>
          <w:noProof/>
        </w:rPr>
        <w:fldChar w:fldCharType="begin"/>
      </w:r>
      <w:r>
        <w:rPr>
          <w:noProof/>
        </w:rPr>
        <w:instrText xml:space="preserve"> PAGEREF _Toc437355950 \h </w:instrText>
      </w:r>
      <w:r>
        <w:rPr>
          <w:noProof/>
        </w:rPr>
      </w:r>
      <w:r>
        <w:rPr>
          <w:noProof/>
        </w:rPr>
        <w:fldChar w:fldCharType="separate"/>
      </w:r>
      <w:r>
        <w:rPr>
          <w:noProof/>
        </w:rPr>
        <w:t>27</w:t>
      </w:r>
      <w:r>
        <w:rPr>
          <w:noProof/>
        </w:rPr>
        <w:fldChar w:fldCharType="end"/>
      </w:r>
    </w:p>
    <w:p w:rsidR="0076290A" w:rsidRDefault="0076290A">
      <w:pPr>
        <w:pStyle w:val="TableofFigures"/>
        <w:tabs>
          <w:tab w:val="right" w:leader="dot" w:pos="9060"/>
        </w:tabs>
        <w:rPr>
          <w:rFonts w:eastAsiaTheme="minorEastAsia"/>
          <w:noProof/>
          <w:lang w:eastAsia="en-AU"/>
        </w:rPr>
      </w:pPr>
      <w:r w:rsidRPr="002822AE">
        <w:rPr>
          <w:rFonts w:asciiTheme="majorHAnsi" w:eastAsiaTheme="majorEastAsia" w:hAnsiTheme="majorHAnsi" w:cstheme="majorBidi"/>
          <w:noProof/>
          <w:color w:val="595959" w:themeColor="text1" w:themeTint="A6"/>
        </w:rPr>
        <w:t xml:space="preserve">Table 9 </w:t>
      </w:r>
      <w:r w:rsidRPr="002822AE">
        <w:rPr>
          <w:rFonts w:ascii="Cambria" w:hAnsi="Cambria"/>
          <w:noProof/>
          <w:color w:val="595959"/>
        </w:rPr>
        <w:t>Overall</w:t>
      </w:r>
      <w:r w:rsidRPr="002822AE">
        <w:rPr>
          <w:rFonts w:eastAsia="Calibri"/>
          <w:noProof/>
        </w:rPr>
        <w:t xml:space="preserve"> </w:t>
      </w:r>
      <w:r w:rsidRPr="002822AE">
        <w:rPr>
          <w:rFonts w:ascii="Cambria" w:hAnsi="Cambria"/>
          <w:noProof/>
          <w:color w:val="595959"/>
        </w:rPr>
        <w:t>likelihood of entry of ‘</w:t>
      </w:r>
      <w:r w:rsidRPr="002822AE">
        <w:rPr>
          <w:rFonts w:ascii="Cambria" w:hAnsi="Cambria"/>
          <w:i/>
          <w:noProof/>
          <w:color w:val="595959"/>
        </w:rPr>
        <w:t xml:space="preserve">Candidatus </w:t>
      </w:r>
      <w:r w:rsidRPr="002822AE">
        <w:rPr>
          <w:rFonts w:ascii="Cambria" w:hAnsi="Cambria"/>
          <w:noProof/>
          <w:color w:val="595959"/>
        </w:rPr>
        <w:t>Liberibacter solanacearum’ on different pathways</w:t>
      </w:r>
      <w:r>
        <w:rPr>
          <w:noProof/>
        </w:rPr>
        <w:tab/>
      </w:r>
      <w:r>
        <w:rPr>
          <w:noProof/>
        </w:rPr>
        <w:fldChar w:fldCharType="begin"/>
      </w:r>
      <w:r>
        <w:rPr>
          <w:noProof/>
        </w:rPr>
        <w:instrText xml:space="preserve"> PAGEREF _Toc437355962 \h </w:instrText>
      </w:r>
      <w:r>
        <w:rPr>
          <w:noProof/>
        </w:rPr>
      </w:r>
      <w:r>
        <w:rPr>
          <w:noProof/>
        </w:rPr>
        <w:fldChar w:fldCharType="separate"/>
      </w:r>
      <w:r>
        <w:rPr>
          <w:noProof/>
        </w:rPr>
        <w:t>44</w:t>
      </w:r>
      <w:r>
        <w:rPr>
          <w:noProof/>
        </w:rPr>
        <w:fldChar w:fldCharType="end"/>
      </w:r>
    </w:p>
    <w:p w:rsidR="0076290A" w:rsidRDefault="0076290A">
      <w:pPr>
        <w:pStyle w:val="TableofFigures"/>
        <w:tabs>
          <w:tab w:val="right" w:leader="dot" w:pos="9060"/>
        </w:tabs>
        <w:rPr>
          <w:rFonts w:eastAsiaTheme="minorEastAsia"/>
          <w:noProof/>
          <w:lang w:eastAsia="en-AU"/>
        </w:rPr>
      </w:pPr>
      <w:r w:rsidRPr="002822AE">
        <w:rPr>
          <w:rFonts w:asciiTheme="majorHAnsi" w:eastAsiaTheme="majorEastAsia" w:hAnsiTheme="majorHAnsi" w:cstheme="majorBidi"/>
          <w:noProof/>
          <w:color w:val="595959" w:themeColor="text1" w:themeTint="A6"/>
        </w:rPr>
        <w:t xml:space="preserve">Table 10 </w:t>
      </w:r>
      <w:r w:rsidRPr="002822AE">
        <w:rPr>
          <w:rFonts w:ascii="Cambria" w:hAnsi="Cambria"/>
          <w:noProof/>
          <w:color w:val="595959"/>
        </w:rPr>
        <w:t>Overall</w:t>
      </w:r>
      <w:r w:rsidRPr="002822AE">
        <w:rPr>
          <w:rFonts w:eastAsia="Calibri"/>
          <w:noProof/>
        </w:rPr>
        <w:t xml:space="preserve"> </w:t>
      </w:r>
      <w:r w:rsidRPr="002822AE">
        <w:rPr>
          <w:rFonts w:ascii="Cambria" w:hAnsi="Cambria"/>
          <w:noProof/>
          <w:color w:val="595959"/>
        </w:rPr>
        <w:t>likelihood of entry, establishment and spread of ‘</w:t>
      </w:r>
      <w:r w:rsidRPr="002822AE">
        <w:rPr>
          <w:rFonts w:ascii="Cambria" w:hAnsi="Cambria"/>
          <w:i/>
          <w:noProof/>
          <w:color w:val="595959"/>
        </w:rPr>
        <w:t>Candidatus</w:t>
      </w:r>
      <w:r w:rsidRPr="002822AE">
        <w:rPr>
          <w:rFonts w:ascii="Cambria" w:hAnsi="Cambria"/>
          <w:noProof/>
          <w:color w:val="595959"/>
        </w:rPr>
        <w:t xml:space="preserve"> Liberibacter </w:t>
      </w:r>
      <w:r w:rsidRPr="002822AE">
        <w:rPr>
          <w:rFonts w:asciiTheme="majorHAnsi" w:eastAsiaTheme="majorEastAsia" w:hAnsiTheme="majorHAnsi" w:cstheme="majorBidi"/>
          <w:noProof/>
          <w:color w:val="595959" w:themeColor="text1" w:themeTint="A6"/>
        </w:rPr>
        <w:t>solanacearum</w:t>
      </w:r>
      <w:r w:rsidRPr="002822AE">
        <w:rPr>
          <w:rFonts w:ascii="Cambria" w:hAnsi="Cambria"/>
          <w:noProof/>
          <w:color w:val="595959"/>
        </w:rPr>
        <w:t>’ on different pathways</w:t>
      </w:r>
      <w:r>
        <w:rPr>
          <w:noProof/>
        </w:rPr>
        <w:tab/>
      </w:r>
      <w:r>
        <w:rPr>
          <w:noProof/>
        </w:rPr>
        <w:fldChar w:fldCharType="begin"/>
      </w:r>
      <w:r>
        <w:rPr>
          <w:noProof/>
        </w:rPr>
        <w:instrText xml:space="preserve"> PAGEREF _Toc437355963 \h </w:instrText>
      </w:r>
      <w:r>
        <w:rPr>
          <w:noProof/>
        </w:rPr>
      </w:r>
      <w:r>
        <w:rPr>
          <w:noProof/>
        </w:rPr>
        <w:fldChar w:fldCharType="separate"/>
      </w:r>
      <w:r>
        <w:rPr>
          <w:noProof/>
        </w:rPr>
        <w:t>53</w:t>
      </w:r>
      <w:r>
        <w:rPr>
          <w:noProof/>
        </w:rPr>
        <w:fldChar w:fldCharType="end"/>
      </w:r>
    </w:p>
    <w:p w:rsidR="0076290A" w:rsidRDefault="0076290A">
      <w:pPr>
        <w:pStyle w:val="TableofFigures"/>
        <w:tabs>
          <w:tab w:val="right" w:leader="dot" w:pos="9060"/>
        </w:tabs>
        <w:rPr>
          <w:rFonts w:eastAsiaTheme="minorEastAsia"/>
          <w:noProof/>
          <w:lang w:eastAsia="en-AU"/>
        </w:rPr>
      </w:pPr>
      <w:r w:rsidRPr="002822AE">
        <w:rPr>
          <w:rFonts w:asciiTheme="majorHAnsi" w:eastAsiaTheme="majorEastAsia" w:hAnsiTheme="majorHAnsi" w:cstheme="majorBidi"/>
          <w:noProof/>
          <w:color w:val="595959" w:themeColor="text1" w:themeTint="A6"/>
        </w:rPr>
        <w:t xml:space="preserve">Table 11 </w:t>
      </w:r>
      <w:r w:rsidRPr="002822AE">
        <w:rPr>
          <w:rFonts w:ascii="Cambria" w:hAnsi="Cambria"/>
          <w:noProof/>
          <w:color w:val="595959"/>
        </w:rPr>
        <w:t>Unrestricted risk estimates of ‘</w:t>
      </w:r>
      <w:r w:rsidRPr="002822AE">
        <w:rPr>
          <w:rFonts w:ascii="Cambria" w:hAnsi="Cambria"/>
          <w:i/>
          <w:noProof/>
          <w:color w:val="595959"/>
        </w:rPr>
        <w:t xml:space="preserve">Candidatus </w:t>
      </w:r>
      <w:r w:rsidRPr="002822AE">
        <w:rPr>
          <w:rFonts w:ascii="Cambria" w:hAnsi="Cambria"/>
          <w:noProof/>
          <w:color w:val="595959"/>
        </w:rPr>
        <w:t xml:space="preserve">Liberibacter </w:t>
      </w:r>
      <w:r w:rsidRPr="002822AE">
        <w:rPr>
          <w:rFonts w:asciiTheme="majorHAnsi" w:eastAsiaTheme="majorEastAsia" w:hAnsiTheme="majorHAnsi" w:cstheme="majorBidi"/>
          <w:noProof/>
          <w:color w:val="595959" w:themeColor="text1" w:themeTint="A6"/>
        </w:rPr>
        <w:t>solanacearum</w:t>
      </w:r>
      <w:r w:rsidRPr="002822AE">
        <w:rPr>
          <w:rFonts w:ascii="Cambria" w:hAnsi="Cambria"/>
          <w:noProof/>
          <w:color w:val="595959"/>
        </w:rPr>
        <w:t>’ for different pathways</w:t>
      </w:r>
      <w:r>
        <w:rPr>
          <w:noProof/>
        </w:rPr>
        <w:tab/>
      </w:r>
      <w:r>
        <w:rPr>
          <w:noProof/>
        </w:rPr>
        <w:fldChar w:fldCharType="begin"/>
      </w:r>
      <w:r>
        <w:rPr>
          <w:noProof/>
        </w:rPr>
        <w:instrText xml:space="preserve"> PAGEREF _Toc437355964 \h </w:instrText>
      </w:r>
      <w:r>
        <w:rPr>
          <w:noProof/>
        </w:rPr>
      </w:r>
      <w:r>
        <w:rPr>
          <w:noProof/>
        </w:rPr>
        <w:fldChar w:fldCharType="separate"/>
      </w:r>
      <w:r>
        <w:rPr>
          <w:noProof/>
        </w:rPr>
        <w:t>55</w:t>
      </w:r>
      <w:r>
        <w:rPr>
          <w:noProof/>
        </w:rPr>
        <w:fldChar w:fldCharType="end"/>
      </w:r>
    </w:p>
    <w:p w:rsidR="0076290A" w:rsidRDefault="0076290A">
      <w:pPr>
        <w:pStyle w:val="TableofFigures"/>
        <w:tabs>
          <w:tab w:val="right" w:leader="dot" w:pos="9060"/>
        </w:tabs>
        <w:rPr>
          <w:rFonts w:eastAsiaTheme="minorEastAsia"/>
          <w:noProof/>
          <w:lang w:eastAsia="en-AU"/>
        </w:rPr>
      </w:pPr>
      <w:r w:rsidRPr="002822AE">
        <w:rPr>
          <w:rFonts w:asciiTheme="majorHAnsi" w:eastAsiaTheme="majorEastAsia" w:hAnsiTheme="majorHAnsi" w:cstheme="majorBidi"/>
          <w:noProof/>
          <w:color w:val="595959" w:themeColor="text1" w:themeTint="A6"/>
        </w:rPr>
        <w:lastRenderedPageBreak/>
        <w:t>Table 12 Proposed risk mitigation measures for the importation of carrot, celery and parsnip propagative material</w:t>
      </w:r>
      <w:r>
        <w:rPr>
          <w:noProof/>
        </w:rPr>
        <w:tab/>
      </w:r>
      <w:r>
        <w:rPr>
          <w:noProof/>
        </w:rPr>
        <w:fldChar w:fldCharType="begin"/>
      </w:r>
      <w:r>
        <w:rPr>
          <w:noProof/>
        </w:rPr>
        <w:instrText xml:space="preserve"> PAGEREF _Toc437355965 \h </w:instrText>
      </w:r>
      <w:r>
        <w:rPr>
          <w:noProof/>
        </w:rPr>
      </w:r>
      <w:r>
        <w:rPr>
          <w:noProof/>
        </w:rPr>
        <w:fldChar w:fldCharType="separate"/>
      </w:r>
      <w:r>
        <w:rPr>
          <w:noProof/>
        </w:rPr>
        <w:t>62</w:t>
      </w:r>
      <w:r>
        <w:rPr>
          <w:noProof/>
        </w:rPr>
        <w:fldChar w:fldCharType="end"/>
      </w:r>
    </w:p>
    <w:p w:rsidR="0076290A" w:rsidRDefault="0076290A">
      <w:pPr>
        <w:pStyle w:val="TableofFigures"/>
        <w:tabs>
          <w:tab w:val="right" w:leader="dot" w:pos="9060"/>
        </w:tabs>
        <w:rPr>
          <w:rFonts w:eastAsiaTheme="minorEastAsia"/>
          <w:noProof/>
          <w:lang w:eastAsia="en-AU"/>
        </w:rPr>
      </w:pPr>
      <w:r w:rsidRPr="002822AE">
        <w:rPr>
          <w:rFonts w:asciiTheme="majorHAnsi" w:eastAsiaTheme="majorEastAsia" w:hAnsiTheme="majorHAnsi" w:cstheme="majorBidi"/>
          <w:noProof/>
          <w:color w:val="595959" w:themeColor="text1" w:themeTint="A6"/>
        </w:rPr>
        <w:t>Table 13 Detection of ‘</w:t>
      </w:r>
      <w:r w:rsidRPr="002822AE">
        <w:rPr>
          <w:rFonts w:asciiTheme="majorHAnsi" w:eastAsiaTheme="majorEastAsia" w:hAnsiTheme="majorHAnsi" w:cstheme="majorBidi"/>
          <w:i/>
          <w:noProof/>
          <w:color w:val="595959" w:themeColor="text1" w:themeTint="A6"/>
        </w:rPr>
        <w:t>Candidatus</w:t>
      </w:r>
      <w:r w:rsidRPr="002822AE">
        <w:rPr>
          <w:rFonts w:asciiTheme="majorHAnsi" w:eastAsiaTheme="majorEastAsia" w:hAnsiTheme="majorHAnsi" w:cstheme="majorBidi"/>
          <w:noProof/>
          <w:color w:val="595959" w:themeColor="text1" w:themeTint="A6"/>
        </w:rPr>
        <w:t xml:space="preserve"> Liberibacter solanacearum’ in different seed lots</w:t>
      </w:r>
      <w:r>
        <w:rPr>
          <w:noProof/>
        </w:rPr>
        <w:tab/>
      </w:r>
      <w:r>
        <w:rPr>
          <w:noProof/>
        </w:rPr>
        <w:fldChar w:fldCharType="begin"/>
      </w:r>
      <w:r>
        <w:rPr>
          <w:noProof/>
        </w:rPr>
        <w:instrText xml:space="preserve"> PAGEREF _Toc437355966 \h </w:instrText>
      </w:r>
      <w:r>
        <w:rPr>
          <w:noProof/>
        </w:rPr>
      </w:r>
      <w:r>
        <w:rPr>
          <w:noProof/>
        </w:rPr>
        <w:fldChar w:fldCharType="separate"/>
      </w:r>
      <w:r>
        <w:rPr>
          <w:noProof/>
        </w:rPr>
        <w:t>66</w:t>
      </w:r>
      <w:r>
        <w:rPr>
          <w:noProof/>
        </w:rPr>
        <w:fldChar w:fldCharType="end"/>
      </w:r>
    </w:p>
    <w:p w:rsidR="00AE7868" w:rsidRDefault="00652C73">
      <w:pPr>
        <w:pStyle w:val="TOCHeading"/>
        <w:pageBreakBefore w:val="0"/>
        <w:spacing w:after="120"/>
        <w:ind w:left="993" w:hanging="993"/>
        <w:rPr>
          <w:rFonts w:eastAsiaTheme="majorEastAsia" w:cstheme="majorBidi"/>
          <w:b/>
          <w:color w:val="D52B1E"/>
          <w:sz w:val="34"/>
          <w:lang w:val="en-AU"/>
        </w:rPr>
      </w:pPr>
      <w:r>
        <w:rPr>
          <w:rFonts w:ascii="Times New Roman" w:hAnsi="Times New Roman"/>
          <w:bCs w:val="0"/>
          <w:color w:val="auto"/>
          <w:sz w:val="22"/>
          <w:szCs w:val="22"/>
          <w:lang w:val="en-AU"/>
        </w:rPr>
        <w:fldChar w:fldCharType="end"/>
      </w:r>
      <w:r w:rsidR="00FF2B57">
        <w:rPr>
          <w:rFonts w:eastAsiaTheme="majorEastAsia" w:cstheme="majorBidi"/>
          <w:b/>
          <w:color w:val="D52B1E"/>
          <w:sz w:val="34"/>
          <w:lang w:val="en-AU"/>
        </w:rPr>
        <w:t>Maps</w:t>
      </w:r>
    </w:p>
    <w:p w:rsidR="0076290A" w:rsidRDefault="00652C73">
      <w:pPr>
        <w:pStyle w:val="TableofFigures"/>
        <w:tabs>
          <w:tab w:val="right" w:leader="dot" w:pos="9060"/>
        </w:tabs>
        <w:rPr>
          <w:rFonts w:eastAsiaTheme="minorEastAsia"/>
          <w:noProof/>
          <w:lang w:eastAsia="en-AU"/>
        </w:rPr>
      </w:pPr>
      <w:r>
        <w:rPr>
          <w:rFonts w:eastAsiaTheme="minorEastAsia"/>
        </w:rPr>
        <w:fldChar w:fldCharType="begin"/>
      </w:r>
      <w:r w:rsidR="00FF2B57">
        <w:rPr>
          <w:rFonts w:eastAsiaTheme="minorEastAsia"/>
        </w:rPr>
        <w:instrText xml:space="preserve"> TOC \c "Map" </w:instrText>
      </w:r>
      <w:r>
        <w:rPr>
          <w:rFonts w:eastAsiaTheme="minorEastAsia"/>
        </w:rPr>
        <w:fldChar w:fldCharType="separate"/>
      </w:r>
      <w:r w:rsidR="0076290A" w:rsidRPr="00B434BC">
        <w:rPr>
          <w:rFonts w:asciiTheme="majorHAnsi" w:eastAsiaTheme="majorEastAsia" w:hAnsiTheme="majorHAnsi" w:cstheme="majorBidi"/>
          <w:noProof/>
          <w:color w:val="595959" w:themeColor="text1" w:themeTint="A6"/>
        </w:rPr>
        <w:t>Map 1 Map of Australia</w:t>
      </w:r>
      <w:r w:rsidR="0076290A">
        <w:rPr>
          <w:noProof/>
        </w:rPr>
        <w:tab/>
      </w:r>
      <w:r w:rsidR="0076290A">
        <w:rPr>
          <w:noProof/>
        </w:rPr>
        <w:fldChar w:fldCharType="begin"/>
      </w:r>
      <w:r w:rsidR="0076290A">
        <w:rPr>
          <w:noProof/>
        </w:rPr>
        <w:instrText xml:space="preserve"> PAGEREF _Toc437355967 \h </w:instrText>
      </w:r>
      <w:r w:rsidR="0076290A">
        <w:rPr>
          <w:noProof/>
        </w:rPr>
      </w:r>
      <w:r w:rsidR="0076290A">
        <w:rPr>
          <w:noProof/>
        </w:rPr>
        <w:fldChar w:fldCharType="separate"/>
      </w:r>
      <w:r w:rsidR="0076290A">
        <w:rPr>
          <w:noProof/>
        </w:rPr>
        <w:t>vii</w:t>
      </w:r>
      <w:r w:rsidR="0076290A">
        <w:rPr>
          <w:noProof/>
        </w:rPr>
        <w:fldChar w:fldCharType="end"/>
      </w:r>
    </w:p>
    <w:p w:rsidR="0076290A" w:rsidRDefault="0076290A">
      <w:pPr>
        <w:pStyle w:val="TableofFigures"/>
        <w:tabs>
          <w:tab w:val="right" w:leader="dot" w:pos="9060"/>
        </w:tabs>
        <w:rPr>
          <w:rFonts w:eastAsiaTheme="minorEastAsia"/>
          <w:noProof/>
          <w:lang w:eastAsia="en-AU"/>
        </w:rPr>
      </w:pPr>
      <w:r w:rsidRPr="00B434BC">
        <w:rPr>
          <w:rFonts w:asciiTheme="majorHAnsi" w:eastAsiaTheme="majorEastAsia" w:hAnsiTheme="majorHAnsi" w:cstheme="majorBidi"/>
          <w:noProof/>
          <w:color w:val="595959" w:themeColor="text1" w:themeTint="A6"/>
        </w:rPr>
        <w:t>Map 2 A guide to Australia's bio-climatic zones</w:t>
      </w:r>
      <w:r>
        <w:rPr>
          <w:noProof/>
        </w:rPr>
        <w:tab/>
      </w:r>
      <w:r>
        <w:rPr>
          <w:noProof/>
        </w:rPr>
        <w:fldChar w:fldCharType="begin"/>
      </w:r>
      <w:r>
        <w:rPr>
          <w:noProof/>
        </w:rPr>
        <w:instrText xml:space="preserve"> PAGEREF _Toc437355968 \h </w:instrText>
      </w:r>
      <w:r>
        <w:rPr>
          <w:noProof/>
        </w:rPr>
      </w:r>
      <w:r>
        <w:rPr>
          <w:noProof/>
        </w:rPr>
        <w:fldChar w:fldCharType="separate"/>
      </w:r>
      <w:r>
        <w:rPr>
          <w:noProof/>
        </w:rPr>
        <w:t>vii</w:t>
      </w:r>
      <w:r>
        <w:rPr>
          <w:noProof/>
        </w:rPr>
        <w:fldChar w:fldCharType="end"/>
      </w:r>
    </w:p>
    <w:p w:rsidR="0076290A" w:rsidRDefault="0076290A">
      <w:pPr>
        <w:pStyle w:val="TableofFigures"/>
        <w:tabs>
          <w:tab w:val="right" w:leader="dot" w:pos="9060"/>
        </w:tabs>
        <w:rPr>
          <w:rFonts w:eastAsiaTheme="minorEastAsia"/>
          <w:noProof/>
          <w:lang w:eastAsia="en-AU"/>
        </w:rPr>
      </w:pPr>
      <w:r w:rsidRPr="00B434BC">
        <w:rPr>
          <w:rFonts w:asciiTheme="majorHAnsi" w:eastAsiaTheme="majorEastAsia" w:hAnsiTheme="majorHAnsi" w:cstheme="majorBidi"/>
          <w:noProof/>
          <w:color w:val="595959" w:themeColor="text1" w:themeTint="A6"/>
        </w:rPr>
        <w:t>Map 3 Global occurrences of ‘</w:t>
      </w:r>
      <w:r w:rsidRPr="00B434BC">
        <w:rPr>
          <w:rFonts w:asciiTheme="majorHAnsi" w:eastAsiaTheme="majorEastAsia" w:hAnsiTheme="majorHAnsi" w:cstheme="majorBidi"/>
          <w:i/>
          <w:noProof/>
          <w:color w:val="595959" w:themeColor="text1" w:themeTint="A6"/>
        </w:rPr>
        <w:t xml:space="preserve">Candidatus </w:t>
      </w:r>
      <w:r w:rsidRPr="00B434BC">
        <w:rPr>
          <w:rFonts w:asciiTheme="majorHAnsi" w:eastAsiaTheme="majorEastAsia" w:hAnsiTheme="majorHAnsi" w:cstheme="majorBidi"/>
          <w:noProof/>
          <w:color w:val="595959" w:themeColor="text1" w:themeTint="A6"/>
        </w:rPr>
        <w:t>Liberibacter’ species</w:t>
      </w:r>
      <w:r>
        <w:rPr>
          <w:noProof/>
        </w:rPr>
        <w:tab/>
      </w:r>
      <w:r>
        <w:rPr>
          <w:noProof/>
        </w:rPr>
        <w:fldChar w:fldCharType="begin"/>
      </w:r>
      <w:r>
        <w:rPr>
          <w:noProof/>
        </w:rPr>
        <w:instrText xml:space="preserve"> PAGEREF _Toc437355969 \h </w:instrText>
      </w:r>
      <w:r>
        <w:rPr>
          <w:noProof/>
        </w:rPr>
      </w:r>
      <w:r>
        <w:rPr>
          <w:noProof/>
        </w:rPr>
        <w:fldChar w:fldCharType="separate"/>
      </w:r>
      <w:r>
        <w:rPr>
          <w:noProof/>
        </w:rPr>
        <w:t>25</w:t>
      </w:r>
      <w:r>
        <w:rPr>
          <w:noProof/>
        </w:rPr>
        <w:fldChar w:fldCharType="end"/>
      </w:r>
    </w:p>
    <w:p w:rsidR="0076290A" w:rsidRDefault="0076290A">
      <w:pPr>
        <w:pStyle w:val="TableofFigures"/>
        <w:tabs>
          <w:tab w:val="right" w:leader="dot" w:pos="9060"/>
        </w:tabs>
        <w:rPr>
          <w:rFonts w:eastAsiaTheme="minorEastAsia"/>
          <w:noProof/>
          <w:lang w:eastAsia="en-AU"/>
        </w:rPr>
      </w:pPr>
      <w:r w:rsidRPr="00B434BC">
        <w:rPr>
          <w:rFonts w:asciiTheme="majorHAnsi" w:eastAsiaTheme="majorEastAsia" w:hAnsiTheme="majorHAnsi" w:cstheme="majorBidi"/>
          <w:noProof/>
          <w:color w:val="595959" w:themeColor="text1" w:themeTint="A6"/>
        </w:rPr>
        <w:t xml:space="preserve">Map 4 Distribution of </w:t>
      </w:r>
      <w:r w:rsidRPr="00B434BC">
        <w:rPr>
          <w:rFonts w:asciiTheme="majorHAnsi" w:eastAsiaTheme="majorEastAsia" w:hAnsiTheme="majorHAnsi" w:cstheme="majorBidi"/>
          <w:i/>
          <w:noProof/>
          <w:color w:val="595959" w:themeColor="text1" w:themeTint="A6"/>
        </w:rPr>
        <w:t>Trioza apicalis</w:t>
      </w:r>
      <w:r>
        <w:rPr>
          <w:noProof/>
        </w:rPr>
        <w:tab/>
      </w:r>
      <w:r>
        <w:rPr>
          <w:noProof/>
        </w:rPr>
        <w:fldChar w:fldCharType="begin"/>
      </w:r>
      <w:r>
        <w:rPr>
          <w:noProof/>
        </w:rPr>
        <w:instrText xml:space="preserve"> PAGEREF _Toc437355970 \h </w:instrText>
      </w:r>
      <w:r>
        <w:rPr>
          <w:noProof/>
        </w:rPr>
      </w:r>
      <w:r>
        <w:rPr>
          <w:noProof/>
        </w:rPr>
        <w:fldChar w:fldCharType="separate"/>
      </w:r>
      <w:r>
        <w:rPr>
          <w:noProof/>
        </w:rPr>
        <w:t>31</w:t>
      </w:r>
      <w:r>
        <w:rPr>
          <w:noProof/>
        </w:rPr>
        <w:fldChar w:fldCharType="end"/>
      </w:r>
    </w:p>
    <w:p w:rsidR="0076290A" w:rsidRDefault="0076290A">
      <w:pPr>
        <w:pStyle w:val="TableofFigures"/>
        <w:tabs>
          <w:tab w:val="right" w:leader="dot" w:pos="9060"/>
        </w:tabs>
        <w:rPr>
          <w:rFonts w:eastAsiaTheme="minorEastAsia"/>
          <w:noProof/>
          <w:lang w:eastAsia="en-AU"/>
        </w:rPr>
      </w:pPr>
      <w:r w:rsidRPr="00B434BC">
        <w:rPr>
          <w:rFonts w:asciiTheme="majorHAnsi" w:eastAsiaTheme="majorEastAsia" w:hAnsiTheme="majorHAnsi" w:cstheme="majorBidi"/>
          <w:noProof/>
          <w:color w:val="595959" w:themeColor="text1" w:themeTint="A6"/>
        </w:rPr>
        <w:t>Map 5 Distribution of ‘</w:t>
      </w:r>
      <w:r w:rsidRPr="00B434BC">
        <w:rPr>
          <w:rFonts w:asciiTheme="majorHAnsi" w:eastAsiaTheme="majorEastAsia" w:hAnsiTheme="majorHAnsi" w:cstheme="majorBidi"/>
          <w:i/>
          <w:noProof/>
          <w:color w:val="595959" w:themeColor="text1" w:themeTint="A6"/>
        </w:rPr>
        <w:t>Bactericera nigricornis</w:t>
      </w:r>
      <w:r w:rsidRPr="00B434BC">
        <w:rPr>
          <w:rFonts w:asciiTheme="majorHAnsi" w:eastAsiaTheme="majorEastAsia" w:hAnsiTheme="majorHAnsi" w:cstheme="majorBidi"/>
          <w:noProof/>
          <w:color w:val="595959" w:themeColor="text1" w:themeTint="A6"/>
        </w:rPr>
        <w:t xml:space="preserve"> group’</w:t>
      </w:r>
      <w:r>
        <w:rPr>
          <w:noProof/>
        </w:rPr>
        <w:tab/>
      </w:r>
      <w:r>
        <w:rPr>
          <w:noProof/>
        </w:rPr>
        <w:fldChar w:fldCharType="begin"/>
      </w:r>
      <w:r>
        <w:rPr>
          <w:noProof/>
        </w:rPr>
        <w:instrText xml:space="preserve"> PAGEREF _Toc437355971 \h </w:instrText>
      </w:r>
      <w:r>
        <w:rPr>
          <w:noProof/>
        </w:rPr>
      </w:r>
      <w:r>
        <w:rPr>
          <w:noProof/>
        </w:rPr>
        <w:fldChar w:fldCharType="separate"/>
      </w:r>
      <w:r>
        <w:rPr>
          <w:noProof/>
        </w:rPr>
        <w:t>35</w:t>
      </w:r>
      <w:r>
        <w:rPr>
          <w:noProof/>
        </w:rPr>
        <w:fldChar w:fldCharType="end"/>
      </w:r>
    </w:p>
    <w:p w:rsidR="00AE7868" w:rsidRDefault="00652C73">
      <w:pPr>
        <w:pStyle w:val="TOCHeading"/>
        <w:pageBreakBefore w:val="0"/>
        <w:spacing w:after="120"/>
        <w:rPr>
          <w:rFonts w:eastAsiaTheme="majorEastAsia" w:cstheme="majorBidi"/>
          <w:b/>
          <w:color w:val="D52B1E"/>
          <w:sz w:val="34"/>
          <w:lang w:val="en-AU"/>
        </w:rPr>
      </w:pPr>
      <w:r>
        <w:rPr>
          <w:rFonts w:eastAsiaTheme="minorEastAsia"/>
        </w:rPr>
        <w:fldChar w:fldCharType="end"/>
      </w:r>
      <w:r w:rsidR="00FF2B57">
        <w:rPr>
          <w:rFonts w:eastAsiaTheme="majorEastAsia" w:cstheme="majorBidi"/>
          <w:b/>
          <w:color w:val="D52B1E"/>
          <w:sz w:val="34"/>
          <w:lang w:val="en-AU"/>
        </w:rPr>
        <w:t>Figures</w:t>
      </w:r>
      <w:r>
        <w:rPr>
          <w:rFonts w:eastAsiaTheme="majorEastAsia" w:cstheme="majorBidi"/>
          <w:b/>
          <w:color w:val="D52B1E"/>
          <w:sz w:val="34"/>
          <w:lang w:val="en-AU"/>
        </w:rPr>
        <w:fldChar w:fldCharType="begin"/>
      </w:r>
      <w:r w:rsidR="00FF2B57">
        <w:rPr>
          <w:rFonts w:eastAsiaTheme="majorEastAsia" w:cstheme="majorBidi"/>
          <w:b/>
          <w:color w:val="D52B1E"/>
          <w:sz w:val="34"/>
          <w:lang w:val="en-AU"/>
        </w:rPr>
        <w:instrText xml:space="preserve"> TOC \c "Figure" </w:instrText>
      </w:r>
      <w:r>
        <w:rPr>
          <w:rFonts w:eastAsiaTheme="majorEastAsia" w:cstheme="majorBidi"/>
          <w:b/>
          <w:color w:val="D52B1E"/>
          <w:sz w:val="34"/>
          <w:lang w:val="en-AU"/>
        </w:rPr>
        <w:fldChar w:fldCharType="end"/>
      </w:r>
    </w:p>
    <w:p w:rsidR="0076290A" w:rsidRDefault="00652C73">
      <w:pPr>
        <w:pStyle w:val="TableofFigures"/>
        <w:tabs>
          <w:tab w:val="right" w:leader="dot" w:pos="9060"/>
        </w:tabs>
        <w:rPr>
          <w:rFonts w:eastAsiaTheme="minorEastAsia"/>
          <w:noProof/>
          <w:lang w:eastAsia="en-AU"/>
        </w:rPr>
      </w:pPr>
      <w:r>
        <w:rPr>
          <w:rFonts w:ascii="Cambria" w:hAnsi="Cambria"/>
          <w:bCs/>
        </w:rPr>
        <w:fldChar w:fldCharType="begin"/>
      </w:r>
      <w:r w:rsidR="00FF2B57">
        <w:rPr>
          <w:rFonts w:ascii="Cambria" w:hAnsi="Cambria"/>
          <w:bCs/>
        </w:rPr>
        <w:instrText xml:space="preserve"> TOC \t "Caption,1" \c "Table" </w:instrText>
      </w:r>
      <w:r>
        <w:rPr>
          <w:rFonts w:ascii="Cambria" w:hAnsi="Cambria"/>
          <w:bCs/>
        </w:rPr>
        <w:fldChar w:fldCharType="separate"/>
      </w:r>
      <w:r w:rsidR="0076290A" w:rsidRPr="0042511D">
        <w:rPr>
          <w:rFonts w:asciiTheme="majorHAnsi" w:eastAsiaTheme="majorEastAsia" w:hAnsiTheme="majorHAnsi" w:cstheme="majorBidi"/>
          <w:noProof/>
          <w:color w:val="595959" w:themeColor="text1" w:themeTint="A6"/>
        </w:rPr>
        <w:t>Figure 1: Symptoms caused by ‘</w:t>
      </w:r>
      <w:r w:rsidR="0076290A" w:rsidRPr="0042511D">
        <w:rPr>
          <w:rFonts w:asciiTheme="majorHAnsi" w:eastAsiaTheme="majorEastAsia" w:hAnsiTheme="majorHAnsi" w:cstheme="majorBidi"/>
          <w:i/>
          <w:noProof/>
          <w:color w:val="595959" w:themeColor="text1" w:themeTint="A6"/>
        </w:rPr>
        <w:t>Ca</w:t>
      </w:r>
      <w:r w:rsidR="0076290A" w:rsidRPr="0042511D">
        <w:rPr>
          <w:rFonts w:asciiTheme="majorHAnsi" w:eastAsiaTheme="majorEastAsia" w:hAnsiTheme="majorHAnsi" w:cstheme="majorBidi"/>
          <w:noProof/>
          <w:color w:val="595959" w:themeColor="text1" w:themeTint="A6"/>
        </w:rPr>
        <w:t>. L. solanacearum’ in carrot: (A) healthy carrot; (B) infected carrot showing discoloured leaves and reduced root volume; and (C) bacterial cells in a sieve tube element of an infected carrot root</w:t>
      </w:r>
      <w:r w:rsidR="0076290A">
        <w:rPr>
          <w:noProof/>
        </w:rPr>
        <w:tab/>
      </w:r>
      <w:r w:rsidR="0076290A">
        <w:rPr>
          <w:noProof/>
        </w:rPr>
        <w:fldChar w:fldCharType="begin"/>
      </w:r>
      <w:r w:rsidR="0076290A">
        <w:rPr>
          <w:noProof/>
        </w:rPr>
        <w:instrText xml:space="preserve"> PAGEREF _Toc437355983 \h </w:instrText>
      </w:r>
      <w:r w:rsidR="0076290A">
        <w:rPr>
          <w:noProof/>
        </w:rPr>
      </w:r>
      <w:r w:rsidR="0076290A">
        <w:rPr>
          <w:noProof/>
        </w:rPr>
        <w:fldChar w:fldCharType="separate"/>
      </w:r>
      <w:r w:rsidR="0076290A">
        <w:rPr>
          <w:noProof/>
        </w:rPr>
        <w:t>30</w:t>
      </w:r>
      <w:r w:rsidR="0076290A">
        <w:rPr>
          <w:noProof/>
        </w:rPr>
        <w:fldChar w:fldCharType="end"/>
      </w:r>
    </w:p>
    <w:p w:rsidR="0076290A" w:rsidRDefault="0076290A">
      <w:pPr>
        <w:pStyle w:val="TableofFigures"/>
        <w:tabs>
          <w:tab w:val="right" w:leader="dot" w:pos="9060"/>
        </w:tabs>
        <w:rPr>
          <w:rFonts w:eastAsiaTheme="minorEastAsia"/>
          <w:noProof/>
          <w:lang w:eastAsia="en-AU"/>
        </w:rPr>
      </w:pPr>
      <w:r w:rsidRPr="0042511D">
        <w:rPr>
          <w:rFonts w:asciiTheme="majorHAnsi" w:eastAsiaTheme="majorEastAsia" w:hAnsiTheme="majorHAnsi" w:cstheme="majorBidi"/>
          <w:noProof/>
          <w:color w:val="595959" w:themeColor="text1" w:themeTint="A6"/>
        </w:rPr>
        <w:t>Figure 2 Symptoms caused by ‘</w:t>
      </w:r>
      <w:r w:rsidRPr="0042511D">
        <w:rPr>
          <w:rFonts w:asciiTheme="majorHAnsi" w:eastAsiaTheme="majorEastAsia" w:hAnsiTheme="majorHAnsi" w:cstheme="majorBidi"/>
          <w:i/>
          <w:noProof/>
          <w:color w:val="595959" w:themeColor="text1" w:themeTint="A6"/>
        </w:rPr>
        <w:t>Ca</w:t>
      </w:r>
      <w:r w:rsidRPr="0042511D">
        <w:rPr>
          <w:rFonts w:asciiTheme="majorHAnsi" w:eastAsiaTheme="majorEastAsia" w:hAnsiTheme="majorHAnsi" w:cstheme="majorBidi"/>
          <w:noProof/>
          <w:color w:val="595959" w:themeColor="text1" w:themeTint="A6"/>
        </w:rPr>
        <w:t xml:space="preserve">. L. solanacearum’ in celery: (A) infected celery (left) healthy celery (right); (B) infected  celery </w:t>
      </w:r>
      <w:r w:rsidRPr="0042511D">
        <w:rPr>
          <w:rFonts w:asciiTheme="majorHAnsi" w:eastAsiaTheme="majorEastAsia" w:hAnsiTheme="majorHAnsi" w:cstheme="majorBidi"/>
          <w:noProof/>
          <w:color w:val="595959" w:themeColor="text1" w:themeTint="A6"/>
        </w:rPr>
        <w:lastRenderedPageBreak/>
        <w:t>showing abnormal shoot proliferation; (C) curling of stems; and (D) mild symptoms in plant</w:t>
      </w:r>
      <w:r>
        <w:rPr>
          <w:noProof/>
        </w:rPr>
        <w:tab/>
      </w:r>
      <w:r>
        <w:rPr>
          <w:noProof/>
        </w:rPr>
        <w:fldChar w:fldCharType="begin"/>
      </w:r>
      <w:r>
        <w:rPr>
          <w:noProof/>
        </w:rPr>
        <w:instrText xml:space="preserve"> PAGEREF _Toc437355984 \h </w:instrText>
      </w:r>
      <w:r>
        <w:rPr>
          <w:noProof/>
        </w:rPr>
      </w:r>
      <w:r>
        <w:rPr>
          <w:noProof/>
        </w:rPr>
        <w:fldChar w:fldCharType="separate"/>
      </w:r>
      <w:r>
        <w:rPr>
          <w:noProof/>
        </w:rPr>
        <w:t>31</w:t>
      </w:r>
      <w:r>
        <w:rPr>
          <w:noProof/>
        </w:rPr>
        <w:fldChar w:fldCharType="end"/>
      </w:r>
    </w:p>
    <w:p w:rsidR="0076290A" w:rsidRDefault="0076290A">
      <w:pPr>
        <w:pStyle w:val="TableofFigures"/>
        <w:tabs>
          <w:tab w:val="right" w:leader="dot" w:pos="9060"/>
        </w:tabs>
        <w:rPr>
          <w:rFonts w:eastAsiaTheme="minorEastAsia"/>
          <w:noProof/>
          <w:lang w:eastAsia="en-AU"/>
        </w:rPr>
      </w:pPr>
      <w:r w:rsidRPr="0042511D">
        <w:rPr>
          <w:rFonts w:asciiTheme="majorHAnsi" w:eastAsiaTheme="majorEastAsia" w:hAnsiTheme="majorHAnsi" w:cstheme="majorBidi"/>
          <w:noProof/>
          <w:color w:val="595959" w:themeColor="text1" w:themeTint="A6"/>
        </w:rPr>
        <w:t>Figure 3 Transmission of ‘</w:t>
      </w:r>
      <w:r w:rsidRPr="0042511D">
        <w:rPr>
          <w:rFonts w:asciiTheme="majorHAnsi" w:eastAsiaTheme="majorEastAsia" w:hAnsiTheme="majorHAnsi" w:cstheme="majorBidi"/>
          <w:i/>
          <w:noProof/>
          <w:color w:val="595959" w:themeColor="text1" w:themeTint="A6"/>
        </w:rPr>
        <w:t xml:space="preserve">Candidatus </w:t>
      </w:r>
      <w:r w:rsidRPr="0042511D">
        <w:rPr>
          <w:rFonts w:asciiTheme="majorHAnsi" w:eastAsiaTheme="majorEastAsia" w:hAnsiTheme="majorHAnsi" w:cstheme="majorBidi"/>
          <w:noProof/>
          <w:color w:val="595959" w:themeColor="text1" w:themeTint="A6"/>
        </w:rPr>
        <w:t>Liberibacter solanacearum’ through psyllids</w:t>
      </w:r>
      <w:r>
        <w:rPr>
          <w:noProof/>
        </w:rPr>
        <w:tab/>
      </w:r>
      <w:r>
        <w:rPr>
          <w:noProof/>
        </w:rPr>
        <w:fldChar w:fldCharType="begin"/>
      </w:r>
      <w:r>
        <w:rPr>
          <w:noProof/>
        </w:rPr>
        <w:instrText xml:space="preserve"> PAGEREF _Toc437355985 \h </w:instrText>
      </w:r>
      <w:r>
        <w:rPr>
          <w:noProof/>
        </w:rPr>
      </w:r>
      <w:r>
        <w:rPr>
          <w:noProof/>
        </w:rPr>
        <w:fldChar w:fldCharType="separate"/>
      </w:r>
      <w:r>
        <w:rPr>
          <w:noProof/>
        </w:rPr>
        <w:t>32</w:t>
      </w:r>
      <w:r>
        <w:rPr>
          <w:noProof/>
        </w:rPr>
        <w:fldChar w:fldCharType="end"/>
      </w:r>
    </w:p>
    <w:p w:rsidR="0076290A" w:rsidRDefault="0076290A">
      <w:pPr>
        <w:pStyle w:val="TableofFigures"/>
        <w:tabs>
          <w:tab w:val="right" w:leader="dot" w:pos="9060"/>
        </w:tabs>
        <w:rPr>
          <w:rFonts w:eastAsiaTheme="minorEastAsia"/>
          <w:noProof/>
          <w:lang w:eastAsia="en-AU"/>
        </w:rPr>
      </w:pPr>
      <w:r w:rsidRPr="0042511D">
        <w:rPr>
          <w:rFonts w:asciiTheme="majorHAnsi" w:eastAsiaTheme="majorEastAsia" w:hAnsiTheme="majorHAnsi" w:cstheme="majorBidi"/>
          <w:noProof/>
          <w:color w:val="595959" w:themeColor="text1" w:themeTint="A6"/>
        </w:rPr>
        <w:t xml:space="preserve">Figure 4 </w:t>
      </w:r>
      <w:r w:rsidRPr="0042511D">
        <w:rPr>
          <w:rFonts w:asciiTheme="majorHAnsi" w:eastAsiaTheme="majorEastAsia" w:hAnsiTheme="majorHAnsi" w:cstheme="majorBidi"/>
          <w:i/>
          <w:noProof/>
          <w:color w:val="595959" w:themeColor="text1" w:themeTint="A6"/>
        </w:rPr>
        <w:t>Trioza apicalis</w:t>
      </w:r>
      <w:r w:rsidRPr="0042511D">
        <w:rPr>
          <w:rFonts w:asciiTheme="majorHAnsi" w:eastAsiaTheme="majorEastAsia" w:hAnsiTheme="majorHAnsi" w:cstheme="majorBidi"/>
          <w:noProof/>
          <w:color w:val="595959" w:themeColor="text1" w:themeTint="A6"/>
        </w:rPr>
        <w:t>: (A) adult; (B) female on a carrot leaf; (C) small elongated eggs; and (D) nymphs</w:t>
      </w:r>
      <w:r>
        <w:rPr>
          <w:noProof/>
        </w:rPr>
        <w:tab/>
      </w:r>
      <w:r>
        <w:rPr>
          <w:noProof/>
        </w:rPr>
        <w:fldChar w:fldCharType="begin"/>
      </w:r>
      <w:r>
        <w:rPr>
          <w:noProof/>
        </w:rPr>
        <w:instrText xml:space="preserve"> PAGEREF _Toc437355987 \h </w:instrText>
      </w:r>
      <w:r>
        <w:rPr>
          <w:noProof/>
        </w:rPr>
      </w:r>
      <w:r>
        <w:rPr>
          <w:noProof/>
        </w:rPr>
        <w:fldChar w:fldCharType="separate"/>
      </w:r>
      <w:r>
        <w:rPr>
          <w:noProof/>
        </w:rPr>
        <w:t>34</w:t>
      </w:r>
      <w:r>
        <w:rPr>
          <w:noProof/>
        </w:rPr>
        <w:fldChar w:fldCharType="end"/>
      </w:r>
    </w:p>
    <w:p w:rsidR="0076290A" w:rsidRDefault="0076290A">
      <w:pPr>
        <w:pStyle w:val="TableofFigures"/>
        <w:tabs>
          <w:tab w:val="right" w:leader="dot" w:pos="9060"/>
        </w:tabs>
        <w:rPr>
          <w:rFonts w:eastAsiaTheme="minorEastAsia"/>
          <w:noProof/>
          <w:lang w:eastAsia="en-AU"/>
        </w:rPr>
      </w:pPr>
      <w:r w:rsidRPr="0042511D">
        <w:rPr>
          <w:rFonts w:asciiTheme="majorHAnsi" w:eastAsiaTheme="majorEastAsia" w:hAnsiTheme="majorHAnsi" w:cstheme="majorBidi"/>
          <w:noProof/>
          <w:color w:val="595959" w:themeColor="text1" w:themeTint="A6"/>
        </w:rPr>
        <w:t>Figure 5 Leaf curling caused by the carrot psyllid</w:t>
      </w:r>
      <w:r>
        <w:rPr>
          <w:noProof/>
        </w:rPr>
        <w:tab/>
      </w:r>
      <w:r>
        <w:rPr>
          <w:noProof/>
        </w:rPr>
        <w:fldChar w:fldCharType="begin"/>
      </w:r>
      <w:r>
        <w:rPr>
          <w:noProof/>
        </w:rPr>
        <w:instrText xml:space="preserve"> PAGEREF _Toc437355988 \h </w:instrText>
      </w:r>
      <w:r>
        <w:rPr>
          <w:noProof/>
        </w:rPr>
      </w:r>
      <w:r>
        <w:rPr>
          <w:noProof/>
        </w:rPr>
        <w:fldChar w:fldCharType="separate"/>
      </w:r>
      <w:r>
        <w:rPr>
          <w:noProof/>
        </w:rPr>
        <w:t>34</w:t>
      </w:r>
      <w:r>
        <w:rPr>
          <w:noProof/>
        </w:rPr>
        <w:fldChar w:fldCharType="end"/>
      </w:r>
    </w:p>
    <w:p w:rsidR="0076290A" w:rsidRDefault="0076290A">
      <w:pPr>
        <w:pStyle w:val="TableofFigures"/>
        <w:tabs>
          <w:tab w:val="right" w:leader="dot" w:pos="9060"/>
        </w:tabs>
        <w:rPr>
          <w:rFonts w:eastAsiaTheme="minorEastAsia"/>
          <w:noProof/>
          <w:lang w:eastAsia="en-AU"/>
        </w:rPr>
      </w:pPr>
      <w:r w:rsidRPr="0042511D">
        <w:rPr>
          <w:rFonts w:asciiTheme="majorHAnsi" w:eastAsiaTheme="majorEastAsia" w:hAnsiTheme="majorHAnsi" w:cstheme="majorBidi"/>
          <w:noProof/>
          <w:color w:val="595959" w:themeColor="text1" w:themeTint="A6"/>
        </w:rPr>
        <w:t>Figure 6 Symptoms developed on carrot after psyllid exposure: (A) healthy leaf; (B) leaf showing discolouration; (C) damage without discolouration; and (D) proliferation of secondary roots</w:t>
      </w:r>
      <w:r>
        <w:rPr>
          <w:noProof/>
        </w:rPr>
        <w:tab/>
      </w:r>
      <w:r>
        <w:rPr>
          <w:noProof/>
        </w:rPr>
        <w:fldChar w:fldCharType="begin"/>
      </w:r>
      <w:r>
        <w:rPr>
          <w:noProof/>
        </w:rPr>
        <w:instrText xml:space="preserve"> PAGEREF _Toc437355989 \h </w:instrText>
      </w:r>
      <w:r>
        <w:rPr>
          <w:noProof/>
        </w:rPr>
      </w:r>
      <w:r>
        <w:rPr>
          <w:noProof/>
        </w:rPr>
        <w:fldChar w:fldCharType="separate"/>
      </w:r>
      <w:r>
        <w:rPr>
          <w:noProof/>
        </w:rPr>
        <w:t>35</w:t>
      </w:r>
      <w:r>
        <w:rPr>
          <w:noProof/>
        </w:rPr>
        <w:fldChar w:fldCharType="end"/>
      </w:r>
    </w:p>
    <w:p w:rsidR="0076290A" w:rsidRDefault="0076290A">
      <w:pPr>
        <w:pStyle w:val="TableofFigures"/>
        <w:tabs>
          <w:tab w:val="right" w:leader="dot" w:pos="9060"/>
        </w:tabs>
        <w:rPr>
          <w:rFonts w:eastAsiaTheme="minorEastAsia"/>
          <w:noProof/>
          <w:lang w:eastAsia="en-AU"/>
        </w:rPr>
      </w:pPr>
      <w:r w:rsidRPr="0042511D">
        <w:rPr>
          <w:rFonts w:asciiTheme="majorHAnsi" w:eastAsiaTheme="majorEastAsia" w:hAnsiTheme="majorHAnsi" w:cstheme="majorBidi"/>
          <w:noProof/>
          <w:color w:val="595959" w:themeColor="text1" w:themeTint="A6"/>
        </w:rPr>
        <w:t xml:space="preserve">Figure 7 Life cycle of </w:t>
      </w:r>
      <w:r w:rsidRPr="0042511D">
        <w:rPr>
          <w:rFonts w:asciiTheme="majorHAnsi" w:eastAsiaTheme="majorEastAsia" w:hAnsiTheme="majorHAnsi" w:cstheme="majorBidi"/>
          <w:i/>
          <w:noProof/>
          <w:color w:val="595959" w:themeColor="text1" w:themeTint="A6"/>
        </w:rPr>
        <w:t>Trioza apicalis</w:t>
      </w:r>
      <w:r>
        <w:rPr>
          <w:noProof/>
        </w:rPr>
        <w:tab/>
      </w:r>
      <w:r>
        <w:rPr>
          <w:noProof/>
        </w:rPr>
        <w:fldChar w:fldCharType="begin"/>
      </w:r>
      <w:r>
        <w:rPr>
          <w:noProof/>
        </w:rPr>
        <w:instrText xml:space="preserve"> PAGEREF _Toc437355990 \h </w:instrText>
      </w:r>
      <w:r>
        <w:rPr>
          <w:noProof/>
        </w:rPr>
      </w:r>
      <w:r>
        <w:rPr>
          <w:noProof/>
        </w:rPr>
        <w:fldChar w:fldCharType="separate"/>
      </w:r>
      <w:r>
        <w:rPr>
          <w:noProof/>
        </w:rPr>
        <w:t>36</w:t>
      </w:r>
      <w:r>
        <w:rPr>
          <w:noProof/>
        </w:rPr>
        <w:fldChar w:fldCharType="end"/>
      </w:r>
    </w:p>
    <w:p w:rsidR="0076290A" w:rsidRDefault="0076290A">
      <w:pPr>
        <w:pStyle w:val="TableofFigures"/>
        <w:tabs>
          <w:tab w:val="right" w:leader="dot" w:pos="9060"/>
        </w:tabs>
        <w:rPr>
          <w:rFonts w:eastAsiaTheme="minorEastAsia"/>
          <w:noProof/>
          <w:lang w:eastAsia="en-AU"/>
        </w:rPr>
      </w:pPr>
      <w:r w:rsidRPr="0042511D">
        <w:rPr>
          <w:rFonts w:asciiTheme="majorHAnsi" w:eastAsiaTheme="majorEastAsia" w:hAnsiTheme="majorHAnsi" w:cstheme="majorBidi"/>
          <w:noProof/>
          <w:color w:val="595959" w:themeColor="text1" w:themeTint="A6"/>
        </w:rPr>
        <w:t xml:space="preserve">Figure 8 </w:t>
      </w:r>
      <w:r w:rsidRPr="0042511D">
        <w:rPr>
          <w:rFonts w:asciiTheme="majorHAnsi" w:eastAsiaTheme="majorEastAsia" w:hAnsiTheme="majorHAnsi" w:cstheme="majorBidi"/>
          <w:i/>
          <w:noProof/>
          <w:color w:val="595959" w:themeColor="text1" w:themeTint="A6"/>
        </w:rPr>
        <w:t>Bactericera nigricornis</w:t>
      </w:r>
      <w:r w:rsidRPr="0042511D">
        <w:rPr>
          <w:rFonts w:asciiTheme="majorHAnsi" w:eastAsiaTheme="majorEastAsia" w:hAnsiTheme="majorHAnsi" w:cstheme="majorBidi"/>
          <w:noProof/>
          <w:color w:val="595959" w:themeColor="text1" w:themeTint="A6"/>
        </w:rPr>
        <w:t>:</w:t>
      </w:r>
      <w:r w:rsidRPr="0042511D">
        <w:rPr>
          <w:rFonts w:asciiTheme="majorHAnsi" w:eastAsiaTheme="majorEastAsia" w:hAnsiTheme="majorHAnsi" w:cstheme="majorBidi"/>
          <w:i/>
          <w:noProof/>
          <w:color w:val="595959" w:themeColor="text1" w:themeTint="A6"/>
        </w:rPr>
        <w:t xml:space="preserve"> </w:t>
      </w:r>
      <w:r w:rsidRPr="0042511D">
        <w:rPr>
          <w:rFonts w:asciiTheme="majorHAnsi" w:eastAsiaTheme="majorEastAsia" w:hAnsiTheme="majorHAnsi" w:cstheme="majorBidi"/>
          <w:noProof/>
          <w:color w:val="595959" w:themeColor="text1" w:themeTint="A6"/>
        </w:rPr>
        <w:t>(A) adult; (B) small elongated eggs; (C) eggs on stalk; (D) nymphs; and (E) adult</w:t>
      </w:r>
      <w:r>
        <w:rPr>
          <w:noProof/>
        </w:rPr>
        <w:tab/>
      </w:r>
      <w:r>
        <w:rPr>
          <w:noProof/>
        </w:rPr>
        <w:fldChar w:fldCharType="begin"/>
      </w:r>
      <w:r>
        <w:rPr>
          <w:noProof/>
        </w:rPr>
        <w:instrText xml:space="preserve"> PAGEREF _Toc437355992 \h </w:instrText>
      </w:r>
      <w:r>
        <w:rPr>
          <w:noProof/>
        </w:rPr>
      </w:r>
      <w:r>
        <w:rPr>
          <w:noProof/>
        </w:rPr>
        <w:fldChar w:fldCharType="separate"/>
      </w:r>
      <w:r>
        <w:rPr>
          <w:noProof/>
        </w:rPr>
        <w:t>38</w:t>
      </w:r>
      <w:r>
        <w:rPr>
          <w:noProof/>
        </w:rPr>
        <w:fldChar w:fldCharType="end"/>
      </w:r>
    </w:p>
    <w:p w:rsidR="0076290A" w:rsidRDefault="0076290A">
      <w:pPr>
        <w:pStyle w:val="TableofFigures"/>
        <w:tabs>
          <w:tab w:val="right" w:leader="dot" w:pos="9060"/>
        </w:tabs>
        <w:rPr>
          <w:rFonts w:eastAsiaTheme="minorEastAsia"/>
          <w:noProof/>
          <w:lang w:eastAsia="en-AU"/>
        </w:rPr>
      </w:pPr>
      <w:r w:rsidRPr="0042511D">
        <w:rPr>
          <w:rFonts w:asciiTheme="majorHAnsi" w:eastAsiaTheme="majorEastAsia" w:hAnsiTheme="majorHAnsi" w:cstheme="majorBidi"/>
          <w:noProof/>
          <w:color w:val="595959" w:themeColor="text1" w:themeTint="A6"/>
        </w:rPr>
        <w:t xml:space="preserve">Figure 9 </w:t>
      </w:r>
      <w:r w:rsidRPr="0042511D">
        <w:rPr>
          <w:rFonts w:asciiTheme="majorHAnsi" w:eastAsiaTheme="majorEastAsia" w:hAnsiTheme="majorHAnsi" w:cstheme="majorBidi"/>
          <w:i/>
          <w:noProof/>
          <w:color w:val="595959" w:themeColor="text1" w:themeTint="A6"/>
        </w:rPr>
        <w:t>Bactericera tremblayi</w:t>
      </w:r>
      <w:r w:rsidRPr="0042511D">
        <w:rPr>
          <w:rFonts w:asciiTheme="majorHAnsi" w:eastAsiaTheme="majorEastAsia" w:hAnsiTheme="majorHAnsi" w:cstheme="majorBidi"/>
          <w:noProof/>
          <w:color w:val="595959" w:themeColor="text1" w:themeTint="A6"/>
        </w:rPr>
        <w:t>: (A) adult; (B) small elongated eggs; (C) eggs on stalk; and (D) nymphs</w:t>
      </w:r>
      <w:r>
        <w:rPr>
          <w:noProof/>
        </w:rPr>
        <w:tab/>
      </w:r>
      <w:r>
        <w:rPr>
          <w:noProof/>
        </w:rPr>
        <w:fldChar w:fldCharType="begin"/>
      </w:r>
      <w:r>
        <w:rPr>
          <w:noProof/>
        </w:rPr>
        <w:instrText xml:space="preserve"> PAGEREF _Toc437355993 \h </w:instrText>
      </w:r>
      <w:r>
        <w:rPr>
          <w:noProof/>
        </w:rPr>
      </w:r>
      <w:r>
        <w:rPr>
          <w:noProof/>
        </w:rPr>
        <w:fldChar w:fldCharType="separate"/>
      </w:r>
      <w:r>
        <w:rPr>
          <w:noProof/>
        </w:rPr>
        <w:t>39</w:t>
      </w:r>
      <w:r>
        <w:rPr>
          <w:noProof/>
        </w:rPr>
        <w:fldChar w:fldCharType="end"/>
      </w:r>
    </w:p>
    <w:p w:rsidR="00AE7868" w:rsidRDefault="00652C73">
      <w:pPr>
        <w:pStyle w:val="TableofFigures"/>
        <w:tabs>
          <w:tab w:val="right" w:leader="dot" w:pos="9060"/>
        </w:tabs>
        <w:ind w:left="993" w:hanging="993"/>
      </w:pPr>
      <w:r>
        <w:rPr>
          <w:rFonts w:ascii="Cambria" w:hAnsi="Cambria"/>
          <w:bCs/>
        </w:rPr>
        <w:fldChar w:fldCharType="end"/>
      </w:r>
    </w:p>
    <w:p w:rsidR="00AE7868" w:rsidRDefault="00AE7868">
      <w:pPr>
        <w:sectPr w:rsidR="00AE7868">
          <w:pgSz w:w="11906" w:h="16838"/>
          <w:pgMar w:top="1418" w:right="1418" w:bottom="1418" w:left="1418" w:header="567" w:footer="283" w:gutter="0"/>
          <w:pgNumType w:fmt="lowerRoman"/>
          <w:cols w:space="708"/>
          <w:titlePg/>
          <w:docGrid w:linePitch="360"/>
        </w:sectPr>
      </w:pPr>
    </w:p>
    <w:p w:rsidR="00AE7868" w:rsidRDefault="00FF2B57">
      <w:pPr>
        <w:pStyle w:val="Caption"/>
        <w:keepNext w:val="0"/>
        <w:rPr>
          <w:rFonts w:asciiTheme="majorHAnsi" w:eastAsiaTheme="majorEastAsia" w:hAnsiTheme="majorHAnsi" w:cstheme="majorBidi"/>
          <w:color w:val="595959" w:themeColor="text1" w:themeTint="A6"/>
          <w:sz w:val="20"/>
        </w:rPr>
      </w:pPr>
      <w:bookmarkStart w:id="0" w:name="_Toc384197740"/>
      <w:bookmarkStart w:id="1" w:name="_Toc384209828"/>
      <w:bookmarkStart w:id="2" w:name="_Toc384275072"/>
      <w:bookmarkStart w:id="3" w:name="_Toc384275087"/>
      <w:bookmarkStart w:id="4" w:name="_Toc384279205"/>
      <w:bookmarkStart w:id="5" w:name="_Toc384285413"/>
      <w:bookmarkStart w:id="6" w:name="_Toc384285463"/>
      <w:bookmarkStart w:id="7" w:name="_Toc385508250"/>
      <w:bookmarkStart w:id="8" w:name="_Toc388191275"/>
      <w:bookmarkStart w:id="9" w:name="_Toc388557517"/>
      <w:bookmarkStart w:id="10" w:name="_Toc388882516"/>
      <w:bookmarkStart w:id="11" w:name="_Toc388949914"/>
      <w:bookmarkStart w:id="12" w:name="_Toc392494627"/>
      <w:bookmarkStart w:id="13" w:name="_Toc392503870"/>
      <w:bookmarkStart w:id="14" w:name="_Toc409685797"/>
      <w:bookmarkStart w:id="15" w:name="_Toc412625736"/>
      <w:bookmarkStart w:id="16" w:name="_Toc416467510"/>
      <w:bookmarkStart w:id="17" w:name="_Toc418146929"/>
      <w:bookmarkStart w:id="18" w:name="_Toc418712800"/>
      <w:bookmarkStart w:id="19" w:name="_Toc418712904"/>
      <w:bookmarkStart w:id="20" w:name="_Toc421786685"/>
      <w:bookmarkStart w:id="21" w:name="_Toc421786868"/>
      <w:bookmarkStart w:id="22" w:name="_Toc428785194"/>
      <w:bookmarkStart w:id="23" w:name="_Toc428785222"/>
      <w:bookmarkStart w:id="24" w:name="_Toc428786303"/>
      <w:bookmarkStart w:id="25" w:name="_Toc429494602"/>
      <w:bookmarkStart w:id="26" w:name="_Toc430256478"/>
      <w:bookmarkStart w:id="27" w:name="_Toc430256515"/>
      <w:bookmarkStart w:id="28" w:name="_Toc432876704"/>
      <w:bookmarkStart w:id="29" w:name="_Toc433293337"/>
      <w:bookmarkStart w:id="30" w:name="_Toc433707281"/>
      <w:bookmarkStart w:id="31" w:name="_Toc433707313"/>
      <w:bookmarkStart w:id="32" w:name="_Toc433796445"/>
      <w:bookmarkStart w:id="33" w:name="_Toc433796477"/>
      <w:bookmarkStart w:id="34" w:name="_Toc437355940"/>
      <w:bookmarkStart w:id="35" w:name="_Toc437355967"/>
      <w:bookmarkStart w:id="36" w:name="_Toc437355972"/>
      <w:r>
        <w:rPr>
          <w:rFonts w:asciiTheme="majorHAnsi" w:eastAsiaTheme="majorEastAsia" w:hAnsiTheme="majorHAnsi" w:cstheme="majorBidi"/>
          <w:color w:val="595959" w:themeColor="text1" w:themeTint="A6"/>
          <w:sz w:val="20"/>
        </w:rPr>
        <w:lastRenderedPageBreak/>
        <w:t xml:space="preserve">Map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Map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1</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Map of Australia</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AE7868" w:rsidRDefault="00FF2B57">
      <w:pPr>
        <w:pStyle w:val="Picture"/>
      </w:pPr>
      <w:bookmarkStart w:id="37" w:name="_GoBack"/>
      <w:r>
        <w:rPr>
          <w:noProof/>
          <w:lang w:eastAsia="en-AU"/>
        </w:rPr>
        <w:drawing>
          <wp:inline distT="0" distB="0" distL="0" distR="0">
            <wp:extent cx="4936448" cy="3876107"/>
            <wp:effectExtent l="19050" t="0" r="0" b="0"/>
            <wp:docPr id="2" name="Picture 2" descr="Austral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 map"/>
                    <pic:cNvPicPr>
                      <a:picLocks noChangeAspect="1" noChangeArrowheads="1"/>
                    </pic:cNvPicPr>
                  </pic:nvPicPr>
                  <pic:blipFill>
                    <a:blip r:embed="rId25" cstate="print"/>
                    <a:srcRect/>
                    <a:stretch>
                      <a:fillRect/>
                    </a:stretch>
                  </pic:blipFill>
                  <pic:spPr bwMode="auto">
                    <a:xfrm>
                      <a:off x="0" y="0"/>
                      <a:ext cx="4940576" cy="3876261"/>
                    </a:xfrm>
                    <a:prstGeom prst="rect">
                      <a:avLst/>
                    </a:prstGeom>
                    <a:noFill/>
                    <a:ln w="9525">
                      <a:noFill/>
                      <a:miter lim="800000"/>
                      <a:headEnd/>
                      <a:tailEnd/>
                    </a:ln>
                  </pic:spPr>
                </pic:pic>
              </a:graphicData>
            </a:graphic>
          </wp:inline>
        </w:drawing>
      </w:r>
      <w:bookmarkEnd w:id="37"/>
    </w:p>
    <w:p w:rsidR="00AE7868" w:rsidRDefault="00FF2B57">
      <w:pPr>
        <w:pStyle w:val="Caption"/>
        <w:keepNext w:val="0"/>
        <w:rPr>
          <w:rFonts w:asciiTheme="majorHAnsi" w:eastAsiaTheme="majorEastAsia" w:hAnsiTheme="majorHAnsi" w:cstheme="majorBidi"/>
          <w:color w:val="595959" w:themeColor="text1" w:themeTint="A6"/>
          <w:sz w:val="20"/>
        </w:rPr>
      </w:pPr>
      <w:bookmarkStart w:id="38" w:name="_Toc384197741"/>
      <w:bookmarkStart w:id="39" w:name="_Toc384209829"/>
      <w:bookmarkStart w:id="40" w:name="_Toc384275073"/>
      <w:bookmarkStart w:id="41" w:name="_Toc384275088"/>
      <w:bookmarkStart w:id="42" w:name="_Toc384279206"/>
      <w:bookmarkStart w:id="43" w:name="_Toc384285414"/>
      <w:bookmarkStart w:id="44" w:name="_Toc384285464"/>
      <w:bookmarkStart w:id="45" w:name="_Toc385508251"/>
      <w:bookmarkStart w:id="46" w:name="_Toc388191276"/>
      <w:bookmarkStart w:id="47" w:name="_Toc388557518"/>
      <w:bookmarkStart w:id="48" w:name="_Toc388882517"/>
      <w:bookmarkStart w:id="49" w:name="_Toc388949915"/>
      <w:bookmarkStart w:id="50" w:name="_Toc392494628"/>
      <w:bookmarkStart w:id="51" w:name="_Toc392503871"/>
      <w:bookmarkStart w:id="52" w:name="_Toc409685798"/>
      <w:bookmarkStart w:id="53" w:name="_Toc412625737"/>
      <w:bookmarkStart w:id="54" w:name="_Toc416467511"/>
      <w:bookmarkStart w:id="55" w:name="_Toc418146930"/>
      <w:bookmarkStart w:id="56" w:name="_Toc418712801"/>
      <w:bookmarkStart w:id="57" w:name="_Toc418712905"/>
      <w:bookmarkStart w:id="58" w:name="_Toc421786686"/>
      <w:bookmarkStart w:id="59" w:name="_Toc421786869"/>
      <w:bookmarkStart w:id="60" w:name="_Toc428785195"/>
      <w:bookmarkStart w:id="61" w:name="_Toc428785223"/>
      <w:bookmarkStart w:id="62" w:name="_Toc428786304"/>
      <w:bookmarkStart w:id="63" w:name="_Toc429494603"/>
      <w:bookmarkStart w:id="64" w:name="_Toc430256479"/>
      <w:bookmarkStart w:id="65" w:name="_Toc430256516"/>
      <w:bookmarkStart w:id="66" w:name="_Toc432876705"/>
      <w:bookmarkStart w:id="67" w:name="_Toc433293338"/>
      <w:bookmarkStart w:id="68" w:name="_Toc433707282"/>
      <w:bookmarkStart w:id="69" w:name="_Toc433707314"/>
      <w:bookmarkStart w:id="70" w:name="_Toc433796446"/>
      <w:bookmarkStart w:id="71" w:name="_Toc433796478"/>
      <w:bookmarkStart w:id="72" w:name="_Toc437355941"/>
      <w:bookmarkStart w:id="73" w:name="_Toc437355968"/>
      <w:bookmarkStart w:id="74" w:name="_Toc437355973"/>
      <w:r>
        <w:rPr>
          <w:rFonts w:asciiTheme="majorHAnsi" w:eastAsiaTheme="majorEastAsia" w:hAnsiTheme="majorHAnsi" w:cstheme="majorBidi"/>
          <w:color w:val="595959" w:themeColor="text1" w:themeTint="A6"/>
          <w:sz w:val="20"/>
        </w:rPr>
        <w:t xml:space="preserve">Map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Map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2</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A guide to Australia's bio-climatic zones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AE7868" w:rsidRDefault="00FF2B57">
      <w:pPr>
        <w:pStyle w:val="Picture"/>
        <w:jc w:val="center"/>
        <w:rPr>
          <w:noProof/>
        </w:rPr>
      </w:pPr>
      <w:r>
        <w:rPr>
          <w:noProof/>
          <w:lang w:eastAsia="en-AU"/>
        </w:rPr>
        <w:lastRenderedPageBreak/>
        <w:drawing>
          <wp:inline distT="0" distB="0" distL="0" distR="0">
            <wp:extent cx="5024755" cy="3587468"/>
            <wp:effectExtent l="19050" t="0" r="4445" b="0"/>
            <wp:docPr id="3" name="Picture 3" descr="clima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mate map"/>
                    <pic:cNvPicPr>
                      <a:picLocks noChangeAspect="1" noChangeArrowheads="1"/>
                    </pic:cNvPicPr>
                  </pic:nvPicPr>
                  <pic:blipFill>
                    <a:blip r:embed="rId26" cstate="print"/>
                    <a:srcRect/>
                    <a:stretch>
                      <a:fillRect/>
                    </a:stretch>
                  </pic:blipFill>
                  <pic:spPr bwMode="auto">
                    <a:xfrm>
                      <a:off x="0" y="0"/>
                      <a:ext cx="5024755" cy="3587468"/>
                    </a:xfrm>
                    <a:prstGeom prst="rect">
                      <a:avLst/>
                    </a:prstGeom>
                    <a:noFill/>
                    <a:ln w="19050" cmpd="sng">
                      <a:noFill/>
                      <a:miter lim="800000"/>
                      <a:headEnd/>
                      <a:tailEnd/>
                    </a:ln>
                    <a:effectLst/>
                  </pic:spPr>
                </pic:pic>
              </a:graphicData>
            </a:graphic>
          </wp:inline>
        </w:drawing>
      </w:r>
    </w:p>
    <w:p w:rsidR="00AE7868" w:rsidRDefault="00AE7868"/>
    <w:p w:rsidR="00AE7868" w:rsidRDefault="00AE7868">
      <w:pPr>
        <w:sectPr w:rsidR="00AE7868">
          <w:headerReference w:type="first" r:id="rId27"/>
          <w:type w:val="oddPage"/>
          <w:pgSz w:w="11906" w:h="16838"/>
          <w:pgMar w:top="1418" w:right="1418" w:bottom="1418" w:left="1418" w:header="567" w:footer="283" w:gutter="0"/>
          <w:pgNumType w:fmt="lowerRoman"/>
          <w:cols w:space="708"/>
          <w:titlePg/>
          <w:docGrid w:linePitch="360"/>
        </w:sectPr>
      </w:pPr>
    </w:p>
    <w:p w:rsidR="00AE7868" w:rsidRDefault="00FF2B57">
      <w:pPr>
        <w:pStyle w:val="Heading1nonumbers"/>
        <w:rPr>
          <w:lang w:val="en-AU"/>
        </w:rPr>
      </w:pPr>
      <w:bookmarkStart w:id="75" w:name="_Toc392488732"/>
      <w:bookmarkStart w:id="76" w:name="_Toc437355999"/>
      <w:r>
        <w:rPr>
          <w:lang w:val="en-AU"/>
        </w:rPr>
        <w:lastRenderedPageBreak/>
        <w:t>Acronyms and abbreviations</w:t>
      </w:r>
      <w:bookmarkEnd w:id="75"/>
      <w:bookmarkEnd w:id="76"/>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AE7868">
        <w:trPr>
          <w:trHeight w:val="414"/>
          <w:tblHeader/>
        </w:trPr>
        <w:tc>
          <w:tcPr>
            <w:tcW w:w="1335" w:type="pct"/>
          </w:tcPr>
          <w:p w:rsidR="00AE7868" w:rsidRDefault="00FF2B57">
            <w:pPr>
              <w:pStyle w:val="TableHeading"/>
              <w:rPr>
                <w:rFonts w:ascii="Cambria" w:hAnsi="Cambria"/>
              </w:rPr>
            </w:pPr>
            <w:r>
              <w:rPr>
                <w:rFonts w:ascii="Cambria" w:hAnsi="Cambria"/>
              </w:rPr>
              <w:t>Term or abbreviation</w:t>
            </w:r>
          </w:p>
        </w:tc>
        <w:tc>
          <w:tcPr>
            <w:tcW w:w="3665" w:type="pct"/>
          </w:tcPr>
          <w:p w:rsidR="00AE7868" w:rsidRDefault="00FF2B57">
            <w:pPr>
              <w:pStyle w:val="TableHeading"/>
              <w:rPr>
                <w:rFonts w:ascii="Cambria" w:hAnsi="Cambria"/>
              </w:rPr>
            </w:pPr>
            <w:r>
              <w:rPr>
                <w:rFonts w:ascii="Cambria" w:hAnsi="Cambria"/>
              </w:rPr>
              <w:t>Definition</w:t>
            </w:r>
          </w:p>
        </w:tc>
      </w:tr>
      <w:tr w:rsidR="00AE7868">
        <w:trPr>
          <w:trHeight w:val="414"/>
        </w:trPr>
        <w:tc>
          <w:tcPr>
            <w:tcW w:w="1335" w:type="pct"/>
          </w:tcPr>
          <w:p w:rsidR="00AE7868" w:rsidRDefault="00FF2B57">
            <w:pPr>
              <w:pStyle w:val="TableText"/>
              <w:rPr>
                <w:rFonts w:ascii="Cambria" w:hAnsi="Cambria"/>
              </w:rPr>
            </w:pPr>
            <w:r>
              <w:rPr>
                <w:rFonts w:ascii="Cambria" w:hAnsi="Cambria"/>
              </w:rPr>
              <w:t>ACT</w:t>
            </w:r>
          </w:p>
        </w:tc>
        <w:tc>
          <w:tcPr>
            <w:tcW w:w="3665" w:type="pct"/>
          </w:tcPr>
          <w:p w:rsidR="00AE7868" w:rsidRDefault="00FF2B57">
            <w:pPr>
              <w:pStyle w:val="TableText"/>
              <w:rPr>
                <w:rFonts w:ascii="Cambria" w:hAnsi="Cambria"/>
              </w:rPr>
            </w:pPr>
            <w:r>
              <w:rPr>
                <w:rFonts w:ascii="Cambria" w:hAnsi="Cambria"/>
              </w:rPr>
              <w:t>Australian Capital Territory</w:t>
            </w:r>
          </w:p>
        </w:tc>
      </w:tr>
      <w:tr w:rsidR="00AE7868">
        <w:trPr>
          <w:trHeight w:val="414"/>
        </w:trPr>
        <w:tc>
          <w:tcPr>
            <w:tcW w:w="1335" w:type="pct"/>
          </w:tcPr>
          <w:p w:rsidR="00AE7868" w:rsidRDefault="00FF2B57">
            <w:pPr>
              <w:pStyle w:val="TableText"/>
              <w:rPr>
                <w:rFonts w:ascii="Cambria" w:hAnsi="Cambria"/>
              </w:rPr>
            </w:pPr>
            <w:r>
              <w:rPr>
                <w:rFonts w:ascii="Cambria" w:hAnsi="Cambria"/>
              </w:rPr>
              <w:t>ALOP</w:t>
            </w:r>
          </w:p>
        </w:tc>
        <w:tc>
          <w:tcPr>
            <w:tcW w:w="3665" w:type="pct"/>
          </w:tcPr>
          <w:p w:rsidR="00AE7868" w:rsidRDefault="00FF2B57">
            <w:pPr>
              <w:pStyle w:val="TableText"/>
              <w:rPr>
                <w:rFonts w:ascii="Cambria" w:hAnsi="Cambria"/>
              </w:rPr>
            </w:pPr>
            <w:r>
              <w:rPr>
                <w:rFonts w:ascii="Cambria" w:hAnsi="Cambria"/>
              </w:rPr>
              <w:t>Appropriate level of protection</w:t>
            </w:r>
          </w:p>
        </w:tc>
      </w:tr>
      <w:tr w:rsidR="00AE7868">
        <w:trPr>
          <w:trHeight w:val="414"/>
        </w:trPr>
        <w:tc>
          <w:tcPr>
            <w:tcW w:w="1335" w:type="pct"/>
          </w:tcPr>
          <w:p w:rsidR="00AE7868" w:rsidRDefault="00FF2B57">
            <w:pPr>
              <w:pStyle w:val="TableText"/>
              <w:rPr>
                <w:rFonts w:ascii="Cambria" w:hAnsi="Cambria"/>
              </w:rPr>
            </w:pPr>
            <w:r>
              <w:rPr>
                <w:rFonts w:ascii="Cambria" w:hAnsi="Cambria"/>
              </w:rPr>
              <w:t>FAO</w:t>
            </w:r>
          </w:p>
        </w:tc>
        <w:tc>
          <w:tcPr>
            <w:tcW w:w="3665" w:type="pct"/>
          </w:tcPr>
          <w:p w:rsidR="00AE7868" w:rsidRDefault="00FF2B57">
            <w:pPr>
              <w:pStyle w:val="TableText"/>
              <w:rPr>
                <w:rFonts w:ascii="Cambria" w:hAnsi="Cambria"/>
              </w:rPr>
            </w:pPr>
            <w:r>
              <w:rPr>
                <w:rFonts w:ascii="Cambria" w:hAnsi="Cambria"/>
              </w:rPr>
              <w:t>Food and Agriculture Organization of the United Nations</w:t>
            </w:r>
          </w:p>
        </w:tc>
      </w:tr>
      <w:tr w:rsidR="00AE7868">
        <w:trPr>
          <w:trHeight w:val="414"/>
        </w:trPr>
        <w:tc>
          <w:tcPr>
            <w:tcW w:w="1335" w:type="pct"/>
          </w:tcPr>
          <w:p w:rsidR="00AE7868" w:rsidRDefault="00FF2B57">
            <w:pPr>
              <w:pStyle w:val="TableText"/>
              <w:rPr>
                <w:rFonts w:ascii="Cambria" w:hAnsi="Cambria"/>
              </w:rPr>
            </w:pPr>
            <w:r>
              <w:rPr>
                <w:rFonts w:ascii="Cambria" w:hAnsi="Cambria"/>
              </w:rPr>
              <w:t>ICON</w:t>
            </w:r>
          </w:p>
        </w:tc>
        <w:tc>
          <w:tcPr>
            <w:tcW w:w="3665" w:type="pct"/>
          </w:tcPr>
          <w:p w:rsidR="00AE7868" w:rsidRDefault="00FF2B57">
            <w:pPr>
              <w:pStyle w:val="TableText"/>
              <w:rPr>
                <w:rFonts w:ascii="Cambria" w:hAnsi="Cambria"/>
              </w:rPr>
            </w:pPr>
            <w:r>
              <w:rPr>
                <w:rFonts w:ascii="Cambria" w:hAnsi="Cambria"/>
              </w:rPr>
              <w:t>The Australian Government Department of Agriculture and Water Resources Import CONditions database</w:t>
            </w:r>
          </w:p>
        </w:tc>
      </w:tr>
      <w:tr w:rsidR="00AE7868">
        <w:trPr>
          <w:trHeight w:val="414"/>
        </w:trPr>
        <w:tc>
          <w:tcPr>
            <w:tcW w:w="1335" w:type="pct"/>
          </w:tcPr>
          <w:p w:rsidR="00AE7868" w:rsidRDefault="00FF2B57">
            <w:pPr>
              <w:pStyle w:val="TableText"/>
              <w:rPr>
                <w:rFonts w:ascii="Cambria" w:hAnsi="Cambria"/>
              </w:rPr>
            </w:pPr>
            <w:r>
              <w:rPr>
                <w:rFonts w:ascii="Cambria" w:hAnsi="Cambria"/>
              </w:rPr>
              <w:t>IPC</w:t>
            </w:r>
          </w:p>
        </w:tc>
        <w:tc>
          <w:tcPr>
            <w:tcW w:w="3665" w:type="pct"/>
          </w:tcPr>
          <w:p w:rsidR="00AE7868" w:rsidRDefault="00FF2B57">
            <w:pPr>
              <w:pStyle w:val="TableText"/>
              <w:rPr>
                <w:rFonts w:ascii="Cambria" w:hAnsi="Cambria"/>
              </w:rPr>
            </w:pPr>
            <w:r>
              <w:rPr>
                <w:rFonts w:ascii="Cambria" w:hAnsi="Cambria"/>
              </w:rPr>
              <w:t>International Phytosanitary Certificate</w:t>
            </w:r>
          </w:p>
        </w:tc>
      </w:tr>
      <w:tr w:rsidR="00AE7868">
        <w:trPr>
          <w:trHeight w:val="414"/>
        </w:trPr>
        <w:tc>
          <w:tcPr>
            <w:tcW w:w="1335" w:type="pct"/>
          </w:tcPr>
          <w:p w:rsidR="00AE7868" w:rsidRDefault="00FF2B57">
            <w:pPr>
              <w:pStyle w:val="TableText"/>
              <w:rPr>
                <w:rFonts w:ascii="Cambria" w:hAnsi="Cambria"/>
              </w:rPr>
            </w:pPr>
            <w:r>
              <w:rPr>
                <w:rFonts w:ascii="Cambria" w:hAnsi="Cambria"/>
              </w:rPr>
              <w:t>IPPC</w:t>
            </w:r>
          </w:p>
        </w:tc>
        <w:tc>
          <w:tcPr>
            <w:tcW w:w="3665" w:type="pct"/>
          </w:tcPr>
          <w:p w:rsidR="00AE7868" w:rsidRDefault="00FF2B57">
            <w:pPr>
              <w:pStyle w:val="TableText"/>
              <w:rPr>
                <w:rFonts w:ascii="Cambria" w:hAnsi="Cambria"/>
              </w:rPr>
            </w:pPr>
            <w:r>
              <w:rPr>
                <w:rFonts w:ascii="Cambria" w:hAnsi="Cambria"/>
              </w:rPr>
              <w:t>International Plant Protection Convention</w:t>
            </w:r>
          </w:p>
        </w:tc>
      </w:tr>
      <w:tr w:rsidR="00AE7868">
        <w:trPr>
          <w:trHeight w:val="414"/>
        </w:trPr>
        <w:tc>
          <w:tcPr>
            <w:tcW w:w="1335" w:type="pct"/>
          </w:tcPr>
          <w:p w:rsidR="00AE7868" w:rsidRDefault="00FF2B57">
            <w:pPr>
              <w:pStyle w:val="TableText"/>
              <w:rPr>
                <w:rFonts w:ascii="Cambria" w:hAnsi="Cambria"/>
              </w:rPr>
            </w:pPr>
            <w:r>
              <w:rPr>
                <w:rFonts w:ascii="Cambria" w:hAnsi="Cambria"/>
              </w:rPr>
              <w:t>IRA</w:t>
            </w:r>
          </w:p>
        </w:tc>
        <w:tc>
          <w:tcPr>
            <w:tcW w:w="3665" w:type="pct"/>
          </w:tcPr>
          <w:p w:rsidR="00AE7868" w:rsidRDefault="00FF2B57">
            <w:pPr>
              <w:pStyle w:val="TableText"/>
              <w:rPr>
                <w:rFonts w:ascii="Cambria" w:hAnsi="Cambria"/>
              </w:rPr>
            </w:pPr>
            <w:r>
              <w:rPr>
                <w:rFonts w:ascii="Cambria" w:hAnsi="Cambria"/>
              </w:rPr>
              <w:t>Import risk analysis</w:t>
            </w:r>
          </w:p>
        </w:tc>
      </w:tr>
      <w:tr w:rsidR="00AE7868">
        <w:trPr>
          <w:trHeight w:val="414"/>
        </w:trPr>
        <w:tc>
          <w:tcPr>
            <w:tcW w:w="1335" w:type="pct"/>
          </w:tcPr>
          <w:p w:rsidR="00AE7868" w:rsidRDefault="00FF2B57">
            <w:pPr>
              <w:pStyle w:val="TableText"/>
              <w:rPr>
                <w:rFonts w:ascii="Cambria" w:hAnsi="Cambria"/>
              </w:rPr>
            </w:pPr>
            <w:r>
              <w:rPr>
                <w:rFonts w:ascii="Cambria" w:hAnsi="Cambria"/>
              </w:rPr>
              <w:t>ISPM</w:t>
            </w:r>
          </w:p>
        </w:tc>
        <w:tc>
          <w:tcPr>
            <w:tcW w:w="3665" w:type="pct"/>
          </w:tcPr>
          <w:p w:rsidR="00AE7868" w:rsidRDefault="00FF2B57">
            <w:pPr>
              <w:pStyle w:val="TableText"/>
              <w:rPr>
                <w:rFonts w:ascii="Cambria" w:hAnsi="Cambria"/>
              </w:rPr>
            </w:pPr>
            <w:r>
              <w:rPr>
                <w:rFonts w:ascii="Cambria" w:hAnsi="Cambria"/>
              </w:rPr>
              <w:t>International Standard for Phytosanitary Measures</w:t>
            </w:r>
          </w:p>
        </w:tc>
      </w:tr>
      <w:tr w:rsidR="00AE7868">
        <w:trPr>
          <w:trHeight w:val="414"/>
        </w:trPr>
        <w:tc>
          <w:tcPr>
            <w:tcW w:w="1335" w:type="pct"/>
          </w:tcPr>
          <w:p w:rsidR="00AE7868" w:rsidRDefault="00FF2B57">
            <w:pPr>
              <w:pStyle w:val="TableText"/>
              <w:rPr>
                <w:rFonts w:ascii="Cambria" w:hAnsi="Cambria"/>
              </w:rPr>
            </w:pPr>
            <w:r>
              <w:rPr>
                <w:rFonts w:ascii="Cambria" w:hAnsi="Cambria"/>
                <w:i/>
              </w:rPr>
              <w:t>‘Ca</w:t>
            </w:r>
            <w:r>
              <w:rPr>
                <w:rFonts w:ascii="Cambria" w:hAnsi="Cambria"/>
              </w:rPr>
              <w:t>. L. solanacearum’</w:t>
            </w:r>
          </w:p>
        </w:tc>
        <w:tc>
          <w:tcPr>
            <w:tcW w:w="3665" w:type="pct"/>
          </w:tcPr>
          <w:p w:rsidR="00AE7868" w:rsidRDefault="00FF2B57">
            <w:pPr>
              <w:pStyle w:val="TableText"/>
              <w:rPr>
                <w:rFonts w:ascii="Cambria" w:hAnsi="Cambria"/>
              </w:rPr>
            </w:pPr>
            <w:r>
              <w:rPr>
                <w:rFonts w:ascii="Cambria" w:hAnsi="Cambria"/>
              </w:rPr>
              <w:t>‘</w:t>
            </w:r>
            <w:r>
              <w:rPr>
                <w:rFonts w:ascii="Cambria" w:hAnsi="Cambria"/>
                <w:i/>
              </w:rPr>
              <w:t>Candidatus</w:t>
            </w:r>
            <w:r>
              <w:rPr>
                <w:rFonts w:ascii="Cambria" w:hAnsi="Cambria"/>
              </w:rPr>
              <w:t xml:space="preserve"> Liberibacter solanacearum’</w:t>
            </w:r>
          </w:p>
        </w:tc>
      </w:tr>
      <w:tr w:rsidR="00AE7868">
        <w:trPr>
          <w:trHeight w:val="414"/>
        </w:trPr>
        <w:tc>
          <w:tcPr>
            <w:tcW w:w="1335" w:type="pct"/>
          </w:tcPr>
          <w:p w:rsidR="00AE7868" w:rsidRDefault="00FF2B57">
            <w:pPr>
              <w:pStyle w:val="TableText"/>
              <w:rPr>
                <w:rFonts w:ascii="Cambria" w:hAnsi="Cambria"/>
              </w:rPr>
            </w:pPr>
            <w:r>
              <w:rPr>
                <w:rFonts w:ascii="Cambria" w:hAnsi="Cambria"/>
              </w:rPr>
              <w:t>NSW</w:t>
            </w:r>
          </w:p>
        </w:tc>
        <w:tc>
          <w:tcPr>
            <w:tcW w:w="3665" w:type="pct"/>
          </w:tcPr>
          <w:p w:rsidR="00AE7868" w:rsidRDefault="00FF2B57">
            <w:pPr>
              <w:pStyle w:val="TableText"/>
              <w:rPr>
                <w:rFonts w:ascii="Cambria" w:hAnsi="Cambria"/>
              </w:rPr>
            </w:pPr>
            <w:r>
              <w:rPr>
                <w:rFonts w:ascii="Cambria" w:hAnsi="Cambria"/>
              </w:rPr>
              <w:t>New South Wales</w:t>
            </w:r>
          </w:p>
        </w:tc>
      </w:tr>
      <w:tr w:rsidR="00AE7868">
        <w:trPr>
          <w:trHeight w:val="414"/>
        </w:trPr>
        <w:tc>
          <w:tcPr>
            <w:tcW w:w="1335" w:type="pct"/>
          </w:tcPr>
          <w:p w:rsidR="00AE7868" w:rsidRDefault="00FF2B57">
            <w:pPr>
              <w:pStyle w:val="TableText"/>
              <w:rPr>
                <w:rFonts w:ascii="Cambria" w:hAnsi="Cambria"/>
              </w:rPr>
            </w:pPr>
            <w:r>
              <w:rPr>
                <w:rFonts w:ascii="Cambria" w:hAnsi="Cambria"/>
              </w:rPr>
              <w:t>NPPO</w:t>
            </w:r>
          </w:p>
        </w:tc>
        <w:tc>
          <w:tcPr>
            <w:tcW w:w="3665" w:type="pct"/>
          </w:tcPr>
          <w:p w:rsidR="00AE7868" w:rsidRDefault="00FF2B57">
            <w:pPr>
              <w:pStyle w:val="TableText"/>
              <w:rPr>
                <w:rFonts w:ascii="Cambria" w:hAnsi="Cambria"/>
              </w:rPr>
            </w:pPr>
            <w:r>
              <w:rPr>
                <w:rFonts w:ascii="Cambria" w:hAnsi="Cambria"/>
              </w:rPr>
              <w:t>National Plant Protection Organisation</w:t>
            </w:r>
          </w:p>
        </w:tc>
      </w:tr>
      <w:tr w:rsidR="00AE7868">
        <w:trPr>
          <w:trHeight w:val="414"/>
        </w:trPr>
        <w:tc>
          <w:tcPr>
            <w:tcW w:w="1335" w:type="pct"/>
          </w:tcPr>
          <w:p w:rsidR="00AE7868" w:rsidRDefault="00FF2B57">
            <w:pPr>
              <w:pStyle w:val="TableText"/>
              <w:rPr>
                <w:rFonts w:ascii="Cambria" w:hAnsi="Cambria"/>
              </w:rPr>
            </w:pPr>
            <w:r>
              <w:rPr>
                <w:rFonts w:ascii="Cambria" w:hAnsi="Cambria"/>
              </w:rPr>
              <w:t>NT</w:t>
            </w:r>
          </w:p>
        </w:tc>
        <w:tc>
          <w:tcPr>
            <w:tcW w:w="3665" w:type="pct"/>
          </w:tcPr>
          <w:p w:rsidR="00AE7868" w:rsidRDefault="00FF2B57">
            <w:pPr>
              <w:pStyle w:val="TableText"/>
              <w:rPr>
                <w:rFonts w:ascii="Cambria" w:hAnsi="Cambria"/>
              </w:rPr>
            </w:pPr>
            <w:r>
              <w:rPr>
                <w:rFonts w:ascii="Cambria" w:hAnsi="Cambria"/>
              </w:rPr>
              <w:t>Northern Territory</w:t>
            </w:r>
          </w:p>
        </w:tc>
      </w:tr>
      <w:tr w:rsidR="00AE7868">
        <w:trPr>
          <w:trHeight w:val="414"/>
        </w:trPr>
        <w:tc>
          <w:tcPr>
            <w:tcW w:w="1335" w:type="pct"/>
          </w:tcPr>
          <w:p w:rsidR="00AE7868" w:rsidRDefault="00FF2B57">
            <w:pPr>
              <w:pStyle w:val="TableText"/>
              <w:rPr>
                <w:rFonts w:ascii="Cambria" w:hAnsi="Cambria"/>
              </w:rPr>
            </w:pPr>
            <w:r>
              <w:rPr>
                <w:rFonts w:ascii="Cambria" w:hAnsi="Cambria"/>
              </w:rPr>
              <w:t>PEQ</w:t>
            </w:r>
          </w:p>
        </w:tc>
        <w:tc>
          <w:tcPr>
            <w:tcW w:w="3665" w:type="pct"/>
          </w:tcPr>
          <w:p w:rsidR="00AE7868" w:rsidRDefault="00FF2B57">
            <w:pPr>
              <w:pStyle w:val="TableText"/>
              <w:rPr>
                <w:rFonts w:ascii="Cambria" w:hAnsi="Cambria"/>
              </w:rPr>
            </w:pPr>
            <w:r>
              <w:rPr>
                <w:rFonts w:ascii="Cambria" w:hAnsi="Cambria"/>
              </w:rPr>
              <w:t>Post-entry quarantine</w:t>
            </w:r>
          </w:p>
        </w:tc>
      </w:tr>
      <w:tr w:rsidR="00AE7868">
        <w:trPr>
          <w:trHeight w:val="414"/>
        </w:trPr>
        <w:tc>
          <w:tcPr>
            <w:tcW w:w="1335" w:type="pct"/>
          </w:tcPr>
          <w:p w:rsidR="00AE7868" w:rsidRDefault="00FF2B57">
            <w:pPr>
              <w:pStyle w:val="TableText"/>
              <w:rPr>
                <w:rFonts w:ascii="Cambria" w:hAnsi="Cambria"/>
              </w:rPr>
            </w:pPr>
            <w:r>
              <w:rPr>
                <w:rFonts w:ascii="Cambria" w:hAnsi="Cambria"/>
              </w:rPr>
              <w:t>PCR</w:t>
            </w:r>
          </w:p>
        </w:tc>
        <w:tc>
          <w:tcPr>
            <w:tcW w:w="3665" w:type="pct"/>
          </w:tcPr>
          <w:p w:rsidR="00AE7868" w:rsidRDefault="00FF2B57">
            <w:pPr>
              <w:pStyle w:val="TableText"/>
              <w:rPr>
                <w:rFonts w:ascii="Cambria" w:hAnsi="Cambria"/>
              </w:rPr>
            </w:pPr>
            <w:r>
              <w:rPr>
                <w:rFonts w:ascii="Cambria" w:hAnsi="Cambria"/>
              </w:rPr>
              <w:t>Polymerase Chain Reaction</w:t>
            </w:r>
          </w:p>
        </w:tc>
      </w:tr>
      <w:tr w:rsidR="00AE7868">
        <w:trPr>
          <w:trHeight w:val="414"/>
        </w:trPr>
        <w:tc>
          <w:tcPr>
            <w:tcW w:w="1335" w:type="pct"/>
          </w:tcPr>
          <w:p w:rsidR="00AE7868" w:rsidRDefault="00FF2B57">
            <w:pPr>
              <w:pStyle w:val="TableText"/>
              <w:rPr>
                <w:rFonts w:ascii="Cambria" w:hAnsi="Cambria"/>
              </w:rPr>
            </w:pPr>
            <w:r>
              <w:rPr>
                <w:rFonts w:ascii="Cambria" w:hAnsi="Cambria"/>
              </w:rPr>
              <w:t>PRA</w:t>
            </w:r>
          </w:p>
        </w:tc>
        <w:tc>
          <w:tcPr>
            <w:tcW w:w="3665" w:type="pct"/>
          </w:tcPr>
          <w:p w:rsidR="00AE7868" w:rsidRDefault="00FF2B57">
            <w:pPr>
              <w:pStyle w:val="TableText"/>
              <w:rPr>
                <w:rFonts w:ascii="Cambria" w:hAnsi="Cambria"/>
              </w:rPr>
            </w:pPr>
            <w:r>
              <w:rPr>
                <w:rFonts w:ascii="Cambria" w:hAnsi="Cambria"/>
              </w:rPr>
              <w:t>Pest risk analysis</w:t>
            </w:r>
          </w:p>
        </w:tc>
      </w:tr>
      <w:tr w:rsidR="00AE7868">
        <w:trPr>
          <w:trHeight w:val="414"/>
        </w:trPr>
        <w:tc>
          <w:tcPr>
            <w:tcW w:w="1335" w:type="pct"/>
          </w:tcPr>
          <w:p w:rsidR="00AE7868" w:rsidRDefault="00FF2B57">
            <w:pPr>
              <w:pStyle w:val="TableText"/>
              <w:rPr>
                <w:rFonts w:ascii="Cambria" w:hAnsi="Cambria"/>
              </w:rPr>
            </w:pPr>
            <w:r>
              <w:rPr>
                <w:rFonts w:ascii="Cambria" w:hAnsi="Cambria"/>
              </w:rPr>
              <w:t>Qld</w:t>
            </w:r>
          </w:p>
        </w:tc>
        <w:tc>
          <w:tcPr>
            <w:tcW w:w="3665" w:type="pct"/>
          </w:tcPr>
          <w:p w:rsidR="00AE7868" w:rsidRDefault="00FF2B57">
            <w:pPr>
              <w:pStyle w:val="TableText"/>
              <w:rPr>
                <w:rFonts w:ascii="Cambria" w:hAnsi="Cambria"/>
              </w:rPr>
            </w:pPr>
            <w:r>
              <w:rPr>
                <w:rFonts w:ascii="Cambria" w:hAnsi="Cambria"/>
              </w:rPr>
              <w:t>Queensland</w:t>
            </w:r>
          </w:p>
        </w:tc>
      </w:tr>
      <w:tr w:rsidR="00AE7868">
        <w:trPr>
          <w:trHeight w:val="414"/>
        </w:trPr>
        <w:tc>
          <w:tcPr>
            <w:tcW w:w="1335" w:type="pct"/>
          </w:tcPr>
          <w:p w:rsidR="00AE7868" w:rsidRDefault="00FF2B57">
            <w:pPr>
              <w:pStyle w:val="TableText"/>
              <w:rPr>
                <w:rFonts w:ascii="Cambria" w:hAnsi="Cambria"/>
              </w:rPr>
            </w:pPr>
            <w:r>
              <w:rPr>
                <w:rFonts w:ascii="Cambria" w:hAnsi="Cambria"/>
              </w:rPr>
              <w:t>SA</w:t>
            </w:r>
          </w:p>
        </w:tc>
        <w:tc>
          <w:tcPr>
            <w:tcW w:w="3665" w:type="pct"/>
          </w:tcPr>
          <w:p w:rsidR="00AE7868" w:rsidRDefault="00FF2B57">
            <w:pPr>
              <w:pStyle w:val="TableText"/>
              <w:rPr>
                <w:rFonts w:ascii="Cambria" w:hAnsi="Cambria"/>
              </w:rPr>
            </w:pPr>
            <w:r>
              <w:rPr>
                <w:rFonts w:ascii="Cambria" w:hAnsi="Cambria"/>
              </w:rPr>
              <w:t>South Australia</w:t>
            </w:r>
          </w:p>
        </w:tc>
      </w:tr>
      <w:tr w:rsidR="00AE7868">
        <w:trPr>
          <w:trHeight w:val="414"/>
        </w:trPr>
        <w:tc>
          <w:tcPr>
            <w:tcW w:w="1335" w:type="pct"/>
          </w:tcPr>
          <w:p w:rsidR="00AE7868" w:rsidRDefault="00FF2B57">
            <w:pPr>
              <w:pStyle w:val="TableText"/>
              <w:rPr>
                <w:rFonts w:ascii="Cambria" w:hAnsi="Cambria"/>
              </w:rPr>
            </w:pPr>
            <w:r>
              <w:rPr>
                <w:rFonts w:ascii="Cambria" w:hAnsi="Cambria"/>
              </w:rPr>
              <w:t>SEM</w:t>
            </w:r>
          </w:p>
        </w:tc>
        <w:tc>
          <w:tcPr>
            <w:tcW w:w="3665" w:type="pct"/>
          </w:tcPr>
          <w:p w:rsidR="00AE7868" w:rsidRDefault="00FF2B57">
            <w:pPr>
              <w:pStyle w:val="TableText"/>
              <w:rPr>
                <w:rFonts w:ascii="Cambria" w:hAnsi="Cambria"/>
              </w:rPr>
            </w:pPr>
            <w:r>
              <w:rPr>
                <w:rFonts w:ascii="Cambria" w:hAnsi="Cambria"/>
              </w:rPr>
              <w:t>Scanning Electron Microscopy</w:t>
            </w:r>
          </w:p>
        </w:tc>
      </w:tr>
      <w:tr w:rsidR="00AE7868">
        <w:trPr>
          <w:trHeight w:val="414"/>
        </w:trPr>
        <w:tc>
          <w:tcPr>
            <w:tcW w:w="1335" w:type="pct"/>
          </w:tcPr>
          <w:p w:rsidR="00AE7868" w:rsidRDefault="00FF2B57">
            <w:pPr>
              <w:pStyle w:val="TableText"/>
              <w:rPr>
                <w:rFonts w:ascii="Cambria" w:hAnsi="Cambria"/>
              </w:rPr>
            </w:pPr>
            <w:r>
              <w:rPr>
                <w:rFonts w:ascii="Cambria" w:hAnsi="Cambria"/>
              </w:rPr>
              <w:t>SPS</w:t>
            </w:r>
          </w:p>
        </w:tc>
        <w:tc>
          <w:tcPr>
            <w:tcW w:w="3665" w:type="pct"/>
          </w:tcPr>
          <w:p w:rsidR="00AE7868" w:rsidRDefault="00FF2B57">
            <w:pPr>
              <w:pStyle w:val="TableText"/>
              <w:rPr>
                <w:rFonts w:ascii="Cambria" w:hAnsi="Cambria"/>
              </w:rPr>
            </w:pPr>
            <w:r>
              <w:rPr>
                <w:rFonts w:ascii="Cambria" w:hAnsi="Cambria"/>
              </w:rPr>
              <w:t>Sanitary and Phytosanitary</w:t>
            </w:r>
          </w:p>
        </w:tc>
      </w:tr>
      <w:tr w:rsidR="00AE7868">
        <w:trPr>
          <w:trHeight w:val="414"/>
        </w:trPr>
        <w:tc>
          <w:tcPr>
            <w:tcW w:w="1335" w:type="pct"/>
          </w:tcPr>
          <w:p w:rsidR="00AE7868" w:rsidRDefault="00FF2B57">
            <w:pPr>
              <w:pStyle w:val="TableText"/>
              <w:rPr>
                <w:rFonts w:ascii="Cambria" w:hAnsi="Cambria"/>
              </w:rPr>
            </w:pPr>
            <w:r>
              <w:rPr>
                <w:rFonts w:ascii="Cambria" w:hAnsi="Cambria"/>
              </w:rPr>
              <w:lastRenderedPageBreak/>
              <w:t>TAS</w:t>
            </w:r>
          </w:p>
        </w:tc>
        <w:tc>
          <w:tcPr>
            <w:tcW w:w="3665" w:type="pct"/>
          </w:tcPr>
          <w:p w:rsidR="00AE7868" w:rsidRDefault="00FF2B57">
            <w:pPr>
              <w:pStyle w:val="TableText"/>
              <w:rPr>
                <w:rFonts w:ascii="Cambria" w:hAnsi="Cambria"/>
              </w:rPr>
            </w:pPr>
            <w:r>
              <w:rPr>
                <w:rFonts w:ascii="Cambria" w:hAnsi="Cambria"/>
              </w:rPr>
              <w:t>Tasmania</w:t>
            </w:r>
          </w:p>
        </w:tc>
      </w:tr>
      <w:tr w:rsidR="00AE7868">
        <w:trPr>
          <w:trHeight w:val="414"/>
        </w:trPr>
        <w:tc>
          <w:tcPr>
            <w:tcW w:w="1335" w:type="pct"/>
          </w:tcPr>
          <w:p w:rsidR="00AE7868" w:rsidRDefault="00FF2B57">
            <w:pPr>
              <w:pStyle w:val="TableText"/>
              <w:rPr>
                <w:rFonts w:ascii="Cambria" w:hAnsi="Cambria"/>
              </w:rPr>
            </w:pPr>
            <w:r>
              <w:rPr>
                <w:rFonts w:ascii="Cambria" w:hAnsi="Cambria"/>
              </w:rPr>
              <w:t>TEM</w:t>
            </w:r>
          </w:p>
        </w:tc>
        <w:tc>
          <w:tcPr>
            <w:tcW w:w="3665" w:type="pct"/>
          </w:tcPr>
          <w:p w:rsidR="00AE7868" w:rsidRDefault="00FF2B57">
            <w:pPr>
              <w:pStyle w:val="TableText"/>
              <w:rPr>
                <w:rFonts w:ascii="Cambria" w:hAnsi="Cambria"/>
              </w:rPr>
            </w:pPr>
            <w:r>
              <w:rPr>
                <w:rFonts w:ascii="Cambria" w:hAnsi="Cambria"/>
              </w:rPr>
              <w:t>Transmission Electron Microscopy</w:t>
            </w:r>
          </w:p>
        </w:tc>
      </w:tr>
      <w:tr w:rsidR="00AE7868">
        <w:trPr>
          <w:trHeight w:val="414"/>
        </w:trPr>
        <w:tc>
          <w:tcPr>
            <w:tcW w:w="1335" w:type="pct"/>
          </w:tcPr>
          <w:p w:rsidR="00AE7868" w:rsidRDefault="00FF2B57">
            <w:pPr>
              <w:pStyle w:val="TableText"/>
              <w:rPr>
                <w:rFonts w:ascii="Cambria" w:hAnsi="Cambria"/>
              </w:rPr>
            </w:pPr>
            <w:r>
              <w:rPr>
                <w:rFonts w:ascii="Cambria" w:hAnsi="Cambria"/>
              </w:rPr>
              <w:t>VIC</w:t>
            </w:r>
          </w:p>
        </w:tc>
        <w:tc>
          <w:tcPr>
            <w:tcW w:w="3665" w:type="pct"/>
          </w:tcPr>
          <w:p w:rsidR="00AE7868" w:rsidRDefault="00FF2B57">
            <w:pPr>
              <w:pStyle w:val="TableText"/>
              <w:rPr>
                <w:rFonts w:ascii="Cambria" w:hAnsi="Cambria"/>
              </w:rPr>
            </w:pPr>
            <w:r>
              <w:rPr>
                <w:rFonts w:ascii="Cambria" w:hAnsi="Cambria"/>
              </w:rPr>
              <w:t>Victoria</w:t>
            </w:r>
          </w:p>
        </w:tc>
      </w:tr>
      <w:tr w:rsidR="00AE7868">
        <w:trPr>
          <w:trHeight w:val="414"/>
        </w:trPr>
        <w:tc>
          <w:tcPr>
            <w:tcW w:w="1335" w:type="pct"/>
          </w:tcPr>
          <w:p w:rsidR="00AE7868" w:rsidRDefault="00FF2B57">
            <w:pPr>
              <w:pStyle w:val="TableText"/>
              <w:rPr>
                <w:rFonts w:ascii="Cambria" w:hAnsi="Cambria"/>
              </w:rPr>
            </w:pPr>
            <w:r>
              <w:rPr>
                <w:rFonts w:ascii="Cambria" w:hAnsi="Cambria"/>
              </w:rPr>
              <w:t>WA</w:t>
            </w:r>
          </w:p>
        </w:tc>
        <w:tc>
          <w:tcPr>
            <w:tcW w:w="3665" w:type="pct"/>
          </w:tcPr>
          <w:p w:rsidR="00AE7868" w:rsidRDefault="00FF2B57">
            <w:pPr>
              <w:pStyle w:val="TableText"/>
              <w:rPr>
                <w:rFonts w:ascii="Cambria" w:hAnsi="Cambria"/>
              </w:rPr>
            </w:pPr>
            <w:r>
              <w:rPr>
                <w:rFonts w:ascii="Cambria" w:hAnsi="Cambria"/>
              </w:rPr>
              <w:t>Western Australia</w:t>
            </w:r>
          </w:p>
        </w:tc>
      </w:tr>
      <w:tr w:rsidR="00AE7868">
        <w:trPr>
          <w:trHeight w:val="414"/>
        </w:trPr>
        <w:tc>
          <w:tcPr>
            <w:tcW w:w="1335" w:type="pct"/>
          </w:tcPr>
          <w:p w:rsidR="00AE7868" w:rsidRDefault="00FF2B57">
            <w:pPr>
              <w:pStyle w:val="TableText"/>
              <w:rPr>
                <w:rFonts w:ascii="Cambria" w:hAnsi="Cambria"/>
              </w:rPr>
            </w:pPr>
            <w:r>
              <w:rPr>
                <w:rFonts w:ascii="Cambria" w:hAnsi="Cambria"/>
              </w:rPr>
              <w:t>WTO</w:t>
            </w:r>
          </w:p>
        </w:tc>
        <w:tc>
          <w:tcPr>
            <w:tcW w:w="3665" w:type="pct"/>
          </w:tcPr>
          <w:p w:rsidR="00AE7868" w:rsidRDefault="00FF2B57">
            <w:pPr>
              <w:pStyle w:val="TableText"/>
              <w:rPr>
                <w:rFonts w:ascii="Cambria" w:hAnsi="Cambria"/>
              </w:rPr>
            </w:pPr>
            <w:r>
              <w:rPr>
                <w:rFonts w:ascii="Cambria" w:hAnsi="Cambria"/>
              </w:rPr>
              <w:t>World Trade Organization</w:t>
            </w:r>
          </w:p>
        </w:tc>
      </w:tr>
    </w:tbl>
    <w:p w:rsidR="00AE7868" w:rsidRDefault="00AE7868"/>
    <w:p w:rsidR="00AE7868" w:rsidRDefault="00AE7868">
      <w:pPr>
        <w:sectPr w:rsidR="00AE7868">
          <w:headerReference w:type="first" r:id="rId28"/>
          <w:pgSz w:w="11906" w:h="16838"/>
          <w:pgMar w:top="1418" w:right="1418" w:bottom="1418" w:left="1418" w:header="567" w:footer="283" w:gutter="0"/>
          <w:pgNumType w:fmt="lowerRoman"/>
          <w:cols w:space="708"/>
          <w:titlePg/>
          <w:docGrid w:linePitch="360"/>
        </w:sectPr>
      </w:pPr>
    </w:p>
    <w:p w:rsidR="00AE7868" w:rsidRDefault="00FF2B57">
      <w:pPr>
        <w:pStyle w:val="Heading1nonumbers"/>
        <w:spacing w:before="0"/>
        <w:rPr>
          <w:lang w:val="en-AU"/>
        </w:rPr>
      </w:pPr>
      <w:bookmarkStart w:id="77" w:name="_Toc392488734"/>
      <w:bookmarkStart w:id="78" w:name="_Toc437356000"/>
      <w:r>
        <w:rPr>
          <w:lang w:val="en-AU"/>
        </w:rPr>
        <w:lastRenderedPageBreak/>
        <w:t>Summary</w:t>
      </w:r>
      <w:bookmarkEnd w:id="77"/>
      <w:bookmarkEnd w:id="78"/>
    </w:p>
    <w:p w:rsidR="00AE7868" w:rsidRDefault="00FF2B57">
      <w:pPr>
        <w:spacing w:before="200"/>
        <w:rPr>
          <w:rFonts w:ascii="Cambria" w:hAnsi="Cambria"/>
          <w:iCs/>
        </w:rPr>
      </w:pPr>
      <w:r>
        <w:rPr>
          <w:rFonts w:ascii="Cambria" w:hAnsi="Cambria"/>
        </w:rPr>
        <w:t xml:space="preserve">The Australian Government Department of Agriculture and Water Resources (the department) initiated this pest risk analysis (PRA) in response to the introduction of emergency measures to manage </w:t>
      </w:r>
      <w:r>
        <w:rPr>
          <w:rFonts w:ascii="Cambria" w:hAnsi="Cambria"/>
          <w:iCs/>
        </w:rPr>
        <w:t>‘</w:t>
      </w:r>
      <w:r>
        <w:rPr>
          <w:rFonts w:ascii="Cambria" w:hAnsi="Cambria"/>
          <w:i/>
          <w:iCs/>
        </w:rPr>
        <w:t xml:space="preserve">Candidatus </w:t>
      </w:r>
      <w:r>
        <w:rPr>
          <w:rFonts w:ascii="Cambria" w:hAnsi="Cambria"/>
          <w:iCs/>
        </w:rPr>
        <w:t>Liberibacter</w:t>
      </w:r>
      <w:r>
        <w:rPr>
          <w:rFonts w:ascii="Cambria" w:hAnsi="Cambria"/>
          <w:i/>
          <w:iCs/>
        </w:rPr>
        <w:t xml:space="preserve"> </w:t>
      </w:r>
      <w:r>
        <w:rPr>
          <w:rFonts w:ascii="Cambria" w:hAnsi="Cambria"/>
          <w:iCs/>
        </w:rPr>
        <w:t>solanacearum’</w:t>
      </w:r>
      <w:r>
        <w:rPr>
          <w:rFonts w:ascii="Cambria" w:hAnsi="Cambria"/>
          <w:i/>
          <w:iCs/>
        </w:rPr>
        <w:t xml:space="preserve"> </w:t>
      </w:r>
      <w:r>
        <w:rPr>
          <w:rFonts w:ascii="Cambria" w:hAnsi="Cambria"/>
          <w:iCs/>
        </w:rPr>
        <w:t>(‘</w:t>
      </w:r>
      <w:r>
        <w:rPr>
          <w:rFonts w:ascii="Cambria" w:hAnsi="Cambria"/>
          <w:i/>
          <w:iCs/>
        </w:rPr>
        <w:t>Ca</w:t>
      </w:r>
      <w:r>
        <w:rPr>
          <w:rFonts w:ascii="Cambria" w:hAnsi="Cambria"/>
          <w:iCs/>
        </w:rPr>
        <w:t>. L. solanacearum’) infecting apiaceous crops, including carrot (</w:t>
      </w:r>
      <w:r>
        <w:rPr>
          <w:rFonts w:ascii="Cambria" w:hAnsi="Cambria"/>
          <w:i/>
          <w:iCs/>
        </w:rPr>
        <w:t>Daucus carota</w:t>
      </w:r>
      <w:r>
        <w:rPr>
          <w:rFonts w:ascii="Cambria" w:hAnsi="Cambria"/>
          <w:iCs/>
        </w:rPr>
        <w:t>) and celery (</w:t>
      </w:r>
      <w:r>
        <w:rPr>
          <w:rFonts w:ascii="Cambria" w:hAnsi="Cambria"/>
          <w:i/>
          <w:iCs/>
        </w:rPr>
        <w:t>Apium graveolens</w:t>
      </w:r>
      <w:r>
        <w:rPr>
          <w:rFonts w:ascii="Cambria" w:hAnsi="Cambria"/>
          <w:iCs/>
        </w:rPr>
        <w:t xml:space="preserve">). This bacterium is not known to occur in Australia and is reported to cause </w:t>
      </w:r>
      <w:r>
        <w:rPr>
          <w:rFonts w:ascii="Cambria" w:hAnsi="Cambria"/>
        </w:rPr>
        <w:t>serious damage to the carrot and celery industries in Europe</w:t>
      </w:r>
      <w:r>
        <w:rPr>
          <w:rFonts w:ascii="Cambria" w:hAnsi="Cambria"/>
          <w:iCs/>
        </w:rPr>
        <w:t>. Australia introduced emergency measures on apiaceous host propagative material on 20 October 2014 to manage the introduction of ‘</w:t>
      </w:r>
      <w:r>
        <w:rPr>
          <w:rFonts w:ascii="Cambria" w:hAnsi="Cambria"/>
          <w:i/>
          <w:iCs/>
        </w:rPr>
        <w:t>Ca</w:t>
      </w:r>
      <w:r>
        <w:rPr>
          <w:rFonts w:ascii="Cambria" w:hAnsi="Cambria"/>
          <w:iCs/>
        </w:rPr>
        <w:t>. L. solanacearum’ into Australia.</w:t>
      </w:r>
    </w:p>
    <w:p w:rsidR="00AE7868" w:rsidRDefault="00FF2B57">
      <w:pPr>
        <w:tabs>
          <w:tab w:val="left" w:pos="2268"/>
        </w:tabs>
        <w:spacing w:before="200"/>
        <w:rPr>
          <w:rFonts w:ascii="Cambria" w:hAnsi="Cambria"/>
          <w:iCs/>
        </w:rPr>
      </w:pPr>
      <w:r>
        <w:rPr>
          <w:rFonts w:ascii="Cambria" w:hAnsi="Cambria" w:cs="Arial"/>
        </w:rPr>
        <w:t xml:space="preserve">The International Plant Protection Convention (IPPC) and the ‘World Trade Organisation Agreement on the Application of Sanitary and Phytosanitary Measures’ (SPS Agreement) requires that any phytosanitary measures against the introduction of new pests must be technically justified. </w:t>
      </w:r>
      <w:r>
        <w:rPr>
          <w:rFonts w:ascii="Cambria" w:hAnsi="Cambria"/>
          <w:iCs/>
        </w:rPr>
        <w:t xml:space="preserve">The IPPC’s International Standards for Phytosanitary Measures (ISPM) 1 </w:t>
      </w:r>
      <w:r>
        <w:rPr>
          <w:rFonts w:ascii="Cambria" w:hAnsi="Cambria" w:cs="Arial"/>
        </w:rPr>
        <w:t xml:space="preserve">states that ‘countries may take appropriate emergency action on a pest posing a potential threat to its territories; however, it requires that the action be evaluated as soon as possible to justify the continuance of the action’. </w:t>
      </w:r>
      <w:r>
        <w:rPr>
          <w:rFonts w:ascii="Cambria" w:hAnsi="Cambria"/>
          <w:iCs/>
        </w:rPr>
        <w:t>Therefore, this PRA meets Australia’s international obligations to review the emergency phytosanitary measures on ‘</w:t>
      </w:r>
      <w:r>
        <w:rPr>
          <w:rFonts w:ascii="Cambria" w:hAnsi="Cambria"/>
          <w:i/>
          <w:iCs/>
        </w:rPr>
        <w:t xml:space="preserve">Ca. </w:t>
      </w:r>
      <w:r>
        <w:rPr>
          <w:rFonts w:ascii="Cambria" w:hAnsi="Cambria"/>
          <w:iCs/>
        </w:rPr>
        <w:t>L. solanacearum’ associated with apiaceous crops.</w:t>
      </w:r>
    </w:p>
    <w:p w:rsidR="00AE7868" w:rsidRDefault="00FF2B57">
      <w:pPr>
        <w:spacing w:before="200"/>
        <w:rPr>
          <w:rFonts w:ascii="Cambria" w:hAnsi="Cambria" w:cs="Arial"/>
        </w:rPr>
      </w:pPr>
      <w:r>
        <w:rPr>
          <w:rFonts w:ascii="Cambria" w:eastAsia="Calibri" w:hAnsi="Cambria"/>
        </w:rPr>
        <w:lastRenderedPageBreak/>
        <w:t xml:space="preserve">This PRA </w:t>
      </w:r>
      <w:r>
        <w:rPr>
          <w:rFonts w:ascii="Cambria" w:hAnsi="Cambria"/>
        </w:rPr>
        <w:t xml:space="preserve">justifies Australia’s decision to introduce emergency measures against </w:t>
      </w:r>
      <w:r>
        <w:rPr>
          <w:rFonts w:ascii="Cambria" w:hAnsi="Cambria"/>
          <w:iCs/>
        </w:rPr>
        <w:t>‘</w:t>
      </w:r>
      <w:r>
        <w:rPr>
          <w:rFonts w:ascii="Cambria" w:hAnsi="Cambria"/>
          <w:i/>
          <w:iCs/>
        </w:rPr>
        <w:t>Ca</w:t>
      </w:r>
      <w:r>
        <w:rPr>
          <w:rFonts w:ascii="Cambria" w:hAnsi="Cambria"/>
          <w:iCs/>
        </w:rPr>
        <w:t xml:space="preserve">. L. solanacearum’ for </w:t>
      </w:r>
      <w:r>
        <w:rPr>
          <w:rFonts w:ascii="Cambria" w:hAnsi="Cambria"/>
        </w:rPr>
        <w:t>apiaceous host propagative material. The department considers that the current emergency measures are adequate to mitigate the risk posed by ‘</w:t>
      </w:r>
      <w:r>
        <w:rPr>
          <w:rFonts w:ascii="Cambria" w:hAnsi="Cambria"/>
          <w:i/>
        </w:rPr>
        <w:t>Ca</w:t>
      </w:r>
      <w:r>
        <w:rPr>
          <w:rFonts w:ascii="Cambria" w:hAnsi="Cambria"/>
        </w:rPr>
        <w:t xml:space="preserve">. L. solanacearum’ associated with carrot and celery propagative material. Therefore, these emergency measures are proposed to become the standard conditions to import carrot and celery propagative material into Australia. More recently, parsnip was also reported as natural host of </w:t>
      </w:r>
      <w:r>
        <w:rPr>
          <w:rFonts w:ascii="Cambria" w:eastAsia="Calibri" w:hAnsi="Cambria"/>
        </w:rPr>
        <w:t>‘</w:t>
      </w:r>
      <w:r>
        <w:rPr>
          <w:rFonts w:ascii="Cambria" w:eastAsia="Calibri" w:hAnsi="Cambria"/>
          <w:i/>
        </w:rPr>
        <w:t xml:space="preserve">Ca. </w:t>
      </w:r>
      <w:r>
        <w:rPr>
          <w:rFonts w:ascii="Cambria" w:hAnsi="Cambria"/>
        </w:rPr>
        <w:t>L. solanacearum’. Consequently, these measures are extended to parsnip tissue cultures.</w:t>
      </w:r>
      <w:r w:rsidR="00110B71">
        <w:rPr>
          <w:rFonts w:ascii="Cambria" w:hAnsi="Cambria" w:cs="Arial"/>
        </w:rPr>
        <w:t xml:space="preserve"> </w:t>
      </w:r>
      <w:r w:rsidR="00041B64">
        <w:rPr>
          <w:rFonts w:ascii="Cambria" w:hAnsi="Cambria" w:cs="Arial"/>
        </w:rPr>
        <w:t>P</w:t>
      </w:r>
      <w:r>
        <w:rPr>
          <w:rFonts w:ascii="Cambria" w:hAnsi="Cambria" w:cs="Arial"/>
        </w:rPr>
        <w:t xml:space="preserve">roposed changes </w:t>
      </w:r>
      <w:r w:rsidR="00041B64">
        <w:rPr>
          <w:rFonts w:ascii="Cambria" w:hAnsi="Cambria" w:cs="Arial"/>
        </w:rPr>
        <w:t xml:space="preserve">to the emergency measures include </w:t>
      </w:r>
      <w:r>
        <w:rPr>
          <w:rFonts w:ascii="Cambria" w:hAnsi="Cambria" w:cs="Arial"/>
        </w:rPr>
        <w:t>the option for small s</w:t>
      </w:r>
      <w:r w:rsidR="00DC2725">
        <w:rPr>
          <w:rFonts w:ascii="Cambria" w:hAnsi="Cambria" w:cs="Arial"/>
        </w:rPr>
        <w:t>eed lots to be tested off-shore</w:t>
      </w:r>
      <w:r>
        <w:rPr>
          <w:rFonts w:ascii="Cambria" w:hAnsi="Cambria" w:cs="Arial"/>
        </w:rPr>
        <w:t>; and alternative conditions for tissue cultures of unknown health status.</w:t>
      </w:r>
    </w:p>
    <w:p w:rsidR="00AE7868" w:rsidRDefault="00FF2B57">
      <w:pPr>
        <w:spacing w:before="200"/>
        <w:rPr>
          <w:rFonts w:ascii="Cambria" w:hAnsi="Cambria"/>
          <w:iCs/>
        </w:rPr>
      </w:pPr>
      <w:r>
        <w:rPr>
          <w:rFonts w:ascii="Cambria" w:hAnsi="Cambria"/>
        </w:rPr>
        <w:t xml:space="preserve">The ultimate goal of Australia’s phytosanitary measures is to protect plant health and manage the introduction of </w:t>
      </w:r>
      <w:r>
        <w:rPr>
          <w:rFonts w:ascii="Cambria" w:hAnsi="Cambria"/>
          <w:iCs/>
        </w:rPr>
        <w:t>‘</w:t>
      </w:r>
      <w:r>
        <w:rPr>
          <w:rFonts w:ascii="Cambria" w:hAnsi="Cambria"/>
          <w:i/>
          <w:iCs/>
        </w:rPr>
        <w:t xml:space="preserve">Ca. </w:t>
      </w:r>
      <w:r>
        <w:rPr>
          <w:rFonts w:ascii="Cambria" w:hAnsi="Cambria"/>
          <w:iCs/>
        </w:rPr>
        <w:t>L. solanacearum’ associated with apiaceous crops</w:t>
      </w:r>
      <w:r>
        <w:rPr>
          <w:rFonts w:ascii="Cambria" w:hAnsi="Cambria"/>
        </w:rPr>
        <w:t>. The proposed import conditions for carrot, celery and parsnip propagative material are summarized below.</w:t>
      </w:r>
    </w:p>
    <w:p w:rsidR="00AE7868" w:rsidRDefault="00FF2B57">
      <w:pPr>
        <w:spacing w:before="120" w:after="80" w:line="280" w:lineRule="atLeast"/>
        <w:rPr>
          <w:rFonts w:ascii="Cambria" w:hAnsi="Cambria"/>
        </w:rPr>
      </w:pPr>
      <w:r>
        <w:rPr>
          <w:rFonts w:ascii="Cambria" w:hAnsi="Cambria"/>
          <w:b/>
        </w:rPr>
        <w:t xml:space="preserve">Seeds for sowing (carrot): </w:t>
      </w:r>
      <w:r>
        <w:rPr>
          <w:rFonts w:ascii="Cambria" w:hAnsi="Cambria"/>
        </w:rPr>
        <w:t>mandatory off-shor</w:t>
      </w:r>
      <w:r w:rsidR="00DC2725">
        <w:rPr>
          <w:rFonts w:ascii="Cambria" w:hAnsi="Cambria"/>
        </w:rPr>
        <w:t>e or on-shore molecular testing</w:t>
      </w:r>
      <w:r>
        <w:rPr>
          <w:rFonts w:ascii="Cambria" w:hAnsi="Cambria"/>
        </w:rPr>
        <w:t xml:space="preserve"> </w:t>
      </w:r>
      <w:r>
        <w:rPr>
          <w:rFonts w:ascii="Cambria" w:hAnsi="Cambria"/>
          <w:b/>
        </w:rPr>
        <w:t>OR</w:t>
      </w:r>
      <w:r>
        <w:rPr>
          <w:rFonts w:ascii="Cambria" w:hAnsi="Cambria"/>
        </w:rPr>
        <w:t xml:space="preserve"> mandatory off-shore or on-shore heat treatment; </w:t>
      </w:r>
      <w:r>
        <w:rPr>
          <w:rFonts w:ascii="Cambria" w:hAnsi="Cambria"/>
          <w:b/>
        </w:rPr>
        <w:t>AND</w:t>
      </w:r>
      <w:r>
        <w:rPr>
          <w:rFonts w:ascii="Cambria" w:hAnsi="Cambria"/>
        </w:rPr>
        <w:t xml:space="preserve"> a Phytosanitary Certificate with the additional declaration that the mandatory treatment or testing has been conducted in accordance with Australia’s requirements. </w:t>
      </w:r>
    </w:p>
    <w:p w:rsidR="00AE7868" w:rsidRDefault="00FF2B57">
      <w:pPr>
        <w:spacing w:before="120" w:after="80" w:line="280" w:lineRule="atLeast"/>
        <w:rPr>
          <w:rFonts w:ascii="Cambria" w:hAnsi="Cambria"/>
        </w:rPr>
      </w:pPr>
      <w:r>
        <w:rPr>
          <w:rFonts w:ascii="Cambria" w:hAnsi="Cambria"/>
          <w:b/>
        </w:rPr>
        <w:t xml:space="preserve">Tissue cultures (carrot, celery and parsnip) of known health: </w:t>
      </w:r>
      <w:r>
        <w:rPr>
          <w:rFonts w:ascii="Cambria" w:hAnsi="Cambria"/>
        </w:rPr>
        <w:t xml:space="preserve">mandatory off-shore molecular testing; </w:t>
      </w:r>
      <w:r>
        <w:rPr>
          <w:rFonts w:ascii="Cambria" w:hAnsi="Cambria"/>
          <w:b/>
        </w:rPr>
        <w:t>AND</w:t>
      </w:r>
      <w:r>
        <w:rPr>
          <w:rFonts w:ascii="Cambria" w:hAnsi="Cambria"/>
        </w:rPr>
        <w:t xml:space="preserve"> a Phytosanitary Certificate </w:t>
      </w:r>
      <w:r>
        <w:rPr>
          <w:rFonts w:ascii="Cambria" w:hAnsi="Cambria"/>
        </w:rPr>
        <w:lastRenderedPageBreak/>
        <w:t>with the additional declaration that the testing has been conducted in accordance with Australia’s requirements.</w:t>
      </w:r>
    </w:p>
    <w:p w:rsidR="00AE7868" w:rsidRDefault="00FF2B57">
      <w:pPr>
        <w:spacing w:before="120" w:after="80" w:line="280" w:lineRule="atLeast"/>
        <w:rPr>
          <w:rFonts w:ascii="Cambria" w:hAnsi="Cambria"/>
        </w:rPr>
      </w:pPr>
      <w:r>
        <w:rPr>
          <w:rFonts w:ascii="Cambria" w:hAnsi="Cambria"/>
          <w:b/>
        </w:rPr>
        <w:t xml:space="preserve">Tissue cultures (carrot, celery and parsnip) of unknown health: </w:t>
      </w:r>
      <w:r>
        <w:rPr>
          <w:rFonts w:ascii="Cambria" w:hAnsi="Cambria"/>
        </w:rPr>
        <w:t xml:space="preserve">mandatory growth in a closed government post-entry quarantine (PEQ) facility for disease screening; </w:t>
      </w:r>
      <w:r>
        <w:rPr>
          <w:rFonts w:ascii="Cambria" w:hAnsi="Cambria"/>
          <w:b/>
        </w:rPr>
        <w:t xml:space="preserve">AND </w:t>
      </w:r>
      <w:r>
        <w:rPr>
          <w:rFonts w:ascii="Cambria" w:hAnsi="Cambria"/>
        </w:rPr>
        <w:t xml:space="preserve">mandatory </w:t>
      </w:r>
      <w:r w:rsidR="00DC2725">
        <w:rPr>
          <w:rFonts w:ascii="Cambria" w:hAnsi="Cambria"/>
        </w:rPr>
        <w:t xml:space="preserve">on-shore </w:t>
      </w:r>
      <w:r>
        <w:rPr>
          <w:rFonts w:ascii="Cambria" w:hAnsi="Cambria"/>
        </w:rPr>
        <w:t>PCR testing for freedom from ‘</w:t>
      </w:r>
      <w:r>
        <w:rPr>
          <w:rFonts w:ascii="Cambria" w:hAnsi="Cambria"/>
          <w:i/>
          <w:iCs/>
        </w:rPr>
        <w:t xml:space="preserve">Ca. </w:t>
      </w:r>
      <w:r>
        <w:rPr>
          <w:rFonts w:ascii="Cambria" w:hAnsi="Cambria"/>
          <w:iCs/>
        </w:rPr>
        <w:t>L. solanacearum’</w:t>
      </w:r>
      <w:r>
        <w:rPr>
          <w:rFonts w:ascii="Cambria" w:hAnsi="Cambria"/>
        </w:rPr>
        <w:t>.</w:t>
      </w:r>
    </w:p>
    <w:p w:rsidR="00AE7868" w:rsidRDefault="00FF2B57" w:rsidP="00445A71">
      <w:pPr>
        <w:keepNext/>
        <w:keepLines/>
        <w:spacing w:before="200"/>
        <w:rPr>
          <w:rFonts w:ascii="Cambria" w:hAnsi="Cambria"/>
        </w:rPr>
      </w:pPr>
      <w:r>
        <w:rPr>
          <w:rFonts w:ascii="Cambria" w:hAnsi="Cambria"/>
        </w:rPr>
        <w:t>The department invites comments on the technical aspects of the proposed risk management measures within the consultation period. In particular, comments are sought on their appropriateness and any other measures stakeholders consider would provide equivalent risk management outcomes. The department will consider any comments received before finalising the PRA and import policy recommendations.</w:t>
      </w:r>
    </w:p>
    <w:p w:rsidR="00AE7868" w:rsidRDefault="00AE7868">
      <w:pPr>
        <w:spacing w:before="200"/>
        <w:rPr>
          <w:rFonts w:ascii="Cambria" w:hAnsi="Cambria"/>
        </w:rPr>
      </w:pPr>
    </w:p>
    <w:p w:rsidR="00AE7868" w:rsidRDefault="00AE7868">
      <w:pPr>
        <w:spacing w:before="200"/>
        <w:rPr>
          <w:rFonts w:eastAsiaTheme="majorEastAsia" w:cstheme="majorBidi"/>
          <w:b/>
          <w:color w:val="D52B1E"/>
          <w:sz w:val="34"/>
        </w:rPr>
        <w:sectPr w:rsidR="00AE7868">
          <w:headerReference w:type="default" r:id="rId29"/>
          <w:pgSz w:w="11906" w:h="16838"/>
          <w:pgMar w:top="1418" w:right="1418" w:bottom="1418" w:left="1418" w:header="567" w:footer="283" w:gutter="0"/>
          <w:cols w:space="708"/>
          <w:docGrid w:linePitch="360"/>
        </w:sectPr>
      </w:pPr>
    </w:p>
    <w:p w:rsidR="00AE7868" w:rsidRDefault="00FF2B57">
      <w:pPr>
        <w:pStyle w:val="Heading1"/>
        <w:pageBreakBefore w:val="0"/>
        <w:numPr>
          <w:ilvl w:val="0"/>
          <w:numId w:val="14"/>
        </w:numPr>
        <w:tabs>
          <w:tab w:val="clear" w:pos="360"/>
        </w:tabs>
        <w:spacing w:before="480" w:after="120"/>
        <w:ind w:left="709" w:hanging="709"/>
        <w:rPr>
          <w:rFonts w:eastAsiaTheme="majorEastAsia" w:cstheme="majorBidi"/>
          <w:b/>
          <w:color w:val="D52B1E"/>
          <w:sz w:val="34"/>
        </w:rPr>
      </w:pPr>
      <w:bookmarkStart w:id="79" w:name="_Toc437356001"/>
      <w:r>
        <w:rPr>
          <w:rFonts w:eastAsiaTheme="majorEastAsia" w:cstheme="majorBidi"/>
          <w:b/>
          <w:color w:val="D52B1E"/>
          <w:sz w:val="34"/>
        </w:rPr>
        <w:lastRenderedPageBreak/>
        <w:t>Introduction</w:t>
      </w:r>
      <w:bookmarkEnd w:id="79"/>
    </w:p>
    <w:p w:rsidR="00AE7868" w:rsidRDefault="00FF2B57">
      <w:pPr>
        <w:pStyle w:val="Heading2"/>
        <w:numPr>
          <w:ilvl w:val="1"/>
          <w:numId w:val="21"/>
        </w:numPr>
        <w:tabs>
          <w:tab w:val="clear" w:pos="576"/>
        </w:tabs>
        <w:spacing w:before="200" w:after="120"/>
        <w:ind w:left="357" w:hanging="357"/>
        <w:rPr>
          <w:rFonts w:eastAsiaTheme="majorEastAsia" w:cstheme="majorBidi"/>
          <w:color w:val="773141"/>
          <w:sz w:val="28"/>
        </w:rPr>
      </w:pPr>
      <w:bookmarkStart w:id="80" w:name="_Toc437356002"/>
      <w:r>
        <w:rPr>
          <w:rFonts w:eastAsiaTheme="majorEastAsia" w:cstheme="majorBidi"/>
          <w:color w:val="773141"/>
          <w:sz w:val="28"/>
        </w:rPr>
        <w:t>Australia’s biosecurity policy framework</w:t>
      </w:r>
      <w:bookmarkEnd w:id="80"/>
    </w:p>
    <w:p w:rsidR="00AE7868" w:rsidRDefault="00FF2B57">
      <w:pPr>
        <w:spacing w:before="200"/>
        <w:rPr>
          <w:rFonts w:ascii="Cambria" w:hAnsi="Cambria"/>
        </w:rPr>
      </w:pPr>
      <w:r>
        <w:rPr>
          <w:rFonts w:ascii="Cambria" w:hAnsi="Cambria"/>
        </w:rPr>
        <w:t>Australia's biosecurity policies aim to protect Australia against the risks that may arise from exotic pests entering, establishing and spreading in Australia, thereby threatening Australia's agricultural industries and the environment.</w:t>
      </w:r>
    </w:p>
    <w:p w:rsidR="00AE7868" w:rsidRDefault="00FF2B57">
      <w:pPr>
        <w:spacing w:before="200"/>
        <w:rPr>
          <w:rFonts w:ascii="Cambria" w:hAnsi="Cambria"/>
        </w:rPr>
      </w:pPr>
      <w:r>
        <w:rPr>
          <w:rFonts w:ascii="Cambria" w:hAnsi="Cambria"/>
        </w:rPr>
        <w:t>The risk analysis process is an important part of Australia's biosecurity policies. It enables the Australian Government to formally consider the risks that could be associated with importing products into Australia. If the risks are found to exceed Australia’s appropriate level of protection (ALOP), risk management measures are proposed to reduce the risks to an acceptable level. However, if it is not possible to reduce the risks to an acceptable level, then no trade will be allowed.</w:t>
      </w:r>
    </w:p>
    <w:p w:rsidR="00AE7868" w:rsidRDefault="00FF2B57">
      <w:pPr>
        <w:spacing w:before="200"/>
        <w:rPr>
          <w:rFonts w:ascii="Cambria" w:hAnsi="Cambria"/>
        </w:rPr>
      </w:pPr>
      <w:r>
        <w:rPr>
          <w:rFonts w:ascii="Cambria" w:hAnsi="Cambria"/>
        </w:rPr>
        <w:t>Successive Australian governments have maintained a stringent, but not a zero risk, approach to the management of biosecurity risks. This approach is expressed in terms of Australia's ALOP, which reflects community expectations through government policy and is currently described as providing a high level of protection aimed at reducing risk to a very low level, but not to zero.</w:t>
      </w:r>
    </w:p>
    <w:p w:rsidR="00AE7868" w:rsidRDefault="00FF2B57">
      <w:pPr>
        <w:spacing w:before="200"/>
        <w:rPr>
          <w:rFonts w:ascii="Cambria" w:hAnsi="Cambria"/>
        </w:rPr>
      </w:pPr>
      <w:r>
        <w:rPr>
          <w:rFonts w:ascii="Cambria" w:hAnsi="Cambria"/>
        </w:rPr>
        <w:lastRenderedPageBreak/>
        <w:t xml:space="preserve">Australia’s pest risk analyses (PRAs) are undertaken by the Department of Agriculture and Water Resources, hereafter referred to as the department, using teams of technical and scientific experts in relevant fields and involves consultation with stakeholders at various stages during the process. </w:t>
      </w:r>
    </w:p>
    <w:p w:rsidR="00AE7868" w:rsidRDefault="00FF2B57">
      <w:pPr>
        <w:spacing w:before="200"/>
        <w:rPr>
          <w:rFonts w:ascii="Cambria" w:hAnsi="Cambria"/>
        </w:rPr>
      </w:pPr>
      <w:r>
        <w:rPr>
          <w:rFonts w:ascii="Cambria" w:hAnsi="Cambria"/>
        </w:rPr>
        <w:t xml:space="preserve">Further information about Australia’s biosecurity framework is provided in the </w:t>
      </w:r>
      <w:r>
        <w:rPr>
          <w:rFonts w:ascii="Cambria" w:hAnsi="Cambria"/>
          <w:i/>
        </w:rPr>
        <w:t>Import Risk Analysis Handbook 2011</w:t>
      </w:r>
      <w:r>
        <w:rPr>
          <w:rFonts w:ascii="Cambria" w:hAnsi="Cambria"/>
        </w:rPr>
        <w:t xml:space="preserve"> located on the </w:t>
      </w:r>
      <w:hyperlink r:id="rId30" w:history="1">
        <w:r>
          <w:rPr>
            <w:rStyle w:val="Hyperlink"/>
            <w:rFonts w:ascii="Cambria" w:hAnsi="Cambria"/>
          </w:rPr>
          <w:t>Department of Agriculture</w:t>
        </w:r>
      </w:hyperlink>
      <w:r>
        <w:rPr>
          <w:rFonts w:ascii="Cambria" w:hAnsi="Cambria"/>
        </w:rPr>
        <w:t xml:space="preserve"> and Water Resources website.</w:t>
      </w:r>
    </w:p>
    <w:p w:rsidR="00AE7868" w:rsidRDefault="00FF2B57">
      <w:pPr>
        <w:pStyle w:val="Heading2"/>
        <w:numPr>
          <w:ilvl w:val="1"/>
          <w:numId w:val="21"/>
        </w:numPr>
        <w:tabs>
          <w:tab w:val="clear" w:pos="576"/>
        </w:tabs>
        <w:spacing w:before="200" w:after="120"/>
        <w:ind w:left="357" w:hanging="357"/>
        <w:rPr>
          <w:rFonts w:eastAsiaTheme="majorEastAsia" w:cstheme="majorBidi"/>
          <w:color w:val="773141"/>
          <w:sz w:val="28"/>
        </w:rPr>
      </w:pPr>
      <w:bookmarkStart w:id="81" w:name="_Toc437356003"/>
      <w:r>
        <w:rPr>
          <w:rFonts w:eastAsiaTheme="majorEastAsia" w:cstheme="majorBidi"/>
          <w:color w:val="773141"/>
          <w:sz w:val="28"/>
        </w:rPr>
        <w:t>This pest risk analysis</w:t>
      </w:r>
      <w:bookmarkEnd w:id="81"/>
    </w:p>
    <w:p w:rsidR="00AE7868" w:rsidRDefault="00FF2B57">
      <w:pPr>
        <w:pStyle w:val="Default"/>
        <w:spacing w:before="200" w:after="200" w:line="276" w:lineRule="auto"/>
        <w:rPr>
          <w:rFonts w:ascii="Cambria" w:hAnsi="Cambria"/>
          <w:bCs/>
          <w:sz w:val="22"/>
          <w:szCs w:val="22"/>
        </w:rPr>
      </w:pPr>
      <w:r>
        <w:rPr>
          <w:rFonts w:ascii="Cambria" w:hAnsi="Cambria" w:cs="Arial"/>
          <w:sz w:val="22"/>
          <w:szCs w:val="22"/>
        </w:rPr>
        <w:t xml:space="preserve">The International Plant Protection Convention (IPPC) and the ‘World Trade Organisation Agreement on the Application of Sanitary and Phytosanitary Measures’ (SPS Agreement) requires that any phytosanitary measures against the introduction of new pests must be technically justified. </w:t>
      </w:r>
      <w:r>
        <w:rPr>
          <w:rFonts w:ascii="Cambria" w:hAnsi="Cambria" w:cstheme="minorHAnsi"/>
          <w:sz w:val="22"/>
          <w:szCs w:val="22"/>
        </w:rPr>
        <w:t xml:space="preserve">Therefore, the department undertook this pest risk analysis (PRA) to meet Australia’s </w:t>
      </w:r>
      <w:r>
        <w:rPr>
          <w:rFonts w:ascii="Cambria" w:hAnsi="Cambria"/>
          <w:sz w:val="22"/>
          <w:szCs w:val="22"/>
        </w:rPr>
        <w:t xml:space="preserve">obligations under the IPPC and the International Standards for Phytosanitary Measures (ISPM) 1 to review emergency phytosanitary measures introduced to </w:t>
      </w:r>
      <w:r>
        <w:rPr>
          <w:rFonts w:ascii="Cambria" w:hAnsi="Cambria"/>
          <w:bCs/>
          <w:sz w:val="22"/>
          <w:szCs w:val="22"/>
        </w:rPr>
        <w:t xml:space="preserve">manage the risk of introducing </w:t>
      </w:r>
      <w:r>
        <w:rPr>
          <w:rFonts w:ascii="Cambria" w:hAnsi="Cambria"/>
          <w:sz w:val="22"/>
          <w:szCs w:val="22"/>
        </w:rPr>
        <w:t>‘</w:t>
      </w:r>
      <w:r>
        <w:rPr>
          <w:rFonts w:ascii="Cambria" w:hAnsi="Cambria"/>
          <w:i/>
          <w:sz w:val="22"/>
          <w:szCs w:val="22"/>
        </w:rPr>
        <w:t>Candidatus</w:t>
      </w:r>
      <w:r>
        <w:rPr>
          <w:rFonts w:ascii="Cambria" w:hAnsi="Cambria"/>
          <w:sz w:val="22"/>
          <w:szCs w:val="22"/>
        </w:rPr>
        <w:t xml:space="preserve"> </w:t>
      </w:r>
      <w:r>
        <w:rPr>
          <w:rFonts w:ascii="Cambria" w:hAnsi="Cambria"/>
          <w:bCs/>
          <w:sz w:val="22"/>
          <w:szCs w:val="22"/>
        </w:rPr>
        <w:t>Liberibacter</w:t>
      </w:r>
      <w:r>
        <w:rPr>
          <w:rFonts w:ascii="Cambria" w:hAnsi="Cambria"/>
          <w:sz w:val="22"/>
          <w:szCs w:val="22"/>
        </w:rPr>
        <w:t xml:space="preserve"> solanacearum’ (‘</w:t>
      </w:r>
      <w:r>
        <w:rPr>
          <w:rFonts w:ascii="Cambria" w:hAnsi="Cambria"/>
          <w:i/>
          <w:sz w:val="22"/>
          <w:szCs w:val="22"/>
        </w:rPr>
        <w:t>Ca</w:t>
      </w:r>
      <w:r>
        <w:rPr>
          <w:rFonts w:ascii="Cambria" w:hAnsi="Cambria"/>
          <w:sz w:val="22"/>
          <w:szCs w:val="22"/>
        </w:rPr>
        <w:t xml:space="preserve">. L. solanacearum’) haplotypes associated with apiaceous crops </w:t>
      </w:r>
      <w:r>
        <w:rPr>
          <w:rFonts w:ascii="Cambria" w:hAnsi="Cambria"/>
          <w:bCs/>
          <w:sz w:val="22"/>
          <w:szCs w:val="22"/>
        </w:rPr>
        <w:t>into Australia through legal pathways</w:t>
      </w:r>
      <w:r>
        <w:rPr>
          <w:rFonts w:ascii="Cambria" w:hAnsi="Cambria"/>
          <w:sz w:val="22"/>
          <w:szCs w:val="22"/>
        </w:rPr>
        <w:t xml:space="preserve">. </w:t>
      </w:r>
      <w:r>
        <w:rPr>
          <w:rFonts w:ascii="Cambria" w:hAnsi="Cambria"/>
          <w:bCs/>
          <w:sz w:val="22"/>
          <w:szCs w:val="22"/>
        </w:rPr>
        <w:t xml:space="preserve">Australia introduced emergency measures for seed (carrot) and tissue cultures (carrot, celery) imports and notified trading partners of the emergency measures in August </w:t>
      </w:r>
      <w:r>
        <w:rPr>
          <w:rFonts w:ascii="Cambria" w:hAnsi="Cambria"/>
          <w:bCs/>
          <w:sz w:val="22"/>
          <w:szCs w:val="22"/>
        </w:rPr>
        <w:lastRenderedPageBreak/>
        <w:t xml:space="preserve">2014 through a World Trade Organization Sanitary and Phytosanitary (WTO SPS) notification </w:t>
      </w:r>
      <w:r>
        <w:rPr>
          <w:rFonts w:ascii="Cambria" w:hAnsi="Cambria"/>
          <w:iCs/>
          <w:sz w:val="22"/>
          <w:szCs w:val="22"/>
        </w:rPr>
        <w:t>(G/SPS/N/AUS/345)</w:t>
      </w:r>
      <w:r>
        <w:rPr>
          <w:rFonts w:ascii="Cambria" w:hAnsi="Cambria"/>
          <w:bCs/>
          <w:sz w:val="22"/>
          <w:szCs w:val="22"/>
        </w:rPr>
        <w:t>.</w:t>
      </w:r>
    </w:p>
    <w:p w:rsidR="00AE7868" w:rsidRDefault="00FF2B57">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82" w:name="_Toc437356004"/>
      <w:r>
        <w:rPr>
          <w:rFonts w:ascii="Calibri" w:hAnsi="Calibri" w:cstheme="minorBidi"/>
          <w:sz w:val="24"/>
          <w:szCs w:val="22"/>
        </w:rPr>
        <w:t>Background</w:t>
      </w:r>
      <w:bookmarkEnd w:id="82"/>
    </w:p>
    <w:p w:rsidR="00AE7868" w:rsidRDefault="00FF2B57">
      <w:pPr>
        <w:pStyle w:val="Default"/>
        <w:spacing w:before="200" w:after="200" w:line="276" w:lineRule="auto"/>
        <w:rPr>
          <w:rFonts w:ascii="Cambria" w:hAnsi="Cambria"/>
          <w:bCs/>
          <w:sz w:val="22"/>
          <w:szCs w:val="22"/>
        </w:rPr>
      </w:pPr>
      <w:r>
        <w:rPr>
          <w:rFonts w:ascii="Cambria" w:hAnsi="Cambria" w:cstheme="minorHAnsi"/>
          <w:sz w:val="22"/>
          <w:szCs w:val="22"/>
        </w:rPr>
        <w:t xml:space="preserve">The association of </w:t>
      </w:r>
      <w:r>
        <w:rPr>
          <w:rFonts w:ascii="Cambria" w:hAnsi="Cambria"/>
          <w:bCs/>
          <w:sz w:val="22"/>
          <w:szCs w:val="22"/>
        </w:rPr>
        <w:t>‘</w:t>
      </w:r>
      <w:r>
        <w:rPr>
          <w:rFonts w:ascii="Cambria" w:hAnsi="Cambria"/>
          <w:bCs/>
          <w:i/>
          <w:sz w:val="22"/>
          <w:szCs w:val="22"/>
        </w:rPr>
        <w:t>Ca</w:t>
      </w:r>
      <w:r>
        <w:rPr>
          <w:rFonts w:ascii="Cambria" w:hAnsi="Cambria"/>
          <w:bCs/>
          <w:sz w:val="22"/>
          <w:szCs w:val="22"/>
        </w:rPr>
        <w:t xml:space="preserve">. L. solanacearum’ with carrot </w:t>
      </w:r>
      <w:r>
        <w:rPr>
          <w:rFonts w:ascii="Cambria" w:hAnsi="Cambria" w:cstheme="minorHAnsi"/>
          <w:sz w:val="22"/>
          <w:szCs w:val="22"/>
        </w:rPr>
        <w:t>crops was reported in 2010 in Finland (</w:t>
      </w:r>
      <w:r>
        <w:rPr>
          <w:rFonts w:ascii="Cambria" w:hAnsi="Cambria"/>
          <w:sz w:val="22"/>
          <w:szCs w:val="22"/>
        </w:rPr>
        <w:t>Munyaneza et al. 2010a</w:t>
      </w:r>
      <w:r>
        <w:rPr>
          <w:rFonts w:ascii="Cambria" w:hAnsi="Cambria" w:cstheme="minorHAnsi"/>
          <w:sz w:val="22"/>
          <w:szCs w:val="22"/>
        </w:rPr>
        <w:t xml:space="preserve">) </w:t>
      </w:r>
      <w:r>
        <w:rPr>
          <w:rFonts w:ascii="Cambria" w:hAnsi="Cambria"/>
          <w:sz w:val="22"/>
          <w:szCs w:val="22"/>
        </w:rPr>
        <w:t>and since then the bacterium has spread to several carrot growing areas in Europe (</w:t>
      </w:r>
      <w:r>
        <w:rPr>
          <w:rFonts w:ascii="Cambria" w:eastAsia="Cambria" w:hAnsi="Cambria" w:cs="MeridienLTStd-Roman"/>
          <w:sz w:val="22"/>
          <w:szCs w:val="22"/>
        </w:rPr>
        <w:t xml:space="preserve">Haapalian 2014) </w:t>
      </w:r>
      <w:r>
        <w:rPr>
          <w:rFonts w:ascii="Cambria" w:hAnsi="Cambria"/>
          <w:sz w:val="22"/>
          <w:szCs w:val="22"/>
        </w:rPr>
        <w:t>and North Africa (</w:t>
      </w:r>
      <w:r>
        <w:rPr>
          <w:rFonts w:ascii="Cambria" w:eastAsia="Cambria" w:hAnsi="Cambria" w:cs="MeridienLTStd-Roman"/>
          <w:sz w:val="22"/>
          <w:szCs w:val="22"/>
        </w:rPr>
        <w:t xml:space="preserve">Tahzima </w:t>
      </w:r>
      <w:r>
        <w:rPr>
          <w:rFonts w:ascii="Cambria" w:eastAsia="Cambria" w:hAnsi="Cambria" w:cs="MeridienLTStd-Italic"/>
          <w:iCs/>
          <w:sz w:val="22"/>
          <w:szCs w:val="22"/>
        </w:rPr>
        <w:t>et al.</w:t>
      </w:r>
      <w:r>
        <w:rPr>
          <w:rFonts w:ascii="Cambria" w:eastAsia="Cambria" w:hAnsi="Cambria" w:cs="MeridienLTStd-Roman"/>
          <w:sz w:val="22"/>
          <w:szCs w:val="22"/>
        </w:rPr>
        <w:t xml:space="preserve"> 2014); and celery growing regions of Spain (</w:t>
      </w:r>
      <w:r>
        <w:rPr>
          <w:rFonts w:ascii="Cambria" w:eastAsia="Cambria" w:hAnsi="Cambria" w:cs="Arial"/>
          <w:sz w:val="22"/>
          <w:szCs w:val="22"/>
        </w:rPr>
        <w:t xml:space="preserve">Teresani </w:t>
      </w:r>
      <w:r>
        <w:rPr>
          <w:rFonts w:ascii="Cambria" w:eastAsia="Cambria" w:hAnsi="Cambria" w:cs="Arial"/>
          <w:iCs/>
          <w:sz w:val="22"/>
          <w:szCs w:val="22"/>
        </w:rPr>
        <w:t>et al</w:t>
      </w:r>
      <w:r>
        <w:rPr>
          <w:rFonts w:ascii="Cambria" w:eastAsia="Cambria" w:hAnsi="Cambria" w:cs="Arial"/>
          <w:sz w:val="22"/>
          <w:szCs w:val="22"/>
        </w:rPr>
        <w:t>. 2014a</w:t>
      </w:r>
      <w:r>
        <w:rPr>
          <w:rFonts w:ascii="Cambria" w:eastAsia="Cambria" w:hAnsi="Cambria" w:cs="MeridienLTStd-Roman"/>
          <w:sz w:val="22"/>
          <w:szCs w:val="22"/>
        </w:rPr>
        <w:t>) and Austria (</w:t>
      </w:r>
      <w:r>
        <w:rPr>
          <w:rFonts w:ascii="Cambria" w:eastAsia="Cambria" w:hAnsi="Cambria" w:cs="Arial"/>
          <w:sz w:val="22"/>
          <w:szCs w:val="22"/>
        </w:rPr>
        <w:t>EPPO Reporting Service 2015)</w:t>
      </w:r>
      <w:r>
        <w:rPr>
          <w:rFonts w:ascii="Cambria" w:eastAsia="Cambria" w:hAnsi="Cambria" w:cs="MeridienLTStd-Roman"/>
          <w:sz w:val="22"/>
          <w:szCs w:val="22"/>
        </w:rPr>
        <w:t xml:space="preserve">. The confirmation </w:t>
      </w:r>
      <w:r>
        <w:rPr>
          <w:rFonts w:ascii="Cambria" w:eastAsia="Cambria" w:hAnsi="Cambria" w:cs="Times-Roman"/>
          <w:sz w:val="22"/>
          <w:szCs w:val="22"/>
        </w:rPr>
        <w:t>of the seed-borne nature and seed transmission of ‘</w:t>
      </w:r>
      <w:r>
        <w:rPr>
          <w:rFonts w:ascii="Cambria" w:hAnsi="Cambria"/>
          <w:i/>
          <w:sz w:val="22"/>
          <w:szCs w:val="22"/>
        </w:rPr>
        <w:t>Ca.</w:t>
      </w:r>
      <w:r>
        <w:rPr>
          <w:rFonts w:ascii="Cambria" w:hAnsi="Cambria"/>
          <w:sz w:val="22"/>
          <w:szCs w:val="22"/>
        </w:rPr>
        <w:t xml:space="preserve"> L. solanacearum</w:t>
      </w:r>
      <w:r>
        <w:rPr>
          <w:rFonts w:ascii="Cambria" w:eastAsia="Cambria" w:hAnsi="Cambria" w:cs="Times-Roman"/>
          <w:sz w:val="22"/>
          <w:szCs w:val="22"/>
        </w:rPr>
        <w:t xml:space="preserve">’ in carrot (Bertolini et al. 2014) was a new phytosanitary situation. Therefore, </w:t>
      </w:r>
      <w:r>
        <w:rPr>
          <w:rFonts w:ascii="Cambria" w:hAnsi="Cambria"/>
          <w:bCs/>
          <w:sz w:val="22"/>
          <w:szCs w:val="22"/>
        </w:rPr>
        <w:t xml:space="preserve">Australia introduced emergency measures for apiaceous host propagative material notified trading partners of the emergency measures on 21 August 2014 through a World Trade Organization Sanitary and Phytosanitary (WTO SPS) notification </w:t>
      </w:r>
      <w:r>
        <w:rPr>
          <w:rFonts w:ascii="Cambria" w:hAnsi="Cambria"/>
          <w:iCs/>
          <w:sz w:val="22"/>
          <w:szCs w:val="22"/>
        </w:rPr>
        <w:t>(G/SPS/N/AUS/345)</w:t>
      </w:r>
      <w:r>
        <w:rPr>
          <w:rFonts w:ascii="Cambria" w:hAnsi="Cambria"/>
          <w:bCs/>
          <w:sz w:val="22"/>
          <w:szCs w:val="22"/>
        </w:rPr>
        <w:t>.</w:t>
      </w:r>
    </w:p>
    <w:p w:rsidR="00AE7868" w:rsidRDefault="00FF2B57">
      <w:pPr>
        <w:spacing w:before="200"/>
        <w:rPr>
          <w:rFonts w:ascii="Cambria" w:hAnsi="Cambria"/>
        </w:rPr>
      </w:pPr>
      <w:r>
        <w:rPr>
          <w:rFonts w:ascii="Cambria" w:hAnsi="Cambria"/>
        </w:rPr>
        <w:t>Prior to the introduction of emergency measures, importation of propagative material of apiaceous crops (tissue cultures, seed) from all sources was allowed entry into Australia without any specific disease testing.</w:t>
      </w:r>
    </w:p>
    <w:p w:rsidR="00AE7868" w:rsidRDefault="00FF2B57">
      <w:pPr>
        <w:pStyle w:val="Heading4"/>
        <w:spacing w:before="120"/>
      </w:pPr>
      <w:r>
        <w:rPr>
          <w:i/>
        </w:rPr>
        <w:lastRenderedPageBreak/>
        <w:t>‘Candidatus</w:t>
      </w:r>
      <w:r>
        <w:t xml:space="preserve"> Liberibacter solanacearum’ associated with apiaceous crops</w:t>
      </w:r>
    </w:p>
    <w:p w:rsidR="00AE7868" w:rsidRDefault="00FF2B57">
      <w:pPr>
        <w:pStyle w:val="BodyText2"/>
        <w:spacing w:before="120" w:after="120" w:line="276" w:lineRule="auto"/>
        <w:ind w:left="709" w:hanging="709"/>
        <w:jc w:val="left"/>
        <w:rPr>
          <w:rFonts w:ascii="Cambria" w:hAnsi="Cambria"/>
          <w:szCs w:val="22"/>
        </w:rPr>
      </w:pPr>
      <w:r>
        <w:rPr>
          <w:rFonts w:ascii="Cambria" w:hAnsi="Cambria"/>
          <w:szCs w:val="22"/>
        </w:rPr>
        <w:t>2010:</w:t>
      </w:r>
      <w:r>
        <w:rPr>
          <w:rFonts w:ascii="Cambria" w:hAnsi="Cambria"/>
          <w:szCs w:val="22"/>
        </w:rPr>
        <w:tab/>
      </w:r>
      <w:r>
        <w:rPr>
          <w:rFonts w:ascii="Cambria" w:hAnsi="Cambria"/>
          <w:b/>
          <w:szCs w:val="22"/>
        </w:rPr>
        <w:t xml:space="preserve">Finland: </w:t>
      </w:r>
      <w:r>
        <w:rPr>
          <w:rFonts w:ascii="Cambria" w:hAnsi="Cambria"/>
          <w:szCs w:val="22"/>
        </w:rPr>
        <w:t>Carrot plants with symptoms resembling those of carrot psyllid (</w:t>
      </w:r>
      <w:r>
        <w:rPr>
          <w:rFonts w:ascii="Cambria" w:hAnsi="Cambria"/>
          <w:i/>
          <w:szCs w:val="22"/>
        </w:rPr>
        <w:t>Trioza apicalis</w:t>
      </w:r>
      <w:r>
        <w:rPr>
          <w:rFonts w:ascii="Cambria" w:hAnsi="Cambria"/>
          <w:szCs w:val="22"/>
        </w:rPr>
        <w:t>) damage were observed in commercial fields in southern Finland in 2008. Molecular tests indicated that ‘</w:t>
      </w:r>
      <w:r>
        <w:rPr>
          <w:rFonts w:ascii="Cambria" w:hAnsi="Cambria"/>
          <w:i/>
          <w:szCs w:val="22"/>
        </w:rPr>
        <w:t>Ca</w:t>
      </w:r>
      <w:r>
        <w:rPr>
          <w:rFonts w:ascii="Cambria" w:hAnsi="Cambria"/>
          <w:szCs w:val="22"/>
        </w:rPr>
        <w:t>. L. solanacearum’ was present in the infected plants (Munyaneza et al. 2010a).</w:t>
      </w:r>
    </w:p>
    <w:p w:rsidR="00AE7868" w:rsidRDefault="00FF2B57">
      <w:pPr>
        <w:pStyle w:val="BodyText2"/>
        <w:spacing w:before="120" w:after="120" w:line="276" w:lineRule="auto"/>
        <w:ind w:left="709" w:hanging="709"/>
        <w:jc w:val="left"/>
        <w:rPr>
          <w:rFonts w:ascii="Cambria" w:eastAsia="Cambria" w:hAnsi="Cambria" w:cs="Arial"/>
          <w:szCs w:val="22"/>
        </w:rPr>
      </w:pPr>
      <w:r>
        <w:rPr>
          <w:rFonts w:ascii="Cambria" w:hAnsi="Cambria"/>
          <w:szCs w:val="22"/>
        </w:rPr>
        <w:t>2012:</w:t>
      </w:r>
      <w:r>
        <w:rPr>
          <w:rFonts w:ascii="Cambria" w:hAnsi="Cambria"/>
          <w:szCs w:val="22"/>
        </w:rPr>
        <w:tab/>
      </w:r>
      <w:r>
        <w:rPr>
          <w:rFonts w:ascii="Cambria" w:eastAsia="Cambria" w:hAnsi="Cambria" w:cs="Arial"/>
          <w:b/>
          <w:szCs w:val="22"/>
        </w:rPr>
        <w:t xml:space="preserve">Norway: </w:t>
      </w:r>
      <w:r>
        <w:rPr>
          <w:rFonts w:ascii="Cambria" w:eastAsia="Cambria" w:hAnsi="Cambria" w:cs="Arial"/>
          <w:szCs w:val="22"/>
        </w:rPr>
        <w:t>‘</w:t>
      </w:r>
      <w:r>
        <w:rPr>
          <w:rFonts w:ascii="Cambria" w:eastAsia="Cambria" w:hAnsi="Cambria" w:cs="Arial"/>
          <w:i/>
          <w:szCs w:val="22"/>
        </w:rPr>
        <w:t>Ca</w:t>
      </w:r>
      <w:r>
        <w:rPr>
          <w:rFonts w:ascii="Cambria" w:eastAsia="Cambria" w:hAnsi="Cambria" w:cs="Arial"/>
          <w:szCs w:val="22"/>
        </w:rPr>
        <w:t xml:space="preserve">. L. solanacearum’ detected in carrot fields in four provinces (Munyaneza et al. 2012b). </w:t>
      </w:r>
      <w:r>
        <w:rPr>
          <w:rFonts w:ascii="Cambria" w:eastAsia="Cambria" w:hAnsi="Cambria" w:cs="SimonciniGaramond"/>
          <w:szCs w:val="22"/>
        </w:rPr>
        <w:t xml:space="preserve">The carrot psyllid, </w:t>
      </w:r>
      <w:r>
        <w:rPr>
          <w:rFonts w:ascii="Cambria" w:eastAsia="Cambria" w:hAnsi="Cambria" w:cs="SimonciniGaramond-Italic"/>
          <w:i/>
          <w:iCs/>
          <w:szCs w:val="22"/>
        </w:rPr>
        <w:t>Trioza apicalis</w:t>
      </w:r>
      <w:r>
        <w:rPr>
          <w:rFonts w:ascii="Cambria" w:eastAsia="Cambria" w:hAnsi="Cambria" w:cs="SimonciniGaramond-Italic"/>
          <w:iCs/>
          <w:szCs w:val="22"/>
        </w:rPr>
        <w:t xml:space="preserve">, was found to be associated with </w:t>
      </w:r>
      <w:r>
        <w:rPr>
          <w:rFonts w:ascii="Cambria" w:hAnsi="Cambria"/>
          <w:szCs w:val="22"/>
        </w:rPr>
        <w:t>‘</w:t>
      </w:r>
      <w:r>
        <w:rPr>
          <w:rFonts w:ascii="Cambria" w:hAnsi="Cambria"/>
          <w:i/>
          <w:szCs w:val="22"/>
        </w:rPr>
        <w:t>Ca</w:t>
      </w:r>
      <w:r>
        <w:rPr>
          <w:rFonts w:ascii="Cambria" w:hAnsi="Cambria"/>
          <w:szCs w:val="22"/>
        </w:rPr>
        <w:t>. L. solanacearum’</w:t>
      </w:r>
      <w:r>
        <w:rPr>
          <w:rFonts w:ascii="Cambria" w:eastAsia="Cambria" w:hAnsi="Cambria" w:cs="SimonciniGaramond"/>
          <w:szCs w:val="22"/>
        </w:rPr>
        <w:t xml:space="preserve"> in Norway (</w:t>
      </w:r>
      <w:r>
        <w:rPr>
          <w:rFonts w:ascii="Cambria" w:hAnsi="Cambria"/>
          <w:szCs w:val="22"/>
        </w:rPr>
        <w:t>Munyaneza et al. 2012b).</w:t>
      </w:r>
    </w:p>
    <w:p w:rsidR="00AE7868" w:rsidRDefault="00FF2B57">
      <w:pPr>
        <w:pStyle w:val="BodyText2"/>
        <w:spacing w:before="120" w:after="120" w:line="276" w:lineRule="auto"/>
        <w:ind w:left="709"/>
        <w:jc w:val="left"/>
        <w:rPr>
          <w:rFonts w:ascii="Cambria" w:hAnsi="Cambria"/>
          <w:szCs w:val="22"/>
        </w:rPr>
      </w:pPr>
      <w:r>
        <w:rPr>
          <w:rFonts w:ascii="Cambria" w:eastAsia="Cambria" w:hAnsi="Cambria" w:cs="Arial"/>
          <w:b/>
          <w:szCs w:val="22"/>
        </w:rPr>
        <w:t xml:space="preserve">Sweden: </w:t>
      </w:r>
      <w:r>
        <w:rPr>
          <w:rFonts w:ascii="Cambria" w:eastAsia="Cambria" w:hAnsi="Cambria" w:cs="Arial"/>
          <w:szCs w:val="22"/>
        </w:rPr>
        <w:t>‘</w:t>
      </w:r>
      <w:r>
        <w:rPr>
          <w:rFonts w:ascii="Cambria" w:eastAsia="Cambria" w:hAnsi="Cambria" w:cs="Arial"/>
          <w:i/>
          <w:szCs w:val="22"/>
        </w:rPr>
        <w:t>Ca</w:t>
      </w:r>
      <w:r>
        <w:rPr>
          <w:rFonts w:ascii="Cambria" w:eastAsia="Cambria" w:hAnsi="Cambria" w:cs="Arial"/>
          <w:szCs w:val="22"/>
        </w:rPr>
        <w:t xml:space="preserve">. L. solanacearum’ detected in carrot in Halland province (Munyaneza </w:t>
      </w:r>
      <w:r>
        <w:rPr>
          <w:rFonts w:ascii="Cambria" w:eastAsia="Cambria" w:hAnsi="Cambria" w:cs="Arial"/>
          <w:iCs/>
          <w:szCs w:val="22"/>
        </w:rPr>
        <w:t>et al.</w:t>
      </w:r>
      <w:r>
        <w:rPr>
          <w:rFonts w:ascii="Cambria" w:eastAsia="Cambria" w:hAnsi="Cambria" w:cs="Arial"/>
          <w:i/>
          <w:iCs/>
          <w:szCs w:val="22"/>
        </w:rPr>
        <w:t xml:space="preserve"> </w:t>
      </w:r>
      <w:r>
        <w:rPr>
          <w:rFonts w:ascii="Cambria" w:eastAsia="Cambria" w:hAnsi="Cambria" w:cs="Arial"/>
          <w:szCs w:val="22"/>
        </w:rPr>
        <w:t xml:space="preserve">2012a). </w:t>
      </w:r>
      <w:r>
        <w:rPr>
          <w:rFonts w:ascii="Cambria" w:eastAsia="Cambria" w:hAnsi="Cambria" w:cs="SimonciniGaramond"/>
          <w:szCs w:val="22"/>
        </w:rPr>
        <w:t xml:space="preserve">The carrot psyllid, </w:t>
      </w:r>
      <w:r>
        <w:rPr>
          <w:rFonts w:ascii="Cambria" w:eastAsia="Cambria" w:hAnsi="Cambria" w:cs="SimonciniGaramond-Italic"/>
          <w:i/>
          <w:iCs/>
          <w:szCs w:val="22"/>
        </w:rPr>
        <w:t>Trioza apicalis</w:t>
      </w:r>
      <w:r>
        <w:rPr>
          <w:rFonts w:ascii="Cambria" w:eastAsia="Cambria" w:hAnsi="Cambria" w:cs="SimonciniGaramond-Italic"/>
          <w:iCs/>
          <w:szCs w:val="22"/>
        </w:rPr>
        <w:t xml:space="preserve">, was found to be associated with </w:t>
      </w:r>
      <w:r>
        <w:rPr>
          <w:rFonts w:ascii="Cambria" w:hAnsi="Cambria"/>
          <w:szCs w:val="22"/>
        </w:rPr>
        <w:t>‘</w:t>
      </w:r>
      <w:r>
        <w:rPr>
          <w:rFonts w:ascii="Cambria" w:hAnsi="Cambria"/>
          <w:i/>
          <w:szCs w:val="22"/>
        </w:rPr>
        <w:t>Ca</w:t>
      </w:r>
      <w:r>
        <w:rPr>
          <w:rFonts w:ascii="Cambria" w:hAnsi="Cambria"/>
          <w:szCs w:val="22"/>
        </w:rPr>
        <w:t>. L. solanacearum’</w:t>
      </w:r>
      <w:r>
        <w:rPr>
          <w:rFonts w:ascii="Cambria" w:eastAsia="Cambria" w:hAnsi="Cambria" w:cs="SimonciniGaramond"/>
          <w:szCs w:val="22"/>
        </w:rPr>
        <w:t xml:space="preserve"> in Sweden (</w:t>
      </w:r>
      <w:r>
        <w:rPr>
          <w:rFonts w:ascii="Cambria" w:hAnsi="Cambria"/>
          <w:szCs w:val="22"/>
        </w:rPr>
        <w:t>Munyaneza et al. 2012a).</w:t>
      </w:r>
    </w:p>
    <w:p w:rsidR="00AE7868" w:rsidRDefault="00FF2B57">
      <w:pPr>
        <w:pStyle w:val="BodyText2"/>
        <w:spacing w:before="120" w:after="120" w:line="276" w:lineRule="auto"/>
        <w:ind w:left="709"/>
        <w:jc w:val="left"/>
        <w:rPr>
          <w:rFonts w:ascii="Cambria" w:eastAsia="Cambria" w:hAnsi="Cambria" w:cs="Arial"/>
          <w:szCs w:val="22"/>
        </w:rPr>
      </w:pPr>
      <w:r>
        <w:rPr>
          <w:rFonts w:ascii="Cambria" w:hAnsi="Cambria"/>
          <w:b/>
          <w:szCs w:val="22"/>
        </w:rPr>
        <w:t xml:space="preserve">Spain: </w:t>
      </w:r>
      <w:r>
        <w:rPr>
          <w:rFonts w:ascii="Cambria" w:hAnsi="Cambria"/>
          <w:szCs w:val="22"/>
        </w:rPr>
        <w:t>‘</w:t>
      </w:r>
      <w:r>
        <w:rPr>
          <w:rFonts w:ascii="Cambria" w:hAnsi="Cambria"/>
          <w:i/>
          <w:szCs w:val="22"/>
        </w:rPr>
        <w:t>Ca</w:t>
      </w:r>
      <w:r>
        <w:rPr>
          <w:rFonts w:ascii="Cambria" w:hAnsi="Cambria"/>
          <w:szCs w:val="22"/>
        </w:rPr>
        <w:t xml:space="preserve">. L. solanacearum’ was confirmed </w:t>
      </w:r>
      <w:r>
        <w:rPr>
          <w:rFonts w:ascii="Cambria" w:eastAsia="Cambria" w:hAnsi="Cambria" w:cs="Arial"/>
          <w:szCs w:val="22"/>
        </w:rPr>
        <w:t xml:space="preserve">from mainland Spain (Alicante, Albacete and Valencia) </w:t>
      </w:r>
      <w:r>
        <w:rPr>
          <w:rFonts w:ascii="Cambria" w:hAnsi="Cambria"/>
          <w:szCs w:val="22"/>
        </w:rPr>
        <w:t xml:space="preserve">in carrot crops sampled between 2008 and 2010 </w:t>
      </w:r>
      <w:r>
        <w:rPr>
          <w:rFonts w:ascii="Cambria" w:eastAsia="Cambria" w:hAnsi="Cambria" w:cs="Arial"/>
          <w:szCs w:val="22"/>
        </w:rPr>
        <w:t xml:space="preserve">(Alfaro-Fernández </w:t>
      </w:r>
      <w:r>
        <w:rPr>
          <w:rFonts w:ascii="Cambria" w:eastAsia="Cambria" w:hAnsi="Cambria" w:cs="Arial"/>
          <w:iCs/>
          <w:szCs w:val="22"/>
        </w:rPr>
        <w:t>et al.</w:t>
      </w:r>
      <w:r>
        <w:rPr>
          <w:rFonts w:ascii="Cambria" w:eastAsia="Cambria" w:hAnsi="Cambria" w:cs="Arial"/>
          <w:i/>
          <w:iCs/>
          <w:szCs w:val="22"/>
        </w:rPr>
        <w:t xml:space="preserve"> </w:t>
      </w:r>
      <w:r>
        <w:rPr>
          <w:rFonts w:ascii="Cambria" w:eastAsia="Cambria" w:hAnsi="Cambria" w:cs="Arial"/>
          <w:szCs w:val="22"/>
        </w:rPr>
        <w:t xml:space="preserve">2012a). </w:t>
      </w:r>
      <w:r>
        <w:rPr>
          <w:rFonts w:ascii="Cambria" w:hAnsi="Cambria"/>
          <w:szCs w:val="22"/>
        </w:rPr>
        <w:t>‘</w:t>
      </w:r>
      <w:r>
        <w:rPr>
          <w:rFonts w:ascii="Cambria" w:hAnsi="Cambria"/>
          <w:i/>
          <w:szCs w:val="22"/>
        </w:rPr>
        <w:t>Ca</w:t>
      </w:r>
      <w:r>
        <w:rPr>
          <w:rFonts w:ascii="Cambria" w:hAnsi="Cambria"/>
          <w:szCs w:val="22"/>
        </w:rPr>
        <w:t>. L. solanacearum’ was also detected in carrot crops sampled between 2009 and 2010 in the Canary Islands (</w:t>
      </w:r>
      <w:r>
        <w:rPr>
          <w:rFonts w:ascii="Cambria" w:eastAsia="Cambria" w:hAnsi="Cambria" w:cs="Arial"/>
          <w:szCs w:val="22"/>
        </w:rPr>
        <w:t xml:space="preserve">Alfaro-Fernández </w:t>
      </w:r>
      <w:r>
        <w:rPr>
          <w:rFonts w:ascii="Cambria" w:eastAsia="Cambria" w:hAnsi="Cambria" w:cs="Arial"/>
          <w:iCs/>
          <w:szCs w:val="22"/>
        </w:rPr>
        <w:t>et al</w:t>
      </w:r>
      <w:r>
        <w:rPr>
          <w:rFonts w:ascii="Cambria" w:eastAsia="Cambria" w:hAnsi="Cambria" w:cs="Arial"/>
          <w:szCs w:val="22"/>
        </w:rPr>
        <w:t>. 2012b). ‘</w:t>
      </w:r>
      <w:r>
        <w:rPr>
          <w:rFonts w:ascii="Cambria" w:eastAsia="Cambria" w:hAnsi="Cambria" w:cs="Arial"/>
          <w:i/>
          <w:szCs w:val="22"/>
        </w:rPr>
        <w:t>Candidatus</w:t>
      </w:r>
      <w:r>
        <w:rPr>
          <w:rFonts w:ascii="Cambria" w:eastAsia="Cambria" w:hAnsi="Cambria" w:cs="Arial"/>
          <w:szCs w:val="22"/>
        </w:rPr>
        <w:t xml:space="preserve"> Liberibacter solanacearum’ in carrot crops was found to be associated with the psyllid, </w:t>
      </w:r>
      <w:r>
        <w:rPr>
          <w:rFonts w:ascii="Cambria" w:eastAsia="Cambria" w:hAnsi="Cambria" w:cs="Arial"/>
          <w:i/>
          <w:szCs w:val="22"/>
        </w:rPr>
        <w:t>Bactericera trigonica</w:t>
      </w:r>
      <w:r>
        <w:rPr>
          <w:rFonts w:ascii="Cambria" w:eastAsia="Cambria" w:hAnsi="Cambria" w:cs="Arial"/>
          <w:szCs w:val="22"/>
        </w:rPr>
        <w:t>,</w:t>
      </w:r>
      <w:r>
        <w:rPr>
          <w:rFonts w:ascii="Cambria" w:eastAsia="Cambria" w:hAnsi="Cambria" w:cs="Arial"/>
          <w:i/>
          <w:szCs w:val="22"/>
        </w:rPr>
        <w:t xml:space="preserve"> </w:t>
      </w:r>
      <w:r>
        <w:rPr>
          <w:rFonts w:ascii="Cambria" w:eastAsia="Cambria" w:hAnsi="Cambria" w:cs="Arial"/>
          <w:szCs w:val="22"/>
        </w:rPr>
        <w:lastRenderedPageBreak/>
        <w:t>in the Canary Islands and mainland Spain (Alfaro-Fernández et al. 2012a, b; EPPO 2012).</w:t>
      </w:r>
    </w:p>
    <w:p w:rsidR="00AE7868" w:rsidRDefault="00FF2B57">
      <w:pPr>
        <w:pStyle w:val="BodyText2"/>
        <w:spacing w:before="120" w:after="120" w:line="276" w:lineRule="auto"/>
        <w:ind w:left="709" w:hanging="709"/>
        <w:jc w:val="left"/>
        <w:rPr>
          <w:rFonts w:ascii="Cambria" w:eastAsia="Cambria" w:hAnsi="Cambria" w:cs="Arial"/>
          <w:szCs w:val="22"/>
        </w:rPr>
      </w:pPr>
      <w:r>
        <w:rPr>
          <w:rFonts w:ascii="Cambria" w:eastAsia="Cambria" w:hAnsi="Cambria" w:cs="Arial"/>
          <w:szCs w:val="22"/>
        </w:rPr>
        <w:t>2014:</w:t>
      </w:r>
      <w:r>
        <w:rPr>
          <w:rFonts w:ascii="Cambria" w:eastAsia="Cambria" w:hAnsi="Cambria" w:cs="Arial"/>
          <w:szCs w:val="22"/>
        </w:rPr>
        <w:tab/>
      </w:r>
      <w:r>
        <w:rPr>
          <w:rFonts w:ascii="Cambria" w:eastAsia="Cambria" w:hAnsi="Cambria" w:cs="Arial"/>
          <w:b/>
          <w:szCs w:val="22"/>
        </w:rPr>
        <w:t xml:space="preserve">Spain: </w:t>
      </w:r>
      <w:r>
        <w:rPr>
          <w:rFonts w:ascii="Cambria" w:eastAsia="Cambria" w:hAnsi="Cambria" w:cs="Arial"/>
          <w:szCs w:val="22"/>
        </w:rPr>
        <w:t>‘</w:t>
      </w:r>
      <w:r>
        <w:rPr>
          <w:rFonts w:ascii="Cambria" w:eastAsia="Cambria" w:hAnsi="Cambria" w:cs="Arial"/>
          <w:i/>
          <w:szCs w:val="22"/>
        </w:rPr>
        <w:t>Ca</w:t>
      </w:r>
      <w:r>
        <w:rPr>
          <w:rFonts w:ascii="Cambria" w:eastAsia="Cambria" w:hAnsi="Cambria" w:cs="Arial"/>
          <w:szCs w:val="22"/>
        </w:rPr>
        <w:t xml:space="preserve">. L. solanacearum’ was detected in celery in Villena (Alicante, Spain) (Teresani </w:t>
      </w:r>
      <w:r>
        <w:rPr>
          <w:rFonts w:ascii="Cambria" w:eastAsia="Cambria" w:hAnsi="Cambria" w:cs="Arial"/>
          <w:iCs/>
          <w:szCs w:val="22"/>
        </w:rPr>
        <w:t>et al</w:t>
      </w:r>
      <w:r>
        <w:rPr>
          <w:rFonts w:ascii="Cambria" w:eastAsia="Cambria" w:hAnsi="Cambria" w:cs="Arial"/>
          <w:szCs w:val="22"/>
        </w:rPr>
        <w:t xml:space="preserve">. 2014b). </w:t>
      </w:r>
    </w:p>
    <w:p w:rsidR="00AE7868" w:rsidRDefault="00FF2B57">
      <w:pPr>
        <w:pStyle w:val="BodyText2"/>
        <w:spacing w:before="120" w:after="120" w:line="276" w:lineRule="auto"/>
        <w:ind w:left="709"/>
        <w:jc w:val="left"/>
        <w:rPr>
          <w:rFonts w:ascii="Cambria" w:hAnsi="Cambria"/>
          <w:szCs w:val="22"/>
        </w:rPr>
      </w:pPr>
      <w:r>
        <w:rPr>
          <w:rFonts w:ascii="Cambria" w:hAnsi="Cambria"/>
          <w:szCs w:val="22"/>
        </w:rPr>
        <w:t>The seed-borne nature and seed to seedling transmission of ‘</w:t>
      </w:r>
      <w:r>
        <w:rPr>
          <w:rFonts w:ascii="Cambria" w:hAnsi="Cambria"/>
          <w:i/>
          <w:szCs w:val="22"/>
        </w:rPr>
        <w:t>Ca</w:t>
      </w:r>
      <w:r>
        <w:rPr>
          <w:rFonts w:ascii="Cambria" w:hAnsi="Cambria"/>
          <w:szCs w:val="22"/>
        </w:rPr>
        <w:t>. L. solanacearum’ was confirmed only in carrot seeds (Bertolini et al. 2014).</w:t>
      </w:r>
    </w:p>
    <w:p w:rsidR="00AE7868" w:rsidRDefault="00FF2B57">
      <w:pPr>
        <w:pStyle w:val="BodyText2"/>
        <w:spacing w:before="120" w:after="120" w:line="276" w:lineRule="auto"/>
        <w:ind w:left="709"/>
        <w:jc w:val="left"/>
        <w:rPr>
          <w:rFonts w:ascii="Cambria" w:eastAsia="Cambria" w:hAnsi="Cambria" w:cs="TrebuchetMS"/>
          <w:szCs w:val="22"/>
        </w:rPr>
      </w:pPr>
      <w:r>
        <w:rPr>
          <w:rFonts w:ascii="Cambria" w:eastAsia="Cambria" w:hAnsi="Cambria" w:cs="Arial"/>
          <w:b/>
          <w:szCs w:val="22"/>
        </w:rPr>
        <w:t xml:space="preserve">France: </w:t>
      </w:r>
      <w:r>
        <w:rPr>
          <w:rFonts w:ascii="Cambria" w:eastAsia="Cambria" w:hAnsi="Cambria" w:cs="Arial"/>
          <w:szCs w:val="22"/>
        </w:rPr>
        <w:t>‘</w:t>
      </w:r>
      <w:r>
        <w:rPr>
          <w:rFonts w:ascii="Cambria" w:eastAsia="Cambria" w:hAnsi="Cambria" w:cs="Arial"/>
          <w:i/>
          <w:szCs w:val="22"/>
        </w:rPr>
        <w:t>Ca</w:t>
      </w:r>
      <w:r>
        <w:rPr>
          <w:rFonts w:ascii="Cambria" w:eastAsia="Cambria" w:hAnsi="Cambria" w:cs="Arial"/>
          <w:szCs w:val="22"/>
        </w:rPr>
        <w:t>. L. solanacearum’ was reported to be detected in carrot seed producing crops in central France (</w:t>
      </w:r>
      <w:r>
        <w:rPr>
          <w:rFonts w:ascii="Cambria" w:eastAsia="Cambria" w:hAnsi="Cambria" w:cs="MeridienLTStd-Roman"/>
          <w:szCs w:val="22"/>
        </w:rPr>
        <w:t xml:space="preserve">Loiseau </w:t>
      </w:r>
      <w:r>
        <w:rPr>
          <w:rFonts w:ascii="Cambria" w:eastAsia="Cambria" w:hAnsi="Cambria" w:cs="MeridienLTStd-Italic"/>
          <w:iCs/>
          <w:szCs w:val="22"/>
        </w:rPr>
        <w:t>et al.</w:t>
      </w:r>
      <w:r>
        <w:rPr>
          <w:rFonts w:ascii="Cambria" w:eastAsia="Cambria" w:hAnsi="Cambria" w:cs="MeridienLTStd-Roman"/>
          <w:szCs w:val="22"/>
        </w:rPr>
        <w:t xml:space="preserve"> 2014</w:t>
      </w:r>
      <w:r>
        <w:rPr>
          <w:rFonts w:ascii="Cambria" w:eastAsia="Cambria" w:hAnsi="Cambria" w:cs="TrebuchetMS"/>
          <w:szCs w:val="22"/>
        </w:rPr>
        <w:t>).</w:t>
      </w:r>
    </w:p>
    <w:p w:rsidR="00AE7868" w:rsidRDefault="00FF2B57">
      <w:pPr>
        <w:pStyle w:val="BodyText2"/>
        <w:spacing w:before="120" w:after="120" w:line="276" w:lineRule="auto"/>
        <w:ind w:left="709"/>
        <w:jc w:val="left"/>
        <w:rPr>
          <w:rFonts w:ascii="Cambria" w:hAnsi="Cambria"/>
          <w:szCs w:val="22"/>
        </w:rPr>
      </w:pPr>
      <w:r>
        <w:rPr>
          <w:rFonts w:ascii="Cambria" w:hAnsi="Cambria"/>
          <w:b/>
          <w:szCs w:val="22"/>
        </w:rPr>
        <w:t xml:space="preserve">Morocco: </w:t>
      </w:r>
      <w:r>
        <w:rPr>
          <w:rFonts w:ascii="Cambria" w:hAnsi="Cambria"/>
          <w:szCs w:val="22"/>
        </w:rPr>
        <w:t>‘</w:t>
      </w:r>
      <w:r>
        <w:rPr>
          <w:rFonts w:ascii="Cambria" w:hAnsi="Cambria"/>
          <w:i/>
          <w:szCs w:val="22"/>
        </w:rPr>
        <w:t>Ca</w:t>
      </w:r>
      <w:r>
        <w:rPr>
          <w:rFonts w:ascii="Cambria" w:hAnsi="Cambria"/>
          <w:szCs w:val="22"/>
        </w:rPr>
        <w:t>. L. solanacearum’ was detected in carrot crops (</w:t>
      </w:r>
      <w:r>
        <w:rPr>
          <w:rFonts w:ascii="Cambria" w:hAnsi="Cambria" w:cs="Arial"/>
          <w:szCs w:val="22"/>
        </w:rPr>
        <w:t>Tahzima et al. 2014</w:t>
      </w:r>
      <w:r>
        <w:rPr>
          <w:rFonts w:ascii="Cambria" w:hAnsi="Cambria"/>
          <w:szCs w:val="22"/>
        </w:rPr>
        <w:t xml:space="preserve">). This was the first report of </w:t>
      </w:r>
      <w:r>
        <w:rPr>
          <w:rFonts w:ascii="Cambria" w:eastAsia="Cambria" w:hAnsi="Cambria" w:cs="Arial"/>
          <w:szCs w:val="22"/>
        </w:rPr>
        <w:t>‘</w:t>
      </w:r>
      <w:r>
        <w:rPr>
          <w:rFonts w:ascii="Cambria" w:eastAsia="Cambria" w:hAnsi="Cambria" w:cs="Arial"/>
          <w:i/>
          <w:szCs w:val="22"/>
        </w:rPr>
        <w:t>Ca</w:t>
      </w:r>
      <w:r>
        <w:rPr>
          <w:rFonts w:ascii="Cambria" w:eastAsia="Cambria" w:hAnsi="Cambria" w:cs="Arial"/>
          <w:szCs w:val="22"/>
        </w:rPr>
        <w:t xml:space="preserve">. L. solanacearum’ </w:t>
      </w:r>
      <w:r>
        <w:rPr>
          <w:rFonts w:ascii="Cambria" w:hAnsi="Cambria"/>
          <w:szCs w:val="22"/>
        </w:rPr>
        <w:t>in Africa. The psyllid vector has not been identified in carrot crops in Morocco.</w:t>
      </w:r>
    </w:p>
    <w:p w:rsidR="00AE7868" w:rsidRDefault="00FF2B57">
      <w:pPr>
        <w:pStyle w:val="BodyText2"/>
        <w:spacing w:before="120" w:after="120" w:line="276" w:lineRule="auto"/>
        <w:ind w:left="709"/>
        <w:jc w:val="left"/>
        <w:rPr>
          <w:rFonts w:ascii="Cambria" w:hAnsi="Cambria"/>
          <w:szCs w:val="22"/>
        </w:rPr>
      </w:pPr>
      <w:r>
        <w:rPr>
          <w:rFonts w:ascii="Cambria" w:hAnsi="Cambria"/>
          <w:b/>
          <w:szCs w:val="22"/>
        </w:rPr>
        <w:t xml:space="preserve">Australia: </w:t>
      </w:r>
      <w:r>
        <w:rPr>
          <w:rFonts w:ascii="Cambria" w:hAnsi="Cambria"/>
          <w:szCs w:val="22"/>
        </w:rPr>
        <w:t>The department introduced emergency measures for imported seeds (carrot) and tissue cultures (carrot and celery) to mitigate the risk of introducing ‘</w:t>
      </w:r>
      <w:r>
        <w:rPr>
          <w:rFonts w:ascii="Cambria" w:hAnsi="Cambria"/>
          <w:i/>
          <w:szCs w:val="22"/>
        </w:rPr>
        <w:t>Ca</w:t>
      </w:r>
      <w:r>
        <w:rPr>
          <w:rFonts w:ascii="Cambria" w:hAnsi="Cambria"/>
          <w:szCs w:val="22"/>
        </w:rPr>
        <w:t>. L. solanacearum’ into Australia on these pathways.</w:t>
      </w:r>
    </w:p>
    <w:p w:rsidR="00AE7868" w:rsidRDefault="00FF2B57">
      <w:pPr>
        <w:pStyle w:val="BodyText2"/>
        <w:spacing w:before="120" w:after="120" w:line="276" w:lineRule="auto"/>
        <w:ind w:left="709" w:hanging="709"/>
        <w:jc w:val="left"/>
        <w:rPr>
          <w:rFonts w:ascii="Cambria" w:eastAsia="Cambria" w:hAnsi="Cambria" w:cs="Arial"/>
          <w:szCs w:val="22"/>
        </w:rPr>
      </w:pPr>
      <w:r>
        <w:rPr>
          <w:rFonts w:ascii="Cambria" w:hAnsi="Cambria"/>
          <w:szCs w:val="22"/>
        </w:rPr>
        <w:t xml:space="preserve">2015: </w:t>
      </w:r>
      <w:r>
        <w:rPr>
          <w:rFonts w:ascii="Cambria" w:hAnsi="Cambria"/>
          <w:szCs w:val="22"/>
        </w:rPr>
        <w:tab/>
      </w:r>
      <w:r>
        <w:rPr>
          <w:rFonts w:ascii="Cambria" w:hAnsi="Cambria"/>
          <w:b/>
          <w:szCs w:val="22"/>
        </w:rPr>
        <w:t xml:space="preserve">Austria: </w:t>
      </w:r>
      <w:r>
        <w:rPr>
          <w:rFonts w:ascii="Cambria" w:hAnsi="Cambria"/>
          <w:szCs w:val="22"/>
        </w:rPr>
        <w:t>‘</w:t>
      </w:r>
      <w:r>
        <w:rPr>
          <w:rFonts w:ascii="Cambria" w:hAnsi="Cambria"/>
          <w:i/>
          <w:szCs w:val="22"/>
        </w:rPr>
        <w:t>Ca</w:t>
      </w:r>
      <w:r>
        <w:rPr>
          <w:rFonts w:ascii="Cambria" w:hAnsi="Cambria"/>
          <w:szCs w:val="22"/>
        </w:rPr>
        <w:t xml:space="preserve">. L. solanacearum’ was detected in </w:t>
      </w:r>
      <w:r>
        <w:rPr>
          <w:rFonts w:ascii="Cambria" w:eastAsia="Cambria" w:hAnsi="Cambria" w:cs="Arial"/>
          <w:szCs w:val="22"/>
        </w:rPr>
        <w:t>carrot and celery crops (EPPO Reporting Service 2015). Infected plants were destroyed and the bacterium in Austria is declared as transient, actionable and under surveillance.</w:t>
      </w:r>
    </w:p>
    <w:p w:rsidR="00AE7868" w:rsidRDefault="00FF2B57">
      <w:pPr>
        <w:pStyle w:val="BodyText2"/>
        <w:spacing w:before="120" w:after="120" w:line="276" w:lineRule="auto"/>
        <w:ind w:left="709"/>
        <w:jc w:val="left"/>
        <w:rPr>
          <w:rFonts w:ascii="Cambria" w:eastAsia="Cambria" w:hAnsi="Cambria" w:cs="Arial"/>
          <w:szCs w:val="22"/>
        </w:rPr>
      </w:pPr>
      <w:r>
        <w:rPr>
          <w:rFonts w:ascii="Cambria" w:eastAsia="Cambria" w:hAnsi="Cambria" w:cs="Arial"/>
          <w:b/>
          <w:szCs w:val="22"/>
        </w:rPr>
        <w:lastRenderedPageBreak/>
        <w:t xml:space="preserve">Germany: </w:t>
      </w:r>
      <w:r>
        <w:rPr>
          <w:rFonts w:ascii="Cambria" w:eastAsia="Cambria" w:hAnsi="Cambria" w:cs="Arial"/>
          <w:szCs w:val="22"/>
        </w:rPr>
        <w:t>‘</w:t>
      </w:r>
      <w:r>
        <w:rPr>
          <w:rFonts w:ascii="Cambria" w:eastAsia="Cambria" w:hAnsi="Cambria" w:cs="Arial"/>
          <w:i/>
          <w:szCs w:val="22"/>
        </w:rPr>
        <w:t>Ca</w:t>
      </w:r>
      <w:r>
        <w:rPr>
          <w:rFonts w:ascii="Cambria" w:eastAsia="Cambria" w:hAnsi="Cambria" w:cs="Arial"/>
          <w:szCs w:val="22"/>
        </w:rPr>
        <w:t>. L. solanacearum’ was detected in commercial carrot fields in Lower Saxony (Munyaneza et al. 2015). ‘</w:t>
      </w:r>
      <w:r>
        <w:rPr>
          <w:rFonts w:ascii="Cambria" w:eastAsia="Cambria" w:hAnsi="Cambria" w:cs="Arial"/>
          <w:i/>
          <w:szCs w:val="22"/>
        </w:rPr>
        <w:t>Candidatus</w:t>
      </w:r>
      <w:r>
        <w:rPr>
          <w:rFonts w:ascii="Cambria" w:eastAsia="Cambria" w:hAnsi="Cambria" w:cs="Arial"/>
          <w:szCs w:val="22"/>
        </w:rPr>
        <w:t xml:space="preserve"> Liberibacter solanacearum’ in carrot was found to be associated with the carrot psyllid, </w:t>
      </w:r>
      <w:r>
        <w:rPr>
          <w:rFonts w:ascii="Cambria" w:eastAsia="Cambria" w:hAnsi="Cambria" w:cs="Arial"/>
          <w:i/>
          <w:szCs w:val="22"/>
        </w:rPr>
        <w:t>Trioza apicalis</w:t>
      </w:r>
      <w:r>
        <w:rPr>
          <w:rFonts w:ascii="Cambria" w:eastAsia="Cambria" w:hAnsi="Cambria" w:cs="Arial"/>
          <w:szCs w:val="22"/>
        </w:rPr>
        <w:t>,</w:t>
      </w:r>
      <w:r>
        <w:rPr>
          <w:rFonts w:ascii="Cambria" w:eastAsia="Cambria" w:hAnsi="Cambria" w:cs="Arial"/>
          <w:i/>
          <w:szCs w:val="22"/>
        </w:rPr>
        <w:t xml:space="preserve"> </w:t>
      </w:r>
      <w:r>
        <w:rPr>
          <w:rFonts w:ascii="Cambria" w:eastAsia="Cambria" w:hAnsi="Cambria" w:cs="Arial"/>
          <w:szCs w:val="22"/>
        </w:rPr>
        <w:t>in Germany</w:t>
      </w:r>
      <w:r>
        <w:rPr>
          <w:rFonts w:ascii="Cambria" w:eastAsia="Cambria" w:hAnsi="Cambria" w:cs="Arial"/>
          <w:i/>
          <w:szCs w:val="22"/>
        </w:rPr>
        <w:t xml:space="preserve"> </w:t>
      </w:r>
      <w:r>
        <w:rPr>
          <w:rFonts w:ascii="Cambria" w:eastAsia="Cambria" w:hAnsi="Cambria" w:cs="Arial"/>
          <w:szCs w:val="22"/>
        </w:rPr>
        <w:t>(Munyaneza et al. 2015).</w:t>
      </w:r>
    </w:p>
    <w:p w:rsidR="00AE7868" w:rsidRDefault="00FF2B57">
      <w:pPr>
        <w:pStyle w:val="BodyText2"/>
        <w:spacing w:before="120" w:after="120" w:line="276" w:lineRule="auto"/>
        <w:ind w:left="709"/>
        <w:jc w:val="left"/>
        <w:rPr>
          <w:rFonts w:ascii="Cambria" w:eastAsia="Cambria" w:hAnsi="Cambria" w:cs="Arial"/>
          <w:szCs w:val="22"/>
        </w:rPr>
      </w:pPr>
      <w:r>
        <w:rPr>
          <w:rFonts w:ascii="Cambria" w:eastAsia="Cambria" w:hAnsi="Cambria" w:cs="Arial"/>
          <w:b/>
          <w:szCs w:val="22"/>
        </w:rPr>
        <w:t xml:space="preserve">Spain: </w:t>
      </w:r>
      <w:r>
        <w:rPr>
          <w:rFonts w:ascii="Cambria" w:eastAsia="Cambria" w:hAnsi="Cambria" w:cs="Arial"/>
          <w:szCs w:val="22"/>
        </w:rPr>
        <w:t>‘</w:t>
      </w:r>
      <w:r>
        <w:rPr>
          <w:rFonts w:ascii="Cambria" w:eastAsia="Cambria" w:hAnsi="Cambria" w:cs="Arial"/>
          <w:i/>
          <w:szCs w:val="22"/>
        </w:rPr>
        <w:t xml:space="preserve">Ca. </w:t>
      </w:r>
      <w:r>
        <w:rPr>
          <w:rFonts w:ascii="Cambria" w:eastAsia="Cambria" w:hAnsi="Cambria" w:cs="Arial"/>
          <w:szCs w:val="22"/>
        </w:rPr>
        <w:t>L. solanacearum’ was detected in commercial parsnip fields (Cambra et al. 2015).</w:t>
      </w:r>
    </w:p>
    <w:p w:rsidR="00AE7868" w:rsidRDefault="00FF2B57">
      <w:pPr>
        <w:pStyle w:val="Default"/>
        <w:spacing w:before="200" w:after="200" w:line="276" w:lineRule="auto"/>
        <w:rPr>
          <w:rFonts w:ascii="Cambria" w:hAnsi="Cambria"/>
          <w:bCs/>
          <w:sz w:val="22"/>
          <w:szCs w:val="22"/>
        </w:rPr>
      </w:pPr>
      <w:r>
        <w:rPr>
          <w:rFonts w:ascii="Cambria" w:hAnsi="Cambria"/>
          <w:bCs/>
          <w:sz w:val="22"/>
          <w:szCs w:val="22"/>
        </w:rPr>
        <w:t>Under ISPM</w:t>
      </w:r>
      <w:r>
        <w:rPr>
          <w:rFonts w:ascii="Cambria" w:hAnsi="Cambria"/>
          <w:iCs/>
          <w:sz w:val="22"/>
          <w:szCs w:val="22"/>
        </w:rPr>
        <w:t xml:space="preserve"> 1: </w:t>
      </w:r>
      <w:r>
        <w:rPr>
          <w:rFonts w:ascii="Cambria" w:hAnsi="Cambria"/>
          <w:i/>
          <w:iCs/>
          <w:sz w:val="22"/>
          <w:szCs w:val="22"/>
        </w:rPr>
        <w:t>Phytosanitary principles for the protection of plants and the application of phytosanitary measures in international trade</w:t>
      </w:r>
      <w:r>
        <w:rPr>
          <w:rFonts w:ascii="Cambria" w:hAnsi="Cambria"/>
          <w:bCs/>
          <w:sz w:val="22"/>
          <w:szCs w:val="22"/>
        </w:rPr>
        <w:t xml:space="preserve">, </w:t>
      </w:r>
      <w:r>
        <w:rPr>
          <w:rFonts w:ascii="Cambria" w:hAnsi="Cambria"/>
          <w:iCs/>
          <w:sz w:val="22"/>
          <w:szCs w:val="22"/>
        </w:rPr>
        <w:t>Australia is required to review emergency phytosanitary measures and conduct a science-based assessment, such as a PRA, to justify the continuance of the measures.</w:t>
      </w:r>
      <w:r>
        <w:rPr>
          <w:rFonts w:ascii="Cambria" w:hAnsi="Cambria"/>
          <w:bCs/>
          <w:sz w:val="22"/>
          <w:szCs w:val="22"/>
        </w:rPr>
        <w:t xml:space="preserve"> Therefore, Australia initiated this pest risk analysis to justify emergency measures against ‘</w:t>
      </w:r>
      <w:r>
        <w:rPr>
          <w:rFonts w:ascii="Cambria" w:hAnsi="Cambria"/>
          <w:bCs/>
          <w:i/>
          <w:sz w:val="22"/>
          <w:szCs w:val="22"/>
        </w:rPr>
        <w:t>Ca</w:t>
      </w:r>
      <w:r>
        <w:rPr>
          <w:rFonts w:ascii="Cambria" w:hAnsi="Cambria"/>
          <w:bCs/>
          <w:sz w:val="22"/>
          <w:szCs w:val="22"/>
        </w:rPr>
        <w:t>. L. solanacearum’ haplotypes associated with apiaceous (carrot, celery) propagative material.</w:t>
      </w:r>
    </w:p>
    <w:p w:rsidR="00AE7868" w:rsidRDefault="00FF2B57">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83" w:name="_Toc437356005"/>
      <w:r>
        <w:rPr>
          <w:rFonts w:ascii="Calibri" w:hAnsi="Calibri" w:cstheme="minorBidi"/>
          <w:sz w:val="24"/>
          <w:szCs w:val="22"/>
        </w:rPr>
        <w:t>Scope</w:t>
      </w:r>
      <w:bookmarkEnd w:id="83"/>
    </w:p>
    <w:p w:rsidR="00AE7868" w:rsidRDefault="00FF2B57">
      <w:pPr>
        <w:pStyle w:val="Default"/>
        <w:tabs>
          <w:tab w:val="left" w:pos="5387"/>
        </w:tabs>
        <w:spacing w:before="200" w:after="200" w:line="276" w:lineRule="auto"/>
        <w:contextualSpacing/>
        <w:rPr>
          <w:rFonts w:ascii="Cambria" w:hAnsi="Cambria"/>
          <w:bCs/>
          <w:sz w:val="22"/>
          <w:szCs w:val="22"/>
        </w:rPr>
      </w:pPr>
      <w:r>
        <w:rPr>
          <w:rFonts w:ascii="Cambria" w:hAnsi="Cambria" w:cstheme="minorHAnsi"/>
          <w:bCs/>
          <w:sz w:val="22"/>
          <w:szCs w:val="22"/>
        </w:rPr>
        <w:t>The scope of this PRA includes:</w:t>
      </w:r>
    </w:p>
    <w:p w:rsidR="00AE7868" w:rsidRDefault="00FF2B57">
      <w:pPr>
        <w:pStyle w:val="AQISBullet"/>
        <w:numPr>
          <w:ilvl w:val="0"/>
          <w:numId w:val="32"/>
        </w:numPr>
        <w:spacing w:before="120" w:after="120" w:line="276" w:lineRule="auto"/>
        <w:ind w:left="357" w:hanging="357"/>
        <w:contextualSpacing/>
        <w:jc w:val="left"/>
        <w:rPr>
          <w:rFonts w:ascii="Cambria" w:hAnsi="Cambria" w:cstheme="minorHAnsi"/>
          <w:bCs/>
          <w:szCs w:val="22"/>
        </w:rPr>
      </w:pPr>
      <w:r>
        <w:rPr>
          <w:rFonts w:ascii="Cambria" w:hAnsi="Cambria" w:cstheme="minorHAnsi"/>
          <w:bCs/>
          <w:szCs w:val="22"/>
        </w:rPr>
        <w:t>assessing the risk of introducing ‘</w:t>
      </w:r>
      <w:r>
        <w:rPr>
          <w:rFonts w:ascii="Cambria" w:hAnsi="Cambria" w:cstheme="minorHAnsi"/>
          <w:bCs/>
          <w:i/>
          <w:szCs w:val="22"/>
        </w:rPr>
        <w:t>Ca</w:t>
      </w:r>
      <w:r>
        <w:rPr>
          <w:rFonts w:ascii="Cambria" w:hAnsi="Cambria" w:cstheme="minorHAnsi"/>
          <w:bCs/>
          <w:szCs w:val="22"/>
        </w:rPr>
        <w:t xml:space="preserve">. L. solanacearum’ associated with Apiaceae (carrot, celery and parsnip) propagative material (seeds and tissue cultures only) from all sources; </w:t>
      </w:r>
    </w:p>
    <w:p w:rsidR="00AE7868" w:rsidRDefault="00FF2B57">
      <w:pPr>
        <w:pStyle w:val="AQISBullet"/>
        <w:numPr>
          <w:ilvl w:val="0"/>
          <w:numId w:val="32"/>
        </w:numPr>
        <w:spacing w:before="120" w:after="120" w:line="276" w:lineRule="auto"/>
        <w:ind w:left="357" w:hanging="357"/>
        <w:contextualSpacing/>
        <w:jc w:val="left"/>
        <w:rPr>
          <w:rFonts w:ascii="Cambria" w:hAnsi="Cambria" w:cstheme="minorHAnsi"/>
          <w:bCs/>
          <w:szCs w:val="22"/>
        </w:rPr>
      </w:pPr>
      <w:r>
        <w:rPr>
          <w:rFonts w:ascii="Cambria" w:hAnsi="Cambria" w:cstheme="minorHAnsi"/>
          <w:bCs/>
          <w:szCs w:val="22"/>
        </w:rPr>
        <w:t xml:space="preserve">reviewing and evaluating the existing risk management measures </w:t>
      </w:r>
      <w:r>
        <w:rPr>
          <w:rFonts w:ascii="Cambria" w:hAnsi="Cambria" w:cstheme="minorHAnsi"/>
          <w:bCs/>
          <w:szCs w:val="22"/>
        </w:rPr>
        <w:lastRenderedPageBreak/>
        <w:t xml:space="preserve">(including emergency measures) for the identified risks; and </w:t>
      </w:r>
    </w:p>
    <w:p w:rsidR="00AE7868" w:rsidRDefault="00FF2B57">
      <w:pPr>
        <w:pStyle w:val="AQISBullet"/>
        <w:numPr>
          <w:ilvl w:val="0"/>
          <w:numId w:val="32"/>
        </w:numPr>
        <w:spacing w:before="120" w:after="120" w:line="276" w:lineRule="auto"/>
        <w:ind w:left="357" w:hanging="357"/>
        <w:contextualSpacing/>
        <w:jc w:val="left"/>
        <w:rPr>
          <w:rFonts w:ascii="Cambria" w:hAnsi="Cambria" w:cstheme="minorHAnsi"/>
          <w:bCs/>
          <w:szCs w:val="22"/>
        </w:rPr>
      </w:pPr>
      <w:r>
        <w:rPr>
          <w:rFonts w:ascii="Cambria" w:hAnsi="Cambria" w:cstheme="minorHAnsi"/>
          <w:szCs w:val="22"/>
        </w:rPr>
        <w:t>proposing additional risk management measures where appropriate.</w:t>
      </w:r>
    </w:p>
    <w:p w:rsidR="00AE7868" w:rsidRDefault="00FF2B57">
      <w:pPr>
        <w:pStyle w:val="Default"/>
        <w:spacing w:before="200" w:after="200" w:line="276" w:lineRule="auto"/>
        <w:rPr>
          <w:rFonts w:ascii="Cambria" w:hAnsi="Cambria" w:cstheme="minorHAnsi"/>
          <w:bCs/>
          <w:sz w:val="22"/>
          <w:szCs w:val="22"/>
        </w:rPr>
      </w:pPr>
      <w:r>
        <w:rPr>
          <w:rFonts w:ascii="Cambria" w:hAnsi="Cambria" w:cstheme="minorHAnsi"/>
          <w:bCs/>
          <w:sz w:val="22"/>
          <w:szCs w:val="22"/>
        </w:rPr>
        <w:t xml:space="preserve">This PRA does not consider existing phytosanitary measures during the pest risk assessment. Existing phytosanitary measures are only considered during the development of risk management </w:t>
      </w:r>
      <w:r>
        <w:rPr>
          <w:rFonts w:ascii="Cambria" w:hAnsi="Cambria"/>
          <w:iCs/>
          <w:sz w:val="22"/>
          <w:szCs w:val="22"/>
        </w:rPr>
        <w:t>measures</w:t>
      </w:r>
      <w:r>
        <w:rPr>
          <w:rFonts w:ascii="Cambria" w:hAnsi="Cambria" w:cstheme="minorHAnsi"/>
          <w:bCs/>
          <w:sz w:val="22"/>
          <w:szCs w:val="22"/>
        </w:rPr>
        <w:t>, if they are required, following the pest risk assessment.</w:t>
      </w:r>
    </w:p>
    <w:p w:rsidR="00AE7868" w:rsidRDefault="00FF2B57">
      <w:pPr>
        <w:pStyle w:val="Default"/>
        <w:spacing w:before="200" w:after="200" w:line="276" w:lineRule="auto"/>
        <w:rPr>
          <w:rFonts w:ascii="Cambria" w:hAnsi="Cambria" w:cstheme="minorHAnsi"/>
          <w:bCs/>
          <w:sz w:val="22"/>
          <w:szCs w:val="22"/>
        </w:rPr>
      </w:pPr>
      <w:r>
        <w:rPr>
          <w:rFonts w:ascii="Cambria" w:hAnsi="Cambria" w:cstheme="minorHAnsi"/>
          <w:bCs/>
          <w:sz w:val="22"/>
          <w:szCs w:val="22"/>
        </w:rPr>
        <w:t>This PRA does not assess the risk of introducing ‘</w:t>
      </w:r>
      <w:r>
        <w:rPr>
          <w:rFonts w:ascii="Cambria" w:hAnsi="Cambria" w:cstheme="minorHAnsi"/>
          <w:bCs/>
          <w:i/>
          <w:sz w:val="22"/>
          <w:szCs w:val="22"/>
        </w:rPr>
        <w:t>Ca.</w:t>
      </w:r>
      <w:r>
        <w:rPr>
          <w:rFonts w:ascii="Cambria" w:hAnsi="Cambria" w:cstheme="minorHAnsi"/>
          <w:bCs/>
          <w:sz w:val="22"/>
          <w:szCs w:val="22"/>
        </w:rPr>
        <w:t xml:space="preserve"> L. solanacearum’ in infected psyllids. Appropriate measures, including fumigation with methyl bromide, are already in place to mitigate the risk of accidental introduction of these insect pests with their host material.     </w:t>
      </w:r>
    </w:p>
    <w:p w:rsidR="00AE7868" w:rsidRDefault="00FF2B57">
      <w:pPr>
        <w:pStyle w:val="Default"/>
        <w:spacing w:before="200" w:after="200" w:line="276" w:lineRule="auto"/>
        <w:rPr>
          <w:rFonts w:ascii="Cambria" w:hAnsi="Cambria" w:cstheme="minorHAnsi"/>
          <w:sz w:val="22"/>
          <w:szCs w:val="22"/>
        </w:rPr>
      </w:pPr>
      <w:r>
        <w:rPr>
          <w:rFonts w:ascii="Cambria" w:hAnsi="Cambria" w:cstheme="minorHAnsi"/>
          <w:sz w:val="22"/>
          <w:szCs w:val="22"/>
        </w:rPr>
        <w:t>This PRA is limited to recommending appropriate phytosanitary measures to address the risk of introducing ‘</w:t>
      </w:r>
      <w:r>
        <w:rPr>
          <w:rFonts w:ascii="Cambria" w:hAnsi="Cambria" w:cstheme="minorHAnsi"/>
          <w:i/>
          <w:sz w:val="22"/>
          <w:szCs w:val="22"/>
        </w:rPr>
        <w:t>Ca</w:t>
      </w:r>
      <w:r>
        <w:rPr>
          <w:rFonts w:ascii="Cambria" w:hAnsi="Cambria" w:cstheme="minorHAnsi"/>
          <w:sz w:val="22"/>
          <w:szCs w:val="22"/>
        </w:rPr>
        <w:t>. L. solanacearum’</w:t>
      </w:r>
      <w:r>
        <w:rPr>
          <w:rFonts w:ascii="Cambria" w:hAnsi="Cambria" w:cstheme="minorHAnsi"/>
          <w:bCs/>
          <w:sz w:val="22"/>
          <w:szCs w:val="22"/>
        </w:rPr>
        <w:t xml:space="preserve"> associated with apiaceous propagative material </w:t>
      </w:r>
      <w:r>
        <w:rPr>
          <w:rFonts w:ascii="Cambria" w:hAnsi="Cambria" w:cstheme="minorHAnsi"/>
          <w:sz w:val="22"/>
          <w:szCs w:val="22"/>
        </w:rPr>
        <w:t xml:space="preserve">into Australia. It is the importer's </w:t>
      </w:r>
      <w:r>
        <w:rPr>
          <w:rFonts w:ascii="Cambria" w:hAnsi="Cambria"/>
          <w:iCs/>
          <w:sz w:val="22"/>
          <w:szCs w:val="22"/>
        </w:rPr>
        <w:t>responsibility</w:t>
      </w:r>
      <w:r>
        <w:rPr>
          <w:rFonts w:ascii="Cambria" w:hAnsi="Cambria" w:cstheme="minorHAnsi"/>
          <w:sz w:val="22"/>
          <w:szCs w:val="22"/>
        </w:rPr>
        <w:t xml:space="preserve"> to ensure compliance with the requirements of all other regulatory and advisory bodies associated with importing commodities to Australia. These include the Australian Department of Immigration and Border Protection, Department of Health, Therapeutic Goods Administration, Australian Pesticides and Veterinary Medicines Authority, Department of the Environment and state and territory departments of agriculture.</w:t>
      </w:r>
    </w:p>
    <w:p w:rsidR="00AE7868" w:rsidRDefault="00FF2B57">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84" w:name="_Toc432763562"/>
      <w:bookmarkStart w:id="85" w:name="_Toc437356006"/>
      <w:r>
        <w:rPr>
          <w:rFonts w:ascii="Calibri" w:hAnsi="Calibri" w:cstheme="minorBidi"/>
          <w:sz w:val="24"/>
          <w:szCs w:val="22"/>
        </w:rPr>
        <w:lastRenderedPageBreak/>
        <w:t>Consultation</w:t>
      </w:r>
      <w:bookmarkEnd w:id="84"/>
      <w:bookmarkEnd w:id="85"/>
    </w:p>
    <w:p w:rsidR="00AE7868" w:rsidRDefault="00FF2B57">
      <w:pPr>
        <w:spacing w:before="200"/>
        <w:rPr>
          <w:rFonts w:ascii="Cambria" w:hAnsi="Cambria"/>
        </w:rPr>
      </w:pPr>
      <w:r>
        <w:rPr>
          <w:rFonts w:ascii="Cambria" w:hAnsi="Cambria"/>
        </w:rPr>
        <w:t xml:space="preserve">The department worked closely with industry stakeholders during the development of emergency measures to minimise any trade and crop production disruption. Prior to introducing emergency measures against </w:t>
      </w:r>
      <w:r>
        <w:rPr>
          <w:rFonts w:ascii="Cambria" w:hAnsi="Cambria" w:cstheme="minorHAnsi"/>
        </w:rPr>
        <w:t>‘</w:t>
      </w:r>
      <w:r>
        <w:rPr>
          <w:rFonts w:ascii="Cambria" w:hAnsi="Cambria" w:cstheme="minorHAnsi"/>
          <w:i/>
        </w:rPr>
        <w:t>Ca</w:t>
      </w:r>
      <w:r>
        <w:rPr>
          <w:rFonts w:ascii="Cambria" w:hAnsi="Cambria" w:cstheme="minorHAnsi"/>
        </w:rPr>
        <w:t>. L. solanacearum’, t</w:t>
      </w:r>
      <w:r>
        <w:rPr>
          <w:rFonts w:ascii="Cambria" w:hAnsi="Cambria"/>
        </w:rPr>
        <w:t>he department consulted with the seed industry including AusVeg, the Australian Seed Federation and representatives of domestic and international seed companies.</w:t>
      </w:r>
    </w:p>
    <w:p w:rsidR="00AE7868" w:rsidRDefault="00FF2B57">
      <w:pPr>
        <w:spacing w:before="120" w:after="120" w:line="269" w:lineRule="auto"/>
        <w:ind w:left="1985" w:hanging="1985"/>
        <w:rPr>
          <w:rFonts w:ascii="Cambria" w:hAnsi="Cambria"/>
        </w:rPr>
      </w:pPr>
      <w:r>
        <w:rPr>
          <w:rFonts w:ascii="Cambria" w:hAnsi="Cambria"/>
        </w:rPr>
        <w:t>16 June 2014</w:t>
      </w:r>
      <w:r>
        <w:rPr>
          <w:rFonts w:ascii="Cambria" w:hAnsi="Cambria"/>
        </w:rPr>
        <w:tab/>
        <w:t>The department held a teleconference with industry to discuss the implications of the published evidence that ‘</w:t>
      </w:r>
      <w:r>
        <w:rPr>
          <w:rFonts w:ascii="Cambria" w:hAnsi="Cambria"/>
          <w:i/>
        </w:rPr>
        <w:t xml:space="preserve">Candidatus </w:t>
      </w:r>
      <w:r>
        <w:rPr>
          <w:rFonts w:ascii="Cambria" w:hAnsi="Cambria"/>
        </w:rPr>
        <w:t>Liberibacter solanacearum’ is seed-borne and seed-transmissible in carrot. The department stated that, based on the current information, future carrot seed imports would be regulated from all sources and that it intended to introduce the regulatory measures within four to six weeks.</w:t>
      </w:r>
    </w:p>
    <w:p w:rsidR="00AE7868" w:rsidRDefault="00FF2B57">
      <w:pPr>
        <w:spacing w:before="120" w:after="120" w:line="269" w:lineRule="auto"/>
        <w:ind w:left="1985" w:hanging="1985"/>
        <w:rPr>
          <w:rFonts w:ascii="Cambria" w:hAnsi="Cambria"/>
        </w:rPr>
      </w:pPr>
      <w:r>
        <w:rPr>
          <w:rFonts w:ascii="Cambria" w:hAnsi="Cambria"/>
        </w:rPr>
        <w:t>10 July 2014</w:t>
      </w:r>
      <w:r>
        <w:rPr>
          <w:rFonts w:ascii="Cambria" w:hAnsi="Cambria"/>
        </w:rPr>
        <w:tab/>
        <w:t>The department held a teleconference with industry to discuss the intention of implementing emergency measures for ‘</w:t>
      </w:r>
      <w:r>
        <w:rPr>
          <w:rFonts w:ascii="Cambria" w:hAnsi="Cambria"/>
          <w:i/>
        </w:rPr>
        <w:t>Candidatus</w:t>
      </w:r>
      <w:r>
        <w:rPr>
          <w:rFonts w:ascii="Cambria" w:hAnsi="Cambria"/>
        </w:rPr>
        <w:t xml:space="preserve"> Liberibacter solanacearum’ on imported carrot seeds. The department stated that, based on the current information, future carrot seed imports would be regulated from all sources and that it intended to introduce the regulatory measures within four to six weeks.</w:t>
      </w:r>
    </w:p>
    <w:p w:rsidR="00AE7868" w:rsidRDefault="00FF2B57">
      <w:pPr>
        <w:spacing w:before="120" w:after="120" w:line="269" w:lineRule="auto"/>
        <w:ind w:left="1985" w:hanging="1985"/>
        <w:rPr>
          <w:rFonts w:ascii="Cambria" w:hAnsi="Cambria"/>
        </w:rPr>
      </w:pPr>
      <w:r>
        <w:rPr>
          <w:rFonts w:ascii="Cambria" w:hAnsi="Cambria"/>
        </w:rPr>
        <w:lastRenderedPageBreak/>
        <w:t>5 August 2014</w:t>
      </w:r>
      <w:r>
        <w:rPr>
          <w:rFonts w:ascii="Cambria" w:hAnsi="Cambria"/>
        </w:rPr>
        <w:tab/>
        <w:t>The department held a teleconference with industry to discuss the proposed emergency measures for future imports of carrot (seed, tissue culture) and celery (tissue culture) from all sources.</w:t>
      </w:r>
    </w:p>
    <w:p w:rsidR="00AE7868" w:rsidRDefault="00FF2B57">
      <w:pPr>
        <w:spacing w:before="120" w:after="120" w:line="269" w:lineRule="auto"/>
        <w:ind w:left="1985" w:hanging="1985"/>
        <w:rPr>
          <w:rFonts w:ascii="Cambria" w:hAnsi="Cambria"/>
          <w:bCs/>
        </w:rPr>
      </w:pPr>
      <w:r>
        <w:rPr>
          <w:rFonts w:ascii="Cambria" w:hAnsi="Cambria"/>
        </w:rPr>
        <w:t>21 August 2014</w:t>
      </w:r>
      <w:r>
        <w:rPr>
          <w:rFonts w:ascii="Cambria" w:hAnsi="Cambria"/>
        </w:rPr>
        <w:tab/>
      </w:r>
      <w:r>
        <w:rPr>
          <w:rFonts w:ascii="Cambria" w:hAnsi="Cambria"/>
          <w:bCs/>
        </w:rPr>
        <w:t xml:space="preserve">Australia notified trading partners of the upcoming emergency measures through a WTO SPS notification </w:t>
      </w:r>
      <w:r>
        <w:rPr>
          <w:rFonts w:ascii="Cambria" w:hAnsi="Cambria"/>
          <w:iCs/>
        </w:rPr>
        <w:t>(G/SPS/N/AUS/345), advising that the measures would take effect from 20 October 2015</w:t>
      </w:r>
      <w:r>
        <w:rPr>
          <w:rFonts w:ascii="Cambria" w:hAnsi="Cambria"/>
          <w:bCs/>
        </w:rPr>
        <w:t>.</w:t>
      </w:r>
    </w:p>
    <w:p w:rsidR="00AE7868" w:rsidRDefault="00FF2B57">
      <w:pPr>
        <w:spacing w:before="120" w:after="120" w:line="269" w:lineRule="auto"/>
        <w:ind w:left="1985" w:hanging="1985"/>
        <w:rPr>
          <w:rFonts w:ascii="Cambria" w:hAnsi="Cambria"/>
          <w:bCs/>
        </w:rPr>
      </w:pPr>
      <w:r>
        <w:rPr>
          <w:rFonts w:ascii="Cambria" w:hAnsi="Cambria"/>
          <w:bCs/>
        </w:rPr>
        <w:t>22 August 2014</w:t>
      </w:r>
      <w:r>
        <w:rPr>
          <w:rFonts w:ascii="Cambria" w:hAnsi="Cambria"/>
          <w:bCs/>
        </w:rPr>
        <w:tab/>
        <w:t>The department individually notified National Plant Protection Organisations of the main trading partners affected by the emergency measures, including Belgium, France, Germany, Italy, Japan, the Republic of Korea, Malaysia, the Netherlands, New Zealand, Singapore, the United Arab Emirates, the United Kingdom and the United States of America.</w:t>
      </w:r>
    </w:p>
    <w:p w:rsidR="00AE7868" w:rsidRDefault="00FF2B57">
      <w:pPr>
        <w:spacing w:before="120" w:after="120" w:line="269" w:lineRule="auto"/>
        <w:ind w:left="1985" w:hanging="1985"/>
        <w:rPr>
          <w:rFonts w:ascii="Cambria" w:hAnsi="Cambria"/>
          <w:bCs/>
        </w:rPr>
      </w:pPr>
      <w:r>
        <w:rPr>
          <w:rFonts w:ascii="Cambria" w:hAnsi="Cambria"/>
          <w:bCs/>
        </w:rPr>
        <w:t>25 August 2014</w:t>
      </w:r>
      <w:r>
        <w:rPr>
          <w:rFonts w:ascii="Cambria" w:hAnsi="Cambria"/>
          <w:bCs/>
        </w:rPr>
        <w:tab/>
        <w:t>The department published an ICON alert advising importers of the planned emergency measures for carrot (seed, tissue culture) and celery (tissue culture), to take effect from 20 October 2014.</w:t>
      </w:r>
    </w:p>
    <w:p w:rsidR="00AE7868" w:rsidRDefault="00FF2B57">
      <w:pPr>
        <w:spacing w:before="120" w:after="120" w:line="269" w:lineRule="auto"/>
        <w:ind w:left="1985" w:hanging="1985"/>
        <w:rPr>
          <w:rFonts w:ascii="Cambria" w:hAnsi="Cambria"/>
        </w:rPr>
      </w:pPr>
      <w:r>
        <w:rPr>
          <w:rFonts w:ascii="Cambria" w:hAnsi="Cambria"/>
          <w:bCs/>
        </w:rPr>
        <w:t>20 October 2014</w:t>
      </w:r>
      <w:r>
        <w:rPr>
          <w:rFonts w:ascii="Cambria" w:hAnsi="Cambria"/>
          <w:bCs/>
        </w:rPr>
        <w:tab/>
        <w:t>Australia’s e</w:t>
      </w:r>
      <w:r>
        <w:rPr>
          <w:rFonts w:ascii="Cambria" w:hAnsi="Cambria"/>
        </w:rPr>
        <w:t>mergency measures came into force for imports of carrot (seed, tissue culture) and celery (tissue culture) from all sources.</w:t>
      </w:r>
    </w:p>
    <w:p w:rsidR="00AE7868" w:rsidRDefault="00FF2B57">
      <w:pPr>
        <w:spacing w:before="120" w:after="120" w:line="269" w:lineRule="auto"/>
        <w:ind w:left="1985"/>
        <w:rPr>
          <w:rFonts w:ascii="Cambria" w:hAnsi="Cambria"/>
          <w:bCs/>
        </w:rPr>
      </w:pPr>
      <w:r>
        <w:rPr>
          <w:rFonts w:ascii="Cambria" w:hAnsi="Cambria"/>
          <w:bCs/>
        </w:rPr>
        <w:lastRenderedPageBreak/>
        <w:t>The department published an ICON alert advising importers of the commencement of the emergency measures for carrot (seed, tissue culture) and celery (tissue culture). The ICON alert included details on a transition period for carrot seeds in transit.</w:t>
      </w:r>
    </w:p>
    <w:p w:rsidR="00AE7868" w:rsidRDefault="00FF2B57">
      <w:pPr>
        <w:spacing w:before="120" w:after="120" w:line="269" w:lineRule="auto"/>
        <w:ind w:left="1985"/>
        <w:rPr>
          <w:rFonts w:ascii="Cambria" w:hAnsi="Cambria"/>
        </w:rPr>
      </w:pPr>
      <w:r>
        <w:rPr>
          <w:rFonts w:ascii="Cambria" w:hAnsi="Cambria"/>
          <w:bCs/>
        </w:rPr>
        <w:t>The department advised industry representatives that the import conditions for carrot seed had been updated in ICON.</w:t>
      </w:r>
    </w:p>
    <w:p w:rsidR="00AE7868" w:rsidRDefault="00FF2B57">
      <w:pPr>
        <w:spacing w:before="120" w:after="120" w:line="269" w:lineRule="auto"/>
        <w:ind w:left="1985" w:hanging="1985"/>
        <w:rPr>
          <w:rFonts w:ascii="Cambria" w:hAnsi="Cambria"/>
        </w:rPr>
      </w:pPr>
      <w:r>
        <w:rPr>
          <w:rFonts w:ascii="Cambria" w:hAnsi="Cambria"/>
        </w:rPr>
        <w:t>21 January 2015</w:t>
      </w:r>
      <w:r>
        <w:rPr>
          <w:rFonts w:ascii="Cambria" w:hAnsi="Cambria"/>
        </w:rPr>
        <w:tab/>
        <w:t>The department published an ICON alert advising importers that carrot seeds require an Import Permit.</w:t>
      </w:r>
    </w:p>
    <w:p w:rsidR="00AE7868" w:rsidRDefault="00FF2B57">
      <w:pPr>
        <w:spacing w:before="120" w:after="120" w:line="269" w:lineRule="auto"/>
        <w:ind w:left="1985" w:hanging="1985"/>
        <w:rPr>
          <w:rFonts w:ascii="Cambria" w:hAnsi="Cambria"/>
          <w:bCs/>
        </w:rPr>
      </w:pPr>
      <w:r>
        <w:rPr>
          <w:rFonts w:ascii="Cambria" w:hAnsi="Cambria"/>
          <w:bCs/>
        </w:rPr>
        <w:t>27 August 2015</w:t>
      </w:r>
      <w:r>
        <w:rPr>
          <w:rFonts w:ascii="Cambria" w:hAnsi="Cambria"/>
          <w:bCs/>
        </w:rPr>
        <w:tab/>
        <w:t>The department provided an update on the progress of the ‘</w:t>
      </w:r>
      <w:r>
        <w:rPr>
          <w:rFonts w:ascii="Cambria" w:hAnsi="Cambria"/>
          <w:bCs/>
          <w:i/>
        </w:rPr>
        <w:t>Candidatus</w:t>
      </w:r>
      <w:r>
        <w:rPr>
          <w:rFonts w:ascii="Cambria" w:hAnsi="Cambria"/>
          <w:bCs/>
        </w:rPr>
        <w:t xml:space="preserve"> Liberibacter solanacearum’ draft PRA at the Australian Seed Federation Annual Conference held in Toowoomba, Australia.</w:t>
      </w:r>
    </w:p>
    <w:p w:rsidR="00AE7868" w:rsidRDefault="00AE7868">
      <w:pPr>
        <w:spacing w:before="120" w:after="120" w:line="269" w:lineRule="auto"/>
        <w:ind w:left="1985" w:hanging="1985"/>
      </w:pPr>
    </w:p>
    <w:p w:rsidR="00AE7868" w:rsidRDefault="00AE7868">
      <w:pPr>
        <w:pStyle w:val="ListBullet"/>
        <w:numPr>
          <w:ilvl w:val="0"/>
          <w:numId w:val="0"/>
        </w:numPr>
        <w:tabs>
          <w:tab w:val="num" w:pos="284"/>
        </w:tabs>
        <w:spacing w:before="200" w:after="200"/>
        <w:rPr>
          <w:rFonts w:ascii="Calibri" w:eastAsiaTheme="majorEastAsia" w:hAnsi="Calibri" w:cstheme="majorBidi"/>
          <w:b/>
          <w:bCs/>
          <w:color w:val="D52B1E"/>
          <w:sz w:val="34"/>
          <w:szCs w:val="28"/>
        </w:rPr>
        <w:sectPr w:rsidR="00AE7868">
          <w:headerReference w:type="default" r:id="rId31"/>
          <w:pgSz w:w="11906" w:h="16838"/>
          <w:pgMar w:top="1418" w:right="1418" w:bottom="1418" w:left="1418" w:header="567" w:footer="283" w:gutter="0"/>
          <w:cols w:space="708"/>
          <w:docGrid w:linePitch="360"/>
        </w:sectPr>
      </w:pPr>
    </w:p>
    <w:p w:rsidR="00AE7868" w:rsidRDefault="00FF2B57">
      <w:pPr>
        <w:pStyle w:val="Heading1"/>
        <w:pageBreakBefore w:val="0"/>
        <w:numPr>
          <w:ilvl w:val="0"/>
          <w:numId w:val="21"/>
        </w:numPr>
        <w:tabs>
          <w:tab w:val="clear" w:pos="432"/>
        </w:tabs>
        <w:spacing w:before="480" w:after="120"/>
        <w:ind w:left="709" w:hanging="709"/>
        <w:rPr>
          <w:rFonts w:eastAsiaTheme="majorEastAsia" w:cstheme="majorBidi"/>
          <w:b/>
          <w:color w:val="D52B1E"/>
          <w:sz w:val="34"/>
        </w:rPr>
      </w:pPr>
      <w:bookmarkStart w:id="86" w:name="_Toc437356007"/>
      <w:r>
        <w:rPr>
          <w:rFonts w:eastAsiaTheme="majorEastAsia" w:cstheme="majorBidi"/>
          <w:b/>
          <w:color w:val="D52B1E"/>
          <w:sz w:val="34"/>
        </w:rPr>
        <w:lastRenderedPageBreak/>
        <w:t>Method for pest risk analysis</w:t>
      </w:r>
      <w:bookmarkEnd w:id="86"/>
    </w:p>
    <w:p w:rsidR="00AE7868" w:rsidRDefault="00FF2B57">
      <w:pPr>
        <w:spacing w:before="200"/>
        <w:rPr>
          <w:rFonts w:ascii="Cambria" w:hAnsi="Cambria"/>
        </w:rPr>
      </w:pPr>
      <w:r>
        <w:rPr>
          <w:rFonts w:ascii="Cambria" w:hAnsi="Cambria"/>
        </w:rPr>
        <w:t xml:space="preserve">The Department of Agriculture and Water Resources has conducted this pest risk analysis (PRA) in accordance with the International Standards for Phytosanitary Measures (ISPMs), including ISPM 2: </w:t>
      </w:r>
      <w:r>
        <w:rPr>
          <w:rFonts w:ascii="Cambria" w:hAnsi="Cambria"/>
          <w:i/>
        </w:rPr>
        <w:t xml:space="preserve">Framework for pest risk analysis </w:t>
      </w:r>
      <w:r>
        <w:rPr>
          <w:rFonts w:ascii="Cambria" w:hAnsi="Cambria"/>
        </w:rPr>
        <w:t xml:space="preserve">(FAO 2007) and ISPM 11: </w:t>
      </w:r>
      <w:r>
        <w:rPr>
          <w:rFonts w:ascii="Cambria" w:hAnsi="Cambria"/>
          <w:i/>
        </w:rPr>
        <w:t xml:space="preserve">Pest risk analysis for quarantine pests </w:t>
      </w:r>
      <w:r>
        <w:rPr>
          <w:rFonts w:ascii="Cambria" w:hAnsi="Cambria"/>
        </w:rPr>
        <w:t>(FAO 2013) that have been developed under the SPS Agreement (WTO 1995).</w:t>
      </w:r>
    </w:p>
    <w:p w:rsidR="00AE7868" w:rsidRDefault="00FF2B57">
      <w:pPr>
        <w:spacing w:before="200"/>
        <w:rPr>
          <w:rFonts w:ascii="Cambria" w:hAnsi="Cambria"/>
        </w:rPr>
      </w:pPr>
      <w:r>
        <w:rPr>
          <w:rFonts w:ascii="Cambria" w:hAnsi="Cambria"/>
        </w:rPr>
        <w:t xml:space="preserve">Phytosanitary terms used in this PRA are defined in ISPM 5: </w:t>
      </w:r>
      <w:r>
        <w:rPr>
          <w:rFonts w:ascii="Cambria" w:hAnsi="Cambria"/>
          <w:i/>
        </w:rPr>
        <w:t>Glossary of phytosanitary terms</w:t>
      </w:r>
      <w:r>
        <w:rPr>
          <w:rFonts w:ascii="Cambria" w:hAnsi="Cambria"/>
        </w:rPr>
        <w:t xml:space="preserve"> (FAO 2015). A glossary of the terms used is provided at the back of this report.</w:t>
      </w:r>
    </w:p>
    <w:p w:rsidR="00AE7868" w:rsidRDefault="00FF2B57">
      <w:pPr>
        <w:spacing w:before="200"/>
        <w:rPr>
          <w:rFonts w:ascii="Cambria" w:hAnsi="Cambria"/>
        </w:rPr>
      </w:pPr>
      <w:r>
        <w:rPr>
          <w:rFonts w:ascii="Cambria" w:hAnsi="Cambria"/>
        </w:rPr>
        <w:t>The PRA is conducted in the following three consecutive stages: initiation, pest risk assessment and pest risk management.</w:t>
      </w:r>
    </w:p>
    <w:p w:rsidR="00AE7868" w:rsidRDefault="00FF2B57">
      <w:pPr>
        <w:pStyle w:val="Heading2"/>
        <w:numPr>
          <w:ilvl w:val="1"/>
          <w:numId w:val="21"/>
        </w:numPr>
        <w:tabs>
          <w:tab w:val="clear" w:pos="576"/>
        </w:tabs>
        <w:spacing w:before="200" w:after="120"/>
        <w:ind w:left="357" w:hanging="357"/>
        <w:rPr>
          <w:rFonts w:eastAsiaTheme="majorEastAsia" w:cstheme="majorBidi"/>
          <w:color w:val="773141"/>
          <w:sz w:val="28"/>
        </w:rPr>
      </w:pPr>
      <w:bookmarkStart w:id="87" w:name="_Toc437356008"/>
      <w:r>
        <w:rPr>
          <w:rFonts w:eastAsiaTheme="majorEastAsia" w:cstheme="majorBidi"/>
          <w:color w:val="773141"/>
          <w:sz w:val="28"/>
        </w:rPr>
        <w:t>Stage 1: Initiation of the Pest Risk Analysis (PRA)</w:t>
      </w:r>
      <w:bookmarkEnd w:id="87"/>
    </w:p>
    <w:p w:rsidR="00AE7868" w:rsidRDefault="00FF2B57">
      <w:pPr>
        <w:spacing w:before="200"/>
        <w:jc w:val="both"/>
        <w:rPr>
          <w:rFonts w:ascii="Cambria" w:hAnsi="Cambria" w:cs="Helvetica"/>
        </w:rPr>
      </w:pPr>
      <w:r>
        <w:rPr>
          <w:rFonts w:ascii="Cambria" w:hAnsi="Cambria" w:cs="Helvetica"/>
        </w:rPr>
        <w:t>According to ISPM 2 (FAO 2007), a PRA process may be initiated as a result of:</w:t>
      </w:r>
    </w:p>
    <w:p w:rsidR="00AE7868" w:rsidRDefault="00FF2B57">
      <w:pPr>
        <w:pStyle w:val="ListBullet"/>
        <w:tabs>
          <w:tab w:val="clear" w:pos="360"/>
          <w:tab w:val="num" w:pos="284"/>
        </w:tabs>
        <w:ind w:left="284" w:hanging="284"/>
        <w:rPr>
          <w:rFonts w:ascii="Cambria" w:hAnsi="Cambria"/>
        </w:rPr>
      </w:pPr>
      <w:r>
        <w:rPr>
          <w:rFonts w:ascii="Cambria" w:hAnsi="Cambria"/>
        </w:rPr>
        <w:t>identification of a pathway that presents a potential pest risk (a means of pest introduction or spread);</w:t>
      </w:r>
    </w:p>
    <w:p w:rsidR="00AE7868" w:rsidRDefault="00FF2B57">
      <w:pPr>
        <w:pStyle w:val="ListBullet"/>
        <w:tabs>
          <w:tab w:val="clear" w:pos="360"/>
          <w:tab w:val="num" w:pos="284"/>
        </w:tabs>
        <w:ind w:left="284" w:hanging="284"/>
        <w:rPr>
          <w:rFonts w:ascii="Cambria" w:hAnsi="Cambria"/>
        </w:rPr>
      </w:pPr>
      <w:r>
        <w:rPr>
          <w:rFonts w:ascii="Cambria" w:hAnsi="Cambria"/>
        </w:rPr>
        <w:lastRenderedPageBreak/>
        <w:t>identification of a pest that may require phytosanitary measures (a pest may have been detected or intercepted, a request made to import it or it may have been reported elsewhere);</w:t>
      </w:r>
    </w:p>
    <w:p w:rsidR="00AE7868" w:rsidRDefault="00FF2B57">
      <w:pPr>
        <w:pStyle w:val="ListBullet"/>
        <w:tabs>
          <w:tab w:val="clear" w:pos="360"/>
          <w:tab w:val="num" w:pos="284"/>
        </w:tabs>
        <w:ind w:left="284" w:hanging="284"/>
        <w:rPr>
          <w:rFonts w:ascii="Cambria" w:hAnsi="Cambria"/>
        </w:rPr>
      </w:pPr>
      <w:r>
        <w:rPr>
          <w:rFonts w:ascii="Cambria" w:hAnsi="Cambria"/>
        </w:rPr>
        <w:t>review or revision of existing phytosanitary policies and priorities; or</w:t>
      </w:r>
    </w:p>
    <w:p w:rsidR="00AE7868" w:rsidRDefault="00FF2B57">
      <w:pPr>
        <w:pStyle w:val="ListBullet"/>
        <w:tabs>
          <w:tab w:val="clear" w:pos="360"/>
          <w:tab w:val="num" w:pos="284"/>
        </w:tabs>
        <w:ind w:left="284" w:hanging="284"/>
        <w:rPr>
          <w:rFonts w:ascii="Cambria" w:hAnsi="Cambria"/>
        </w:rPr>
      </w:pPr>
      <w:r>
        <w:rPr>
          <w:rFonts w:ascii="Cambria" w:hAnsi="Cambria"/>
        </w:rPr>
        <w:t>identification of an organism not previously known to be a pest.</w:t>
      </w:r>
    </w:p>
    <w:p w:rsidR="00AE7868" w:rsidRDefault="00FF2B57">
      <w:pPr>
        <w:spacing w:before="200"/>
        <w:rPr>
          <w:rFonts w:ascii="Cambria" w:hAnsi="Cambria" w:cs="Helvetica"/>
        </w:rPr>
      </w:pPr>
      <w:r>
        <w:rPr>
          <w:rFonts w:ascii="Cambria" w:hAnsi="Cambria" w:cs="Helvetica"/>
        </w:rPr>
        <w:t>Australia introduced emergency measures in October 2014 in response to reports of ‘</w:t>
      </w:r>
      <w:r>
        <w:rPr>
          <w:rFonts w:ascii="Cambria" w:hAnsi="Cambria" w:cs="Helvetica"/>
          <w:i/>
        </w:rPr>
        <w:t>Ca</w:t>
      </w:r>
      <w:r>
        <w:rPr>
          <w:rFonts w:ascii="Cambria" w:hAnsi="Cambria" w:cs="Helvetica"/>
        </w:rPr>
        <w:t>. L. solanacearum’ being associated with apiaceous crops (carrot, celery) and being seed-borne in carrot (</w:t>
      </w:r>
      <w:r>
        <w:rPr>
          <w:rFonts w:ascii="Cambria" w:hAnsi="Cambria"/>
        </w:rPr>
        <w:t>Bertolini et al. 2014</w:t>
      </w:r>
      <w:r>
        <w:rPr>
          <w:rFonts w:ascii="Cambria" w:hAnsi="Cambria" w:cs="Helvetica"/>
        </w:rPr>
        <w:t>). In accordance with ISPM 2 (FAO 2007) this PRA was initiated by the department as a basis for a review and possible revision of the emergency measures introduced by Australia for carrot (seed, tissue cultures) and celery (tissue cultures) for propagation into Australia. In Australia, ‘</w:t>
      </w:r>
      <w:r>
        <w:rPr>
          <w:rFonts w:ascii="Cambria" w:hAnsi="Cambria" w:cs="Helvetica"/>
          <w:i/>
        </w:rPr>
        <w:t>Ca</w:t>
      </w:r>
      <w:r>
        <w:rPr>
          <w:rFonts w:ascii="Cambria" w:hAnsi="Cambria" w:cs="Helvetica"/>
        </w:rPr>
        <w:t>. L. solanacearum’ associated with apiaceous crops (carrot and celery) have been regulated as a quarantine pest since October 2014.</w:t>
      </w:r>
    </w:p>
    <w:p w:rsidR="00AE7868" w:rsidRDefault="00FF2B57">
      <w:pPr>
        <w:spacing w:before="200" w:line="274" w:lineRule="auto"/>
        <w:rPr>
          <w:rFonts w:ascii="Cambria" w:hAnsi="Cambria"/>
        </w:rPr>
      </w:pPr>
      <w:r>
        <w:rPr>
          <w:rFonts w:ascii="Cambria" w:hAnsi="Cambria"/>
        </w:rPr>
        <w:t xml:space="preserve">In the context of this PRA, the natural hosts of </w:t>
      </w:r>
      <w:r>
        <w:rPr>
          <w:rFonts w:ascii="Cambria" w:hAnsi="Cambria" w:cs="Helvetica"/>
        </w:rPr>
        <w:t>‘</w:t>
      </w:r>
      <w:r>
        <w:rPr>
          <w:rFonts w:ascii="Cambria" w:hAnsi="Cambria" w:cs="Helvetica"/>
          <w:i/>
        </w:rPr>
        <w:t>Ca</w:t>
      </w:r>
      <w:r>
        <w:rPr>
          <w:rFonts w:ascii="Cambria" w:hAnsi="Cambria" w:cs="Helvetica"/>
        </w:rPr>
        <w:t>. L. solanacearum’</w:t>
      </w:r>
      <w:r>
        <w:rPr>
          <w:rFonts w:ascii="Cambria" w:hAnsi="Cambria"/>
        </w:rPr>
        <w:t xml:space="preserve"> (Table 1) are a potential import ‘pathway’ by which </w:t>
      </w:r>
      <w:r>
        <w:rPr>
          <w:rFonts w:ascii="Cambria" w:hAnsi="Cambria" w:cs="Helvetica"/>
        </w:rPr>
        <w:t>‘</w:t>
      </w:r>
      <w:r>
        <w:rPr>
          <w:rFonts w:ascii="Cambria" w:hAnsi="Cambria" w:cs="Helvetica"/>
          <w:i/>
        </w:rPr>
        <w:t>Ca</w:t>
      </w:r>
      <w:r>
        <w:rPr>
          <w:rFonts w:ascii="Cambria" w:hAnsi="Cambria" w:cs="Helvetica"/>
        </w:rPr>
        <w:t xml:space="preserve">. L. solanacearum’ may </w:t>
      </w:r>
      <w:r>
        <w:rPr>
          <w:rFonts w:ascii="Cambria" w:hAnsi="Cambria"/>
        </w:rPr>
        <w:t xml:space="preserve">enter Australia. </w:t>
      </w:r>
    </w:p>
    <w:p w:rsidR="00AE7868" w:rsidRDefault="00FF2B57">
      <w:pPr>
        <w:pStyle w:val="Caption"/>
        <w:keepNext w:val="0"/>
        <w:rPr>
          <w:rFonts w:asciiTheme="majorHAnsi" w:eastAsiaTheme="majorEastAsia" w:hAnsiTheme="majorHAnsi" w:cstheme="majorBidi"/>
          <w:color w:val="595959" w:themeColor="text1" w:themeTint="A6"/>
          <w:sz w:val="20"/>
        </w:rPr>
      </w:pPr>
      <w:bookmarkStart w:id="88" w:name="_Toc432187284"/>
      <w:bookmarkStart w:id="89" w:name="_Toc432763821"/>
      <w:bookmarkStart w:id="90" w:name="_Toc433707315"/>
      <w:bookmarkStart w:id="91" w:name="_Toc433796479"/>
      <w:bookmarkStart w:id="92" w:name="_Toc437355942"/>
      <w:bookmarkStart w:id="93" w:name="_Toc437355974"/>
      <w:r>
        <w:rPr>
          <w:rFonts w:asciiTheme="majorHAnsi" w:eastAsiaTheme="majorEastAsia" w:hAnsiTheme="majorHAnsi" w:cstheme="majorBidi"/>
          <w:color w:val="595959" w:themeColor="text1" w:themeTint="A6"/>
          <w:sz w:val="20"/>
        </w:rPr>
        <w:t xml:space="preserve">Table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1</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Potential pathways by which ‘</w:t>
      </w:r>
      <w:r>
        <w:rPr>
          <w:rFonts w:asciiTheme="majorHAnsi" w:eastAsiaTheme="majorEastAsia" w:hAnsiTheme="majorHAnsi" w:cstheme="majorBidi"/>
          <w:i/>
          <w:color w:val="595959" w:themeColor="text1" w:themeTint="A6"/>
          <w:sz w:val="20"/>
        </w:rPr>
        <w:t>Ca</w:t>
      </w:r>
      <w:r>
        <w:rPr>
          <w:rFonts w:asciiTheme="majorHAnsi" w:eastAsiaTheme="majorEastAsia" w:hAnsiTheme="majorHAnsi" w:cstheme="majorBidi"/>
          <w:color w:val="595959" w:themeColor="text1" w:themeTint="A6"/>
          <w:sz w:val="20"/>
        </w:rPr>
        <w:t>. L. solanacearum’ may enter Australia</w:t>
      </w:r>
      <w:bookmarkEnd w:id="88"/>
      <w:bookmarkEnd w:id="89"/>
      <w:bookmarkEnd w:id="90"/>
      <w:bookmarkEnd w:id="91"/>
      <w:bookmarkEnd w:id="92"/>
      <w:bookmarkEnd w:id="93"/>
    </w:p>
    <w:tbl>
      <w:tblPr>
        <w:tblW w:w="9072" w:type="dxa"/>
        <w:tblInd w:w="108" w:type="dxa"/>
        <w:tblBorders>
          <w:top w:val="single" w:sz="12" w:space="0" w:color="C0504D" w:themeColor="accent2"/>
          <w:bottom w:val="single" w:sz="12" w:space="0" w:color="C0504D" w:themeColor="accent2"/>
        </w:tblBorders>
        <w:tblLayout w:type="fixed"/>
        <w:tblLook w:val="04A0" w:firstRow="1" w:lastRow="0" w:firstColumn="1" w:lastColumn="0" w:noHBand="0" w:noVBand="1"/>
      </w:tblPr>
      <w:tblGrid>
        <w:gridCol w:w="2268"/>
        <w:gridCol w:w="2694"/>
        <w:gridCol w:w="2268"/>
        <w:gridCol w:w="1842"/>
      </w:tblGrid>
      <w:tr w:rsidR="00AE7868">
        <w:trPr>
          <w:trHeight w:val="338"/>
          <w:tblHeader/>
        </w:trPr>
        <w:tc>
          <w:tcPr>
            <w:tcW w:w="2268" w:type="dxa"/>
            <w:tcBorders>
              <w:top w:val="single" w:sz="4" w:space="0" w:color="auto"/>
              <w:bottom w:val="nil"/>
            </w:tcBorders>
          </w:tcPr>
          <w:p w:rsidR="00AE7868" w:rsidRDefault="00FF2B57">
            <w:pPr>
              <w:pStyle w:val="TableHeading"/>
              <w:spacing w:before="40" w:after="40"/>
              <w:rPr>
                <w:rFonts w:ascii="Cambria" w:hAnsi="Cambria"/>
                <w:szCs w:val="18"/>
              </w:rPr>
            </w:pPr>
            <w:r>
              <w:rPr>
                <w:rFonts w:ascii="Cambria" w:hAnsi="Cambria"/>
                <w:szCs w:val="18"/>
              </w:rPr>
              <w:lastRenderedPageBreak/>
              <w:t>Scientific name</w:t>
            </w:r>
          </w:p>
        </w:tc>
        <w:tc>
          <w:tcPr>
            <w:tcW w:w="2694" w:type="dxa"/>
            <w:tcBorders>
              <w:top w:val="single" w:sz="4" w:space="0" w:color="auto"/>
              <w:bottom w:val="nil"/>
            </w:tcBorders>
          </w:tcPr>
          <w:p w:rsidR="00AE7868" w:rsidRDefault="00FF2B57">
            <w:pPr>
              <w:pStyle w:val="TableHeading"/>
              <w:spacing w:before="40" w:after="40"/>
              <w:rPr>
                <w:rFonts w:ascii="Cambria" w:hAnsi="Cambria"/>
                <w:szCs w:val="18"/>
              </w:rPr>
            </w:pPr>
            <w:r>
              <w:rPr>
                <w:rFonts w:ascii="Cambria" w:hAnsi="Cambria"/>
                <w:szCs w:val="18"/>
              </w:rPr>
              <w:t xml:space="preserve">Reference </w:t>
            </w:r>
          </w:p>
        </w:tc>
        <w:tc>
          <w:tcPr>
            <w:tcW w:w="2268" w:type="dxa"/>
            <w:tcBorders>
              <w:top w:val="single" w:sz="4" w:space="0" w:color="auto"/>
              <w:bottom w:val="nil"/>
            </w:tcBorders>
          </w:tcPr>
          <w:p w:rsidR="00AE7868" w:rsidRDefault="00FF2B57">
            <w:pPr>
              <w:pStyle w:val="TableHeading"/>
              <w:spacing w:before="40" w:after="40"/>
              <w:rPr>
                <w:rFonts w:ascii="Cambria" w:hAnsi="Cambria"/>
                <w:szCs w:val="18"/>
              </w:rPr>
            </w:pPr>
            <w:r>
              <w:rPr>
                <w:rFonts w:ascii="Cambria" w:hAnsi="Cambria"/>
                <w:szCs w:val="18"/>
              </w:rPr>
              <w:t>Seed-borne</w:t>
            </w:r>
          </w:p>
        </w:tc>
        <w:tc>
          <w:tcPr>
            <w:tcW w:w="1842" w:type="dxa"/>
            <w:tcBorders>
              <w:top w:val="single" w:sz="4" w:space="0" w:color="auto"/>
              <w:bottom w:val="nil"/>
            </w:tcBorders>
          </w:tcPr>
          <w:p w:rsidR="00AE7868" w:rsidRDefault="00FF2B57">
            <w:pPr>
              <w:pStyle w:val="TableHeading"/>
              <w:spacing w:before="40" w:after="40"/>
              <w:rPr>
                <w:rFonts w:ascii="Cambria" w:hAnsi="Cambria"/>
                <w:szCs w:val="18"/>
              </w:rPr>
            </w:pPr>
            <w:r>
              <w:rPr>
                <w:rFonts w:ascii="Cambria" w:hAnsi="Cambria"/>
                <w:szCs w:val="18"/>
              </w:rPr>
              <w:t xml:space="preserve">Potential pathways </w:t>
            </w:r>
          </w:p>
        </w:tc>
      </w:tr>
      <w:tr w:rsidR="00AE7868">
        <w:tc>
          <w:tcPr>
            <w:tcW w:w="2268" w:type="dxa"/>
          </w:tcPr>
          <w:p w:rsidR="00AE7868" w:rsidRDefault="00FF2B57">
            <w:pPr>
              <w:pStyle w:val="TableText"/>
              <w:rPr>
                <w:rFonts w:ascii="Cambria" w:hAnsi="Cambria"/>
                <w:szCs w:val="18"/>
              </w:rPr>
            </w:pPr>
            <w:r>
              <w:rPr>
                <w:rFonts w:ascii="Cambria" w:hAnsi="Cambria"/>
                <w:i/>
                <w:iCs/>
                <w:szCs w:val="18"/>
              </w:rPr>
              <w:t xml:space="preserve">Apium graveolens </w:t>
            </w:r>
            <w:r>
              <w:rPr>
                <w:rFonts w:ascii="Cambria" w:hAnsi="Cambria"/>
                <w:iCs/>
                <w:szCs w:val="18"/>
              </w:rPr>
              <w:t>(celery)</w:t>
            </w:r>
          </w:p>
        </w:tc>
        <w:tc>
          <w:tcPr>
            <w:tcW w:w="2694" w:type="dxa"/>
          </w:tcPr>
          <w:p w:rsidR="00AE7868" w:rsidRDefault="00FF2B57">
            <w:pPr>
              <w:pStyle w:val="TableText"/>
              <w:rPr>
                <w:rFonts w:ascii="Cambria" w:hAnsi="Cambria"/>
                <w:iCs/>
                <w:szCs w:val="18"/>
              </w:rPr>
            </w:pPr>
            <w:r>
              <w:rPr>
                <w:rFonts w:ascii="Cambria" w:eastAsia="Cambria" w:hAnsi="Cambria" w:cs="Arial"/>
              </w:rPr>
              <w:t xml:space="preserve">Teresani </w:t>
            </w:r>
            <w:r>
              <w:rPr>
                <w:rFonts w:ascii="Cambria" w:eastAsia="Cambria" w:hAnsi="Cambria" w:cs="Arial"/>
                <w:iCs/>
              </w:rPr>
              <w:t>et al</w:t>
            </w:r>
            <w:r>
              <w:rPr>
                <w:rFonts w:ascii="Cambria" w:eastAsia="Cambria" w:hAnsi="Cambria" w:cs="Arial"/>
              </w:rPr>
              <w:t>. 2014a; EPPO Reporting Service 2015</w:t>
            </w:r>
          </w:p>
        </w:tc>
        <w:tc>
          <w:tcPr>
            <w:tcW w:w="2268" w:type="dxa"/>
            <w:shd w:val="clear" w:color="auto" w:fill="FFFFFF" w:themeFill="background1"/>
          </w:tcPr>
          <w:p w:rsidR="00AE7868" w:rsidRDefault="00AE7868">
            <w:pPr>
              <w:pStyle w:val="TableText"/>
              <w:rPr>
                <w:rFonts w:ascii="Cambria" w:hAnsi="Cambria"/>
                <w:iCs/>
                <w:szCs w:val="18"/>
              </w:rPr>
            </w:pPr>
          </w:p>
        </w:tc>
        <w:tc>
          <w:tcPr>
            <w:tcW w:w="1842" w:type="dxa"/>
            <w:shd w:val="clear" w:color="auto" w:fill="FFFFFF" w:themeFill="background1"/>
          </w:tcPr>
          <w:p w:rsidR="00AE7868" w:rsidRDefault="00FF2B57">
            <w:pPr>
              <w:pStyle w:val="TableText"/>
              <w:rPr>
                <w:rFonts w:ascii="Cambria" w:hAnsi="Cambria"/>
                <w:iCs/>
                <w:szCs w:val="18"/>
              </w:rPr>
            </w:pPr>
            <w:r>
              <w:rPr>
                <w:rFonts w:ascii="Cambria" w:hAnsi="Cambria"/>
                <w:iCs/>
                <w:szCs w:val="18"/>
              </w:rPr>
              <w:t>Tissue culture</w:t>
            </w:r>
          </w:p>
        </w:tc>
      </w:tr>
      <w:tr w:rsidR="00AE7868">
        <w:tc>
          <w:tcPr>
            <w:tcW w:w="2268" w:type="dxa"/>
            <w:tcBorders>
              <w:bottom w:val="nil"/>
            </w:tcBorders>
          </w:tcPr>
          <w:p w:rsidR="00AE7868" w:rsidRDefault="00FF2B57">
            <w:pPr>
              <w:pStyle w:val="TableText"/>
              <w:rPr>
                <w:rFonts w:ascii="Cambria" w:hAnsi="Cambria"/>
                <w:iCs/>
                <w:szCs w:val="18"/>
              </w:rPr>
            </w:pPr>
            <w:r>
              <w:rPr>
                <w:rFonts w:ascii="Cambria" w:hAnsi="Cambria"/>
                <w:i/>
                <w:szCs w:val="18"/>
              </w:rPr>
              <w:t xml:space="preserve">Daucus carota </w:t>
            </w:r>
            <w:r>
              <w:rPr>
                <w:rFonts w:ascii="Cambria" w:hAnsi="Cambria"/>
                <w:szCs w:val="18"/>
              </w:rPr>
              <w:t>(carrot)</w:t>
            </w:r>
          </w:p>
        </w:tc>
        <w:tc>
          <w:tcPr>
            <w:tcW w:w="2694" w:type="dxa"/>
            <w:tcBorders>
              <w:bottom w:val="nil"/>
            </w:tcBorders>
          </w:tcPr>
          <w:p w:rsidR="00AE7868" w:rsidRDefault="00FF2B57">
            <w:pPr>
              <w:pStyle w:val="TableText"/>
              <w:rPr>
                <w:rFonts w:ascii="Cambria" w:hAnsi="Cambria"/>
                <w:iCs/>
                <w:szCs w:val="18"/>
              </w:rPr>
            </w:pPr>
            <w:r>
              <w:rPr>
                <w:rFonts w:ascii="Cambria" w:hAnsi="Cambria"/>
              </w:rPr>
              <w:t>Munyaneza et al. 2010a,b</w:t>
            </w:r>
          </w:p>
        </w:tc>
        <w:tc>
          <w:tcPr>
            <w:tcW w:w="2268" w:type="dxa"/>
            <w:tcBorders>
              <w:bottom w:val="nil"/>
            </w:tcBorders>
            <w:shd w:val="clear" w:color="auto" w:fill="FFFFFF" w:themeFill="background1"/>
          </w:tcPr>
          <w:p w:rsidR="00AE7868" w:rsidRDefault="00FF2B57">
            <w:pPr>
              <w:pStyle w:val="TableText"/>
              <w:rPr>
                <w:rFonts w:ascii="Cambria" w:hAnsi="Cambria"/>
                <w:iCs/>
                <w:szCs w:val="18"/>
              </w:rPr>
            </w:pPr>
            <w:r>
              <w:rPr>
                <w:rFonts w:ascii="Cambria" w:hAnsi="Cambria"/>
                <w:b/>
                <w:iCs/>
                <w:szCs w:val="18"/>
              </w:rPr>
              <w:t xml:space="preserve">Yes </w:t>
            </w:r>
            <w:r>
              <w:rPr>
                <w:rFonts w:ascii="Cambria" w:hAnsi="Cambria"/>
                <w:iCs/>
                <w:szCs w:val="18"/>
              </w:rPr>
              <w:t>(</w:t>
            </w:r>
            <w:r>
              <w:rPr>
                <w:rFonts w:ascii="Cambria" w:hAnsi="Cambria"/>
                <w:szCs w:val="18"/>
              </w:rPr>
              <w:t>Bertolini et al. 2014)</w:t>
            </w:r>
          </w:p>
        </w:tc>
        <w:tc>
          <w:tcPr>
            <w:tcW w:w="1842" w:type="dxa"/>
            <w:tcBorders>
              <w:bottom w:val="nil"/>
            </w:tcBorders>
            <w:shd w:val="clear" w:color="auto" w:fill="FFFFFF" w:themeFill="background1"/>
          </w:tcPr>
          <w:p w:rsidR="00AE7868" w:rsidRDefault="00FF2B57">
            <w:pPr>
              <w:pStyle w:val="TableText"/>
              <w:rPr>
                <w:rFonts w:ascii="Cambria" w:hAnsi="Cambria"/>
                <w:iCs/>
                <w:szCs w:val="18"/>
              </w:rPr>
            </w:pPr>
            <w:r>
              <w:rPr>
                <w:rFonts w:ascii="Cambria" w:hAnsi="Cambria"/>
                <w:iCs/>
                <w:szCs w:val="18"/>
              </w:rPr>
              <w:t>Tissue culture, Seed</w:t>
            </w:r>
          </w:p>
        </w:tc>
      </w:tr>
      <w:tr w:rsidR="00AE7868">
        <w:tc>
          <w:tcPr>
            <w:tcW w:w="2268" w:type="dxa"/>
            <w:tcBorders>
              <w:top w:val="nil"/>
              <w:bottom w:val="single" w:sz="4" w:space="0" w:color="auto"/>
            </w:tcBorders>
          </w:tcPr>
          <w:p w:rsidR="00AE7868" w:rsidRDefault="00FF2B57">
            <w:pPr>
              <w:pStyle w:val="TableText"/>
              <w:rPr>
                <w:rFonts w:ascii="Cambria" w:hAnsi="Cambria"/>
                <w:i/>
                <w:szCs w:val="18"/>
              </w:rPr>
            </w:pPr>
            <w:r>
              <w:rPr>
                <w:rFonts w:ascii="Cambria" w:hAnsi="Cambria"/>
                <w:i/>
                <w:iCs/>
                <w:szCs w:val="18"/>
              </w:rPr>
              <w:t xml:space="preserve">Pastinaca sativa </w:t>
            </w:r>
            <w:r>
              <w:rPr>
                <w:rFonts w:ascii="Cambria" w:hAnsi="Cambria"/>
                <w:iCs/>
                <w:szCs w:val="18"/>
              </w:rPr>
              <w:t>(</w:t>
            </w:r>
            <w:r>
              <w:rPr>
                <w:rFonts w:ascii="Cambria" w:hAnsi="Cambria"/>
                <w:szCs w:val="18"/>
              </w:rPr>
              <w:t>parsnip)</w:t>
            </w:r>
          </w:p>
        </w:tc>
        <w:tc>
          <w:tcPr>
            <w:tcW w:w="2694" w:type="dxa"/>
            <w:tcBorders>
              <w:top w:val="nil"/>
              <w:bottom w:val="single" w:sz="4" w:space="0" w:color="auto"/>
            </w:tcBorders>
          </w:tcPr>
          <w:p w:rsidR="00AE7868" w:rsidRDefault="00FF2B57">
            <w:pPr>
              <w:pStyle w:val="TableText"/>
              <w:rPr>
                <w:rFonts w:ascii="Cambria" w:hAnsi="Cambria"/>
                <w:iCs/>
                <w:szCs w:val="18"/>
              </w:rPr>
            </w:pPr>
            <w:r>
              <w:rPr>
                <w:rFonts w:ascii="Cambria" w:hAnsi="Cambria"/>
                <w:iCs/>
                <w:szCs w:val="18"/>
              </w:rPr>
              <w:t>Cambra et al. 2015</w:t>
            </w:r>
          </w:p>
        </w:tc>
        <w:tc>
          <w:tcPr>
            <w:tcW w:w="2268" w:type="dxa"/>
            <w:tcBorders>
              <w:top w:val="nil"/>
              <w:bottom w:val="single" w:sz="4" w:space="0" w:color="auto"/>
            </w:tcBorders>
            <w:shd w:val="clear" w:color="auto" w:fill="FFFFFF" w:themeFill="background1"/>
          </w:tcPr>
          <w:p w:rsidR="00AE7868" w:rsidRDefault="00AE7868">
            <w:pPr>
              <w:pStyle w:val="TableText"/>
              <w:rPr>
                <w:rFonts w:ascii="Cambria" w:hAnsi="Cambria"/>
                <w:iCs/>
                <w:szCs w:val="18"/>
              </w:rPr>
            </w:pPr>
          </w:p>
        </w:tc>
        <w:tc>
          <w:tcPr>
            <w:tcW w:w="1842" w:type="dxa"/>
            <w:tcBorders>
              <w:top w:val="nil"/>
              <w:bottom w:val="single" w:sz="4" w:space="0" w:color="auto"/>
            </w:tcBorders>
            <w:shd w:val="clear" w:color="auto" w:fill="FFFFFF" w:themeFill="background1"/>
          </w:tcPr>
          <w:p w:rsidR="00AE7868" w:rsidRDefault="00FF2B57">
            <w:pPr>
              <w:pStyle w:val="TableText"/>
              <w:rPr>
                <w:rFonts w:ascii="Cambria" w:hAnsi="Cambria"/>
                <w:iCs/>
                <w:szCs w:val="18"/>
              </w:rPr>
            </w:pPr>
            <w:r>
              <w:rPr>
                <w:rFonts w:ascii="Cambria" w:hAnsi="Cambria"/>
                <w:iCs/>
                <w:szCs w:val="18"/>
              </w:rPr>
              <w:t>Tissue culture</w:t>
            </w:r>
          </w:p>
        </w:tc>
      </w:tr>
    </w:tbl>
    <w:p w:rsidR="00AE7868" w:rsidRDefault="00FF2B57">
      <w:pPr>
        <w:spacing w:before="200"/>
        <w:rPr>
          <w:rFonts w:ascii="Cambria" w:hAnsi="Cambria"/>
        </w:rPr>
      </w:pPr>
      <w:r>
        <w:rPr>
          <w:rFonts w:ascii="Cambria" w:hAnsi="Cambria"/>
        </w:rPr>
        <w:t xml:space="preserve">For this PRA, the ‘PRA area’ is defined as Australia for </w:t>
      </w:r>
      <w:r>
        <w:rPr>
          <w:rFonts w:ascii="Cambria" w:hAnsi="Cambria" w:cs="Helvetica"/>
        </w:rPr>
        <w:t>‘</w:t>
      </w:r>
      <w:r>
        <w:rPr>
          <w:rFonts w:ascii="Cambria" w:hAnsi="Cambria" w:cs="Helvetica"/>
          <w:i/>
        </w:rPr>
        <w:t>Ca</w:t>
      </w:r>
      <w:r>
        <w:rPr>
          <w:rFonts w:ascii="Cambria" w:hAnsi="Cambria" w:cs="Helvetica"/>
        </w:rPr>
        <w:t xml:space="preserve">. L. solanacearum’ haplotypes </w:t>
      </w:r>
      <w:r>
        <w:rPr>
          <w:rFonts w:ascii="Cambria" w:hAnsi="Cambria"/>
        </w:rPr>
        <w:t>associated with apiaceous crops (carrot, celery and parsnip) and their vectors.</w:t>
      </w:r>
    </w:p>
    <w:p w:rsidR="00AE7868" w:rsidRDefault="00FF2B57">
      <w:pPr>
        <w:pStyle w:val="Heading2"/>
        <w:numPr>
          <w:ilvl w:val="1"/>
          <w:numId w:val="21"/>
        </w:numPr>
        <w:tabs>
          <w:tab w:val="clear" w:pos="576"/>
        </w:tabs>
        <w:spacing w:before="200" w:after="120"/>
        <w:ind w:left="357" w:hanging="357"/>
        <w:rPr>
          <w:rFonts w:eastAsiaTheme="majorEastAsia" w:cstheme="majorBidi"/>
          <w:color w:val="773141"/>
          <w:sz w:val="28"/>
        </w:rPr>
      </w:pPr>
      <w:bookmarkStart w:id="94" w:name="_Toc437356009"/>
      <w:r>
        <w:rPr>
          <w:rFonts w:eastAsiaTheme="majorEastAsia" w:cstheme="majorBidi"/>
          <w:color w:val="773141"/>
          <w:sz w:val="28"/>
        </w:rPr>
        <w:t>Stage 2: Pest risk assessment</w:t>
      </w:r>
      <w:bookmarkEnd w:id="94"/>
    </w:p>
    <w:p w:rsidR="00AE7868" w:rsidRDefault="00FF2B57">
      <w:pPr>
        <w:spacing w:before="200"/>
        <w:rPr>
          <w:rFonts w:ascii="Cambria" w:hAnsi="Cambria"/>
        </w:rPr>
      </w:pPr>
      <w:r>
        <w:rPr>
          <w:rFonts w:ascii="Cambria" w:hAnsi="Cambria"/>
        </w:rPr>
        <w:t>A pest risk assessment (for quarantine pests) is the ‘evaluation of the probability of the introduction and spread of a pest and of the magnitude of the associated potential economic consequences’ (FAO 2015). The pest risk assessment provides technical justification for identifying quarantine pests and for establishing phytosanitary import requirements.</w:t>
      </w:r>
    </w:p>
    <w:p w:rsidR="00AE7868" w:rsidRDefault="00FF2B57">
      <w:pPr>
        <w:spacing w:before="200"/>
        <w:rPr>
          <w:rFonts w:ascii="Cambria" w:hAnsi="Cambria"/>
        </w:rPr>
      </w:pPr>
      <w:r>
        <w:rPr>
          <w:rFonts w:ascii="Cambria" w:hAnsi="Cambria"/>
        </w:rPr>
        <w:t>The following three consecutive steps were used in the pest risk assessment:</w:t>
      </w:r>
    </w:p>
    <w:p w:rsidR="00AE7868" w:rsidRDefault="00FF2B57">
      <w:pPr>
        <w:pStyle w:val="ListBullet"/>
        <w:tabs>
          <w:tab w:val="clear" w:pos="360"/>
          <w:tab w:val="num" w:pos="284"/>
        </w:tabs>
        <w:ind w:left="284" w:hanging="284"/>
        <w:contextualSpacing/>
        <w:rPr>
          <w:rFonts w:ascii="Cambria" w:hAnsi="Cambria"/>
        </w:rPr>
      </w:pPr>
      <w:r>
        <w:rPr>
          <w:rFonts w:ascii="Cambria" w:hAnsi="Cambria"/>
        </w:rPr>
        <w:t>pest categorisation;</w:t>
      </w:r>
    </w:p>
    <w:p w:rsidR="00AE7868" w:rsidRDefault="00FF2B57">
      <w:pPr>
        <w:pStyle w:val="ListBullet"/>
        <w:tabs>
          <w:tab w:val="clear" w:pos="360"/>
          <w:tab w:val="num" w:pos="284"/>
        </w:tabs>
        <w:ind w:left="284" w:hanging="284"/>
        <w:contextualSpacing/>
        <w:rPr>
          <w:rFonts w:ascii="Cambria" w:hAnsi="Cambria"/>
        </w:rPr>
      </w:pPr>
      <w:r>
        <w:rPr>
          <w:rFonts w:ascii="Cambria" w:hAnsi="Cambria"/>
        </w:rPr>
        <w:t>assessment of the probability of entry, establishment and spread; and</w:t>
      </w:r>
    </w:p>
    <w:p w:rsidR="00AE7868" w:rsidRDefault="00FF2B57">
      <w:pPr>
        <w:pStyle w:val="ListBullet"/>
        <w:tabs>
          <w:tab w:val="clear" w:pos="360"/>
          <w:tab w:val="num" w:pos="284"/>
        </w:tabs>
        <w:ind w:left="284" w:hanging="284"/>
        <w:contextualSpacing/>
        <w:rPr>
          <w:rFonts w:ascii="Cambria" w:hAnsi="Cambria"/>
        </w:rPr>
      </w:pPr>
      <w:r>
        <w:rPr>
          <w:rFonts w:ascii="Cambria" w:hAnsi="Cambria"/>
        </w:rPr>
        <w:t>assessment of potential consequences.</w:t>
      </w:r>
    </w:p>
    <w:p w:rsidR="00AE7868" w:rsidRDefault="00FF2B57">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95" w:name="_Toc437356010"/>
      <w:r>
        <w:rPr>
          <w:rFonts w:ascii="Calibri" w:hAnsi="Calibri" w:cstheme="minorBidi"/>
          <w:sz w:val="24"/>
          <w:szCs w:val="22"/>
        </w:rPr>
        <w:lastRenderedPageBreak/>
        <w:t>Pest categorisation</w:t>
      </w:r>
      <w:bookmarkEnd w:id="95"/>
    </w:p>
    <w:p w:rsidR="00AE7868" w:rsidRDefault="00FF2B57">
      <w:pPr>
        <w:spacing w:before="200"/>
        <w:rPr>
          <w:rFonts w:ascii="Cambria" w:hAnsi="Cambria"/>
        </w:rPr>
      </w:pPr>
      <w:r>
        <w:rPr>
          <w:rFonts w:ascii="Cambria" w:hAnsi="Cambria"/>
        </w:rPr>
        <w:t>Pest categorisation identifies which of the pests with the potential to be on the commodity are quarantine pests for Australia and require a pest risk assessment. A ‘quarantine pest’ is a pest of potential economic importance to the area endangered thereby and not yet present there, or present but not widely distributed and being officially controlled (FAO 2015).</w:t>
      </w:r>
    </w:p>
    <w:p w:rsidR="00AE7868" w:rsidRDefault="00FF2B57">
      <w:pPr>
        <w:spacing w:before="200"/>
        <w:rPr>
          <w:rFonts w:ascii="Cambria" w:hAnsi="Cambria"/>
        </w:rPr>
      </w:pPr>
      <w:r>
        <w:rPr>
          <w:rFonts w:ascii="Cambria" w:hAnsi="Cambria"/>
        </w:rPr>
        <w:t>The process of a pest categorisation is summarised by ISPM 11 (FAO 2013) as a screening procedure based on the following criteria:</w:t>
      </w:r>
    </w:p>
    <w:p w:rsidR="00AE7868" w:rsidRDefault="00FF2B57">
      <w:pPr>
        <w:pStyle w:val="ListBullet"/>
        <w:tabs>
          <w:tab w:val="clear" w:pos="360"/>
          <w:tab w:val="num" w:pos="284"/>
        </w:tabs>
        <w:spacing w:line="269" w:lineRule="auto"/>
        <w:ind w:left="284" w:hanging="284"/>
        <w:contextualSpacing/>
        <w:rPr>
          <w:rFonts w:ascii="Cambria" w:hAnsi="Cambria"/>
        </w:rPr>
      </w:pPr>
      <w:r>
        <w:rPr>
          <w:rFonts w:ascii="Cambria" w:hAnsi="Cambria"/>
        </w:rPr>
        <w:t>identity of the pest;</w:t>
      </w:r>
    </w:p>
    <w:p w:rsidR="00AE7868" w:rsidRDefault="00FF2B57">
      <w:pPr>
        <w:pStyle w:val="ListBullet"/>
        <w:tabs>
          <w:tab w:val="clear" w:pos="360"/>
          <w:tab w:val="num" w:pos="284"/>
        </w:tabs>
        <w:ind w:left="284" w:hanging="284"/>
        <w:contextualSpacing/>
        <w:rPr>
          <w:rFonts w:ascii="Cambria" w:hAnsi="Cambria"/>
        </w:rPr>
      </w:pPr>
      <w:r>
        <w:rPr>
          <w:rFonts w:ascii="Cambria" w:hAnsi="Cambria"/>
        </w:rPr>
        <w:t xml:space="preserve">presence or absence in the PRA area; </w:t>
      </w:r>
    </w:p>
    <w:p w:rsidR="00AE7868" w:rsidRDefault="00FF2B57">
      <w:pPr>
        <w:pStyle w:val="ListBullet"/>
        <w:tabs>
          <w:tab w:val="clear" w:pos="360"/>
          <w:tab w:val="num" w:pos="284"/>
        </w:tabs>
        <w:ind w:left="284" w:hanging="284"/>
        <w:contextualSpacing/>
        <w:rPr>
          <w:rFonts w:ascii="Cambria" w:hAnsi="Cambria"/>
        </w:rPr>
      </w:pPr>
      <w:r>
        <w:rPr>
          <w:rFonts w:ascii="Cambria" w:hAnsi="Cambria"/>
        </w:rPr>
        <w:t xml:space="preserve">regulatory status; </w:t>
      </w:r>
    </w:p>
    <w:p w:rsidR="00AE7868" w:rsidRDefault="00FF2B57">
      <w:pPr>
        <w:pStyle w:val="ListBullet"/>
        <w:tabs>
          <w:tab w:val="clear" w:pos="360"/>
          <w:tab w:val="num" w:pos="284"/>
        </w:tabs>
        <w:ind w:left="284" w:hanging="284"/>
        <w:contextualSpacing/>
        <w:rPr>
          <w:rFonts w:ascii="Cambria" w:hAnsi="Cambria"/>
        </w:rPr>
      </w:pPr>
      <w:r>
        <w:rPr>
          <w:rFonts w:ascii="Cambria" w:hAnsi="Cambria"/>
        </w:rPr>
        <w:t xml:space="preserve">potential for establishment and spread in the PRA area; and </w:t>
      </w:r>
    </w:p>
    <w:p w:rsidR="00AE7868" w:rsidRDefault="00FF2B57">
      <w:pPr>
        <w:pStyle w:val="ListBullet"/>
        <w:tabs>
          <w:tab w:val="clear" w:pos="360"/>
          <w:tab w:val="num" w:pos="284"/>
        </w:tabs>
        <w:ind w:left="284" w:hanging="284"/>
        <w:contextualSpacing/>
        <w:rPr>
          <w:rFonts w:ascii="Cambria" w:hAnsi="Cambria"/>
        </w:rPr>
      </w:pPr>
      <w:r>
        <w:rPr>
          <w:rFonts w:ascii="Cambria" w:hAnsi="Cambria"/>
        </w:rPr>
        <w:t xml:space="preserve">potential for economic consequences (including environmental consequences) in the PRA area. </w:t>
      </w:r>
    </w:p>
    <w:p w:rsidR="00AE7868" w:rsidRDefault="00FF2B57">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96" w:name="_Toc437356011"/>
      <w:r>
        <w:rPr>
          <w:rFonts w:ascii="Calibri" w:hAnsi="Calibri" w:cstheme="minorBidi"/>
          <w:sz w:val="24"/>
          <w:szCs w:val="22"/>
        </w:rPr>
        <w:t>Assessment of the likelihood of entry, establishment and spread</w:t>
      </w:r>
      <w:bookmarkEnd w:id="96"/>
    </w:p>
    <w:p w:rsidR="00AE7868" w:rsidRDefault="00FF2B57">
      <w:pPr>
        <w:spacing w:before="200"/>
        <w:rPr>
          <w:rFonts w:ascii="Cambria" w:hAnsi="Cambria"/>
        </w:rPr>
      </w:pPr>
      <w:r>
        <w:rPr>
          <w:rFonts w:ascii="Cambria" w:hAnsi="Cambria"/>
        </w:rPr>
        <w:t xml:space="preserve">Details of how to assess the ‘probability of entry’, ‘probability of establishment’ and ‘probability of spread’ of a pest are given in ISPM 11 (FAO 2013). The SPS Agreement (WTO 1995) uses the term likelihood rather than probability for these estimates. In qualitative PRAs, the </w:t>
      </w:r>
      <w:r>
        <w:rPr>
          <w:rFonts w:ascii="Cambria" w:hAnsi="Cambria"/>
        </w:rPr>
        <w:lastRenderedPageBreak/>
        <w:t>Australian Government Department of Agriculture and Water Resources uses the term ‘likelihood’ for the descriptors it uses for its estimates of likelihood of entry, establishment and spread. The use of the term ‘probability’ is limited to the direct quotation of ISPM definitions.</w:t>
      </w:r>
      <w:r>
        <w:t xml:space="preserve"> </w:t>
      </w:r>
      <w:r>
        <w:rPr>
          <w:rFonts w:ascii="Cambria" w:hAnsi="Cambria"/>
        </w:rPr>
        <w:t>A summary of this process is given below, followed by a description of the qualitative methodology used in this PRA.</w:t>
      </w:r>
    </w:p>
    <w:p w:rsidR="00AE7868" w:rsidRDefault="00FF2B57">
      <w:pPr>
        <w:pStyle w:val="Heading4"/>
        <w:spacing w:before="120"/>
      </w:pPr>
      <w:r>
        <w:t>Likelihood of entry</w:t>
      </w:r>
    </w:p>
    <w:p w:rsidR="00AE7868" w:rsidRDefault="00FF2B57">
      <w:pPr>
        <w:spacing w:before="200"/>
        <w:rPr>
          <w:rFonts w:ascii="Cambria" w:hAnsi="Cambria"/>
        </w:rPr>
      </w:pPr>
      <w:r>
        <w:rPr>
          <w:rFonts w:ascii="Cambria" w:hAnsi="Cambria"/>
        </w:rPr>
        <w:t>The likelihood of entry describes the likelihood that a quarantine pest will enter Australia as a result of trade in a given commodity, be distributed in a viable state in the PRA area and subsequently be transferred to a host. Assessing the likelihood of entry requires an analysis of each of the pathways with which a pest may be associated, from its origin to its distribution in the PRA area.</w:t>
      </w:r>
    </w:p>
    <w:p w:rsidR="00AE7868" w:rsidRDefault="00FF2B57">
      <w:pPr>
        <w:spacing w:before="200"/>
        <w:rPr>
          <w:rFonts w:ascii="Cambria" w:hAnsi="Cambria"/>
        </w:rPr>
      </w:pPr>
      <w:r>
        <w:rPr>
          <w:rFonts w:ascii="Cambria" w:hAnsi="Cambria"/>
        </w:rPr>
        <w:t>For the purpose of considering the likelihood of entry, the department divides this step into two components:</w:t>
      </w:r>
    </w:p>
    <w:p w:rsidR="00AE7868" w:rsidRDefault="00FF2B57">
      <w:pPr>
        <w:pStyle w:val="ListBullet"/>
        <w:tabs>
          <w:tab w:val="clear" w:pos="360"/>
          <w:tab w:val="num" w:pos="284"/>
        </w:tabs>
        <w:ind w:left="284" w:hanging="284"/>
        <w:rPr>
          <w:rFonts w:ascii="Cambria" w:hAnsi="Cambria"/>
        </w:rPr>
      </w:pPr>
      <w:r>
        <w:rPr>
          <w:rFonts w:ascii="Cambria" w:hAnsi="Cambria"/>
          <w:b/>
        </w:rPr>
        <w:t>Likelihood of importation</w:t>
      </w:r>
      <w:r>
        <w:rPr>
          <w:rFonts w:ascii="Cambria" w:hAnsi="Cambria"/>
        </w:rPr>
        <w:t>: the likelihood that a pest will arrive in Australia when a given commodity is imported.</w:t>
      </w:r>
    </w:p>
    <w:p w:rsidR="00AE7868" w:rsidRDefault="00FF2B57">
      <w:pPr>
        <w:pStyle w:val="ListBullet"/>
        <w:tabs>
          <w:tab w:val="clear" w:pos="360"/>
          <w:tab w:val="num" w:pos="284"/>
        </w:tabs>
        <w:ind w:left="284" w:hanging="284"/>
        <w:rPr>
          <w:rFonts w:ascii="Cambria" w:hAnsi="Cambria"/>
        </w:rPr>
      </w:pPr>
      <w:r>
        <w:rPr>
          <w:rFonts w:ascii="Cambria" w:hAnsi="Cambria"/>
          <w:b/>
        </w:rPr>
        <w:t>Likelihood of distribution</w:t>
      </w:r>
      <w:r>
        <w:rPr>
          <w:rFonts w:ascii="Cambria" w:hAnsi="Cambria"/>
        </w:rPr>
        <w:t>: the likelihood that the pest will be distributed, as a result of the processing, sale or disposal of the commodity, in the PRA area and subsequently transfer to a susceptible host.</w:t>
      </w:r>
    </w:p>
    <w:p w:rsidR="00AE7868" w:rsidRDefault="00FF2B57">
      <w:pPr>
        <w:spacing w:before="200"/>
        <w:rPr>
          <w:rFonts w:ascii="Cambria" w:hAnsi="Cambria"/>
        </w:rPr>
      </w:pPr>
      <w:r>
        <w:rPr>
          <w:rFonts w:ascii="Cambria" w:hAnsi="Cambria"/>
        </w:rPr>
        <w:t>Factors considered in the likelihood of importation include the:</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lastRenderedPageBreak/>
        <w:t>distribution and incidence of the pest in the source area;</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t>occurrence of the pest in a life-stage that would be associated with the commodity;</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t>mode of trade (for example, bulk or packed);</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t>volume and frequency of movement of the commodity along each pathway;</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t>seasonal timing of imports;</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t>pest management, cultural and commercial procedures applied at the place of origin;</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t>speed of transport and conditions of storage compared with the duration of the lifecycle of the pest;</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t>vulnerability of the life-stages of the pest during transport or storage;</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t xml:space="preserve">incidence of the pest likely to be associated with a consignment; and </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t>commercial procedures (for example, refrigeration) applied to consignments during transport and storage in the country of origin, and during transport to Australia.</w:t>
      </w:r>
    </w:p>
    <w:p w:rsidR="00AE7868" w:rsidRDefault="00FF2B57">
      <w:pPr>
        <w:spacing w:before="200"/>
        <w:rPr>
          <w:rFonts w:ascii="Cambria" w:hAnsi="Cambria"/>
        </w:rPr>
      </w:pPr>
      <w:r>
        <w:rPr>
          <w:rFonts w:ascii="Cambria" w:hAnsi="Cambria"/>
        </w:rPr>
        <w:t>Factors considered in the likelihood of distribution include the:</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t>commercial procedures (for example, refrigeration) applied to consignments during distribution in Australia;</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lastRenderedPageBreak/>
        <w:t>dispersal mechanisms of the pest, including vectors, to allow movement from the pathway to a host;</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t>whether the imported commodity is to be sent to a few or many destination points in the PRA area;</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t>proximity of entry, transit and destination points to hosts;</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t>time of year at which importation takes place;</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t>intended use of the commodity (for planting, processing or consumption); and</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t>risks from by-products and waste.</w:t>
      </w:r>
    </w:p>
    <w:p w:rsidR="00AE7868" w:rsidRDefault="00FF2B57">
      <w:pPr>
        <w:pStyle w:val="Heading4"/>
        <w:spacing w:before="200"/>
      </w:pPr>
      <w:r>
        <w:t>Likelihood of establishment</w:t>
      </w:r>
    </w:p>
    <w:p w:rsidR="00AE7868" w:rsidRDefault="00FF2B57">
      <w:pPr>
        <w:spacing w:before="200"/>
        <w:rPr>
          <w:rFonts w:ascii="Cambria" w:hAnsi="Cambria"/>
        </w:rPr>
      </w:pPr>
      <w:r>
        <w:rPr>
          <w:rFonts w:ascii="Cambria" w:hAnsi="Cambria"/>
        </w:rPr>
        <w:t>Establishment is defined as the ‘perpetuation for the foreseeable future, of a pest within an area after entry’ (FAO 2015). In order to estimate the probability of establishment of a pest, reliable biological information (lifecycle, host range, epidemiology and survival) is obtained from the areas where the pest currently occurs. The situation in the PRA area can then be compared with that in the areas where it currently occurs and expert judgement used to assess the probability of establishment.</w:t>
      </w:r>
    </w:p>
    <w:p w:rsidR="00AE7868" w:rsidRDefault="00FF2B57">
      <w:pPr>
        <w:spacing w:before="200"/>
        <w:rPr>
          <w:rFonts w:ascii="Cambria" w:hAnsi="Cambria"/>
        </w:rPr>
      </w:pPr>
      <w:r>
        <w:rPr>
          <w:rFonts w:ascii="Cambria" w:hAnsi="Cambria"/>
        </w:rPr>
        <w:t>Factors considered in the likelihood of establishment in the PRA area include the:</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t>availability of hosts, alternative hosts and vectors;</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lastRenderedPageBreak/>
        <w:t>suitability of the environment;</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t>reproductive strategy and potential for adaptation;</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t>minimum population needed for establishment; and</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t>cultural practices and control measures.</w:t>
      </w:r>
    </w:p>
    <w:p w:rsidR="00AE7868" w:rsidRDefault="00FF2B57">
      <w:pPr>
        <w:pStyle w:val="Heading4"/>
        <w:spacing w:before="120" w:after="120"/>
      </w:pPr>
      <w:r>
        <w:t>Likelihood of spread</w:t>
      </w:r>
    </w:p>
    <w:p w:rsidR="00AE7868" w:rsidRDefault="00FF2B57">
      <w:pPr>
        <w:spacing w:before="200"/>
        <w:rPr>
          <w:rFonts w:ascii="Cambria" w:hAnsi="Cambria"/>
        </w:rPr>
      </w:pPr>
      <w:r>
        <w:rPr>
          <w:rFonts w:ascii="Cambria" w:hAnsi="Cambria"/>
        </w:rPr>
        <w:t>Spread is defined as ‘the expansion of the geographical distribution of a pest within an area’ (FAO 2015).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is used to assess the likelihood of spread.</w:t>
      </w:r>
    </w:p>
    <w:p w:rsidR="00AE7868" w:rsidRDefault="00FF2B57">
      <w:pPr>
        <w:spacing w:before="200"/>
        <w:rPr>
          <w:rFonts w:ascii="Cambria" w:hAnsi="Cambria"/>
        </w:rPr>
      </w:pPr>
      <w:r>
        <w:rPr>
          <w:rFonts w:ascii="Cambria" w:hAnsi="Cambria"/>
        </w:rPr>
        <w:t>Factors considered in the likelihood of spread include the:</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t>suitability of the natural and/or managed environment for natural spread of the pest;</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t>presence of natural barriers;</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t>potential for movement with commodities, conveyances or by vectors;</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lastRenderedPageBreak/>
        <w:t>intended use of the commodity; and</w:t>
      </w:r>
    </w:p>
    <w:p w:rsidR="00AE7868" w:rsidRDefault="00FF2B57">
      <w:pPr>
        <w:pStyle w:val="ListBullet"/>
        <w:tabs>
          <w:tab w:val="clear" w:pos="360"/>
          <w:tab w:val="num" w:pos="284"/>
        </w:tabs>
        <w:spacing w:before="80" w:after="80" w:line="269" w:lineRule="auto"/>
        <w:ind w:left="284" w:hanging="284"/>
        <w:rPr>
          <w:rFonts w:ascii="Cambria" w:hAnsi="Cambria"/>
        </w:rPr>
      </w:pPr>
      <w:r>
        <w:rPr>
          <w:rFonts w:ascii="Cambria" w:hAnsi="Cambria"/>
        </w:rPr>
        <w:t>potential vectors of the pest in the PRA area.</w:t>
      </w:r>
    </w:p>
    <w:p w:rsidR="00AE7868" w:rsidRDefault="00FF2B57">
      <w:pPr>
        <w:pStyle w:val="Heading5"/>
        <w:spacing w:before="200"/>
      </w:pPr>
      <w:r>
        <w:t>Assigning likelihoods for entry, establishment and spread</w:t>
      </w:r>
    </w:p>
    <w:p w:rsidR="00AE7868" w:rsidRDefault="00FF2B57">
      <w:pPr>
        <w:spacing w:before="200"/>
        <w:rPr>
          <w:rFonts w:ascii="Cambria" w:hAnsi="Cambria"/>
        </w:rPr>
      </w:pPr>
      <w:r>
        <w:rPr>
          <w:rFonts w:ascii="Cambria" w:hAnsi="Cambria"/>
        </w:rPr>
        <w:t>Likelihoods are assigned to each step of entry, establishment and spread. Six descriptors are used: high, moderate, low, very low, extremely low and negligible (Table 2). Descriptive definitions for these descriptors and their indicative ranges are given in Table 2. The indicative likelihood ranges are only provided to illustrate the boundaries of the descriptors and are not used beyond this purpose in qualitative PRAs. These indicative likelihood ranges provide guidance to the risk analyst and promotes consistency between different pest risk assessments.</w:t>
      </w:r>
    </w:p>
    <w:p w:rsidR="00AE7868" w:rsidRDefault="00FF2B57">
      <w:pPr>
        <w:pStyle w:val="Caption"/>
        <w:spacing w:before="120"/>
        <w:rPr>
          <w:rFonts w:asciiTheme="majorHAnsi" w:eastAsiaTheme="majorEastAsia" w:hAnsiTheme="majorHAnsi" w:cstheme="majorBidi"/>
          <w:color w:val="595959" w:themeColor="text1" w:themeTint="A6"/>
          <w:sz w:val="20"/>
        </w:rPr>
      </w:pPr>
      <w:bookmarkStart w:id="97" w:name="_Toc384197744"/>
      <w:bookmarkStart w:id="98" w:name="_Toc384209832"/>
      <w:bookmarkStart w:id="99" w:name="_Toc384275076"/>
      <w:bookmarkStart w:id="100" w:name="_Toc388949917"/>
      <w:bookmarkStart w:id="101" w:name="_Toc418712906"/>
      <w:bookmarkStart w:id="102" w:name="_Toc421786687"/>
      <w:bookmarkStart w:id="103" w:name="_Toc428785196"/>
      <w:bookmarkStart w:id="104" w:name="_Toc428786305"/>
      <w:bookmarkStart w:id="105" w:name="_Toc429494604"/>
      <w:bookmarkStart w:id="106" w:name="_Toc430256517"/>
      <w:bookmarkStart w:id="107" w:name="_Toc433707316"/>
      <w:bookmarkStart w:id="108" w:name="_Toc433796480"/>
      <w:bookmarkStart w:id="109" w:name="_Toc437355943"/>
      <w:bookmarkStart w:id="110" w:name="_Toc437355975"/>
      <w:r>
        <w:rPr>
          <w:rFonts w:asciiTheme="majorHAnsi" w:eastAsiaTheme="majorEastAsia" w:hAnsiTheme="majorHAnsi" w:cstheme="majorBidi"/>
          <w:color w:val="595959" w:themeColor="text1" w:themeTint="A6"/>
          <w:sz w:val="20"/>
        </w:rPr>
        <w:t xml:space="preserve">Table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2</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Nomenclature of likelihoods</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tbl>
      <w:tblPr>
        <w:tblW w:w="4809" w:type="pct"/>
        <w:tblInd w:w="108" w:type="dxa"/>
        <w:tblBorders>
          <w:top w:val="single" w:sz="4" w:space="0" w:color="auto"/>
          <w:bottom w:val="single" w:sz="4" w:space="0" w:color="auto"/>
        </w:tblBorders>
        <w:tblLook w:val="04A0" w:firstRow="1" w:lastRow="0" w:firstColumn="1" w:lastColumn="0" w:noHBand="0" w:noVBand="1"/>
      </w:tblPr>
      <w:tblGrid>
        <w:gridCol w:w="1803"/>
        <w:gridCol w:w="4140"/>
        <w:gridCol w:w="2781"/>
      </w:tblGrid>
      <w:tr w:rsidR="00AE7868">
        <w:tc>
          <w:tcPr>
            <w:tcW w:w="1033" w:type="pct"/>
          </w:tcPr>
          <w:p w:rsidR="00AE7868" w:rsidRDefault="00FF2B57">
            <w:pPr>
              <w:pStyle w:val="TableHeading"/>
              <w:rPr>
                <w:rFonts w:ascii="Cambria" w:hAnsi="Cambria"/>
              </w:rPr>
            </w:pPr>
            <w:r>
              <w:rPr>
                <w:rFonts w:ascii="Cambria" w:hAnsi="Cambria"/>
              </w:rPr>
              <w:t>Likelihood</w:t>
            </w:r>
          </w:p>
        </w:tc>
        <w:tc>
          <w:tcPr>
            <w:tcW w:w="2373" w:type="pct"/>
          </w:tcPr>
          <w:p w:rsidR="00AE7868" w:rsidRDefault="00FF2B57">
            <w:pPr>
              <w:pStyle w:val="TableHeading"/>
              <w:rPr>
                <w:rFonts w:ascii="Cambria" w:hAnsi="Cambria"/>
              </w:rPr>
            </w:pPr>
            <w:r>
              <w:rPr>
                <w:rFonts w:ascii="Cambria" w:hAnsi="Cambria"/>
              </w:rPr>
              <w:t>Descriptive definition</w:t>
            </w:r>
          </w:p>
        </w:tc>
        <w:tc>
          <w:tcPr>
            <w:tcW w:w="1594" w:type="pct"/>
          </w:tcPr>
          <w:p w:rsidR="00AE7868" w:rsidRDefault="00FF2B57">
            <w:pPr>
              <w:pStyle w:val="TableHeading"/>
              <w:rPr>
                <w:rFonts w:ascii="Cambria" w:hAnsi="Cambria"/>
              </w:rPr>
            </w:pPr>
            <w:r>
              <w:rPr>
                <w:rFonts w:ascii="Cambria" w:hAnsi="Cambria"/>
              </w:rPr>
              <w:t>Indicative range</w:t>
            </w:r>
          </w:p>
        </w:tc>
      </w:tr>
      <w:tr w:rsidR="00AE7868">
        <w:tc>
          <w:tcPr>
            <w:tcW w:w="1033" w:type="pct"/>
          </w:tcPr>
          <w:p w:rsidR="00AE7868" w:rsidRDefault="00FF2B57">
            <w:pPr>
              <w:pStyle w:val="TableText"/>
              <w:rPr>
                <w:rFonts w:ascii="Cambria" w:hAnsi="Cambria"/>
              </w:rPr>
            </w:pPr>
            <w:r>
              <w:rPr>
                <w:rFonts w:ascii="Cambria" w:hAnsi="Cambria"/>
              </w:rPr>
              <w:t>High</w:t>
            </w:r>
          </w:p>
        </w:tc>
        <w:tc>
          <w:tcPr>
            <w:tcW w:w="2373" w:type="pct"/>
          </w:tcPr>
          <w:p w:rsidR="00AE7868" w:rsidRDefault="00FF2B57">
            <w:pPr>
              <w:pStyle w:val="TableText"/>
              <w:rPr>
                <w:rFonts w:ascii="Cambria" w:hAnsi="Cambria"/>
              </w:rPr>
            </w:pPr>
            <w:r>
              <w:rPr>
                <w:rFonts w:ascii="Cambria" w:hAnsi="Cambria"/>
              </w:rPr>
              <w:t>The event would be very likely to occur</w:t>
            </w:r>
          </w:p>
        </w:tc>
        <w:tc>
          <w:tcPr>
            <w:tcW w:w="1594" w:type="pct"/>
          </w:tcPr>
          <w:p w:rsidR="00AE7868" w:rsidRDefault="00FF2B57">
            <w:pPr>
              <w:pStyle w:val="TableText"/>
              <w:rPr>
                <w:rFonts w:ascii="Cambria" w:hAnsi="Cambria"/>
              </w:rPr>
            </w:pPr>
            <w:r>
              <w:rPr>
                <w:rFonts w:ascii="Cambria" w:hAnsi="Cambria"/>
              </w:rPr>
              <w:t>0.7 &lt; to ≤ 1</w:t>
            </w:r>
          </w:p>
        </w:tc>
      </w:tr>
      <w:tr w:rsidR="00AE7868">
        <w:tc>
          <w:tcPr>
            <w:tcW w:w="1033" w:type="pct"/>
          </w:tcPr>
          <w:p w:rsidR="00AE7868" w:rsidRDefault="00FF2B57">
            <w:pPr>
              <w:pStyle w:val="TableText"/>
              <w:rPr>
                <w:rFonts w:ascii="Cambria" w:hAnsi="Cambria"/>
              </w:rPr>
            </w:pPr>
            <w:r>
              <w:rPr>
                <w:rFonts w:ascii="Cambria" w:hAnsi="Cambria"/>
              </w:rPr>
              <w:t>Moderate</w:t>
            </w:r>
          </w:p>
        </w:tc>
        <w:tc>
          <w:tcPr>
            <w:tcW w:w="2373" w:type="pct"/>
          </w:tcPr>
          <w:p w:rsidR="00AE7868" w:rsidRDefault="00FF2B57">
            <w:pPr>
              <w:pStyle w:val="TableText"/>
              <w:rPr>
                <w:rFonts w:ascii="Cambria" w:hAnsi="Cambria"/>
              </w:rPr>
            </w:pPr>
            <w:r>
              <w:rPr>
                <w:rFonts w:ascii="Cambria" w:hAnsi="Cambria"/>
              </w:rPr>
              <w:t xml:space="preserve">The event would occur with an even likelihood </w:t>
            </w:r>
          </w:p>
        </w:tc>
        <w:tc>
          <w:tcPr>
            <w:tcW w:w="1594" w:type="pct"/>
          </w:tcPr>
          <w:p w:rsidR="00AE7868" w:rsidRDefault="00FF2B57">
            <w:pPr>
              <w:pStyle w:val="TableText"/>
              <w:rPr>
                <w:rFonts w:ascii="Cambria" w:hAnsi="Cambria"/>
              </w:rPr>
            </w:pPr>
            <w:r>
              <w:rPr>
                <w:rFonts w:ascii="Cambria" w:hAnsi="Cambria"/>
              </w:rPr>
              <w:t>0.3 &lt; to ≤ 0.7</w:t>
            </w:r>
          </w:p>
        </w:tc>
      </w:tr>
      <w:tr w:rsidR="00AE7868">
        <w:tc>
          <w:tcPr>
            <w:tcW w:w="1033" w:type="pct"/>
          </w:tcPr>
          <w:p w:rsidR="00AE7868" w:rsidRDefault="00FF2B57">
            <w:pPr>
              <w:pStyle w:val="TableText"/>
              <w:rPr>
                <w:rFonts w:ascii="Cambria" w:hAnsi="Cambria"/>
              </w:rPr>
            </w:pPr>
            <w:r>
              <w:rPr>
                <w:rFonts w:ascii="Cambria" w:hAnsi="Cambria"/>
              </w:rPr>
              <w:t>Low</w:t>
            </w:r>
          </w:p>
        </w:tc>
        <w:tc>
          <w:tcPr>
            <w:tcW w:w="2373" w:type="pct"/>
          </w:tcPr>
          <w:p w:rsidR="00AE7868" w:rsidRDefault="00FF2B57">
            <w:pPr>
              <w:pStyle w:val="TableText"/>
              <w:rPr>
                <w:rFonts w:ascii="Cambria" w:hAnsi="Cambria"/>
              </w:rPr>
            </w:pPr>
            <w:r>
              <w:rPr>
                <w:rFonts w:ascii="Cambria" w:hAnsi="Cambria"/>
              </w:rPr>
              <w:t>The event would be unlikely to occur</w:t>
            </w:r>
          </w:p>
        </w:tc>
        <w:tc>
          <w:tcPr>
            <w:tcW w:w="1594" w:type="pct"/>
          </w:tcPr>
          <w:p w:rsidR="00AE7868" w:rsidRDefault="00FF2B57">
            <w:pPr>
              <w:pStyle w:val="TableText"/>
              <w:rPr>
                <w:rFonts w:ascii="Cambria" w:hAnsi="Cambria"/>
              </w:rPr>
            </w:pPr>
            <w:r>
              <w:rPr>
                <w:rFonts w:ascii="Cambria" w:hAnsi="Cambria"/>
              </w:rPr>
              <w:t>0.05 &lt; to ≤ 0.3</w:t>
            </w:r>
          </w:p>
        </w:tc>
      </w:tr>
      <w:tr w:rsidR="00AE7868">
        <w:tc>
          <w:tcPr>
            <w:tcW w:w="1033" w:type="pct"/>
          </w:tcPr>
          <w:p w:rsidR="00AE7868" w:rsidRDefault="00FF2B57">
            <w:pPr>
              <w:pStyle w:val="TableText"/>
              <w:rPr>
                <w:rFonts w:ascii="Cambria" w:hAnsi="Cambria"/>
              </w:rPr>
            </w:pPr>
            <w:r>
              <w:rPr>
                <w:rFonts w:ascii="Cambria" w:hAnsi="Cambria"/>
              </w:rPr>
              <w:t>Very low</w:t>
            </w:r>
          </w:p>
        </w:tc>
        <w:tc>
          <w:tcPr>
            <w:tcW w:w="2373" w:type="pct"/>
          </w:tcPr>
          <w:p w:rsidR="00AE7868" w:rsidRDefault="00FF2B57">
            <w:pPr>
              <w:pStyle w:val="TableText"/>
              <w:rPr>
                <w:rFonts w:ascii="Cambria" w:hAnsi="Cambria"/>
              </w:rPr>
            </w:pPr>
            <w:r>
              <w:rPr>
                <w:rFonts w:ascii="Cambria" w:hAnsi="Cambria"/>
              </w:rPr>
              <w:t>The event would be very unlikely to occur</w:t>
            </w:r>
          </w:p>
        </w:tc>
        <w:tc>
          <w:tcPr>
            <w:tcW w:w="1594" w:type="pct"/>
          </w:tcPr>
          <w:p w:rsidR="00AE7868" w:rsidRDefault="00FF2B57">
            <w:pPr>
              <w:pStyle w:val="TableText"/>
              <w:rPr>
                <w:rFonts w:ascii="Cambria" w:hAnsi="Cambria"/>
              </w:rPr>
            </w:pPr>
            <w:r>
              <w:rPr>
                <w:rFonts w:ascii="Cambria" w:hAnsi="Cambria"/>
              </w:rPr>
              <w:t>0.001 &lt; to ≤ 0.05</w:t>
            </w:r>
          </w:p>
        </w:tc>
      </w:tr>
      <w:tr w:rsidR="00AE7868">
        <w:tc>
          <w:tcPr>
            <w:tcW w:w="1033" w:type="pct"/>
          </w:tcPr>
          <w:p w:rsidR="00AE7868" w:rsidRDefault="00FF2B57">
            <w:pPr>
              <w:pStyle w:val="TableText"/>
              <w:rPr>
                <w:rFonts w:ascii="Cambria" w:hAnsi="Cambria"/>
              </w:rPr>
            </w:pPr>
            <w:r>
              <w:rPr>
                <w:rFonts w:ascii="Cambria" w:hAnsi="Cambria"/>
              </w:rPr>
              <w:t>Extremely low</w:t>
            </w:r>
          </w:p>
        </w:tc>
        <w:tc>
          <w:tcPr>
            <w:tcW w:w="2373" w:type="pct"/>
          </w:tcPr>
          <w:p w:rsidR="00AE7868" w:rsidRDefault="00FF2B57">
            <w:pPr>
              <w:pStyle w:val="TableText"/>
              <w:rPr>
                <w:rFonts w:ascii="Cambria" w:hAnsi="Cambria"/>
              </w:rPr>
            </w:pPr>
            <w:r>
              <w:rPr>
                <w:rFonts w:ascii="Cambria" w:hAnsi="Cambria"/>
              </w:rPr>
              <w:t>The event would be extremely unlikely to occur</w:t>
            </w:r>
          </w:p>
        </w:tc>
        <w:tc>
          <w:tcPr>
            <w:tcW w:w="1594" w:type="pct"/>
          </w:tcPr>
          <w:p w:rsidR="00AE7868" w:rsidRDefault="00FF2B57">
            <w:pPr>
              <w:pStyle w:val="TableText"/>
              <w:rPr>
                <w:rFonts w:ascii="Cambria" w:hAnsi="Cambria"/>
              </w:rPr>
            </w:pPr>
            <w:r>
              <w:rPr>
                <w:rFonts w:ascii="Cambria" w:hAnsi="Cambria"/>
              </w:rPr>
              <w:t>0.000001 &lt; to ≤ 0.001</w:t>
            </w:r>
          </w:p>
        </w:tc>
      </w:tr>
      <w:tr w:rsidR="00AE7868">
        <w:tc>
          <w:tcPr>
            <w:tcW w:w="1033" w:type="pct"/>
          </w:tcPr>
          <w:p w:rsidR="00AE7868" w:rsidRDefault="00FF2B57">
            <w:pPr>
              <w:pStyle w:val="TableText"/>
              <w:rPr>
                <w:rFonts w:ascii="Cambria" w:hAnsi="Cambria"/>
              </w:rPr>
            </w:pPr>
            <w:r>
              <w:rPr>
                <w:rFonts w:ascii="Cambria" w:hAnsi="Cambria"/>
              </w:rPr>
              <w:t>Negligible</w:t>
            </w:r>
          </w:p>
        </w:tc>
        <w:tc>
          <w:tcPr>
            <w:tcW w:w="2373" w:type="pct"/>
          </w:tcPr>
          <w:p w:rsidR="00AE7868" w:rsidRDefault="00FF2B57">
            <w:pPr>
              <w:pStyle w:val="TableText"/>
              <w:rPr>
                <w:rFonts w:ascii="Cambria" w:hAnsi="Cambria"/>
              </w:rPr>
            </w:pPr>
            <w:r>
              <w:rPr>
                <w:rFonts w:ascii="Cambria" w:hAnsi="Cambria"/>
              </w:rPr>
              <w:t>The event would almost certainly not occur</w:t>
            </w:r>
          </w:p>
        </w:tc>
        <w:tc>
          <w:tcPr>
            <w:tcW w:w="1594" w:type="pct"/>
          </w:tcPr>
          <w:p w:rsidR="00AE7868" w:rsidRDefault="00FF2B57">
            <w:pPr>
              <w:pStyle w:val="TableText"/>
              <w:rPr>
                <w:rFonts w:ascii="Cambria" w:hAnsi="Cambria"/>
              </w:rPr>
            </w:pPr>
            <w:r>
              <w:rPr>
                <w:rFonts w:ascii="Cambria" w:hAnsi="Cambria"/>
              </w:rPr>
              <w:t>0 &lt; to ≤ 0.000001</w:t>
            </w:r>
          </w:p>
        </w:tc>
      </w:tr>
    </w:tbl>
    <w:p w:rsidR="00AE7868" w:rsidRDefault="00FF2B57">
      <w:pPr>
        <w:pStyle w:val="Heading5"/>
        <w:spacing w:before="200"/>
        <w:rPr>
          <w:i w:val="0"/>
        </w:rPr>
      </w:pPr>
      <w:r>
        <w:rPr>
          <w:i w:val="0"/>
        </w:rPr>
        <w:lastRenderedPageBreak/>
        <w:t>Combining likelihoods</w:t>
      </w:r>
    </w:p>
    <w:p w:rsidR="00AE7868" w:rsidRDefault="00FF2B57">
      <w:pPr>
        <w:spacing w:before="200"/>
        <w:rPr>
          <w:rFonts w:ascii="Cambria" w:hAnsi="Cambria"/>
        </w:rPr>
      </w:pPr>
      <w:r>
        <w:rPr>
          <w:rFonts w:ascii="Cambria" w:hAnsi="Cambria"/>
        </w:rPr>
        <w:t>The likelihood of entry is determined by combining the likelihood that the pest will be imported into the PRA area and the likelihood that the pest will be distributed within the PRA area, using a matrix of rules (Table 3). This matrix is then used to combine the likelihood of entry and the likelihood of establishment, and then the likelihood of entry and establishment is combined with the likelihood of spread to determine the overall likelihood of entry, establishment and spread.</w:t>
      </w:r>
    </w:p>
    <w:p w:rsidR="00AE7868" w:rsidRDefault="00FF2B57">
      <w:pPr>
        <w:spacing w:before="200" w:after="0"/>
        <w:rPr>
          <w:rFonts w:ascii="Cambria" w:hAnsi="Cambria"/>
        </w:rPr>
      </w:pPr>
      <w:r>
        <w:rPr>
          <w:rFonts w:ascii="Cambria" w:hAnsi="Cambria"/>
        </w:rPr>
        <w:t>For example, if the likelihood of importation is assigned a descriptor of ‘low’ and the likelihood of distribution is assigned a descriptor of ‘moderate’, then they are combined to give a likelihood of ‘low’ for entry. Then if the likelihood of establishment has been assigned a descriptor of ‘high’, this will be combined with the likelihood of entry (low), to give a likelihood for entry and establishment of ‘low’. The assigned likelihood for spread (for example ‘very low’) would then be combined with the likelihood for entry and establishment (low), to give an overall likelihood for entry, establishment and spread of ‘very low’. This can be summarised as:</w:t>
      </w:r>
    </w:p>
    <w:tbl>
      <w:tblPr>
        <w:tblStyle w:val="TableGrid"/>
        <w:tblpPr w:leftFromText="180" w:rightFromText="180" w:vertAnchor="text" w:horzAnchor="margin" w:tblpXSpec="center" w:tblpY="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5"/>
        <w:gridCol w:w="4185"/>
      </w:tblGrid>
      <w:tr w:rsidR="00AE7868">
        <w:trPr>
          <w:trHeight w:val="446"/>
        </w:trPr>
        <w:tc>
          <w:tcPr>
            <w:tcW w:w="4185" w:type="dxa"/>
          </w:tcPr>
          <w:p w:rsidR="00AE7868" w:rsidRDefault="00FF2B57">
            <w:pPr>
              <w:spacing w:after="0"/>
              <w:jc w:val="center"/>
              <w:rPr>
                <w:rFonts w:ascii="Cambria" w:hAnsi="Cambria"/>
              </w:rPr>
            </w:pPr>
            <w:r>
              <w:rPr>
                <w:rFonts w:ascii="Cambria" w:hAnsi="Cambria"/>
              </w:rPr>
              <w:t>importation x distribution = entry [E]</w:t>
            </w:r>
          </w:p>
        </w:tc>
        <w:tc>
          <w:tcPr>
            <w:tcW w:w="4185" w:type="dxa"/>
          </w:tcPr>
          <w:p w:rsidR="00AE7868" w:rsidRDefault="00FF2B57">
            <w:pPr>
              <w:spacing w:after="0"/>
              <w:jc w:val="center"/>
              <w:rPr>
                <w:rFonts w:ascii="Cambria" w:hAnsi="Cambria"/>
              </w:rPr>
            </w:pPr>
            <w:r>
              <w:rPr>
                <w:rFonts w:ascii="Cambria" w:hAnsi="Cambria"/>
                <w:b/>
              </w:rPr>
              <w:t>low x moderate = low</w:t>
            </w:r>
          </w:p>
        </w:tc>
      </w:tr>
      <w:tr w:rsidR="00AE7868">
        <w:trPr>
          <w:trHeight w:val="446"/>
        </w:trPr>
        <w:tc>
          <w:tcPr>
            <w:tcW w:w="4185" w:type="dxa"/>
          </w:tcPr>
          <w:p w:rsidR="00AE7868" w:rsidRDefault="00FF2B57">
            <w:pPr>
              <w:spacing w:after="0"/>
              <w:jc w:val="center"/>
              <w:rPr>
                <w:rFonts w:ascii="Cambria" w:hAnsi="Cambria"/>
              </w:rPr>
            </w:pPr>
            <w:r>
              <w:rPr>
                <w:rFonts w:ascii="Cambria" w:hAnsi="Cambria"/>
              </w:rPr>
              <w:t>entry [E] x establishment = [EE]</w:t>
            </w:r>
          </w:p>
        </w:tc>
        <w:tc>
          <w:tcPr>
            <w:tcW w:w="4185" w:type="dxa"/>
          </w:tcPr>
          <w:p w:rsidR="00AE7868" w:rsidRDefault="00FF2B57">
            <w:pPr>
              <w:spacing w:after="0"/>
              <w:jc w:val="center"/>
              <w:rPr>
                <w:rFonts w:ascii="Cambria" w:hAnsi="Cambria"/>
              </w:rPr>
            </w:pPr>
            <w:r>
              <w:rPr>
                <w:rFonts w:ascii="Cambria" w:hAnsi="Cambria"/>
                <w:b/>
              </w:rPr>
              <w:t>low x high = low</w:t>
            </w:r>
          </w:p>
        </w:tc>
      </w:tr>
      <w:tr w:rsidR="00AE7868">
        <w:trPr>
          <w:trHeight w:val="446"/>
        </w:trPr>
        <w:tc>
          <w:tcPr>
            <w:tcW w:w="4185" w:type="dxa"/>
          </w:tcPr>
          <w:p w:rsidR="00AE7868" w:rsidRDefault="00FF2B57">
            <w:pPr>
              <w:spacing w:after="0"/>
              <w:jc w:val="center"/>
              <w:rPr>
                <w:rFonts w:ascii="Cambria" w:hAnsi="Cambria"/>
              </w:rPr>
            </w:pPr>
            <w:r>
              <w:rPr>
                <w:rFonts w:ascii="Cambria" w:hAnsi="Cambria"/>
              </w:rPr>
              <w:t>[EE] x spread = [EES]</w:t>
            </w:r>
          </w:p>
        </w:tc>
        <w:tc>
          <w:tcPr>
            <w:tcW w:w="4185" w:type="dxa"/>
          </w:tcPr>
          <w:p w:rsidR="00AE7868" w:rsidRDefault="00FF2B57">
            <w:pPr>
              <w:spacing w:after="0"/>
              <w:jc w:val="center"/>
              <w:rPr>
                <w:rFonts w:ascii="Cambria" w:hAnsi="Cambria"/>
              </w:rPr>
            </w:pPr>
            <w:r>
              <w:rPr>
                <w:rFonts w:ascii="Cambria" w:hAnsi="Cambria"/>
                <w:b/>
              </w:rPr>
              <w:t>low x very low = very low</w:t>
            </w:r>
          </w:p>
        </w:tc>
      </w:tr>
    </w:tbl>
    <w:p w:rsidR="00AE7868" w:rsidRDefault="00FF2B57">
      <w:pPr>
        <w:pStyle w:val="Caption"/>
        <w:keepLines/>
        <w:spacing w:before="200" w:after="200"/>
        <w:rPr>
          <w:rFonts w:asciiTheme="majorHAnsi" w:eastAsiaTheme="majorEastAsia" w:hAnsiTheme="majorHAnsi" w:cstheme="majorBidi"/>
          <w:color w:val="595959" w:themeColor="text1" w:themeTint="A6"/>
          <w:sz w:val="20"/>
        </w:rPr>
      </w:pPr>
      <w:bookmarkStart w:id="111" w:name="_Toc384197745"/>
      <w:bookmarkStart w:id="112" w:name="_Toc384209833"/>
      <w:bookmarkStart w:id="113" w:name="_Toc384275077"/>
      <w:bookmarkStart w:id="114" w:name="_Toc388949918"/>
      <w:bookmarkStart w:id="115" w:name="_Toc418712907"/>
      <w:bookmarkStart w:id="116" w:name="_Toc421786688"/>
      <w:bookmarkStart w:id="117" w:name="_Toc428785197"/>
      <w:bookmarkStart w:id="118" w:name="_Toc428786306"/>
      <w:bookmarkStart w:id="119" w:name="_Toc429494605"/>
      <w:bookmarkStart w:id="120" w:name="_Toc430256518"/>
      <w:bookmarkStart w:id="121" w:name="_Toc433707317"/>
      <w:bookmarkStart w:id="122" w:name="_Toc433796481"/>
      <w:bookmarkStart w:id="123" w:name="_Toc437355944"/>
      <w:bookmarkStart w:id="124" w:name="_Toc437355976"/>
      <w:r>
        <w:rPr>
          <w:rFonts w:asciiTheme="majorHAnsi" w:eastAsiaTheme="majorEastAsia" w:hAnsiTheme="majorHAnsi" w:cstheme="majorBidi"/>
          <w:color w:val="595959" w:themeColor="text1" w:themeTint="A6"/>
          <w:sz w:val="20"/>
        </w:rPr>
        <w:lastRenderedPageBreak/>
        <w:t xml:space="preserve">Table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3</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Matrix of rules for combining likelihoods</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tbl>
      <w:tblPr>
        <w:tblW w:w="4802" w:type="pct"/>
        <w:tblInd w:w="115" w:type="dxa"/>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908"/>
        <w:gridCol w:w="1342"/>
        <w:gridCol w:w="1342"/>
        <w:gridCol w:w="1340"/>
        <w:gridCol w:w="1340"/>
        <w:gridCol w:w="1343"/>
        <w:gridCol w:w="1086"/>
      </w:tblGrid>
      <w:tr w:rsidR="00AE7868">
        <w:trPr>
          <w:cantSplit/>
        </w:trPr>
        <w:tc>
          <w:tcPr>
            <w:tcW w:w="522" w:type="pct"/>
            <w:tcBorders>
              <w:top w:val="single" w:sz="4" w:space="0" w:color="auto"/>
              <w:left w:val="single" w:sz="4" w:space="0" w:color="auto"/>
              <w:bottom w:val="nil"/>
              <w:right w:val="nil"/>
              <w:tl2br w:val="single" w:sz="4" w:space="0" w:color="C0C0C0"/>
            </w:tcBorders>
            <w:shd w:val="clear" w:color="auto" w:fill="auto"/>
          </w:tcPr>
          <w:p w:rsidR="00AE7868" w:rsidRDefault="00AE7868">
            <w:pPr>
              <w:pStyle w:val="TableText"/>
              <w:keepNext/>
              <w:keepLines/>
            </w:pPr>
          </w:p>
        </w:tc>
        <w:tc>
          <w:tcPr>
            <w:tcW w:w="770" w:type="pct"/>
            <w:tcBorders>
              <w:top w:val="single" w:sz="4" w:space="0" w:color="auto"/>
              <w:left w:val="nil"/>
              <w:bottom w:val="single" w:sz="8" w:space="0" w:color="C0C0C0"/>
            </w:tcBorders>
            <w:shd w:val="clear" w:color="auto" w:fill="auto"/>
          </w:tcPr>
          <w:p w:rsidR="00AE7868" w:rsidRDefault="00FF2B57">
            <w:pPr>
              <w:pStyle w:val="TableHeading"/>
              <w:keepLines/>
            </w:pPr>
            <w:r>
              <w:t>High</w:t>
            </w:r>
          </w:p>
        </w:tc>
        <w:tc>
          <w:tcPr>
            <w:tcW w:w="771" w:type="pct"/>
            <w:tcBorders>
              <w:top w:val="single" w:sz="4" w:space="0" w:color="auto"/>
              <w:bottom w:val="single" w:sz="8" w:space="0" w:color="C0C0C0"/>
            </w:tcBorders>
            <w:shd w:val="clear" w:color="auto" w:fill="auto"/>
          </w:tcPr>
          <w:p w:rsidR="00AE7868" w:rsidRDefault="00FF2B57">
            <w:pPr>
              <w:pStyle w:val="TableHeading"/>
              <w:keepLines/>
            </w:pPr>
            <w:r>
              <w:t>Moderate</w:t>
            </w:r>
          </w:p>
        </w:tc>
        <w:tc>
          <w:tcPr>
            <w:tcW w:w="770" w:type="pct"/>
            <w:tcBorders>
              <w:top w:val="single" w:sz="4" w:space="0" w:color="auto"/>
              <w:bottom w:val="single" w:sz="8" w:space="0" w:color="C0C0C0"/>
            </w:tcBorders>
            <w:shd w:val="clear" w:color="auto" w:fill="auto"/>
          </w:tcPr>
          <w:p w:rsidR="00AE7868" w:rsidRDefault="00FF2B57">
            <w:pPr>
              <w:pStyle w:val="TableHeading"/>
              <w:keepLines/>
            </w:pPr>
            <w:r>
              <w:t>Low</w:t>
            </w:r>
          </w:p>
        </w:tc>
        <w:tc>
          <w:tcPr>
            <w:tcW w:w="770" w:type="pct"/>
            <w:tcBorders>
              <w:top w:val="single" w:sz="4" w:space="0" w:color="auto"/>
              <w:bottom w:val="single" w:sz="8" w:space="0" w:color="C0C0C0"/>
            </w:tcBorders>
            <w:shd w:val="clear" w:color="auto" w:fill="auto"/>
          </w:tcPr>
          <w:p w:rsidR="00AE7868" w:rsidRDefault="00FF2B57">
            <w:pPr>
              <w:pStyle w:val="TableHeading"/>
              <w:keepLines/>
            </w:pPr>
            <w:r>
              <w:t>Very low</w:t>
            </w:r>
          </w:p>
        </w:tc>
        <w:tc>
          <w:tcPr>
            <w:tcW w:w="772" w:type="pct"/>
            <w:tcBorders>
              <w:top w:val="single" w:sz="4" w:space="0" w:color="auto"/>
              <w:bottom w:val="single" w:sz="8" w:space="0" w:color="C0C0C0"/>
            </w:tcBorders>
            <w:shd w:val="clear" w:color="auto" w:fill="auto"/>
          </w:tcPr>
          <w:p w:rsidR="00AE7868" w:rsidRDefault="00FF2B57">
            <w:pPr>
              <w:pStyle w:val="TableHeading"/>
              <w:keepLines/>
            </w:pPr>
            <w:r>
              <w:t>Extremely low</w:t>
            </w:r>
          </w:p>
        </w:tc>
        <w:tc>
          <w:tcPr>
            <w:tcW w:w="624" w:type="pct"/>
            <w:tcBorders>
              <w:top w:val="single" w:sz="4" w:space="0" w:color="auto"/>
              <w:bottom w:val="single" w:sz="8" w:space="0" w:color="C0C0C0"/>
              <w:right w:val="single" w:sz="4" w:space="0" w:color="auto"/>
            </w:tcBorders>
            <w:shd w:val="clear" w:color="auto" w:fill="auto"/>
          </w:tcPr>
          <w:p w:rsidR="00AE7868" w:rsidRDefault="00FF2B57">
            <w:pPr>
              <w:pStyle w:val="TableHeading"/>
              <w:keepLines/>
            </w:pPr>
            <w:r>
              <w:t>Negligible</w:t>
            </w:r>
          </w:p>
        </w:tc>
      </w:tr>
      <w:tr w:rsidR="00AE7868">
        <w:trPr>
          <w:cantSplit/>
        </w:trPr>
        <w:tc>
          <w:tcPr>
            <w:tcW w:w="522" w:type="pct"/>
            <w:tcBorders>
              <w:top w:val="nil"/>
              <w:left w:val="single" w:sz="4" w:space="0" w:color="auto"/>
              <w:bottom w:val="single" w:sz="8" w:space="0" w:color="C0C0C0"/>
            </w:tcBorders>
            <w:vAlign w:val="center"/>
          </w:tcPr>
          <w:p w:rsidR="00AE7868" w:rsidRDefault="00FF2B57">
            <w:pPr>
              <w:pStyle w:val="TableHeading"/>
            </w:pPr>
            <w:r>
              <w:t>High</w:t>
            </w:r>
          </w:p>
        </w:tc>
        <w:tc>
          <w:tcPr>
            <w:tcW w:w="770" w:type="pct"/>
            <w:tcBorders>
              <w:top w:val="single" w:sz="8" w:space="0" w:color="C0C0C0"/>
              <w:bottom w:val="single" w:sz="8" w:space="0" w:color="C0C0C0"/>
            </w:tcBorders>
            <w:shd w:val="clear" w:color="auto" w:fill="FF99CC"/>
            <w:vAlign w:val="center"/>
          </w:tcPr>
          <w:p w:rsidR="00AE7868" w:rsidRDefault="00FF2B57">
            <w:pPr>
              <w:pStyle w:val="TableText"/>
            </w:pPr>
            <w:r>
              <w:t>High</w:t>
            </w:r>
          </w:p>
        </w:tc>
        <w:tc>
          <w:tcPr>
            <w:tcW w:w="771" w:type="pct"/>
            <w:tcBorders>
              <w:top w:val="single" w:sz="8" w:space="0" w:color="C0C0C0"/>
            </w:tcBorders>
            <w:shd w:val="clear" w:color="auto" w:fill="FFCC99"/>
            <w:vAlign w:val="center"/>
          </w:tcPr>
          <w:p w:rsidR="00AE7868" w:rsidRDefault="00FF2B57">
            <w:pPr>
              <w:pStyle w:val="TableText"/>
            </w:pPr>
            <w:r>
              <w:t>Moderate</w:t>
            </w:r>
          </w:p>
        </w:tc>
        <w:tc>
          <w:tcPr>
            <w:tcW w:w="770" w:type="pct"/>
            <w:tcBorders>
              <w:top w:val="single" w:sz="8" w:space="0" w:color="C0C0C0"/>
            </w:tcBorders>
            <w:shd w:val="clear" w:color="auto" w:fill="FFFF99"/>
            <w:vAlign w:val="center"/>
          </w:tcPr>
          <w:p w:rsidR="00AE7868" w:rsidRDefault="00FF2B57">
            <w:pPr>
              <w:pStyle w:val="TableText"/>
            </w:pPr>
            <w:r>
              <w:t>Low</w:t>
            </w:r>
          </w:p>
        </w:tc>
        <w:tc>
          <w:tcPr>
            <w:tcW w:w="770" w:type="pct"/>
            <w:tcBorders>
              <w:top w:val="single" w:sz="8" w:space="0" w:color="C0C0C0"/>
            </w:tcBorders>
            <w:shd w:val="clear" w:color="auto" w:fill="CCFFCC"/>
            <w:vAlign w:val="center"/>
          </w:tcPr>
          <w:p w:rsidR="00AE7868" w:rsidRDefault="00FF2B57">
            <w:pPr>
              <w:pStyle w:val="TableText"/>
            </w:pPr>
            <w:r>
              <w:t>Very low</w:t>
            </w:r>
          </w:p>
        </w:tc>
        <w:tc>
          <w:tcPr>
            <w:tcW w:w="772" w:type="pct"/>
            <w:tcBorders>
              <w:top w:val="single" w:sz="8" w:space="0" w:color="C0C0C0"/>
            </w:tcBorders>
            <w:shd w:val="clear" w:color="auto" w:fill="CCFFFF"/>
            <w:vAlign w:val="center"/>
          </w:tcPr>
          <w:p w:rsidR="00AE7868" w:rsidRDefault="00FF2B57">
            <w:pPr>
              <w:pStyle w:val="TableText"/>
            </w:pPr>
            <w:r>
              <w:t>Extremely low</w:t>
            </w:r>
          </w:p>
        </w:tc>
        <w:tc>
          <w:tcPr>
            <w:tcW w:w="624" w:type="pct"/>
            <w:tcBorders>
              <w:top w:val="single" w:sz="8" w:space="0" w:color="C0C0C0"/>
              <w:right w:val="single" w:sz="4" w:space="0" w:color="auto"/>
            </w:tcBorders>
            <w:shd w:val="clear" w:color="auto" w:fill="CCCCFF"/>
            <w:vAlign w:val="center"/>
          </w:tcPr>
          <w:p w:rsidR="00AE7868" w:rsidRDefault="00FF2B57">
            <w:pPr>
              <w:pStyle w:val="TableText"/>
            </w:pPr>
            <w:r>
              <w:t>Negligible</w:t>
            </w:r>
          </w:p>
        </w:tc>
      </w:tr>
      <w:tr w:rsidR="00AE7868">
        <w:trPr>
          <w:cantSplit/>
        </w:trPr>
        <w:tc>
          <w:tcPr>
            <w:tcW w:w="1293" w:type="pct"/>
            <w:gridSpan w:val="2"/>
            <w:tcBorders>
              <w:top w:val="single" w:sz="8" w:space="0" w:color="C0C0C0"/>
              <w:left w:val="single" w:sz="4" w:space="0" w:color="auto"/>
              <w:bottom w:val="single" w:sz="8" w:space="0" w:color="C0C0C0"/>
            </w:tcBorders>
            <w:vAlign w:val="center"/>
          </w:tcPr>
          <w:p w:rsidR="00AE7868" w:rsidRDefault="00FF2B57">
            <w:pPr>
              <w:pStyle w:val="TableHeading"/>
            </w:pPr>
            <w:r>
              <w:t>Moderate</w:t>
            </w:r>
          </w:p>
        </w:tc>
        <w:tc>
          <w:tcPr>
            <w:tcW w:w="771" w:type="pct"/>
            <w:tcBorders>
              <w:bottom w:val="single" w:sz="8" w:space="0" w:color="C0C0C0"/>
            </w:tcBorders>
            <w:shd w:val="clear" w:color="auto" w:fill="FFFF99"/>
            <w:vAlign w:val="center"/>
          </w:tcPr>
          <w:p w:rsidR="00AE7868" w:rsidRDefault="00FF2B57">
            <w:pPr>
              <w:pStyle w:val="TableText"/>
            </w:pPr>
            <w:r>
              <w:t>Low</w:t>
            </w:r>
          </w:p>
        </w:tc>
        <w:tc>
          <w:tcPr>
            <w:tcW w:w="770" w:type="pct"/>
            <w:shd w:val="clear" w:color="auto" w:fill="FFFF99"/>
            <w:vAlign w:val="center"/>
          </w:tcPr>
          <w:p w:rsidR="00AE7868" w:rsidRDefault="00FF2B57">
            <w:pPr>
              <w:pStyle w:val="TableText"/>
            </w:pPr>
            <w:r>
              <w:t>Low</w:t>
            </w:r>
          </w:p>
        </w:tc>
        <w:tc>
          <w:tcPr>
            <w:tcW w:w="770" w:type="pct"/>
            <w:shd w:val="clear" w:color="auto" w:fill="CCFFCC"/>
            <w:vAlign w:val="center"/>
          </w:tcPr>
          <w:p w:rsidR="00AE7868" w:rsidRDefault="00FF2B57">
            <w:pPr>
              <w:pStyle w:val="TableText"/>
            </w:pPr>
            <w:r>
              <w:t>Very low</w:t>
            </w:r>
          </w:p>
        </w:tc>
        <w:tc>
          <w:tcPr>
            <w:tcW w:w="772" w:type="pct"/>
            <w:shd w:val="clear" w:color="auto" w:fill="CCFFFF"/>
            <w:vAlign w:val="center"/>
          </w:tcPr>
          <w:p w:rsidR="00AE7868" w:rsidRDefault="00FF2B57">
            <w:pPr>
              <w:pStyle w:val="TableText"/>
            </w:pPr>
            <w:r>
              <w:t>Extremely low</w:t>
            </w:r>
          </w:p>
        </w:tc>
        <w:tc>
          <w:tcPr>
            <w:tcW w:w="624" w:type="pct"/>
            <w:tcBorders>
              <w:right w:val="single" w:sz="4" w:space="0" w:color="auto"/>
            </w:tcBorders>
            <w:shd w:val="clear" w:color="auto" w:fill="CCCCFF"/>
            <w:vAlign w:val="center"/>
          </w:tcPr>
          <w:p w:rsidR="00AE7868" w:rsidRDefault="00FF2B57">
            <w:pPr>
              <w:pStyle w:val="TableText"/>
            </w:pPr>
            <w:r>
              <w:t>Negligible</w:t>
            </w:r>
          </w:p>
        </w:tc>
      </w:tr>
      <w:tr w:rsidR="00AE7868">
        <w:trPr>
          <w:cantSplit/>
        </w:trPr>
        <w:tc>
          <w:tcPr>
            <w:tcW w:w="2063" w:type="pct"/>
            <w:gridSpan w:val="3"/>
            <w:tcBorders>
              <w:top w:val="single" w:sz="8" w:space="0" w:color="C0C0C0"/>
              <w:left w:val="single" w:sz="4" w:space="0" w:color="auto"/>
              <w:bottom w:val="single" w:sz="8" w:space="0" w:color="C0C0C0"/>
            </w:tcBorders>
            <w:vAlign w:val="center"/>
          </w:tcPr>
          <w:p w:rsidR="00AE7868" w:rsidRDefault="00FF2B57">
            <w:pPr>
              <w:pStyle w:val="TableHeading"/>
            </w:pPr>
            <w:r>
              <w:t>Low</w:t>
            </w:r>
          </w:p>
        </w:tc>
        <w:tc>
          <w:tcPr>
            <w:tcW w:w="770" w:type="pct"/>
            <w:tcBorders>
              <w:bottom w:val="single" w:sz="8" w:space="0" w:color="C0C0C0"/>
            </w:tcBorders>
            <w:shd w:val="clear" w:color="auto" w:fill="CCFFCC"/>
            <w:vAlign w:val="center"/>
          </w:tcPr>
          <w:p w:rsidR="00AE7868" w:rsidRDefault="00FF2B57">
            <w:pPr>
              <w:pStyle w:val="TableText"/>
            </w:pPr>
            <w:r>
              <w:t>Very low</w:t>
            </w:r>
          </w:p>
        </w:tc>
        <w:tc>
          <w:tcPr>
            <w:tcW w:w="770" w:type="pct"/>
            <w:shd w:val="clear" w:color="auto" w:fill="CCFFCC"/>
            <w:vAlign w:val="center"/>
          </w:tcPr>
          <w:p w:rsidR="00AE7868" w:rsidRDefault="00FF2B57">
            <w:pPr>
              <w:pStyle w:val="TableText"/>
            </w:pPr>
            <w:r>
              <w:t>Very low</w:t>
            </w:r>
          </w:p>
        </w:tc>
        <w:tc>
          <w:tcPr>
            <w:tcW w:w="772" w:type="pct"/>
            <w:shd w:val="clear" w:color="auto" w:fill="CCFFFF"/>
            <w:vAlign w:val="center"/>
          </w:tcPr>
          <w:p w:rsidR="00AE7868" w:rsidRDefault="00FF2B57">
            <w:pPr>
              <w:pStyle w:val="TableText"/>
            </w:pPr>
            <w:r>
              <w:t>Extremely low</w:t>
            </w:r>
          </w:p>
        </w:tc>
        <w:tc>
          <w:tcPr>
            <w:tcW w:w="624" w:type="pct"/>
            <w:tcBorders>
              <w:right w:val="single" w:sz="4" w:space="0" w:color="auto"/>
            </w:tcBorders>
            <w:shd w:val="clear" w:color="auto" w:fill="CCCCFF"/>
            <w:vAlign w:val="center"/>
          </w:tcPr>
          <w:p w:rsidR="00AE7868" w:rsidRDefault="00FF2B57">
            <w:pPr>
              <w:pStyle w:val="TableText"/>
            </w:pPr>
            <w:r>
              <w:t>Negligible</w:t>
            </w:r>
          </w:p>
        </w:tc>
      </w:tr>
      <w:tr w:rsidR="00AE7868">
        <w:trPr>
          <w:cantSplit/>
        </w:trPr>
        <w:tc>
          <w:tcPr>
            <w:tcW w:w="2834" w:type="pct"/>
            <w:gridSpan w:val="4"/>
            <w:tcBorders>
              <w:top w:val="single" w:sz="8" w:space="0" w:color="C0C0C0"/>
              <w:left w:val="single" w:sz="4" w:space="0" w:color="auto"/>
              <w:bottom w:val="single" w:sz="8" w:space="0" w:color="C0C0C0"/>
            </w:tcBorders>
            <w:vAlign w:val="center"/>
          </w:tcPr>
          <w:p w:rsidR="00AE7868" w:rsidRDefault="00FF2B57">
            <w:pPr>
              <w:pStyle w:val="TableHeading"/>
            </w:pPr>
            <w:r>
              <w:t>Very low</w:t>
            </w:r>
          </w:p>
        </w:tc>
        <w:tc>
          <w:tcPr>
            <w:tcW w:w="770" w:type="pct"/>
            <w:tcBorders>
              <w:bottom w:val="single" w:sz="8" w:space="0" w:color="C0C0C0"/>
            </w:tcBorders>
            <w:shd w:val="clear" w:color="auto" w:fill="CCFFFF"/>
            <w:vAlign w:val="center"/>
          </w:tcPr>
          <w:p w:rsidR="00AE7868" w:rsidRDefault="00FF2B57">
            <w:pPr>
              <w:pStyle w:val="TableText"/>
            </w:pPr>
            <w:r>
              <w:t>Extremely low</w:t>
            </w:r>
          </w:p>
        </w:tc>
        <w:tc>
          <w:tcPr>
            <w:tcW w:w="772" w:type="pct"/>
            <w:shd w:val="clear" w:color="auto" w:fill="CCFFFF"/>
            <w:vAlign w:val="center"/>
          </w:tcPr>
          <w:p w:rsidR="00AE7868" w:rsidRDefault="00FF2B57">
            <w:pPr>
              <w:pStyle w:val="TableText"/>
            </w:pPr>
            <w:r>
              <w:t>Extremely low</w:t>
            </w:r>
          </w:p>
        </w:tc>
        <w:tc>
          <w:tcPr>
            <w:tcW w:w="624" w:type="pct"/>
            <w:tcBorders>
              <w:right w:val="single" w:sz="4" w:space="0" w:color="auto"/>
            </w:tcBorders>
            <w:shd w:val="clear" w:color="auto" w:fill="CCCCFF"/>
            <w:vAlign w:val="center"/>
          </w:tcPr>
          <w:p w:rsidR="00AE7868" w:rsidRDefault="00FF2B57">
            <w:pPr>
              <w:pStyle w:val="TableText"/>
            </w:pPr>
            <w:r>
              <w:t>Negligible</w:t>
            </w:r>
          </w:p>
        </w:tc>
      </w:tr>
      <w:tr w:rsidR="00AE7868">
        <w:trPr>
          <w:cantSplit/>
        </w:trPr>
        <w:tc>
          <w:tcPr>
            <w:tcW w:w="3604" w:type="pct"/>
            <w:gridSpan w:val="5"/>
            <w:tcBorders>
              <w:top w:val="single" w:sz="8" w:space="0" w:color="C0C0C0"/>
              <w:left w:val="single" w:sz="4" w:space="0" w:color="auto"/>
              <w:bottom w:val="single" w:sz="8" w:space="0" w:color="C0C0C0"/>
            </w:tcBorders>
            <w:vAlign w:val="center"/>
          </w:tcPr>
          <w:p w:rsidR="00AE7868" w:rsidRDefault="00FF2B57">
            <w:pPr>
              <w:pStyle w:val="TableHeading"/>
            </w:pPr>
            <w:r>
              <w:t>Extremely low</w:t>
            </w:r>
          </w:p>
        </w:tc>
        <w:tc>
          <w:tcPr>
            <w:tcW w:w="772" w:type="pct"/>
            <w:tcBorders>
              <w:bottom w:val="single" w:sz="8" w:space="0" w:color="C0C0C0"/>
            </w:tcBorders>
            <w:shd w:val="clear" w:color="auto" w:fill="CCCCFF"/>
            <w:vAlign w:val="center"/>
          </w:tcPr>
          <w:p w:rsidR="00AE7868" w:rsidRDefault="00FF2B57">
            <w:pPr>
              <w:pStyle w:val="TableText"/>
            </w:pPr>
            <w:r>
              <w:t>Negligible</w:t>
            </w:r>
          </w:p>
        </w:tc>
        <w:tc>
          <w:tcPr>
            <w:tcW w:w="624" w:type="pct"/>
            <w:tcBorders>
              <w:right w:val="single" w:sz="4" w:space="0" w:color="auto"/>
            </w:tcBorders>
            <w:shd w:val="clear" w:color="auto" w:fill="CCCCFF"/>
            <w:vAlign w:val="center"/>
          </w:tcPr>
          <w:p w:rsidR="00AE7868" w:rsidRDefault="00FF2B57">
            <w:pPr>
              <w:pStyle w:val="TableText"/>
            </w:pPr>
            <w:r>
              <w:t>Negligible</w:t>
            </w:r>
          </w:p>
        </w:tc>
      </w:tr>
      <w:tr w:rsidR="00AE7868">
        <w:trPr>
          <w:cantSplit/>
        </w:trPr>
        <w:tc>
          <w:tcPr>
            <w:tcW w:w="4376" w:type="pct"/>
            <w:gridSpan w:val="6"/>
            <w:tcBorders>
              <w:top w:val="single" w:sz="8" w:space="0" w:color="C0C0C0"/>
              <w:left w:val="single" w:sz="4" w:space="0" w:color="auto"/>
              <w:bottom w:val="single" w:sz="4" w:space="0" w:color="auto"/>
            </w:tcBorders>
            <w:vAlign w:val="center"/>
          </w:tcPr>
          <w:p w:rsidR="00AE7868" w:rsidRDefault="00FF2B57">
            <w:pPr>
              <w:pStyle w:val="TableHeading"/>
            </w:pPr>
            <w:r>
              <w:t>Negligible</w:t>
            </w:r>
          </w:p>
        </w:tc>
        <w:tc>
          <w:tcPr>
            <w:tcW w:w="624" w:type="pct"/>
            <w:tcBorders>
              <w:bottom w:val="single" w:sz="4" w:space="0" w:color="auto"/>
              <w:right w:val="single" w:sz="4" w:space="0" w:color="auto"/>
            </w:tcBorders>
            <w:shd w:val="clear" w:color="auto" w:fill="CCCCFF"/>
            <w:vAlign w:val="center"/>
          </w:tcPr>
          <w:p w:rsidR="00AE7868" w:rsidRDefault="00FF2B57">
            <w:pPr>
              <w:pStyle w:val="TableText"/>
            </w:pPr>
            <w:r>
              <w:t>Negligible</w:t>
            </w:r>
          </w:p>
        </w:tc>
      </w:tr>
    </w:tbl>
    <w:p w:rsidR="00AE7868" w:rsidRDefault="00FF2B57">
      <w:pPr>
        <w:pStyle w:val="Heading5"/>
        <w:spacing w:before="200"/>
        <w:rPr>
          <w:b w:val="0"/>
          <w:i w:val="0"/>
        </w:rPr>
      </w:pPr>
      <w:r>
        <w:t>Time and volume of trade</w:t>
      </w:r>
    </w:p>
    <w:p w:rsidR="00AE7868" w:rsidRDefault="00FF2B57">
      <w:pPr>
        <w:spacing w:before="200"/>
        <w:rPr>
          <w:rFonts w:ascii="Cambria" w:hAnsi="Cambria"/>
        </w:rPr>
      </w:pPr>
      <w:r>
        <w:rPr>
          <w:rFonts w:ascii="Cambria" w:hAnsi="Cambria"/>
        </w:rPr>
        <w:t>One factor affecting the likelihood of entry is the volume and duration of trade. If all other conditions remain the same, the overall likelihood of entry will increase as time passes and the overall volume of trade increases.</w:t>
      </w:r>
    </w:p>
    <w:p w:rsidR="00AE7868" w:rsidRDefault="00FF2B57">
      <w:pPr>
        <w:spacing w:before="200"/>
        <w:rPr>
          <w:rFonts w:ascii="Cambria" w:hAnsi="Cambria"/>
        </w:rPr>
      </w:pPr>
      <w:r>
        <w:rPr>
          <w:rFonts w:ascii="Cambria" w:hAnsi="Cambria"/>
        </w:rPr>
        <w:t>The Department of Agriculture and Water Resources normally considers the likelihood of entry on the basis of the estimated volume of one year’s trade. However, in case of a high risk commodity, the volume of trade is restricted to certain numbers. Therefore, other factors listed in ISPM 11 (FAO 2013) may not be relevant to propagative material of a high risk commodity.</w:t>
      </w:r>
    </w:p>
    <w:p w:rsidR="00AE7868" w:rsidRDefault="00FF2B57">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125" w:name="_Toc437356012"/>
      <w:r>
        <w:rPr>
          <w:rFonts w:ascii="Calibri" w:hAnsi="Calibri" w:cstheme="minorBidi"/>
          <w:sz w:val="24"/>
          <w:szCs w:val="22"/>
        </w:rPr>
        <w:lastRenderedPageBreak/>
        <w:t>Assessment of potential consequences</w:t>
      </w:r>
      <w:bookmarkEnd w:id="125"/>
    </w:p>
    <w:p w:rsidR="00AE7868" w:rsidRDefault="00FF2B57">
      <w:pPr>
        <w:spacing w:before="200"/>
        <w:rPr>
          <w:rFonts w:ascii="Cambria" w:hAnsi="Cambria"/>
        </w:rPr>
      </w:pPr>
      <w:r>
        <w:rPr>
          <w:rFonts w:ascii="Cambria" w:hAnsi="Cambria"/>
        </w:rPr>
        <w:t>The objective of the consequence assessment is to provide a structured and transparent analysis of the potential consequences if the pest or disease agents were to enter, establish and spread in Australia. The assessment considers direct and indirect pest effects and their economic and environmental consequences. The requirements for assessing potential consequences are given in Article 5.3 of the SPS Agreement (WTO 1995), ISPM 5 (FAO 2015) and ISPM 11 (FAO 2013).</w:t>
      </w:r>
    </w:p>
    <w:p w:rsidR="00AE7868" w:rsidRDefault="00FF2B57">
      <w:pPr>
        <w:spacing w:before="200"/>
        <w:rPr>
          <w:rFonts w:ascii="Cambria" w:hAnsi="Cambria"/>
        </w:rPr>
      </w:pPr>
      <w:r>
        <w:rPr>
          <w:rFonts w:ascii="Cambria" w:hAnsi="Cambria"/>
        </w:rPr>
        <w:t>Direct pest effects are considered in the context of the effects on:</w:t>
      </w:r>
    </w:p>
    <w:p w:rsidR="00AE7868" w:rsidRDefault="00FF2B57">
      <w:pPr>
        <w:pStyle w:val="ListBullet"/>
        <w:tabs>
          <w:tab w:val="clear" w:pos="360"/>
          <w:tab w:val="num" w:pos="284"/>
        </w:tabs>
        <w:ind w:left="284" w:hanging="284"/>
        <w:rPr>
          <w:rFonts w:ascii="Cambria" w:hAnsi="Cambria"/>
        </w:rPr>
      </w:pPr>
      <w:r>
        <w:rPr>
          <w:rFonts w:ascii="Cambria" w:hAnsi="Cambria"/>
        </w:rPr>
        <w:t>plant life or health; and</w:t>
      </w:r>
    </w:p>
    <w:p w:rsidR="00AE7868" w:rsidRDefault="00FF2B57">
      <w:pPr>
        <w:pStyle w:val="ListBullet"/>
        <w:tabs>
          <w:tab w:val="clear" w:pos="360"/>
          <w:tab w:val="num" w:pos="284"/>
        </w:tabs>
        <w:ind w:left="284" w:hanging="284"/>
        <w:rPr>
          <w:rFonts w:ascii="Cambria" w:hAnsi="Cambria"/>
        </w:rPr>
      </w:pPr>
      <w:r>
        <w:rPr>
          <w:rFonts w:ascii="Cambria" w:hAnsi="Cambria"/>
        </w:rPr>
        <w:t>other aspects of the environment.</w:t>
      </w:r>
    </w:p>
    <w:p w:rsidR="00AE7868" w:rsidRDefault="00FF2B57">
      <w:pPr>
        <w:spacing w:before="200"/>
        <w:rPr>
          <w:rFonts w:ascii="Cambria" w:hAnsi="Cambria"/>
        </w:rPr>
      </w:pPr>
      <w:r>
        <w:rPr>
          <w:rFonts w:ascii="Cambria" w:hAnsi="Cambria"/>
        </w:rPr>
        <w:t>Indirect pest effects are considered in the context of the effects on:</w:t>
      </w:r>
    </w:p>
    <w:p w:rsidR="00AE7868" w:rsidRDefault="00FF2B57">
      <w:pPr>
        <w:pStyle w:val="ListBullet"/>
        <w:tabs>
          <w:tab w:val="clear" w:pos="360"/>
          <w:tab w:val="num" w:pos="284"/>
        </w:tabs>
        <w:ind w:left="284" w:hanging="284"/>
        <w:rPr>
          <w:rFonts w:ascii="Cambria" w:hAnsi="Cambria"/>
        </w:rPr>
      </w:pPr>
      <w:r>
        <w:rPr>
          <w:rFonts w:ascii="Cambria" w:hAnsi="Cambria"/>
        </w:rPr>
        <w:t>eradication or control;</w:t>
      </w:r>
    </w:p>
    <w:p w:rsidR="00AE7868" w:rsidRDefault="00FF2B57">
      <w:pPr>
        <w:pStyle w:val="ListBullet"/>
        <w:tabs>
          <w:tab w:val="clear" w:pos="360"/>
          <w:tab w:val="num" w:pos="284"/>
        </w:tabs>
        <w:ind w:left="284" w:hanging="284"/>
        <w:rPr>
          <w:rFonts w:ascii="Cambria" w:hAnsi="Cambria"/>
        </w:rPr>
      </w:pPr>
      <w:r>
        <w:rPr>
          <w:rFonts w:ascii="Cambria" w:hAnsi="Cambria"/>
        </w:rPr>
        <w:t>domestic trade;</w:t>
      </w:r>
    </w:p>
    <w:p w:rsidR="00AE7868" w:rsidRDefault="00FF2B57">
      <w:pPr>
        <w:pStyle w:val="ListBullet"/>
        <w:tabs>
          <w:tab w:val="clear" w:pos="360"/>
          <w:tab w:val="num" w:pos="284"/>
        </w:tabs>
        <w:ind w:left="284" w:hanging="284"/>
        <w:rPr>
          <w:rFonts w:ascii="Cambria" w:hAnsi="Cambria"/>
        </w:rPr>
      </w:pPr>
      <w:r>
        <w:rPr>
          <w:rFonts w:ascii="Cambria" w:hAnsi="Cambria"/>
        </w:rPr>
        <w:t>international trade; and</w:t>
      </w:r>
    </w:p>
    <w:p w:rsidR="00AE7868" w:rsidRDefault="00FF2B57">
      <w:pPr>
        <w:pStyle w:val="ListBullet"/>
        <w:tabs>
          <w:tab w:val="clear" w:pos="360"/>
          <w:tab w:val="num" w:pos="284"/>
        </w:tabs>
        <w:ind w:left="284" w:hanging="284"/>
        <w:rPr>
          <w:rFonts w:ascii="Cambria" w:hAnsi="Cambria"/>
        </w:rPr>
      </w:pPr>
      <w:r>
        <w:rPr>
          <w:rFonts w:ascii="Cambria" w:hAnsi="Cambria"/>
        </w:rPr>
        <w:t>the environment.</w:t>
      </w:r>
    </w:p>
    <w:p w:rsidR="00AE7868" w:rsidRDefault="00FF2B57">
      <w:pPr>
        <w:spacing w:before="200"/>
        <w:rPr>
          <w:rFonts w:ascii="Cambria" w:hAnsi="Cambria"/>
        </w:rPr>
      </w:pPr>
      <w:r>
        <w:rPr>
          <w:rFonts w:ascii="Cambria" w:hAnsi="Cambria"/>
        </w:rPr>
        <w:t>For each of these six criteria, the consequences were estimated over four geographic levels, defined as:</w:t>
      </w:r>
    </w:p>
    <w:p w:rsidR="00AE7868" w:rsidRDefault="00FF2B57">
      <w:pPr>
        <w:spacing w:before="200"/>
        <w:rPr>
          <w:rFonts w:ascii="Cambria" w:hAnsi="Cambria"/>
        </w:rPr>
      </w:pPr>
      <w:r>
        <w:rPr>
          <w:rFonts w:ascii="Cambria" w:hAnsi="Cambria"/>
          <w:b/>
        </w:rPr>
        <w:lastRenderedPageBreak/>
        <w:t>Local</w:t>
      </w:r>
      <w:r>
        <w:rPr>
          <w:rFonts w:ascii="Cambria" w:hAnsi="Cambria"/>
        </w:rPr>
        <w:t>: an aggregate of households or enterprises (a rural community, a town or a local government area).</w:t>
      </w:r>
    </w:p>
    <w:p w:rsidR="00AE7868" w:rsidRDefault="00FF2B57">
      <w:pPr>
        <w:spacing w:before="200"/>
        <w:rPr>
          <w:rFonts w:ascii="Cambria" w:hAnsi="Cambria"/>
        </w:rPr>
      </w:pPr>
      <w:r>
        <w:rPr>
          <w:rFonts w:ascii="Cambria" w:hAnsi="Cambria"/>
          <w:b/>
        </w:rPr>
        <w:t>District</w:t>
      </w:r>
      <w:r>
        <w:rPr>
          <w:rFonts w:ascii="Cambria" w:hAnsi="Cambria"/>
        </w:rPr>
        <w:t>: a geographically or geopolitically associated collection of aggregates (generally a recognised section of a state or territory, such as ‘Far North Queensland’).</w:t>
      </w:r>
    </w:p>
    <w:p w:rsidR="00AE7868" w:rsidRDefault="00FF2B57">
      <w:pPr>
        <w:spacing w:before="200"/>
        <w:rPr>
          <w:rFonts w:ascii="Cambria" w:hAnsi="Cambria"/>
        </w:rPr>
      </w:pPr>
      <w:r>
        <w:rPr>
          <w:rFonts w:ascii="Cambria" w:hAnsi="Cambria"/>
          <w:b/>
        </w:rPr>
        <w:t>Regional</w:t>
      </w:r>
      <w:r>
        <w:rPr>
          <w:rFonts w:ascii="Cambria" w:hAnsi="Cambria"/>
        </w:rPr>
        <w:t>: a geographically or geopolitically associated collection of districts in a geographic area (generally a state or territory, although there may be exceptions with larger states such as Western Australia).</w:t>
      </w:r>
    </w:p>
    <w:p w:rsidR="00AE7868" w:rsidRDefault="00FF2B57">
      <w:pPr>
        <w:spacing w:before="200"/>
        <w:rPr>
          <w:rFonts w:ascii="Cambria" w:hAnsi="Cambria"/>
        </w:rPr>
      </w:pPr>
      <w:r>
        <w:rPr>
          <w:rFonts w:ascii="Cambria" w:hAnsi="Cambria"/>
          <w:b/>
        </w:rPr>
        <w:t>National</w:t>
      </w:r>
      <w:r>
        <w:rPr>
          <w:rFonts w:ascii="Cambria" w:hAnsi="Cambria"/>
        </w:rPr>
        <w:t>: Australia wide (Australian mainland states, territories and Tasmania).</w:t>
      </w:r>
    </w:p>
    <w:p w:rsidR="00AE7868" w:rsidRDefault="00FF2B57">
      <w:pPr>
        <w:spacing w:before="200"/>
        <w:rPr>
          <w:rFonts w:ascii="Cambria" w:hAnsi="Cambria"/>
        </w:rPr>
      </w:pPr>
      <w:r>
        <w:rPr>
          <w:rFonts w:ascii="Cambria" w:hAnsi="Cambria"/>
        </w:rPr>
        <w:t>For each criterion, the magnitude of the potential consequence at each of these levels was described using four categories, defined as:</w:t>
      </w:r>
    </w:p>
    <w:p w:rsidR="00AE7868" w:rsidRDefault="00FF2B57">
      <w:pPr>
        <w:spacing w:before="200"/>
        <w:rPr>
          <w:rFonts w:ascii="Cambria" w:hAnsi="Cambria"/>
        </w:rPr>
      </w:pPr>
      <w:r>
        <w:rPr>
          <w:rFonts w:ascii="Cambria" w:hAnsi="Cambria"/>
          <w:b/>
        </w:rPr>
        <w:t>Indiscernible</w:t>
      </w:r>
      <w:r>
        <w:rPr>
          <w:rFonts w:ascii="Cambria" w:hAnsi="Cambria"/>
        </w:rPr>
        <w:t>: pest impact unlikely to be noticeable.</w:t>
      </w:r>
    </w:p>
    <w:p w:rsidR="00AE7868" w:rsidRDefault="00FF2B57">
      <w:pPr>
        <w:spacing w:before="200"/>
        <w:rPr>
          <w:rFonts w:ascii="Cambria" w:hAnsi="Cambria"/>
        </w:rPr>
      </w:pPr>
      <w:r>
        <w:rPr>
          <w:rFonts w:ascii="Cambria" w:hAnsi="Cambria"/>
          <w:b/>
        </w:rPr>
        <w:t>Minor</w:t>
      </w:r>
      <w:r>
        <w:rPr>
          <w:rFonts w:ascii="Cambria" w:hAnsi="Cambria"/>
        </w:rPr>
        <w:t xml:space="preserve"> </w:t>
      </w:r>
      <w:r>
        <w:rPr>
          <w:rFonts w:ascii="Cambria" w:hAnsi="Cambria"/>
          <w:b/>
        </w:rPr>
        <w:t>significance</w:t>
      </w:r>
      <w:r>
        <w:rPr>
          <w:rFonts w:ascii="Cambria" w:hAnsi="Cambria"/>
        </w:rPr>
        <w:t>: 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rsidR="00AE7868" w:rsidRDefault="00FF2B57">
      <w:pPr>
        <w:spacing w:before="200"/>
        <w:rPr>
          <w:rFonts w:ascii="Cambria" w:hAnsi="Cambria"/>
        </w:rPr>
      </w:pPr>
      <w:r>
        <w:rPr>
          <w:rFonts w:ascii="Cambria" w:hAnsi="Cambria"/>
          <w:b/>
        </w:rPr>
        <w:t>Significant</w:t>
      </w:r>
      <w:r>
        <w:rPr>
          <w:rFonts w:ascii="Cambria" w:hAnsi="Cambria"/>
        </w:rPr>
        <w:t xml:space="preserve">: expected to threaten the economic viability of production through a moderate increase in mortality/morbidity of hosts, or a moderate decrease in production. Expected to significantly diminish </w:t>
      </w:r>
      <w:r>
        <w:rPr>
          <w:rFonts w:ascii="Cambria" w:hAnsi="Cambria"/>
        </w:rPr>
        <w:lastRenderedPageBreak/>
        <w:t>or threaten the intrinsic value of non-commercial criteria. Effects may not be reversible.</w:t>
      </w:r>
    </w:p>
    <w:p w:rsidR="00AE7868" w:rsidRDefault="00FF2B57">
      <w:pPr>
        <w:spacing w:before="200"/>
        <w:rPr>
          <w:rFonts w:ascii="Cambria" w:hAnsi="Cambria"/>
        </w:rPr>
      </w:pPr>
      <w:r>
        <w:rPr>
          <w:rFonts w:ascii="Cambria" w:hAnsi="Cambria"/>
          <w:b/>
        </w:rPr>
        <w:t>Major</w:t>
      </w:r>
      <w:r>
        <w:rPr>
          <w:rFonts w:ascii="Cambria" w:hAnsi="Cambria"/>
        </w:rPr>
        <w:t xml:space="preserve"> </w:t>
      </w:r>
      <w:r>
        <w:rPr>
          <w:rFonts w:ascii="Cambria" w:hAnsi="Cambria"/>
          <w:b/>
        </w:rPr>
        <w:t>significance</w:t>
      </w:r>
      <w:r>
        <w:rPr>
          <w:rFonts w:ascii="Cambria" w:hAnsi="Cambria"/>
        </w:rPr>
        <w:t>: expected to threaten the economic viability through a large increase in mortality/morbidity of hosts, or a large decrease in production. Expected to severely or irreversibly damage the intrinsic ‘value’ of non-commercial criteria.</w:t>
      </w:r>
    </w:p>
    <w:p w:rsidR="00AE7868" w:rsidRDefault="00FF2B57">
      <w:pPr>
        <w:spacing w:before="200"/>
        <w:rPr>
          <w:rFonts w:ascii="Cambria" w:hAnsi="Cambria"/>
        </w:rPr>
      </w:pPr>
      <w:r>
        <w:rPr>
          <w:rFonts w:ascii="Cambria" w:hAnsi="Cambria"/>
        </w:rPr>
        <w:t>The estimates of the magnitude of the potential consequences over the four geographic levels were translated into a qualitative impact score (A–G) using Table 4. For example, a consequence with a magnitude of ‘significant’ at the ‘district’ level will have a consequence impact score of D.</w:t>
      </w:r>
    </w:p>
    <w:p w:rsidR="00AE7868" w:rsidRDefault="00FF2B57">
      <w:pPr>
        <w:pStyle w:val="Caption"/>
        <w:keepLines/>
        <w:rPr>
          <w:rFonts w:asciiTheme="majorHAnsi" w:eastAsiaTheme="majorEastAsia" w:hAnsiTheme="majorHAnsi" w:cstheme="majorBidi"/>
          <w:color w:val="595959" w:themeColor="text1" w:themeTint="A6"/>
          <w:sz w:val="20"/>
        </w:rPr>
      </w:pPr>
      <w:bookmarkStart w:id="126" w:name="_Toc384197746"/>
      <w:bookmarkStart w:id="127" w:name="_Toc384209834"/>
      <w:bookmarkStart w:id="128" w:name="_Toc384275078"/>
      <w:bookmarkStart w:id="129" w:name="_Toc388949919"/>
      <w:bookmarkStart w:id="130" w:name="_Toc418712908"/>
      <w:bookmarkStart w:id="131" w:name="_Toc421786689"/>
      <w:bookmarkStart w:id="132" w:name="_Toc428785198"/>
      <w:bookmarkStart w:id="133" w:name="_Toc428786307"/>
      <w:bookmarkStart w:id="134" w:name="_Toc429494606"/>
      <w:bookmarkStart w:id="135" w:name="_Toc430256519"/>
      <w:bookmarkStart w:id="136" w:name="_Toc433707318"/>
      <w:bookmarkStart w:id="137" w:name="_Toc433796482"/>
      <w:bookmarkStart w:id="138" w:name="_Toc437355945"/>
      <w:bookmarkStart w:id="139" w:name="_Toc437355977"/>
      <w:r>
        <w:rPr>
          <w:rFonts w:asciiTheme="majorHAnsi" w:eastAsiaTheme="majorEastAsia" w:hAnsiTheme="majorHAnsi" w:cstheme="majorBidi"/>
          <w:color w:val="595959" w:themeColor="text1" w:themeTint="A6"/>
          <w:sz w:val="20"/>
        </w:rPr>
        <w:t xml:space="preserve">Table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4</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Decision rules for determining the consequence impact score based on the magnitude of consequences at four geographic scales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tbl>
      <w:tblPr>
        <w:tblW w:w="4942" w:type="pct"/>
        <w:tblInd w:w="10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991"/>
        <w:gridCol w:w="1741"/>
        <w:gridCol w:w="1741"/>
        <w:gridCol w:w="1739"/>
        <w:gridCol w:w="1743"/>
      </w:tblGrid>
      <w:tr w:rsidR="00AE7868">
        <w:trPr>
          <w:cantSplit/>
        </w:trPr>
        <w:tc>
          <w:tcPr>
            <w:tcW w:w="1112" w:type="pct"/>
            <w:vMerge w:val="restart"/>
            <w:tcBorders>
              <w:top w:val="single" w:sz="4" w:space="0" w:color="000000" w:themeColor="text1"/>
              <w:left w:val="single" w:sz="4" w:space="0" w:color="000000" w:themeColor="text1"/>
              <w:bottom w:val="nil"/>
              <w:right w:val="nil"/>
              <w:tl2br w:val="nil"/>
            </w:tcBorders>
            <w:vAlign w:val="bottom"/>
          </w:tcPr>
          <w:p w:rsidR="00AE7868" w:rsidRDefault="00FF2B57">
            <w:pPr>
              <w:pStyle w:val="TableHeading"/>
            </w:pPr>
            <w:r>
              <w:t>Magnitude</w:t>
            </w:r>
          </w:p>
        </w:tc>
        <w:tc>
          <w:tcPr>
            <w:tcW w:w="3888" w:type="pct"/>
            <w:gridSpan w:val="4"/>
            <w:tcBorders>
              <w:top w:val="single" w:sz="4" w:space="0" w:color="000000" w:themeColor="text1"/>
              <w:left w:val="nil"/>
              <w:bottom w:val="single" w:sz="4" w:space="0" w:color="BFBFBF" w:themeColor="background1" w:themeShade="BF"/>
              <w:right w:val="single" w:sz="4" w:space="0" w:color="000000" w:themeColor="text1"/>
            </w:tcBorders>
          </w:tcPr>
          <w:p w:rsidR="00AE7868" w:rsidRDefault="00FF2B57">
            <w:pPr>
              <w:pStyle w:val="TableHeading"/>
              <w:jc w:val="center"/>
            </w:pPr>
            <w:r>
              <w:t>Geographic scale</w:t>
            </w:r>
          </w:p>
        </w:tc>
      </w:tr>
      <w:tr w:rsidR="00AE7868">
        <w:trPr>
          <w:cantSplit/>
        </w:trPr>
        <w:tc>
          <w:tcPr>
            <w:tcW w:w="1112" w:type="pct"/>
            <w:vMerge/>
            <w:tcBorders>
              <w:top w:val="single" w:sz="4" w:space="0" w:color="auto"/>
              <w:left w:val="single" w:sz="4" w:space="0" w:color="000000" w:themeColor="text1"/>
              <w:bottom w:val="single" w:sz="4" w:space="0" w:color="BFBFBF" w:themeColor="background1" w:themeShade="BF"/>
              <w:right w:val="nil"/>
              <w:tl2br w:val="nil"/>
            </w:tcBorders>
          </w:tcPr>
          <w:p w:rsidR="00AE7868" w:rsidRDefault="00AE7868">
            <w:pPr>
              <w:pStyle w:val="TableText"/>
            </w:pPr>
          </w:p>
        </w:tc>
        <w:tc>
          <w:tcPr>
            <w:tcW w:w="972" w:type="pct"/>
            <w:tcBorders>
              <w:top w:val="single" w:sz="4" w:space="0" w:color="BFBFBF" w:themeColor="background1" w:themeShade="BF"/>
              <w:left w:val="nil"/>
              <w:bottom w:val="single" w:sz="4" w:space="0" w:color="BFBFBF" w:themeColor="background1" w:themeShade="BF"/>
            </w:tcBorders>
          </w:tcPr>
          <w:p w:rsidR="00AE7868" w:rsidRDefault="00FF2B57">
            <w:pPr>
              <w:pStyle w:val="TableText"/>
            </w:pPr>
            <w:r>
              <w:t>Local</w:t>
            </w:r>
          </w:p>
        </w:tc>
        <w:tc>
          <w:tcPr>
            <w:tcW w:w="972" w:type="pct"/>
            <w:tcBorders>
              <w:top w:val="single" w:sz="4" w:space="0" w:color="BFBFBF" w:themeColor="background1" w:themeShade="BF"/>
              <w:bottom w:val="single" w:sz="4" w:space="0" w:color="BFBFBF" w:themeColor="background1" w:themeShade="BF"/>
            </w:tcBorders>
          </w:tcPr>
          <w:p w:rsidR="00AE7868" w:rsidRDefault="00FF2B57">
            <w:pPr>
              <w:pStyle w:val="TableText"/>
            </w:pPr>
            <w:r>
              <w:t>District</w:t>
            </w:r>
          </w:p>
        </w:tc>
        <w:tc>
          <w:tcPr>
            <w:tcW w:w="971" w:type="pct"/>
            <w:tcBorders>
              <w:top w:val="single" w:sz="4" w:space="0" w:color="BFBFBF" w:themeColor="background1" w:themeShade="BF"/>
              <w:bottom w:val="single" w:sz="4" w:space="0" w:color="BFBFBF" w:themeColor="background1" w:themeShade="BF"/>
            </w:tcBorders>
          </w:tcPr>
          <w:p w:rsidR="00AE7868" w:rsidRDefault="00FF2B57">
            <w:pPr>
              <w:pStyle w:val="TableText"/>
            </w:pPr>
            <w:r>
              <w:t>Region</w:t>
            </w:r>
          </w:p>
        </w:tc>
        <w:tc>
          <w:tcPr>
            <w:tcW w:w="971" w:type="pct"/>
            <w:tcBorders>
              <w:top w:val="single" w:sz="4" w:space="0" w:color="BFBFBF" w:themeColor="background1" w:themeShade="BF"/>
              <w:bottom w:val="single" w:sz="4" w:space="0" w:color="BFBFBF" w:themeColor="background1" w:themeShade="BF"/>
              <w:right w:val="single" w:sz="4" w:space="0" w:color="000000" w:themeColor="text1"/>
            </w:tcBorders>
          </w:tcPr>
          <w:p w:rsidR="00AE7868" w:rsidRDefault="00FF2B57">
            <w:pPr>
              <w:pStyle w:val="TableText"/>
            </w:pPr>
            <w:r>
              <w:t>Nation</w:t>
            </w:r>
          </w:p>
        </w:tc>
      </w:tr>
      <w:tr w:rsidR="00AE7868">
        <w:trPr>
          <w:cantSplit/>
        </w:trPr>
        <w:tc>
          <w:tcPr>
            <w:tcW w:w="1112"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AE7868" w:rsidRDefault="00FF2B57">
            <w:pPr>
              <w:pStyle w:val="TableText"/>
            </w:pPr>
            <w:r>
              <w:t>Indiscernible</w:t>
            </w:r>
          </w:p>
        </w:tc>
        <w:tc>
          <w:tcPr>
            <w:tcW w:w="9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AE7868" w:rsidRDefault="00FF2B57">
            <w:pPr>
              <w:pStyle w:val="TableText0"/>
              <w:rPr>
                <w:rFonts w:asciiTheme="majorHAnsi" w:hAnsiTheme="majorHAnsi"/>
                <w:sz w:val="18"/>
                <w:szCs w:val="18"/>
              </w:rPr>
            </w:pPr>
            <w:r>
              <w:rPr>
                <w:rFonts w:asciiTheme="majorHAnsi" w:hAnsiTheme="majorHAnsi"/>
                <w:sz w:val="18"/>
                <w:szCs w:val="18"/>
              </w:rPr>
              <w:t>A</w:t>
            </w:r>
          </w:p>
        </w:tc>
        <w:tc>
          <w:tcPr>
            <w:tcW w:w="9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AE7868" w:rsidRDefault="00FF2B57">
            <w:pPr>
              <w:pStyle w:val="TableText"/>
            </w:pPr>
            <w:r>
              <w:t>A</w:t>
            </w:r>
          </w:p>
        </w:tc>
        <w:tc>
          <w:tcPr>
            <w:tcW w:w="9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AE7868" w:rsidRDefault="00FF2B57">
            <w:pPr>
              <w:pStyle w:val="TableText"/>
            </w:pPr>
            <w:r>
              <w:t>A</w:t>
            </w:r>
          </w:p>
        </w:tc>
        <w:tc>
          <w:tcPr>
            <w:tcW w:w="9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rsidR="00AE7868" w:rsidRDefault="00FF2B57">
            <w:pPr>
              <w:pStyle w:val="TableText"/>
            </w:pPr>
            <w:r>
              <w:t>A</w:t>
            </w:r>
          </w:p>
        </w:tc>
      </w:tr>
      <w:tr w:rsidR="00AE7868">
        <w:trPr>
          <w:cantSplit/>
        </w:trPr>
        <w:tc>
          <w:tcPr>
            <w:tcW w:w="1112"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AE7868" w:rsidRDefault="00FF2B57">
            <w:pPr>
              <w:pStyle w:val="TableText"/>
            </w:pPr>
            <w:r>
              <w:t>Minor significance</w:t>
            </w:r>
          </w:p>
        </w:tc>
        <w:tc>
          <w:tcPr>
            <w:tcW w:w="9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rsidR="00AE7868" w:rsidRDefault="00FF2B57">
            <w:pPr>
              <w:pStyle w:val="TableText0"/>
              <w:rPr>
                <w:rFonts w:ascii="Cambria" w:hAnsi="Cambria" w:cs="Arial"/>
                <w:snapToGrid w:val="0"/>
                <w:sz w:val="18"/>
                <w:szCs w:val="18"/>
              </w:rPr>
            </w:pPr>
            <w:r>
              <w:rPr>
                <w:rFonts w:ascii="Cambria" w:hAnsi="Cambria" w:cs="Arial"/>
                <w:snapToGrid w:val="0"/>
                <w:sz w:val="18"/>
                <w:szCs w:val="18"/>
              </w:rPr>
              <w:t>B</w:t>
            </w:r>
          </w:p>
        </w:tc>
        <w:tc>
          <w:tcPr>
            <w:tcW w:w="9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rsidR="00AE7868" w:rsidRDefault="00FF2B57">
            <w:pPr>
              <w:pStyle w:val="TableText0"/>
              <w:rPr>
                <w:rFonts w:ascii="Cambria" w:hAnsi="Cambria" w:cs="Arial"/>
                <w:snapToGrid w:val="0"/>
                <w:sz w:val="18"/>
                <w:szCs w:val="18"/>
              </w:rPr>
            </w:pPr>
            <w:r>
              <w:rPr>
                <w:rFonts w:ascii="Cambria" w:hAnsi="Cambria" w:cs="Arial"/>
                <w:snapToGrid w:val="0"/>
                <w:sz w:val="18"/>
                <w:szCs w:val="18"/>
              </w:rPr>
              <w:t>C</w:t>
            </w:r>
          </w:p>
        </w:tc>
        <w:tc>
          <w:tcPr>
            <w:tcW w:w="9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rsidR="00AE7868" w:rsidRDefault="00FF2B57">
            <w:pPr>
              <w:pStyle w:val="TableText0"/>
              <w:rPr>
                <w:rFonts w:ascii="Cambria" w:hAnsi="Cambria" w:cs="Arial"/>
                <w:snapToGrid w:val="0"/>
                <w:sz w:val="18"/>
                <w:szCs w:val="18"/>
              </w:rPr>
            </w:pPr>
            <w:r>
              <w:rPr>
                <w:rFonts w:ascii="Cambria" w:hAnsi="Cambria" w:cs="Arial"/>
                <w:snapToGrid w:val="0"/>
                <w:sz w:val="18"/>
                <w:szCs w:val="18"/>
              </w:rPr>
              <w:t>D</w:t>
            </w:r>
          </w:p>
        </w:tc>
        <w:tc>
          <w:tcPr>
            <w:tcW w:w="9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rsidR="00AE7868" w:rsidRDefault="00FF2B57">
            <w:pPr>
              <w:pStyle w:val="TableText"/>
            </w:pPr>
            <w:r>
              <w:t>E</w:t>
            </w:r>
          </w:p>
        </w:tc>
      </w:tr>
      <w:tr w:rsidR="00AE7868">
        <w:trPr>
          <w:cantSplit/>
        </w:trPr>
        <w:tc>
          <w:tcPr>
            <w:tcW w:w="1112"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AE7868" w:rsidRDefault="00FF2B57">
            <w:pPr>
              <w:pStyle w:val="TableText"/>
            </w:pPr>
            <w:r>
              <w:t>Significant</w:t>
            </w:r>
          </w:p>
        </w:tc>
        <w:tc>
          <w:tcPr>
            <w:tcW w:w="972"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rsidR="00AE7868" w:rsidRDefault="00FF2B57">
            <w:pPr>
              <w:pStyle w:val="TableText0"/>
              <w:rPr>
                <w:rFonts w:ascii="Cambria" w:hAnsi="Cambria" w:cs="Arial"/>
                <w:snapToGrid w:val="0"/>
                <w:sz w:val="18"/>
                <w:szCs w:val="18"/>
              </w:rPr>
            </w:pPr>
            <w:r>
              <w:rPr>
                <w:rFonts w:ascii="Cambria" w:hAnsi="Cambria" w:cs="Arial"/>
                <w:snapToGrid w:val="0"/>
                <w:sz w:val="18"/>
                <w:szCs w:val="18"/>
              </w:rPr>
              <w:t>C</w:t>
            </w:r>
          </w:p>
        </w:tc>
        <w:tc>
          <w:tcPr>
            <w:tcW w:w="972"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rsidR="00AE7868" w:rsidRDefault="00FF2B57">
            <w:pPr>
              <w:pStyle w:val="TableText0"/>
              <w:rPr>
                <w:rFonts w:ascii="Cambria" w:hAnsi="Cambria" w:cs="Arial"/>
                <w:snapToGrid w:val="0"/>
                <w:sz w:val="18"/>
                <w:szCs w:val="18"/>
              </w:rPr>
            </w:pPr>
            <w:r>
              <w:rPr>
                <w:rFonts w:ascii="Cambria" w:hAnsi="Cambria" w:cs="Arial"/>
                <w:snapToGrid w:val="0"/>
                <w:sz w:val="18"/>
                <w:szCs w:val="18"/>
              </w:rPr>
              <w:t>D</w:t>
            </w:r>
          </w:p>
        </w:tc>
        <w:tc>
          <w:tcPr>
            <w:tcW w:w="97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rsidR="00AE7868" w:rsidRDefault="00FF2B57">
            <w:pPr>
              <w:pStyle w:val="TableText"/>
            </w:pPr>
            <w:r>
              <w:t>E</w:t>
            </w:r>
          </w:p>
        </w:tc>
        <w:tc>
          <w:tcPr>
            <w:tcW w:w="97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rsidR="00AE7868" w:rsidRDefault="00FF2B57">
            <w:pPr>
              <w:pStyle w:val="TableText"/>
            </w:pPr>
            <w:r>
              <w:t>F</w:t>
            </w:r>
          </w:p>
        </w:tc>
      </w:tr>
      <w:tr w:rsidR="00AE7868">
        <w:trPr>
          <w:cantSplit/>
        </w:trPr>
        <w:tc>
          <w:tcPr>
            <w:tcW w:w="1112"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rsidR="00AE7868" w:rsidRDefault="00FF2B57">
            <w:pPr>
              <w:pStyle w:val="TableText"/>
            </w:pPr>
            <w:r>
              <w:t>Major significance</w:t>
            </w:r>
          </w:p>
        </w:tc>
        <w:tc>
          <w:tcPr>
            <w:tcW w:w="972"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rsidR="00AE7868" w:rsidRDefault="00FF2B57">
            <w:pPr>
              <w:pStyle w:val="TableText0"/>
              <w:rPr>
                <w:rFonts w:ascii="Cambria" w:hAnsi="Cambria" w:cs="Arial"/>
                <w:snapToGrid w:val="0"/>
                <w:sz w:val="18"/>
                <w:szCs w:val="18"/>
              </w:rPr>
            </w:pPr>
            <w:r>
              <w:rPr>
                <w:rFonts w:ascii="Cambria" w:hAnsi="Cambria" w:cs="Arial"/>
                <w:snapToGrid w:val="0"/>
                <w:sz w:val="18"/>
                <w:szCs w:val="18"/>
              </w:rPr>
              <w:t>D</w:t>
            </w:r>
          </w:p>
        </w:tc>
        <w:tc>
          <w:tcPr>
            <w:tcW w:w="972"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rsidR="00AE7868" w:rsidRDefault="00FF2B57">
            <w:pPr>
              <w:pStyle w:val="TableText0"/>
            </w:pPr>
            <w:r>
              <w:rPr>
                <w:rFonts w:ascii="Cambria" w:hAnsi="Cambria" w:cs="Arial"/>
                <w:snapToGrid w:val="0"/>
                <w:sz w:val="18"/>
                <w:szCs w:val="18"/>
              </w:rPr>
              <w:t>E</w:t>
            </w:r>
          </w:p>
        </w:tc>
        <w:tc>
          <w:tcPr>
            <w:tcW w:w="97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rsidR="00AE7868" w:rsidRDefault="00FF2B57">
            <w:pPr>
              <w:pStyle w:val="TableText"/>
            </w:pPr>
            <w:r>
              <w:t>F</w:t>
            </w:r>
          </w:p>
        </w:tc>
        <w:tc>
          <w:tcPr>
            <w:tcW w:w="97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rsidR="00AE7868" w:rsidRDefault="00FF2B57">
            <w:pPr>
              <w:pStyle w:val="TableText"/>
            </w:pPr>
            <w:r>
              <w:t>G</w:t>
            </w:r>
          </w:p>
        </w:tc>
      </w:tr>
    </w:tbl>
    <w:p w:rsidR="00AE7868" w:rsidRDefault="00FF2B57">
      <w:pPr>
        <w:pStyle w:val="FigureTableNoteSource"/>
        <w:spacing w:before="200" w:after="120" w:line="276" w:lineRule="auto"/>
      </w:pPr>
      <w:r>
        <w:t xml:space="preserve">Note: In earlier qualitative PRAs, the scale for the impact scores went from A to F and did not explicitly allow for the rating ‘indiscernible’ at all four levels. This combination might be applicable for some criteria. In this report, the impact scale of A to F has been </w:t>
      </w:r>
      <w:r>
        <w:lastRenderedPageBreak/>
        <w:t>changed to become B</w:t>
      </w:r>
      <w:r>
        <w:noBreakHyphen/>
        <w:t>G and a new lowest category A (‘indiscernible’ at all four levels) was added. The rules for combining impacts in Table 5 were adjusted accordingly.</w:t>
      </w:r>
    </w:p>
    <w:p w:rsidR="00AE7868" w:rsidRDefault="00FF2B57">
      <w:pPr>
        <w:spacing w:before="200"/>
        <w:rPr>
          <w:rFonts w:ascii="Cambria" w:hAnsi="Cambria"/>
        </w:rPr>
      </w:pPr>
      <w:r>
        <w:rPr>
          <w:rFonts w:ascii="Cambria" w:hAnsi="Cambria"/>
        </w:rPr>
        <w:t>The overall consequence for each pest is achieved by combining the qualitative impact scores (A–G) for each direct and indirect consequence using a series of decision rules (Table 5). These rules are mutually exclusive, and are assessed in numerical order until one applies.</w:t>
      </w:r>
    </w:p>
    <w:p w:rsidR="00AE7868" w:rsidRDefault="00FF2B57">
      <w:pPr>
        <w:pStyle w:val="Caption"/>
        <w:keepNext w:val="0"/>
        <w:spacing w:before="120"/>
        <w:rPr>
          <w:rFonts w:asciiTheme="majorHAnsi" w:eastAsiaTheme="majorEastAsia" w:hAnsiTheme="majorHAnsi" w:cstheme="majorBidi"/>
          <w:color w:val="595959" w:themeColor="text1" w:themeTint="A6"/>
          <w:sz w:val="20"/>
        </w:rPr>
      </w:pPr>
      <w:bookmarkStart w:id="140" w:name="_Toc384197747"/>
      <w:bookmarkStart w:id="141" w:name="_Toc384209835"/>
      <w:bookmarkStart w:id="142" w:name="_Toc384275079"/>
      <w:bookmarkStart w:id="143" w:name="_Toc388949920"/>
      <w:bookmarkStart w:id="144" w:name="_Toc418712909"/>
      <w:bookmarkStart w:id="145" w:name="_Toc421786690"/>
      <w:bookmarkStart w:id="146" w:name="_Toc428785199"/>
      <w:bookmarkStart w:id="147" w:name="_Toc428786308"/>
      <w:bookmarkStart w:id="148" w:name="_Toc429494607"/>
      <w:bookmarkStart w:id="149" w:name="_Toc430256520"/>
      <w:bookmarkStart w:id="150" w:name="_Toc433707319"/>
      <w:bookmarkStart w:id="151" w:name="_Toc433796483"/>
      <w:bookmarkStart w:id="152" w:name="_Toc437355946"/>
      <w:bookmarkStart w:id="153" w:name="_Toc437355978"/>
      <w:r>
        <w:rPr>
          <w:rFonts w:asciiTheme="majorHAnsi" w:eastAsiaTheme="majorEastAsia" w:hAnsiTheme="majorHAnsi" w:cstheme="majorBidi"/>
          <w:color w:val="595959" w:themeColor="text1" w:themeTint="A6"/>
          <w:sz w:val="20"/>
        </w:rPr>
        <w:t xml:space="preserve">Table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5</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Decision rules for determining the overall consequence rating for each pest</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AE7868">
        <w:trPr>
          <w:trHeight w:val="414"/>
        </w:trPr>
        <w:tc>
          <w:tcPr>
            <w:tcW w:w="440" w:type="pct"/>
          </w:tcPr>
          <w:p w:rsidR="00AE7868" w:rsidRDefault="00FF2B57">
            <w:pPr>
              <w:pStyle w:val="TableHeading"/>
              <w:rPr>
                <w:rFonts w:ascii="Cambria" w:hAnsi="Cambria"/>
              </w:rPr>
            </w:pPr>
            <w:r>
              <w:rPr>
                <w:rFonts w:ascii="Cambria" w:hAnsi="Cambria"/>
              </w:rPr>
              <w:t>Rule</w:t>
            </w:r>
          </w:p>
        </w:tc>
        <w:tc>
          <w:tcPr>
            <w:tcW w:w="3206" w:type="pct"/>
          </w:tcPr>
          <w:p w:rsidR="00AE7868" w:rsidRDefault="00FF2B57">
            <w:pPr>
              <w:pStyle w:val="TableHeading"/>
              <w:rPr>
                <w:rFonts w:ascii="Cambria" w:hAnsi="Cambria"/>
              </w:rPr>
            </w:pPr>
            <w:r>
              <w:rPr>
                <w:rFonts w:ascii="Cambria" w:hAnsi="Cambria"/>
              </w:rPr>
              <w:t>The impact scores for consequences of direct and indirect criteria</w:t>
            </w:r>
          </w:p>
        </w:tc>
        <w:tc>
          <w:tcPr>
            <w:tcW w:w="1354" w:type="pct"/>
          </w:tcPr>
          <w:p w:rsidR="00AE7868" w:rsidRDefault="00FF2B57">
            <w:pPr>
              <w:pStyle w:val="TableHeading"/>
              <w:rPr>
                <w:rFonts w:ascii="Cambria" w:hAnsi="Cambria"/>
              </w:rPr>
            </w:pPr>
            <w:r>
              <w:rPr>
                <w:rFonts w:ascii="Cambria" w:hAnsi="Cambria"/>
              </w:rPr>
              <w:t>Overall consequence rating</w:t>
            </w:r>
          </w:p>
        </w:tc>
      </w:tr>
      <w:tr w:rsidR="00AE7868">
        <w:trPr>
          <w:trHeight w:val="414"/>
        </w:trPr>
        <w:tc>
          <w:tcPr>
            <w:tcW w:w="440" w:type="pct"/>
          </w:tcPr>
          <w:p w:rsidR="00AE7868" w:rsidRDefault="00FF2B57">
            <w:pPr>
              <w:pStyle w:val="TableText"/>
              <w:rPr>
                <w:rFonts w:ascii="Cambria" w:hAnsi="Cambria"/>
              </w:rPr>
            </w:pPr>
            <w:r>
              <w:rPr>
                <w:rFonts w:ascii="Cambria" w:hAnsi="Cambria"/>
              </w:rPr>
              <w:t>1</w:t>
            </w:r>
          </w:p>
        </w:tc>
        <w:tc>
          <w:tcPr>
            <w:tcW w:w="3206" w:type="pct"/>
          </w:tcPr>
          <w:p w:rsidR="00AE7868" w:rsidRDefault="00FF2B57">
            <w:pPr>
              <w:pStyle w:val="TableText"/>
              <w:rPr>
                <w:rFonts w:ascii="Cambria" w:hAnsi="Cambria"/>
              </w:rPr>
            </w:pPr>
            <w:r>
              <w:rPr>
                <w:rFonts w:ascii="Cambria" w:hAnsi="Cambria"/>
              </w:rPr>
              <w:t>Any criterion has an impact of ‘G’; or</w:t>
            </w:r>
            <w:r>
              <w:rPr>
                <w:rFonts w:ascii="Cambria" w:hAnsi="Cambria"/>
              </w:rPr>
              <w:br/>
              <w:t>more than one criterion has an impact of ‘F’; or</w:t>
            </w:r>
            <w:r>
              <w:rPr>
                <w:rFonts w:ascii="Cambria" w:hAnsi="Cambria"/>
              </w:rPr>
              <w:br/>
              <w:t>a single criterion has an impact of ‘F’ and each remaining criterion an ‘E’.</w:t>
            </w:r>
          </w:p>
        </w:tc>
        <w:tc>
          <w:tcPr>
            <w:tcW w:w="1354" w:type="pct"/>
          </w:tcPr>
          <w:p w:rsidR="00AE7868" w:rsidRDefault="00FF2B57">
            <w:pPr>
              <w:pStyle w:val="TableText"/>
              <w:rPr>
                <w:rFonts w:ascii="Cambria" w:hAnsi="Cambria"/>
              </w:rPr>
            </w:pPr>
            <w:r>
              <w:rPr>
                <w:rFonts w:ascii="Cambria" w:hAnsi="Cambria"/>
              </w:rPr>
              <w:t>Extreme</w:t>
            </w:r>
          </w:p>
        </w:tc>
      </w:tr>
      <w:tr w:rsidR="00AE7868">
        <w:trPr>
          <w:trHeight w:val="414"/>
        </w:trPr>
        <w:tc>
          <w:tcPr>
            <w:tcW w:w="440" w:type="pct"/>
          </w:tcPr>
          <w:p w:rsidR="00AE7868" w:rsidRDefault="00FF2B57">
            <w:pPr>
              <w:pStyle w:val="TableText"/>
              <w:rPr>
                <w:rFonts w:ascii="Cambria" w:hAnsi="Cambria"/>
              </w:rPr>
            </w:pPr>
            <w:r>
              <w:rPr>
                <w:rFonts w:ascii="Cambria" w:hAnsi="Cambria"/>
              </w:rPr>
              <w:t>2</w:t>
            </w:r>
          </w:p>
        </w:tc>
        <w:tc>
          <w:tcPr>
            <w:tcW w:w="3206" w:type="pct"/>
          </w:tcPr>
          <w:p w:rsidR="00AE7868" w:rsidRDefault="00FF2B57">
            <w:pPr>
              <w:pStyle w:val="TableText"/>
              <w:rPr>
                <w:rFonts w:ascii="Cambria" w:hAnsi="Cambria"/>
              </w:rPr>
            </w:pPr>
            <w:r>
              <w:rPr>
                <w:rFonts w:ascii="Cambria" w:hAnsi="Cambria"/>
              </w:rPr>
              <w:t>A single criterion has an impact of ‘F’; or</w:t>
            </w:r>
            <w:r>
              <w:rPr>
                <w:rFonts w:ascii="Cambria" w:hAnsi="Cambria"/>
              </w:rPr>
              <w:br/>
              <w:t>all criteria have an impact of ‘E’.</w:t>
            </w:r>
          </w:p>
        </w:tc>
        <w:tc>
          <w:tcPr>
            <w:tcW w:w="1354" w:type="pct"/>
          </w:tcPr>
          <w:p w:rsidR="00AE7868" w:rsidRDefault="00FF2B57">
            <w:pPr>
              <w:pStyle w:val="TableText"/>
              <w:rPr>
                <w:rFonts w:ascii="Cambria" w:hAnsi="Cambria"/>
              </w:rPr>
            </w:pPr>
            <w:r>
              <w:rPr>
                <w:rFonts w:ascii="Cambria" w:hAnsi="Cambria"/>
              </w:rPr>
              <w:t>High</w:t>
            </w:r>
          </w:p>
        </w:tc>
      </w:tr>
      <w:tr w:rsidR="00AE7868">
        <w:trPr>
          <w:trHeight w:val="414"/>
        </w:trPr>
        <w:tc>
          <w:tcPr>
            <w:tcW w:w="440" w:type="pct"/>
          </w:tcPr>
          <w:p w:rsidR="00AE7868" w:rsidRDefault="00FF2B57">
            <w:pPr>
              <w:pStyle w:val="TableText"/>
              <w:rPr>
                <w:rFonts w:ascii="Cambria" w:hAnsi="Cambria"/>
              </w:rPr>
            </w:pPr>
            <w:r>
              <w:rPr>
                <w:rFonts w:ascii="Cambria" w:hAnsi="Cambria"/>
              </w:rPr>
              <w:t>3</w:t>
            </w:r>
          </w:p>
        </w:tc>
        <w:tc>
          <w:tcPr>
            <w:tcW w:w="3206" w:type="pct"/>
          </w:tcPr>
          <w:p w:rsidR="00AE7868" w:rsidRDefault="00FF2B57">
            <w:pPr>
              <w:pStyle w:val="TableText"/>
              <w:rPr>
                <w:rFonts w:ascii="Cambria" w:hAnsi="Cambria"/>
              </w:rPr>
            </w:pPr>
            <w:r>
              <w:rPr>
                <w:rFonts w:ascii="Cambria" w:hAnsi="Cambria"/>
              </w:rPr>
              <w:t>One or more criteria have an impact of ‘E’; or</w:t>
            </w:r>
            <w:r>
              <w:rPr>
                <w:rFonts w:ascii="Cambria" w:hAnsi="Cambria"/>
              </w:rPr>
              <w:br/>
              <w:t>all criteria have an impact of ‘D’.</w:t>
            </w:r>
          </w:p>
        </w:tc>
        <w:tc>
          <w:tcPr>
            <w:tcW w:w="1354" w:type="pct"/>
          </w:tcPr>
          <w:p w:rsidR="00AE7868" w:rsidRDefault="00FF2B57">
            <w:pPr>
              <w:pStyle w:val="TableText"/>
              <w:rPr>
                <w:rFonts w:ascii="Cambria" w:hAnsi="Cambria"/>
              </w:rPr>
            </w:pPr>
            <w:r>
              <w:rPr>
                <w:rFonts w:ascii="Cambria" w:hAnsi="Cambria"/>
              </w:rPr>
              <w:t>Moderate</w:t>
            </w:r>
          </w:p>
        </w:tc>
      </w:tr>
      <w:tr w:rsidR="00AE7868">
        <w:trPr>
          <w:trHeight w:val="414"/>
        </w:trPr>
        <w:tc>
          <w:tcPr>
            <w:tcW w:w="440" w:type="pct"/>
          </w:tcPr>
          <w:p w:rsidR="00AE7868" w:rsidRDefault="00FF2B57">
            <w:pPr>
              <w:pStyle w:val="TableText"/>
              <w:rPr>
                <w:rFonts w:ascii="Cambria" w:hAnsi="Cambria"/>
              </w:rPr>
            </w:pPr>
            <w:r>
              <w:rPr>
                <w:rFonts w:ascii="Cambria" w:hAnsi="Cambria"/>
              </w:rPr>
              <w:t>4</w:t>
            </w:r>
          </w:p>
        </w:tc>
        <w:tc>
          <w:tcPr>
            <w:tcW w:w="3206" w:type="pct"/>
          </w:tcPr>
          <w:p w:rsidR="00AE7868" w:rsidRDefault="00FF2B57">
            <w:pPr>
              <w:pStyle w:val="TableText"/>
              <w:rPr>
                <w:rFonts w:ascii="Cambria" w:hAnsi="Cambria"/>
              </w:rPr>
            </w:pPr>
            <w:r>
              <w:rPr>
                <w:rFonts w:ascii="Cambria" w:hAnsi="Cambria"/>
              </w:rPr>
              <w:t>One or more criteria have an impact of ‘D’; or</w:t>
            </w:r>
            <w:r>
              <w:rPr>
                <w:rFonts w:ascii="Cambria" w:hAnsi="Cambria"/>
              </w:rPr>
              <w:br/>
              <w:t>all criteria have an impact of ‘C’.</w:t>
            </w:r>
          </w:p>
        </w:tc>
        <w:tc>
          <w:tcPr>
            <w:tcW w:w="1354" w:type="pct"/>
          </w:tcPr>
          <w:p w:rsidR="00AE7868" w:rsidRDefault="00FF2B57">
            <w:pPr>
              <w:pStyle w:val="TableText"/>
              <w:rPr>
                <w:rFonts w:ascii="Cambria" w:hAnsi="Cambria"/>
              </w:rPr>
            </w:pPr>
            <w:r>
              <w:rPr>
                <w:rFonts w:ascii="Cambria" w:hAnsi="Cambria"/>
              </w:rPr>
              <w:t>Low</w:t>
            </w:r>
          </w:p>
        </w:tc>
      </w:tr>
      <w:tr w:rsidR="00AE7868">
        <w:trPr>
          <w:trHeight w:val="414"/>
        </w:trPr>
        <w:tc>
          <w:tcPr>
            <w:tcW w:w="440" w:type="pct"/>
          </w:tcPr>
          <w:p w:rsidR="00AE7868" w:rsidRDefault="00FF2B57">
            <w:pPr>
              <w:pStyle w:val="TableText"/>
              <w:rPr>
                <w:rFonts w:ascii="Cambria" w:hAnsi="Cambria"/>
              </w:rPr>
            </w:pPr>
            <w:r>
              <w:rPr>
                <w:rFonts w:ascii="Cambria" w:hAnsi="Cambria"/>
              </w:rPr>
              <w:t>5</w:t>
            </w:r>
          </w:p>
        </w:tc>
        <w:tc>
          <w:tcPr>
            <w:tcW w:w="3206" w:type="pct"/>
          </w:tcPr>
          <w:p w:rsidR="00AE7868" w:rsidRDefault="00FF2B57">
            <w:pPr>
              <w:pStyle w:val="TableText"/>
              <w:rPr>
                <w:rFonts w:ascii="Cambria" w:hAnsi="Cambria"/>
              </w:rPr>
            </w:pPr>
            <w:r>
              <w:rPr>
                <w:rFonts w:ascii="Cambria" w:hAnsi="Cambria"/>
              </w:rPr>
              <w:t>One or more criteria have an impact of ‘C’; or</w:t>
            </w:r>
            <w:r>
              <w:rPr>
                <w:rFonts w:ascii="Cambria" w:hAnsi="Cambria"/>
              </w:rPr>
              <w:br/>
              <w:t>all criteria have an impact of ‘B’.</w:t>
            </w:r>
          </w:p>
        </w:tc>
        <w:tc>
          <w:tcPr>
            <w:tcW w:w="1354" w:type="pct"/>
          </w:tcPr>
          <w:p w:rsidR="00AE7868" w:rsidRDefault="00FF2B57">
            <w:pPr>
              <w:pStyle w:val="TableText"/>
              <w:rPr>
                <w:rFonts w:ascii="Cambria" w:hAnsi="Cambria"/>
              </w:rPr>
            </w:pPr>
            <w:r>
              <w:rPr>
                <w:rFonts w:ascii="Cambria" w:hAnsi="Cambria"/>
              </w:rPr>
              <w:t>Very Low</w:t>
            </w:r>
          </w:p>
        </w:tc>
      </w:tr>
      <w:tr w:rsidR="00AE7868">
        <w:trPr>
          <w:trHeight w:val="414"/>
        </w:trPr>
        <w:tc>
          <w:tcPr>
            <w:tcW w:w="440" w:type="pct"/>
          </w:tcPr>
          <w:p w:rsidR="00AE7868" w:rsidRDefault="00FF2B57">
            <w:pPr>
              <w:pStyle w:val="TableText"/>
              <w:rPr>
                <w:rFonts w:ascii="Cambria" w:hAnsi="Cambria"/>
              </w:rPr>
            </w:pPr>
            <w:r>
              <w:rPr>
                <w:rFonts w:ascii="Cambria" w:hAnsi="Cambria"/>
              </w:rPr>
              <w:t>6</w:t>
            </w:r>
          </w:p>
        </w:tc>
        <w:tc>
          <w:tcPr>
            <w:tcW w:w="3206" w:type="pct"/>
          </w:tcPr>
          <w:p w:rsidR="00AE7868" w:rsidRDefault="00FF2B57">
            <w:pPr>
              <w:pStyle w:val="TableText"/>
              <w:rPr>
                <w:rFonts w:ascii="Cambria" w:hAnsi="Cambria"/>
              </w:rPr>
            </w:pPr>
            <w:r>
              <w:rPr>
                <w:rFonts w:ascii="Cambria" w:hAnsi="Cambria"/>
              </w:rPr>
              <w:t>One or more but not all criteria have an impact of ‘B’; and</w:t>
            </w:r>
            <w:r>
              <w:rPr>
                <w:rFonts w:ascii="Cambria" w:hAnsi="Cambria"/>
              </w:rPr>
              <w:br/>
              <w:t>all remaining criteria have an impact of ‘A’.</w:t>
            </w:r>
          </w:p>
        </w:tc>
        <w:tc>
          <w:tcPr>
            <w:tcW w:w="1354" w:type="pct"/>
          </w:tcPr>
          <w:p w:rsidR="00AE7868" w:rsidRDefault="00FF2B57">
            <w:pPr>
              <w:pStyle w:val="TableText"/>
              <w:rPr>
                <w:rFonts w:ascii="Cambria" w:hAnsi="Cambria"/>
              </w:rPr>
            </w:pPr>
            <w:r>
              <w:rPr>
                <w:rFonts w:ascii="Cambria" w:hAnsi="Cambria"/>
              </w:rPr>
              <w:t>Negligible</w:t>
            </w:r>
          </w:p>
        </w:tc>
      </w:tr>
    </w:tbl>
    <w:p w:rsidR="00AE7868" w:rsidRDefault="00FF2B57">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154" w:name="_Toc437356013"/>
      <w:r>
        <w:rPr>
          <w:rFonts w:ascii="Calibri" w:hAnsi="Calibri" w:cstheme="minorBidi"/>
          <w:sz w:val="24"/>
          <w:szCs w:val="22"/>
        </w:rPr>
        <w:t>Estimation of the unrestricted risk</w:t>
      </w:r>
      <w:bookmarkEnd w:id="154"/>
    </w:p>
    <w:p w:rsidR="00AE7868" w:rsidRDefault="00FF2B57">
      <w:pPr>
        <w:spacing w:before="200"/>
        <w:rPr>
          <w:rFonts w:ascii="Cambria" w:hAnsi="Cambria"/>
        </w:rPr>
      </w:pPr>
      <w:r>
        <w:rPr>
          <w:rFonts w:ascii="Cambria" w:hAnsi="Cambria"/>
        </w:rPr>
        <w:t xml:space="preserve">Once the the assessment of the likelihood of entry, establishment and spread and for potential consequences are completed, the unrestricted </w:t>
      </w:r>
      <w:r>
        <w:rPr>
          <w:rFonts w:ascii="Cambria" w:hAnsi="Cambria"/>
        </w:rPr>
        <w:lastRenderedPageBreak/>
        <w:t>risk can be determined for each pest or groups of pests. This is determined by using a risk estimation matrix (Table 6) to combine the estimates of the likelihood of entry, establishment, spread and the overall consequences of pest establishment and spread. Therefore, risk is the product of likelihood and consequence.</w:t>
      </w:r>
    </w:p>
    <w:p w:rsidR="00AE7868" w:rsidRDefault="00AE7868">
      <w:pPr>
        <w:spacing w:before="200"/>
        <w:rPr>
          <w:rFonts w:ascii="Cambria" w:hAnsi="Cambria"/>
        </w:rPr>
      </w:pPr>
    </w:p>
    <w:p w:rsidR="00AE7868" w:rsidRDefault="00FF2B57">
      <w:pPr>
        <w:pStyle w:val="Caption"/>
        <w:keepNext w:val="0"/>
        <w:spacing w:before="120"/>
        <w:rPr>
          <w:rFonts w:asciiTheme="majorHAnsi" w:eastAsiaTheme="majorEastAsia" w:hAnsiTheme="majorHAnsi" w:cstheme="majorBidi"/>
          <w:color w:val="595959" w:themeColor="text1" w:themeTint="A6"/>
          <w:sz w:val="20"/>
        </w:rPr>
      </w:pPr>
      <w:bookmarkStart w:id="155" w:name="_Toc421786691"/>
      <w:bookmarkStart w:id="156" w:name="_Toc428785200"/>
      <w:bookmarkStart w:id="157" w:name="_Toc428786309"/>
      <w:bookmarkStart w:id="158" w:name="_Toc429494608"/>
      <w:bookmarkStart w:id="159" w:name="_Toc430256521"/>
      <w:bookmarkStart w:id="160" w:name="_Toc433707320"/>
      <w:bookmarkStart w:id="161" w:name="_Toc433796484"/>
      <w:bookmarkStart w:id="162" w:name="_Toc437355947"/>
      <w:bookmarkStart w:id="163" w:name="_Toc437355979"/>
      <w:r>
        <w:rPr>
          <w:rFonts w:asciiTheme="majorHAnsi" w:eastAsiaTheme="majorEastAsia" w:hAnsiTheme="majorHAnsi" w:cstheme="majorBidi"/>
          <w:color w:val="595959" w:themeColor="text1" w:themeTint="A6"/>
          <w:sz w:val="20"/>
        </w:rPr>
        <w:t xml:space="preserve">Table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6</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Risk estimation matrix</w:t>
      </w:r>
      <w:bookmarkEnd w:id="155"/>
      <w:bookmarkEnd w:id="156"/>
      <w:bookmarkEnd w:id="157"/>
      <w:bookmarkEnd w:id="158"/>
      <w:bookmarkEnd w:id="159"/>
      <w:bookmarkEnd w:id="160"/>
      <w:bookmarkEnd w:id="161"/>
      <w:bookmarkEnd w:id="162"/>
      <w:bookmarkEnd w:id="163"/>
    </w:p>
    <w:tbl>
      <w:tblPr>
        <w:tblW w:w="4942" w:type="pct"/>
        <w:tblInd w:w="107" w:type="dxa"/>
        <w:tblLook w:val="0000" w:firstRow="0" w:lastRow="0" w:firstColumn="0" w:lastColumn="0" w:noHBand="0" w:noVBand="0"/>
      </w:tblPr>
      <w:tblGrid>
        <w:gridCol w:w="1332"/>
        <w:gridCol w:w="1269"/>
        <w:gridCol w:w="1270"/>
        <w:gridCol w:w="1272"/>
        <w:gridCol w:w="1270"/>
        <w:gridCol w:w="1270"/>
        <w:gridCol w:w="1272"/>
      </w:tblGrid>
      <w:tr w:rsidR="00AE7868">
        <w:trPr>
          <w:cantSplit/>
          <w:trHeight w:val="551"/>
        </w:trPr>
        <w:tc>
          <w:tcPr>
            <w:tcW w:w="744" w:type="pct"/>
            <w:vMerge w:val="restart"/>
            <w:tcBorders>
              <w:top w:val="single" w:sz="4" w:space="0" w:color="auto"/>
              <w:left w:val="single" w:sz="4" w:space="0" w:color="auto"/>
              <w:bottom w:val="single" w:sz="4" w:space="0" w:color="BFBFBF" w:themeColor="background1" w:themeShade="BF"/>
            </w:tcBorders>
            <w:vAlign w:val="bottom"/>
          </w:tcPr>
          <w:p w:rsidR="00AE7868" w:rsidRDefault="00FF2B57">
            <w:pPr>
              <w:pStyle w:val="TableHeading"/>
            </w:pPr>
            <w:r>
              <w:t>Likelihood of pest entry, establishment and spread</w:t>
            </w:r>
          </w:p>
        </w:tc>
        <w:tc>
          <w:tcPr>
            <w:tcW w:w="4256"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rsidR="00AE7868" w:rsidRDefault="00FF2B57">
            <w:pPr>
              <w:pStyle w:val="TableHeading"/>
              <w:jc w:val="center"/>
            </w:pPr>
            <w:r>
              <w:t>Consequences of pest entry, establishment and spread</w:t>
            </w:r>
          </w:p>
        </w:tc>
      </w:tr>
      <w:tr w:rsidR="00AE7868">
        <w:trPr>
          <w:cantSplit/>
        </w:trPr>
        <w:tc>
          <w:tcPr>
            <w:tcW w:w="744" w:type="pct"/>
            <w:vMerge/>
            <w:tcBorders>
              <w:top w:val="single" w:sz="4" w:space="0" w:color="BFBFBF" w:themeColor="background1" w:themeShade="BF"/>
              <w:left w:val="single" w:sz="4" w:space="0" w:color="auto"/>
              <w:bottom w:val="single" w:sz="4" w:space="0" w:color="BFBFBF" w:themeColor="background1" w:themeShade="BF"/>
            </w:tcBorders>
          </w:tcPr>
          <w:p w:rsidR="00AE7868" w:rsidRDefault="00AE7868">
            <w:pPr>
              <w:pStyle w:val="TableText"/>
              <w:rPr>
                <w:color w:val="FFFFFF" w:themeColor="background1"/>
              </w:rPr>
            </w:pPr>
          </w:p>
        </w:tc>
        <w:tc>
          <w:tcPr>
            <w:tcW w:w="709" w:type="pct"/>
            <w:tcBorders>
              <w:top w:val="single" w:sz="4" w:space="0" w:color="BFBFBF" w:themeColor="background1" w:themeShade="BF"/>
              <w:left w:val="nil"/>
              <w:bottom w:val="single" w:sz="8" w:space="0" w:color="C0C0C0"/>
            </w:tcBorders>
            <w:shd w:val="clear" w:color="auto" w:fill="auto"/>
            <w:vAlign w:val="bottom"/>
          </w:tcPr>
          <w:p w:rsidR="00AE7868" w:rsidRDefault="00FF2B57">
            <w:pPr>
              <w:pStyle w:val="TableText"/>
              <w:rPr>
                <w:b/>
              </w:rPr>
            </w:pPr>
            <w:r>
              <w:rPr>
                <w:b/>
              </w:rPr>
              <w:t xml:space="preserve">Negligible </w:t>
            </w:r>
          </w:p>
        </w:tc>
        <w:tc>
          <w:tcPr>
            <w:tcW w:w="709" w:type="pct"/>
            <w:tcBorders>
              <w:top w:val="single" w:sz="4" w:space="0" w:color="BFBFBF" w:themeColor="background1" w:themeShade="BF"/>
              <w:bottom w:val="single" w:sz="8" w:space="0" w:color="C0C0C0"/>
            </w:tcBorders>
            <w:shd w:val="clear" w:color="auto" w:fill="auto"/>
            <w:vAlign w:val="bottom"/>
          </w:tcPr>
          <w:p w:rsidR="00AE7868" w:rsidRDefault="00FF2B57">
            <w:pPr>
              <w:pStyle w:val="TableText"/>
              <w:rPr>
                <w:b/>
              </w:rPr>
            </w:pPr>
            <w:r>
              <w:rPr>
                <w:b/>
              </w:rPr>
              <w:t>Very low</w:t>
            </w:r>
          </w:p>
        </w:tc>
        <w:tc>
          <w:tcPr>
            <w:tcW w:w="710" w:type="pct"/>
            <w:tcBorders>
              <w:top w:val="single" w:sz="4" w:space="0" w:color="BFBFBF" w:themeColor="background1" w:themeShade="BF"/>
              <w:bottom w:val="single" w:sz="8" w:space="0" w:color="C0C0C0"/>
            </w:tcBorders>
            <w:shd w:val="clear" w:color="auto" w:fill="auto"/>
            <w:vAlign w:val="bottom"/>
          </w:tcPr>
          <w:p w:rsidR="00AE7868" w:rsidRDefault="00FF2B57">
            <w:pPr>
              <w:pStyle w:val="TableText"/>
              <w:rPr>
                <w:b/>
              </w:rPr>
            </w:pPr>
            <w:r>
              <w:rPr>
                <w:b/>
              </w:rPr>
              <w:t xml:space="preserve">Low </w:t>
            </w:r>
          </w:p>
        </w:tc>
        <w:tc>
          <w:tcPr>
            <w:tcW w:w="709" w:type="pct"/>
            <w:tcBorders>
              <w:top w:val="single" w:sz="4" w:space="0" w:color="BFBFBF" w:themeColor="background1" w:themeShade="BF"/>
              <w:bottom w:val="single" w:sz="8" w:space="0" w:color="C0C0C0"/>
            </w:tcBorders>
            <w:shd w:val="clear" w:color="auto" w:fill="auto"/>
            <w:vAlign w:val="bottom"/>
          </w:tcPr>
          <w:p w:rsidR="00AE7868" w:rsidRDefault="00FF2B57">
            <w:pPr>
              <w:pStyle w:val="TableText"/>
              <w:rPr>
                <w:b/>
              </w:rPr>
            </w:pPr>
            <w:r>
              <w:rPr>
                <w:b/>
              </w:rPr>
              <w:t>Moderate</w:t>
            </w:r>
          </w:p>
        </w:tc>
        <w:tc>
          <w:tcPr>
            <w:tcW w:w="709" w:type="pct"/>
            <w:tcBorders>
              <w:top w:val="single" w:sz="4" w:space="0" w:color="BFBFBF" w:themeColor="background1" w:themeShade="BF"/>
              <w:bottom w:val="single" w:sz="8" w:space="0" w:color="C0C0C0"/>
            </w:tcBorders>
            <w:shd w:val="clear" w:color="auto" w:fill="auto"/>
            <w:vAlign w:val="bottom"/>
          </w:tcPr>
          <w:p w:rsidR="00AE7868" w:rsidRDefault="00FF2B57">
            <w:pPr>
              <w:pStyle w:val="TableText"/>
              <w:rPr>
                <w:b/>
              </w:rPr>
            </w:pPr>
            <w:r>
              <w:rPr>
                <w:b/>
              </w:rPr>
              <w:t>High</w:t>
            </w:r>
          </w:p>
        </w:tc>
        <w:tc>
          <w:tcPr>
            <w:tcW w:w="709" w:type="pct"/>
            <w:tcBorders>
              <w:top w:val="single" w:sz="4" w:space="0" w:color="BFBFBF" w:themeColor="background1" w:themeShade="BF"/>
              <w:bottom w:val="single" w:sz="8" w:space="0" w:color="C0C0C0"/>
              <w:right w:val="single" w:sz="4" w:space="0" w:color="auto"/>
            </w:tcBorders>
            <w:shd w:val="clear" w:color="auto" w:fill="auto"/>
            <w:vAlign w:val="bottom"/>
          </w:tcPr>
          <w:p w:rsidR="00AE7868" w:rsidRDefault="00FF2B57">
            <w:pPr>
              <w:pStyle w:val="TableText"/>
              <w:rPr>
                <w:b/>
              </w:rPr>
            </w:pPr>
            <w:r>
              <w:rPr>
                <w:b/>
              </w:rPr>
              <w:t xml:space="preserve">Extreme </w:t>
            </w:r>
          </w:p>
        </w:tc>
      </w:tr>
      <w:tr w:rsidR="00AE7868">
        <w:trPr>
          <w:cantSplit/>
        </w:trPr>
        <w:tc>
          <w:tcPr>
            <w:tcW w:w="74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AE7868" w:rsidRDefault="00FF2B57">
            <w:pPr>
              <w:pStyle w:val="TableText"/>
              <w:rPr>
                <w:b/>
              </w:rPr>
            </w:pPr>
            <w:r>
              <w:rPr>
                <w:b/>
              </w:rPr>
              <w:t xml:space="preserve">High </w:t>
            </w:r>
          </w:p>
        </w:tc>
        <w:tc>
          <w:tcPr>
            <w:tcW w:w="709"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rsidR="00AE7868" w:rsidRDefault="00FF2B57">
            <w:pPr>
              <w:pStyle w:val="TableText"/>
            </w:pPr>
            <w:r>
              <w:t>Negligible risk</w:t>
            </w:r>
          </w:p>
        </w:tc>
        <w:tc>
          <w:tcPr>
            <w:tcW w:w="709"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rsidR="00AE7868" w:rsidRDefault="00FF2B57">
            <w:pPr>
              <w:pStyle w:val="TableText"/>
              <w:rPr>
                <w:color w:val="FFFFFF"/>
              </w:rPr>
            </w:pPr>
            <w:r>
              <w:rPr>
                <w:color w:val="FFFFFF"/>
              </w:rPr>
              <w:t>Very low risk</w:t>
            </w:r>
          </w:p>
        </w:tc>
        <w:tc>
          <w:tcPr>
            <w:tcW w:w="710"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rsidR="00AE7868" w:rsidRDefault="00FF2B57">
            <w:pPr>
              <w:pStyle w:val="TableText"/>
            </w:pPr>
            <w:r>
              <w:t>Low risk</w:t>
            </w:r>
          </w:p>
        </w:tc>
        <w:tc>
          <w:tcPr>
            <w:tcW w:w="709"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rsidR="00AE7868" w:rsidRDefault="00FF2B57">
            <w:pPr>
              <w:pStyle w:val="TableText"/>
            </w:pPr>
            <w:r>
              <w:t>Moderate risk</w:t>
            </w:r>
          </w:p>
        </w:tc>
        <w:tc>
          <w:tcPr>
            <w:tcW w:w="709"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rsidR="00AE7868" w:rsidRDefault="00FF2B57">
            <w:pPr>
              <w:pStyle w:val="TableText"/>
            </w:pPr>
            <w:r>
              <w:t>High risk</w:t>
            </w:r>
          </w:p>
        </w:tc>
        <w:tc>
          <w:tcPr>
            <w:tcW w:w="709"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rsidR="00AE7868" w:rsidRDefault="00FF2B57">
            <w:pPr>
              <w:pStyle w:val="TableText"/>
            </w:pPr>
            <w:r>
              <w:t>Extreme risk</w:t>
            </w:r>
          </w:p>
        </w:tc>
      </w:tr>
      <w:tr w:rsidR="00AE7868">
        <w:trPr>
          <w:cantSplit/>
        </w:trPr>
        <w:tc>
          <w:tcPr>
            <w:tcW w:w="74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AE7868" w:rsidRDefault="00FF2B57">
            <w:pPr>
              <w:pStyle w:val="TableText"/>
              <w:rPr>
                <w:b/>
              </w:rPr>
            </w:pPr>
            <w:r>
              <w:rPr>
                <w:b/>
              </w:rPr>
              <w:t>Moderate</w:t>
            </w:r>
          </w:p>
        </w:tc>
        <w:tc>
          <w:tcPr>
            <w:tcW w:w="709"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AE7868" w:rsidRDefault="00FF2B57">
            <w:pPr>
              <w:pStyle w:val="TableText"/>
            </w:pPr>
            <w:r>
              <w:t>Negligible risk</w:t>
            </w:r>
          </w:p>
        </w:tc>
        <w:tc>
          <w:tcPr>
            <w:tcW w:w="709" w:type="pct"/>
            <w:tcBorders>
              <w:top w:val="single" w:sz="8" w:space="0" w:color="C0C0C0"/>
              <w:left w:val="single" w:sz="8" w:space="0" w:color="C0C0C0"/>
              <w:bottom w:val="single" w:sz="8" w:space="0" w:color="C0C0C0"/>
              <w:right w:val="single" w:sz="8" w:space="0" w:color="C0C0C0"/>
            </w:tcBorders>
            <w:shd w:val="clear" w:color="auto" w:fill="000000"/>
          </w:tcPr>
          <w:p w:rsidR="00AE7868" w:rsidRDefault="00FF2B57">
            <w:pPr>
              <w:pStyle w:val="TableText"/>
              <w:rPr>
                <w:color w:val="FFFFFF"/>
              </w:rPr>
            </w:pPr>
            <w:r>
              <w:rPr>
                <w:color w:val="FFFFFF"/>
              </w:rPr>
              <w:t>Very low risk</w:t>
            </w:r>
          </w:p>
        </w:tc>
        <w:tc>
          <w:tcPr>
            <w:tcW w:w="710" w:type="pct"/>
            <w:tcBorders>
              <w:top w:val="single" w:sz="8" w:space="0" w:color="C0C0C0"/>
              <w:left w:val="single" w:sz="8" w:space="0" w:color="C0C0C0"/>
              <w:bottom w:val="single" w:sz="8" w:space="0" w:color="C0C0C0"/>
              <w:right w:val="single" w:sz="8" w:space="0" w:color="C0C0C0"/>
            </w:tcBorders>
            <w:shd w:val="clear" w:color="auto" w:fill="CCFFCC"/>
          </w:tcPr>
          <w:p w:rsidR="00AE7868" w:rsidRDefault="00FF2B57">
            <w:pPr>
              <w:pStyle w:val="TableText"/>
            </w:pPr>
            <w:r>
              <w:t>Low risk</w:t>
            </w:r>
          </w:p>
        </w:tc>
        <w:tc>
          <w:tcPr>
            <w:tcW w:w="709" w:type="pct"/>
            <w:tcBorders>
              <w:top w:val="single" w:sz="8" w:space="0" w:color="C0C0C0"/>
              <w:left w:val="single" w:sz="8" w:space="0" w:color="C0C0C0"/>
              <w:bottom w:val="single" w:sz="8" w:space="0" w:color="C0C0C0"/>
              <w:right w:val="single" w:sz="8" w:space="0" w:color="C0C0C0"/>
            </w:tcBorders>
            <w:shd w:val="clear" w:color="auto" w:fill="FFFF99"/>
          </w:tcPr>
          <w:p w:rsidR="00AE7868" w:rsidRDefault="00FF2B57">
            <w:pPr>
              <w:pStyle w:val="TableText"/>
            </w:pPr>
            <w:r>
              <w:t>Moderate risk</w:t>
            </w:r>
          </w:p>
        </w:tc>
        <w:tc>
          <w:tcPr>
            <w:tcW w:w="709" w:type="pct"/>
            <w:tcBorders>
              <w:top w:val="single" w:sz="8" w:space="0" w:color="C0C0C0"/>
              <w:left w:val="single" w:sz="8" w:space="0" w:color="C0C0C0"/>
              <w:bottom w:val="single" w:sz="8" w:space="0" w:color="C0C0C0"/>
              <w:right w:val="single" w:sz="8" w:space="0" w:color="C0C0C0"/>
            </w:tcBorders>
            <w:shd w:val="clear" w:color="auto" w:fill="FFCC99"/>
          </w:tcPr>
          <w:p w:rsidR="00AE7868" w:rsidRDefault="00FF2B57">
            <w:pPr>
              <w:pStyle w:val="TableText"/>
            </w:pPr>
            <w:r>
              <w:t>High risk</w:t>
            </w:r>
          </w:p>
        </w:tc>
        <w:tc>
          <w:tcPr>
            <w:tcW w:w="709" w:type="pct"/>
            <w:tcBorders>
              <w:top w:val="single" w:sz="8" w:space="0" w:color="C0C0C0"/>
              <w:left w:val="single" w:sz="8" w:space="0" w:color="C0C0C0"/>
              <w:bottom w:val="single" w:sz="8" w:space="0" w:color="C0C0C0"/>
              <w:right w:val="single" w:sz="4" w:space="0" w:color="auto"/>
            </w:tcBorders>
            <w:shd w:val="clear" w:color="auto" w:fill="FF99CC"/>
          </w:tcPr>
          <w:p w:rsidR="00AE7868" w:rsidRDefault="00FF2B57">
            <w:pPr>
              <w:pStyle w:val="TableText"/>
            </w:pPr>
            <w:r>
              <w:t>Extreme risk</w:t>
            </w:r>
          </w:p>
        </w:tc>
      </w:tr>
      <w:tr w:rsidR="00AE7868">
        <w:trPr>
          <w:cantSplit/>
        </w:trPr>
        <w:tc>
          <w:tcPr>
            <w:tcW w:w="74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AE7868" w:rsidRDefault="00FF2B57">
            <w:pPr>
              <w:pStyle w:val="TableText"/>
              <w:rPr>
                <w:b/>
              </w:rPr>
            </w:pPr>
            <w:r>
              <w:rPr>
                <w:b/>
              </w:rPr>
              <w:t>Low</w:t>
            </w:r>
          </w:p>
        </w:tc>
        <w:tc>
          <w:tcPr>
            <w:tcW w:w="709"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AE7868" w:rsidRDefault="00FF2B57">
            <w:pPr>
              <w:pStyle w:val="TableText"/>
            </w:pPr>
            <w:r>
              <w:t>Negligible risk</w:t>
            </w:r>
          </w:p>
        </w:tc>
        <w:tc>
          <w:tcPr>
            <w:tcW w:w="709"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AE7868" w:rsidRDefault="00FF2B57">
            <w:pPr>
              <w:pStyle w:val="TableText"/>
            </w:pPr>
            <w:r>
              <w:t>Negligible risk</w:t>
            </w:r>
          </w:p>
        </w:tc>
        <w:tc>
          <w:tcPr>
            <w:tcW w:w="710" w:type="pct"/>
            <w:tcBorders>
              <w:top w:val="single" w:sz="8" w:space="0" w:color="C0C0C0"/>
              <w:left w:val="single" w:sz="8" w:space="0" w:color="C0C0C0"/>
              <w:bottom w:val="single" w:sz="8" w:space="0" w:color="C0C0C0"/>
              <w:right w:val="single" w:sz="8" w:space="0" w:color="C0C0C0"/>
            </w:tcBorders>
            <w:shd w:val="clear" w:color="auto" w:fill="000000"/>
          </w:tcPr>
          <w:p w:rsidR="00AE7868" w:rsidRDefault="00FF2B57">
            <w:pPr>
              <w:pStyle w:val="TableText"/>
              <w:rPr>
                <w:color w:val="FFFFFF"/>
              </w:rPr>
            </w:pPr>
            <w:r>
              <w:rPr>
                <w:color w:val="FFFFFF"/>
              </w:rPr>
              <w:t>Very low risk</w:t>
            </w:r>
          </w:p>
        </w:tc>
        <w:tc>
          <w:tcPr>
            <w:tcW w:w="709" w:type="pct"/>
            <w:tcBorders>
              <w:top w:val="single" w:sz="8" w:space="0" w:color="C0C0C0"/>
              <w:left w:val="single" w:sz="8" w:space="0" w:color="C0C0C0"/>
              <w:bottom w:val="single" w:sz="8" w:space="0" w:color="C0C0C0"/>
              <w:right w:val="single" w:sz="8" w:space="0" w:color="C0C0C0"/>
            </w:tcBorders>
            <w:shd w:val="clear" w:color="auto" w:fill="CCFFCC"/>
          </w:tcPr>
          <w:p w:rsidR="00AE7868" w:rsidRDefault="00FF2B57">
            <w:pPr>
              <w:pStyle w:val="TableText"/>
            </w:pPr>
            <w:r>
              <w:t>Low risk</w:t>
            </w:r>
          </w:p>
        </w:tc>
        <w:tc>
          <w:tcPr>
            <w:tcW w:w="709" w:type="pct"/>
            <w:tcBorders>
              <w:top w:val="single" w:sz="8" w:space="0" w:color="C0C0C0"/>
              <w:left w:val="single" w:sz="8" w:space="0" w:color="C0C0C0"/>
              <w:bottom w:val="single" w:sz="8" w:space="0" w:color="C0C0C0"/>
              <w:right w:val="single" w:sz="8" w:space="0" w:color="C0C0C0"/>
            </w:tcBorders>
            <w:shd w:val="clear" w:color="auto" w:fill="FFFF99"/>
          </w:tcPr>
          <w:p w:rsidR="00AE7868" w:rsidRDefault="00FF2B57">
            <w:pPr>
              <w:pStyle w:val="TableText"/>
            </w:pPr>
            <w:r>
              <w:t>Moderate risk</w:t>
            </w:r>
          </w:p>
        </w:tc>
        <w:tc>
          <w:tcPr>
            <w:tcW w:w="709" w:type="pct"/>
            <w:tcBorders>
              <w:top w:val="single" w:sz="8" w:space="0" w:color="C0C0C0"/>
              <w:left w:val="single" w:sz="8" w:space="0" w:color="C0C0C0"/>
              <w:bottom w:val="single" w:sz="8" w:space="0" w:color="C0C0C0"/>
              <w:right w:val="single" w:sz="4" w:space="0" w:color="auto"/>
            </w:tcBorders>
            <w:shd w:val="clear" w:color="auto" w:fill="FFCC99"/>
          </w:tcPr>
          <w:p w:rsidR="00AE7868" w:rsidRDefault="00FF2B57">
            <w:pPr>
              <w:pStyle w:val="TableText"/>
            </w:pPr>
            <w:r>
              <w:t>High risk</w:t>
            </w:r>
          </w:p>
        </w:tc>
      </w:tr>
      <w:tr w:rsidR="00AE7868">
        <w:trPr>
          <w:cantSplit/>
        </w:trPr>
        <w:tc>
          <w:tcPr>
            <w:tcW w:w="74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AE7868" w:rsidRDefault="00FF2B57">
            <w:pPr>
              <w:pStyle w:val="TableText"/>
              <w:rPr>
                <w:b/>
              </w:rPr>
            </w:pPr>
            <w:r>
              <w:rPr>
                <w:b/>
              </w:rPr>
              <w:t>Very low</w:t>
            </w:r>
          </w:p>
        </w:tc>
        <w:tc>
          <w:tcPr>
            <w:tcW w:w="709"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AE7868" w:rsidRDefault="00FF2B57">
            <w:pPr>
              <w:pStyle w:val="TableText"/>
            </w:pPr>
            <w:r>
              <w:t>Negligible risk</w:t>
            </w:r>
          </w:p>
        </w:tc>
        <w:tc>
          <w:tcPr>
            <w:tcW w:w="709"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AE7868" w:rsidRDefault="00FF2B57">
            <w:pPr>
              <w:pStyle w:val="TableText"/>
            </w:pPr>
            <w:r>
              <w:t>Negligible risk</w:t>
            </w:r>
          </w:p>
        </w:tc>
        <w:tc>
          <w:tcPr>
            <w:tcW w:w="710"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AE7868" w:rsidRDefault="00FF2B57">
            <w:pPr>
              <w:pStyle w:val="TableText"/>
            </w:pPr>
            <w:r>
              <w:t>Negligible risk</w:t>
            </w:r>
          </w:p>
        </w:tc>
        <w:tc>
          <w:tcPr>
            <w:tcW w:w="709" w:type="pct"/>
            <w:tcBorders>
              <w:top w:val="single" w:sz="8" w:space="0" w:color="C0C0C0"/>
              <w:left w:val="single" w:sz="8" w:space="0" w:color="C0C0C0"/>
              <w:bottom w:val="single" w:sz="8" w:space="0" w:color="C0C0C0"/>
              <w:right w:val="single" w:sz="8" w:space="0" w:color="C0C0C0"/>
            </w:tcBorders>
            <w:shd w:val="clear" w:color="auto" w:fill="000000"/>
          </w:tcPr>
          <w:p w:rsidR="00AE7868" w:rsidRDefault="00FF2B57">
            <w:pPr>
              <w:pStyle w:val="TableText"/>
              <w:rPr>
                <w:color w:val="FFFFFF"/>
              </w:rPr>
            </w:pPr>
            <w:r>
              <w:rPr>
                <w:color w:val="FFFFFF"/>
              </w:rPr>
              <w:t>Very low risk</w:t>
            </w:r>
          </w:p>
        </w:tc>
        <w:tc>
          <w:tcPr>
            <w:tcW w:w="709" w:type="pct"/>
            <w:tcBorders>
              <w:top w:val="single" w:sz="8" w:space="0" w:color="C0C0C0"/>
              <w:left w:val="single" w:sz="8" w:space="0" w:color="C0C0C0"/>
              <w:bottom w:val="single" w:sz="8" w:space="0" w:color="C0C0C0"/>
              <w:right w:val="single" w:sz="8" w:space="0" w:color="C0C0C0"/>
            </w:tcBorders>
            <w:shd w:val="clear" w:color="auto" w:fill="CCFFCC"/>
          </w:tcPr>
          <w:p w:rsidR="00AE7868" w:rsidRDefault="00FF2B57">
            <w:pPr>
              <w:pStyle w:val="TableText"/>
            </w:pPr>
            <w:r>
              <w:t>Low risk</w:t>
            </w:r>
          </w:p>
        </w:tc>
        <w:tc>
          <w:tcPr>
            <w:tcW w:w="709" w:type="pct"/>
            <w:tcBorders>
              <w:top w:val="single" w:sz="8" w:space="0" w:color="C0C0C0"/>
              <w:left w:val="single" w:sz="8" w:space="0" w:color="C0C0C0"/>
              <w:bottom w:val="single" w:sz="8" w:space="0" w:color="C0C0C0"/>
              <w:right w:val="single" w:sz="4" w:space="0" w:color="auto"/>
            </w:tcBorders>
            <w:shd w:val="clear" w:color="auto" w:fill="FFFF99"/>
          </w:tcPr>
          <w:p w:rsidR="00AE7868" w:rsidRDefault="00FF2B57">
            <w:pPr>
              <w:pStyle w:val="TableText"/>
            </w:pPr>
            <w:r>
              <w:t>Moderate risk</w:t>
            </w:r>
          </w:p>
        </w:tc>
      </w:tr>
      <w:tr w:rsidR="00AE7868">
        <w:trPr>
          <w:cantSplit/>
        </w:trPr>
        <w:tc>
          <w:tcPr>
            <w:tcW w:w="74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AE7868" w:rsidRDefault="00FF2B57">
            <w:pPr>
              <w:pStyle w:val="TableText"/>
              <w:rPr>
                <w:b/>
              </w:rPr>
            </w:pPr>
            <w:r>
              <w:rPr>
                <w:b/>
              </w:rPr>
              <w:t>Extremely low</w:t>
            </w:r>
          </w:p>
        </w:tc>
        <w:tc>
          <w:tcPr>
            <w:tcW w:w="709"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AE7868" w:rsidRDefault="00FF2B57">
            <w:pPr>
              <w:pStyle w:val="TableText"/>
            </w:pPr>
            <w:r>
              <w:t>Negligible risk</w:t>
            </w:r>
          </w:p>
        </w:tc>
        <w:tc>
          <w:tcPr>
            <w:tcW w:w="709"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AE7868" w:rsidRDefault="00FF2B57">
            <w:pPr>
              <w:pStyle w:val="TableText"/>
            </w:pPr>
            <w:r>
              <w:t>Negligible risk</w:t>
            </w:r>
          </w:p>
        </w:tc>
        <w:tc>
          <w:tcPr>
            <w:tcW w:w="710"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AE7868" w:rsidRDefault="00FF2B57">
            <w:pPr>
              <w:pStyle w:val="TableText"/>
            </w:pPr>
            <w:r>
              <w:t>Negligible risk</w:t>
            </w:r>
          </w:p>
        </w:tc>
        <w:tc>
          <w:tcPr>
            <w:tcW w:w="709"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AE7868" w:rsidRDefault="00FF2B57">
            <w:pPr>
              <w:pStyle w:val="TableText"/>
            </w:pPr>
            <w:r>
              <w:t>Negligible risk</w:t>
            </w:r>
          </w:p>
        </w:tc>
        <w:tc>
          <w:tcPr>
            <w:tcW w:w="709" w:type="pct"/>
            <w:tcBorders>
              <w:top w:val="single" w:sz="8" w:space="0" w:color="C0C0C0"/>
              <w:left w:val="single" w:sz="8" w:space="0" w:color="C0C0C0"/>
              <w:bottom w:val="single" w:sz="8" w:space="0" w:color="C0C0C0"/>
              <w:right w:val="single" w:sz="8" w:space="0" w:color="C0C0C0"/>
            </w:tcBorders>
            <w:shd w:val="clear" w:color="auto" w:fill="000000"/>
          </w:tcPr>
          <w:p w:rsidR="00AE7868" w:rsidRDefault="00FF2B57">
            <w:pPr>
              <w:pStyle w:val="TableText"/>
              <w:rPr>
                <w:color w:val="FFFFFF"/>
              </w:rPr>
            </w:pPr>
            <w:r>
              <w:rPr>
                <w:color w:val="FFFFFF"/>
              </w:rPr>
              <w:t>Very low risk</w:t>
            </w:r>
          </w:p>
        </w:tc>
        <w:tc>
          <w:tcPr>
            <w:tcW w:w="709" w:type="pct"/>
            <w:tcBorders>
              <w:top w:val="single" w:sz="8" w:space="0" w:color="C0C0C0"/>
              <w:left w:val="single" w:sz="8" w:space="0" w:color="C0C0C0"/>
              <w:bottom w:val="single" w:sz="8" w:space="0" w:color="C0C0C0"/>
              <w:right w:val="single" w:sz="4" w:space="0" w:color="auto"/>
            </w:tcBorders>
            <w:shd w:val="clear" w:color="auto" w:fill="CCFFCC"/>
          </w:tcPr>
          <w:p w:rsidR="00AE7868" w:rsidRDefault="00FF2B57">
            <w:pPr>
              <w:pStyle w:val="TableText"/>
            </w:pPr>
            <w:r>
              <w:t>Low risk</w:t>
            </w:r>
          </w:p>
        </w:tc>
      </w:tr>
      <w:tr w:rsidR="00AE7868">
        <w:trPr>
          <w:cantSplit/>
        </w:trPr>
        <w:tc>
          <w:tcPr>
            <w:tcW w:w="744"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rsidR="00AE7868" w:rsidRDefault="00FF2B57">
            <w:pPr>
              <w:pStyle w:val="TableText"/>
              <w:rPr>
                <w:b/>
              </w:rPr>
            </w:pPr>
            <w:r>
              <w:rPr>
                <w:b/>
              </w:rPr>
              <w:t xml:space="preserve">Negligible </w:t>
            </w:r>
          </w:p>
        </w:tc>
        <w:tc>
          <w:tcPr>
            <w:tcW w:w="709"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rsidR="00AE7868" w:rsidRDefault="00FF2B57">
            <w:pPr>
              <w:pStyle w:val="TableText"/>
            </w:pPr>
            <w:r>
              <w:t>Negligible risk</w:t>
            </w:r>
          </w:p>
        </w:tc>
        <w:tc>
          <w:tcPr>
            <w:tcW w:w="709"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AE7868" w:rsidRDefault="00FF2B57">
            <w:pPr>
              <w:pStyle w:val="TableText"/>
            </w:pPr>
            <w:r>
              <w:t>Negligible risk</w:t>
            </w:r>
          </w:p>
        </w:tc>
        <w:tc>
          <w:tcPr>
            <w:tcW w:w="710"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AE7868" w:rsidRDefault="00FF2B57">
            <w:pPr>
              <w:pStyle w:val="TableText"/>
            </w:pPr>
            <w:r>
              <w:t>Negligible risk</w:t>
            </w:r>
          </w:p>
        </w:tc>
        <w:tc>
          <w:tcPr>
            <w:tcW w:w="709"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AE7868" w:rsidRDefault="00FF2B57">
            <w:pPr>
              <w:pStyle w:val="TableText"/>
            </w:pPr>
            <w:r>
              <w:t>Negligible risk</w:t>
            </w:r>
          </w:p>
        </w:tc>
        <w:tc>
          <w:tcPr>
            <w:tcW w:w="709"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AE7868" w:rsidRDefault="00FF2B57">
            <w:pPr>
              <w:pStyle w:val="TableText"/>
            </w:pPr>
            <w:r>
              <w:t>Negligible risk</w:t>
            </w:r>
          </w:p>
        </w:tc>
        <w:tc>
          <w:tcPr>
            <w:tcW w:w="709" w:type="pct"/>
            <w:tcBorders>
              <w:top w:val="single" w:sz="8" w:space="0" w:color="C0C0C0"/>
              <w:left w:val="single" w:sz="8" w:space="0" w:color="C0C0C0"/>
              <w:bottom w:val="single" w:sz="4" w:space="0" w:color="auto"/>
              <w:right w:val="single" w:sz="4" w:space="0" w:color="auto"/>
            </w:tcBorders>
            <w:shd w:val="clear" w:color="auto" w:fill="000000"/>
          </w:tcPr>
          <w:p w:rsidR="00AE7868" w:rsidRDefault="00FF2B57">
            <w:pPr>
              <w:pStyle w:val="TableText"/>
              <w:rPr>
                <w:color w:val="FFFFFF"/>
              </w:rPr>
            </w:pPr>
            <w:r>
              <w:rPr>
                <w:color w:val="FFFFFF"/>
              </w:rPr>
              <w:t>Very low risk</w:t>
            </w:r>
          </w:p>
        </w:tc>
      </w:tr>
    </w:tbl>
    <w:p w:rsidR="00AE7868" w:rsidRDefault="00FF2B57">
      <w:pPr>
        <w:spacing w:before="200"/>
        <w:rPr>
          <w:rFonts w:ascii="Cambria" w:hAnsi="Cambria"/>
        </w:rPr>
      </w:pPr>
      <w:r>
        <w:rPr>
          <w:rFonts w:ascii="Cambria" w:hAnsi="Cambria"/>
        </w:rPr>
        <w:t xml:space="preserve">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w:t>
      </w:r>
      <w:r>
        <w:rPr>
          <w:rFonts w:ascii="Cambria" w:hAnsi="Cambria"/>
        </w:rPr>
        <w:lastRenderedPageBreak/>
        <w:t>consequences—the matrix is not symmetrical. For example, the former combination would give an unrestricted risk rating of ‘moderate’, whereas the latter would be rated as a ‘low’ unrestricted risk.</w:t>
      </w:r>
    </w:p>
    <w:p w:rsidR="00AE7868" w:rsidRDefault="00FF2B57">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164" w:name="_Toc437356014"/>
      <w:r>
        <w:rPr>
          <w:rFonts w:ascii="Calibri" w:hAnsi="Calibri" w:cstheme="minorBidi"/>
          <w:sz w:val="24"/>
          <w:szCs w:val="22"/>
        </w:rPr>
        <w:t>Australia’s appropriate level of protection (ALOP)</w:t>
      </w:r>
      <w:bookmarkEnd w:id="164"/>
    </w:p>
    <w:p w:rsidR="00AE7868" w:rsidRDefault="00FF2B57">
      <w:pPr>
        <w:spacing w:before="200"/>
        <w:rPr>
          <w:rFonts w:ascii="Cambria" w:hAnsi="Cambria"/>
        </w:rPr>
      </w:pPr>
      <w:r>
        <w:rPr>
          <w:rFonts w:ascii="Cambria" w:hAnsi="Cambria"/>
        </w:rPr>
        <w:t>The SPS Agreement (WTO 1995) defines the concept of an ‘appropriate level of sanitary or phytosanitary protection (ALOP)’ as the level of protection deemed appropriate by a World Trade Organisation (WTO) member establishing a sanitary or phytosanitary measure to protect human, animal or plant life or health within its territory.</w:t>
      </w:r>
    </w:p>
    <w:p w:rsidR="00AE7868" w:rsidRDefault="00FF2B57">
      <w:pPr>
        <w:spacing w:before="200"/>
        <w:rPr>
          <w:rFonts w:ascii="Cambria" w:hAnsi="Cambria"/>
        </w:rPr>
      </w:pPr>
      <w:r>
        <w:rPr>
          <w:rFonts w:ascii="Cambria" w:hAnsi="Cambria"/>
        </w:rPr>
        <w:t>Like many other countries, Australia expresses its ALOP in qualitative terms. Australia’s ALOP, which reflects community expectations through government policy, is currently expressed as providing a high level of sanitary or phytosanitary protection aimed at reducing risk to a very low level, but not to zero. The band of cells in Table 5 marked ‘very low risk’ represents Australia’s ALOP.</w:t>
      </w:r>
    </w:p>
    <w:p w:rsidR="00AE7868" w:rsidRDefault="00FF2B57">
      <w:pPr>
        <w:pStyle w:val="Heading2"/>
        <w:numPr>
          <w:ilvl w:val="1"/>
          <w:numId w:val="21"/>
        </w:numPr>
        <w:tabs>
          <w:tab w:val="clear" w:pos="576"/>
        </w:tabs>
        <w:spacing w:before="200" w:after="120"/>
        <w:ind w:left="357" w:hanging="357"/>
        <w:rPr>
          <w:rFonts w:eastAsiaTheme="majorEastAsia" w:cstheme="majorBidi"/>
          <w:color w:val="773141"/>
          <w:sz w:val="28"/>
        </w:rPr>
      </w:pPr>
      <w:bookmarkStart w:id="165" w:name="_Toc437356015"/>
      <w:r>
        <w:rPr>
          <w:rFonts w:eastAsiaTheme="majorEastAsia" w:cstheme="majorBidi"/>
          <w:color w:val="773141"/>
          <w:sz w:val="28"/>
        </w:rPr>
        <w:t>Stage 3: Pest risk management</w:t>
      </w:r>
      <w:bookmarkEnd w:id="165"/>
    </w:p>
    <w:p w:rsidR="00AE7868" w:rsidRDefault="00FF2B57">
      <w:pPr>
        <w:spacing w:before="200"/>
        <w:rPr>
          <w:rFonts w:ascii="Cambria" w:hAnsi="Cambria"/>
        </w:rPr>
      </w:pPr>
      <w:r>
        <w:rPr>
          <w:rFonts w:ascii="Cambria" w:hAnsi="Cambria"/>
        </w:rPr>
        <w:t xml:space="preserve">Pest risk management evaluates and selects risk management options to reduce the risk of entry, establishment or spread of identified pests for the identified import pathways. </w:t>
      </w:r>
      <w:r>
        <w:rPr>
          <w:rFonts w:ascii="Cambria" w:hAnsi="Cambria"/>
          <w:bCs/>
        </w:rPr>
        <w:t xml:space="preserve">To effectively prevent the introduction of pests associated with an identified pathway, a series of important safeguards, conditions or phytosanitary measures must be in </w:t>
      </w:r>
      <w:r>
        <w:rPr>
          <w:rFonts w:ascii="Cambria" w:hAnsi="Cambria"/>
          <w:bCs/>
        </w:rPr>
        <w:lastRenderedPageBreak/>
        <w:t>place. P</w:t>
      </w:r>
      <w:r>
        <w:rPr>
          <w:rFonts w:ascii="Cambria" w:hAnsi="Cambria"/>
        </w:rPr>
        <w:t>ropagative material represents a direct pathway for pests identified by pest categorisation. This pathway is direct since the end-use is the planting of a known host plant.</w:t>
      </w:r>
    </w:p>
    <w:p w:rsidR="00AE7868" w:rsidRDefault="00FF2B57">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166" w:name="_Toc293921817"/>
      <w:bookmarkStart w:id="167" w:name="_Toc354738074"/>
      <w:bookmarkStart w:id="168" w:name="_Toc437356016"/>
      <w:r>
        <w:rPr>
          <w:rFonts w:ascii="Calibri" w:hAnsi="Calibri" w:cstheme="minorBidi"/>
          <w:sz w:val="24"/>
          <w:szCs w:val="22"/>
        </w:rPr>
        <w:t>Identification and selection of appropriate risk management options</w:t>
      </w:r>
      <w:bookmarkEnd w:id="166"/>
      <w:bookmarkEnd w:id="167"/>
      <w:bookmarkEnd w:id="168"/>
    </w:p>
    <w:p w:rsidR="00AE7868" w:rsidRDefault="00FF2B57">
      <w:pPr>
        <w:pStyle w:val="AQISText"/>
        <w:spacing w:before="200" w:line="276" w:lineRule="auto"/>
        <w:jc w:val="left"/>
        <w:rPr>
          <w:rFonts w:ascii="Cambria" w:hAnsi="Cambria"/>
          <w:szCs w:val="22"/>
        </w:rPr>
      </w:pPr>
      <w:r>
        <w:rPr>
          <w:rFonts w:ascii="Cambria" w:hAnsi="Cambria"/>
          <w:szCs w:val="22"/>
        </w:rPr>
        <w:t>Phytosanitary measures to prevent the establishment and spread of quarantine pests may include any combination of measures, including pre- or post-harvest treatments, inspection at various points between production and final distribution, surveillance, official control, documentation, or certification. A measure or combination of measures may be applied at any one or more points along the continuum between the point of origin and the final destination. Pest risk management explores options that can be implemented (i) in the exporting country, (ii) at the point of entry or (iii) within the importing country. The ultimate goal is to protect plants and prevent the introduction of identified quarantine pests.</w:t>
      </w:r>
    </w:p>
    <w:p w:rsidR="00AE7868" w:rsidRDefault="00FF2B57">
      <w:pPr>
        <w:pStyle w:val="AQISText"/>
        <w:spacing w:before="200" w:line="276" w:lineRule="auto"/>
        <w:jc w:val="left"/>
        <w:rPr>
          <w:rFonts w:ascii="Cambria" w:hAnsi="Cambria"/>
          <w:szCs w:val="22"/>
        </w:rPr>
      </w:pPr>
      <w:r>
        <w:rPr>
          <w:rFonts w:ascii="Cambria" w:hAnsi="Cambria"/>
          <w:szCs w:val="22"/>
        </w:rPr>
        <w:t>Examples of phytosanitary measures which may be applied to propagative material consignments include:</w:t>
      </w:r>
    </w:p>
    <w:p w:rsidR="00AE7868" w:rsidRDefault="00FF2B57">
      <w:pPr>
        <w:pStyle w:val="ListBullet"/>
        <w:tabs>
          <w:tab w:val="clear" w:pos="360"/>
          <w:tab w:val="num" w:pos="284"/>
        </w:tabs>
        <w:ind w:left="284" w:hanging="284"/>
        <w:rPr>
          <w:rFonts w:ascii="Cambria" w:hAnsi="Cambria"/>
        </w:rPr>
      </w:pPr>
      <w:r>
        <w:rPr>
          <w:rFonts w:ascii="Cambria" w:hAnsi="Cambria"/>
          <w:b/>
        </w:rPr>
        <w:t xml:space="preserve">Import from pest free areas only </w:t>
      </w:r>
      <w:r>
        <w:rPr>
          <w:rFonts w:ascii="Cambria" w:hAnsi="Cambria"/>
        </w:rPr>
        <w:t>(</w:t>
      </w:r>
      <w:r>
        <w:rPr>
          <w:rFonts w:ascii="Cambria" w:hAnsi="Cambria"/>
          <w:b/>
        </w:rPr>
        <w:t>ISPM 4, 10</w:t>
      </w:r>
      <w:r>
        <w:rPr>
          <w:rFonts w:ascii="Cambria" w:hAnsi="Cambria"/>
        </w:rPr>
        <w:t xml:space="preserve">)—the establishment and use of a pest free area by a National Plant Protection Organisation (NPPO) provides for the export of plants from the exporting </w:t>
      </w:r>
      <w:r>
        <w:rPr>
          <w:rFonts w:ascii="Cambria" w:hAnsi="Cambria"/>
        </w:rPr>
        <w:lastRenderedPageBreak/>
        <w:t>country to the importing country without the need for the application of additional phytosanitary measures when certain requirements are met.</w:t>
      </w:r>
    </w:p>
    <w:p w:rsidR="00AE7868" w:rsidRDefault="00FF2B57">
      <w:pPr>
        <w:pStyle w:val="ListBullet"/>
        <w:tabs>
          <w:tab w:val="clear" w:pos="360"/>
          <w:tab w:val="num" w:pos="284"/>
        </w:tabs>
        <w:ind w:left="284" w:hanging="284"/>
        <w:rPr>
          <w:rFonts w:ascii="Cambria" w:hAnsi="Cambria"/>
        </w:rPr>
      </w:pPr>
      <w:r>
        <w:rPr>
          <w:rFonts w:ascii="Cambria" w:hAnsi="Cambria"/>
          <w:b/>
        </w:rPr>
        <w:t>Testing for freedom from regulated pests</w:t>
      </w:r>
      <w:r>
        <w:rPr>
          <w:rFonts w:ascii="Cambria" w:hAnsi="Cambria"/>
        </w:rPr>
        <w:t>—this is a practical measure for visible pests or for pests which produce visible symptoms on plants.</w:t>
      </w:r>
    </w:p>
    <w:p w:rsidR="00AE7868" w:rsidRDefault="00FF2B57">
      <w:pPr>
        <w:pStyle w:val="ListBullet"/>
        <w:tabs>
          <w:tab w:val="clear" w:pos="360"/>
          <w:tab w:val="num" w:pos="284"/>
        </w:tabs>
        <w:ind w:left="284" w:hanging="284"/>
        <w:rPr>
          <w:rFonts w:ascii="Cambria" w:hAnsi="Cambria"/>
        </w:rPr>
      </w:pPr>
      <w:r>
        <w:rPr>
          <w:rFonts w:ascii="Cambria" w:hAnsi="Cambria"/>
          <w:b/>
        </w:rPr>
        <w:t>Inspection and certification</w:t>
      </w:r>
      <w:r>
        <w:rPr>
          <w:rFonts w:ascii="Cambria" w:hAnsi="Cambria"/>
        </w:rPr>
        <w:t xml:space="preserve"> (</w:t>
      </w:r>
      <w:r>
        <w:rPr>
          <w:rFonts w:ascii="Cambria" w:hAnsi="Cambria"/>
          <w:b/>
        </w:rPr>
        <w:t>ISPM 7, 12, 23</w:t>
      </w:r>
      <w:r>
        <w:rPr>
          <w:rFonts w:ascii="Cambria" w:hAnsi="Cambria"/>
        </w:rPr>
        <w:t>)—the exporting country may be asked to inspect the shipment and certify that the shipment is free from regulated pests before export.</w:t>
      </w:r>
    </w:p>
    <w:p w:rsidR="00AE7868" w:rsidRDefault="00FF2B57">
      <w:pPr>
        <w:pStyle w:val="ListBullet"/>
        <w:tabs>
          <w:tab w:val="clear" w:pos="360"/>
          <w:tab w:val="num" w:pos="284"/>
        </w:tabs>
        <w:ind w:left="284" w:hanging="284"/>
        <w:rPr>
          <w:rFonts w:ascii="Cambria" w:hAnsi="Cambria"/>
        </w:rPr>
      </w:pPr>
      <w:r>
        <w:rPr>
          <w:rFonts w:ascii="Cambria" w:hAnsi="Cambria"/>
          <w:b/>
        </w:rPr>
        <w:t>Specified conditions for preparation of the consignment</w:t>
      </w:r>
      <w:r>
        <w:rPr>
          <w:rFonts w:ascii="Cambria" w:hAnsi="Cambria"/>
        </w:rPr>
        <w:t>—the importing country may specify steps that must be followed in order to prepare the consignment for shipment. These conditions can include the requirement for plants to be produced from appropriately tested parent material.</w:t>
      </w:r>
    </w:p>
    <w:p w:rsidR="00AE7868" w:rsidRDefault="00FF2B57">
      <w:pPr>
        <w:pStyle w:val="ListBullet"/>
        <w:tabs>
          <w:tab w:val="clear" w:pos="360"/>
          <w:tab w:val="num" w:pos="284"/>
        </w:tabs>
        <w:ind w:left="284" w:hanging="284"/>
        <w:rPr>
          <w:rFonts w:ascii="Cambria" w:hAnsi="Cambria"/>
        </w:rPr>
      </w:pPr>
      <w:r>
        <w:rPr>
          <w:rFonts w:ascii="Cambria" w:hAnsi="Cambria"/>
          <w:b/>
        </w:rPr>
        <w:t>Pre-entry or post-entry quarantine</w:t>
      </w:r>
      <w:r>
        <w:rPr>
          <w:rFonts w:ascii="Cambria" w:hAnsi="Cambria"/>
        </w:rPr>
        <w:t>—the importing country may define certain control conditions, inspection and possible treatment of shipments upon their entry into the country. Pre- or post-entry quarantine of dormant cuttings, seeds and even tissue cultures (</w:t>
      </w:r>
      <w:r>
        <w:rPr>
          <w:rFonts w:ascii="Cambria" w:hAnsi="Cambria"/>
          <w:i/>
        </w:rPr>
        <w:t>in vitro</w:t>
      </w:r>
      <w:r>
        <w:rPr>
          <w:rFonts w:ascii="Cambria" w:hAnsi="Cambria"/>
        </w:rPr>
        <w:t xml:space="preserve"> plantlets) can help avoid the introduction of new viruses or allied pathogens into the importing countries.</w:t>
      </w:r>
    </w:p>
    <w:p w:rsidR="00AE7868" w:rsidRDefault="00FF2B57">
      <w:pPr>
        <w:pStyle w:val="ListBullet"/>
        <w:tabs>
          <w:tab w:val="clear" w:pos="360"/>
          <w:tab w:val="num" w:pos="284"/>
        </w:tabs>
        <w:ind w:left="284" w:hanging="284"/>
        <w:rPr>
          <w:rFonts w:ascii="Cambria" w:hAnsi="Cambria"/>
        </w:rPr>
      </w:pPr>
      <w:r>
        <w:rPr>
          <w:rFonts w:ascii="Cambria" w:hAnsi="Cambria"/>
          <w:b/>
        </w:rPr>
        <w:t>Removal of the pest from the consignment by treatment or other methods</w:t>
      </w:r>
      <w:r>
        <w:rPr>
          <w:rFonts w:ascii="Cambria" w:hAnsi="Cambria"/>
        </w:rPr>
        <w:t xml:space="preserve">—the importing country may specify chemical or physical </w:t>
      </w:r>
      <w:r>
        <w:rPr>
          <w:rFonts w:ascii="Cambria" w:hAnsi="Cambria"/>
        </w:rPr>
        <w:lastRenderedPageBreak/>
        <w:t>treatments that must be applied to the consignment before it may be imported.</w:t>
      </w:r>
    </w:p>
    <w:p w:rsidR="00AE7868" w:rsidRDefault="00FF2B57">
      <w:pPr>
        <w:pStyle w:val="AQISText"/>
        <w:spacing w:before="200" w:line="276" w:lineRule="auto"/>
        <w:jc w:val="left"/>
        <w:rPr>
          <w:rFonts w:ascii="Cambria" w:hAnsi="Cambria"/>
          <w:szCs w:val="22"/>
        </w:rPr>
      </w:pPr>
      <w:r>
        <w:rPr>
          <w:rFonts w:ascii="Cambria" w:hAnsi="Cambria"/>
          <w:szCs w:val="22"/>
        </w:rPr>
        <w:t>Measures can range from total prohibition to permitting imports subject to visual inspection. In some cases, more than one phytosanitary measure may be required in order to reduce the pest risk to an acceptable level.</w:t>
      </w:r>
    </w:p>
    <w:p w:rsidR="00AE7868" w:rsidRDefault="00AE7868">
      <w:pPr>
        <w:spacing w:line="280" w:lineRule="atLeast"/>
      </w:pPr>
    </w:p>
    <w:p w:rsidR="00AE7868" w:rsidRDefault="00AE7868">
      <w:pPr>
        <w:pStyle w:val="Heading1Numbered"/>
        <w:sectPr w:rsidR="00AE7868">
          <w:headerReference w:type="default" r:id="rId32"/>
          <w:pgSz w:w="11906" w:h="16838"/>
          <w:pgMar w:top="1418" w:right="1418" w:bottom="1418" w:left="1418" w:header="567" w:footer="283" w:gutter="0"/>
          <w:cols w:space="708"/>
          <w:docGrid w:linePitch="360"/>
        </w:sectPr>
      </w:pPr>
      <w:bookmarkStart w:id="169" w:name="_Toc384279550"/>
    </w:p>
    <w:p w:rsidR="00AE7868" w:rsidRDefault="00FF2B57">
      <w:pPr>
        <w:pStyle w:val="Heading1"/>
        <w:pageBreakBefore w:val="0"/>
        <w:numPr>
          <w:ilvl w:val="0"/>
          <w:numId w:val="21"/>
        </w:numPr>
        <w:tabs>
          <w:tab w:val="clear" w:pos="432"/>
        </w:tabs>
        <w:spacing w:before="480" w:after="120"/>
        <w:ind w:left="709" w:hanging="709"/>
        <w:rPr>
          <w:rFonts w:eastAsiaTheme="majorEastAsia" w:cstheme="majorBidi"/>
          <w:b/>
          <w:color w:val="D52B1E"/>
          <w:sz w:val="34"/>
        </w:rPr>
      </w:pPr>
      <w:bookmarkStart w:id="170" w:name="_Toc437356017"/>
      <w:r>
        <w:rPr>
          <w:rFonts w:eastAsiaTheme="majorEastAsia" w:cstheme="majorBidi"/>
          <w:b/>
          <w:color w:val="D52B1E"/>
          <w:sz w:val="34"/>
        </w:rPr>
        <w:lastRenderedPageBreak/>
        <w:t>The pathogen</w:t>
      </w:r>
      <w:bookmarkEnd w:id="169"/>
      <w:bookmarkEnd w:id="170"/>
    </w:p>
    <w:p w:rsidR="00AE7868" w:rsidRDefault="00FF2B57">
      <w:pPr>
        <w:autoSpaceDE w:val="0"/>
        <w:autoSpaceDN w:val="0"/>
        <w:adjustRightInd w:val="0"/>
        <w:spacing w:before="200"/>
        <w:rPr>
          <w:rFonts w:ascii="Cambria" w:hAnsi="Cambria" w:cs="MinionPro-Regular"/>
        </w:rPr>
      </w:pPr>
      <w:r>
        <w:rPr>
          <w:rFonts w:ascii="Cambria" w:hAnsi="Cambria"/>
        </w:rPr>
        <w:t>The genus ‘</w:t>
      </w:r>
      <w:r>
        <w:rPr>
          <w:rFonts w:ascii="Cambria" w:hAnsi="Cambria"/>
          <w:i/>
          <w:iCs/>
        </w:rPr>
        <w:t xml:space="preserve">Candidatus </w:t>
      </w:r>
      <w:r>
        <w:rPr>
          <w:rFonts w:ascii="Cambria" w:hAnsi="Cambria"/>
        </w:rPr>
        <w:t>Liberibacter’ (‘</w:t>
      </w:r>
      <w:r>
        <w:rPr>
          <w:rFonts w:ascii="Cambria" w:hAnsi="Cambria"/>
          <w:i/>
        </w:rPr>
        <w:t>Ca</w:t>
      </w:r>
      <w:r>
        <w:rPr>
          <w:rFonts w:ascii="Cambria" w:hAnsi="Cambria"/>
        </w:rPr>
        <w:t xml:space="preserve">. L.’) [Rhizobiales: Rhizobiaceae] is composed of gram-negative bacteria belonging to the alpha subdivision of the proteobacteria (Jagoueix </w:t>
      </w:r>
      <w:r>
        <w:rPr>
          <w:rFonts w:ascii="Cambria" w:hAnsi="Cambria"/>
          <w:iCs/>
        </w:rPr>
        <w:t>et al</w:t>
      </w:r>
      <w:r>
        <w:rPr>
          <w:rFonts w:ascii="Cambria" w:hAnsi="Cambria"/>
        </w:rPr>
        <w:t>. 1996; Bové 2006). ‘</w:t>
      </w:r>
      <w:r>
        <w:rPr>
          <w:rFonts w:ascii="Cambria" w:hAnsi="Cambria"/>
          <w:i/>
          <w:iCs/>
        </w:rPr>
        <w:t xml:space="preserve">Candidatus </w:t>
      </w:r>
      <w:r>
        <w:rPr>
          <w:rFonts w:ascii="Cambria" w:hAnsi="Cambria"/>
        </w:rPr>
        <w:t xml:space="preserve">Liberibacter’ species are fastidious, phloem-limited and infect a variety of agriculturally important crops (Haapalainen 2014). These bacteria have thin cell walls that allow them to pass through the narrow sieve pores and survive within the phloem vascular system of a plant (da Graça 2008). These bacteria are naturally transmitted between plants by psyllids, which feed on plant phloem sap </w:t>
      </w:r>
      <w:r>
        <w:rPr>
          <w:rFonts w:ascii="Cambria" w:hAnsi="Cambria" w:cs="MinionPro-Regular"/>
        </w:rPr>
        <w:t>(</w:t>
      </w:r>
      <w:r>
        <w:rPr>
          <w:rFonts w:ascii="Cambria" w:hAnsi="Cambria" w:cs="ArialMT"/>
        </w:rPr>
        <w:t>Janse 2012).</w:t>
      </w:r>
    </w:p>
    <w:p w:rsidR="00AE7868" w:rsidRDefault="00FF2B57">
      <w:pPr>
        <w:pStyle w:val="Heading2"/>
        <w:numPr>
          <w:ilvl w:val="1"/>
          <w:numId w:val="21"/>
        </w:numPr>
        <w:tabs>
          <w:tab w:val="clear" w:pos="576"/>
        </w:tabs>
        <w:spacing w:before="200" w:after="120"/>
        <w:ind w:left="357" w:hanging="357"/>
        <w:rPr>
          <w:rFonts w:eastAsiaTheme="majorEastAsia" w:cstheme="majorBidi"/>
          <w:color w:val="773141"/>
          <w:sz w:val="28"/>
        </w:rPr>
      </w:pPr>
      <w:bookmarkStart w:id="171" w:name="_Toc384279552"/>
      <w:r>
        <w:rPr>
          <w:rFonts w:eastAsiaTheme="majorEastAsia" w:cstheme="majorBidi"/>
          <w:color w:val="773141"/>
          <w:sz w:val="28"/>
        </w:rPr>
        <w:t xml:space="preserve"> </w:t>
      </w:r>
      <w:bookmarkStart w:id="172" w:name="_Toc437356018"/>
      <w:r>
        <w:rPr>
          <w:rFonts w:eastAsiaTheme="majorEastAsia" w:cstheme="majorBidi"/>
          <w:color w:val="773141"/>
          <w:sz w:val="28"/>
        </w:rPr>
        <w:t>‘</w:t>
      </w:r>
      <w:r>
        <w:rPr>
          <w:rFonts w:eastAsiaTheme="majorEastAsia" w:cstheme="majorBidi"/>
          <w:i/>
          <w:color w:val="773141"/>
          <w:sz w:val="28"/>
        </w:rPr>
        <w:t xml:space="preserve">Candidatus </w:t>
      </w:r>
      <w:r>
        <w:rPr>
          <w:rFonts w:eastAsiaTheme="majorEastAsia" w:cstheme="majorBidi"/>
          <w:color w:val="773141"/>
          <w:sz w:val="28"/>
        </w:rPr>
        <w:t>Liberibacter’ species</w:t>
      </w:r>
      <w:bookmarkEnd w:id="172"/>
    </w:p>
    <w:bookmarkEnd w:id="171"/>
    <w:p w:rsidR="00AE7868" w:rsidRDefault="00FF2B57">
      <w:pPr>
        <w:autoSpaceDE w:val="0"/>
        <w:autoSpaceDN w:val="0"/>
        <w:adjustRightInd w:val="0"/>
        <w:spacing w:before="200"/>
        <w:rPr>
          <w:rFonts w:ascii="Cambria" w:hAnsi="Cambria"/>
        </w:rPr>
      </w:pPr>
      <w:r>
        <w:rPr>
          <w:rFonts w:ascii="Cambria" w:hAnsi="Cambria"/>
        </w:rPr>
        <w:t>The genus ‘</w:t>
      </w:r>
      <w:r>
        <w:rPr>
          <w:rFonts w:ascii="Cambria" w:hAnsi="Cambria"/>
          <w:i/>
          <w:iCs/>
        </w:rPr>
        <w:t xml:space="preserve">Candidatus </w:t>
      </w:r>
      <w:r>
        <w:rPr>
          <w:rFonts w:ascii="Cambria" w:hAnsi="Cambria"/>
        </w:rPr>
        <w:t xml:space="preserve">Liberibacter’ contains six species that differ in their vector specificity, environmental tolerances and host ranges (Bové 2006; Lopes &amp; Frare 2008). Characteristics of these species are summarized in Table 7. </w:t>
      </w:r>
    </w:p>
    <w:p w:rsidR="00AE7868" w:rsidRDefault="00FF2B57">
      <w:pPr>
        <w:pStyle w:val="Caption"/>
        <w:keepNext w:val="0"/>
        <w:tabs>
          <w:tab w:val="left" w:pos="6158"/>
        </w:tabs>
        <w:spacing w:before="120"/>
        <w:rPr>
          <w:rFonts w:asciiTheme="majorHAnsi" w:eastAsiaTheme="majorEastAsia" w:hAnsiTheme="majorHAnsi" w:cstheme="majorBidi"/>
          <w:color w:val="595959" w:themeColor="text1" w:themeTint="A6"/>
          <w:sz w:val="20"/>
        </w:rPr>
      </w:pPr>
      <w:bookmarkStart w:id="173" w:name="_Toc418712911"/>
      <w:bookmarkStart w:id="174" w:name="_Toc421786692"/>
      <w:bookmarkStart w:id="175" w:name="_Toc428785201"/>
      <w:bookmarkStart w:id="176" w:name="_Toc428786310"/>
      <w:bookmarkStart w:id="177" w:name="_Toc429494609"/>
      <w:bookmarkStart w:id="178" w:name="_Toc430256522"/>
      <w:bookmarkStart w:id="179" w:name="_Toc433707321"/>
      <w:bookmarkStart w:id="180" w:name="_Toc433796485"/>
      <w:bookmarkStart w:id="181" w:name="_Toc437355948"/>
      <w:bookmarkStart w:id="182" w:name="_Toc437355980"/>
      <w:r>
        <w:rPr>
          <w:rFonts w:asciiTheme="majorHAnsi" w:eastAsiaTheme="majorEastAsia" w:hAnsiTheme="majorHAnsi" w:cstheme="majorBidi"/>
          <w:color w:val="595959" w:themeColor="text1" w:themeTint="A6"/>
          <w:sz w:val="20"/>
        </w:rPr>
        <w:t xml:space="preserve">Table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7</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Characteristics of ‘</w:t>
      </w:r>
      <w:r>
        <w:rPr>
          <w:rFonts w:asciiTheme="majorHAnsi" w:eastAsiaTheme="majorEastAsia" w:hAnsiTheme="majorHAnsi" w:cstheme="majorBidi"/>
          <w:i/>
          <w:color w:val="595959" w:themeColor="text1" w:themeTint="A6"/>
          <w:sz w:val="20"/>
        </w:rPr>
        <w:t xml:space="preserve">Candidatus </w:t>
      </w:r>
      <w:r>
        <w:rPr>
          <w:rFonts w:asciiTheme="majorHAnsi" w:eastAsiaTheme="majorEastAsia" w:hAnsiTheme="majorHAnsi" w:cstheme="majorBidi"/>
          <w:color w:val="595959" w:themeColor="text1" w:themeTint="A6"/>
          <w:sz w:val="20"/>
        </w:rPr>
        <w:t>Liberibacter’ species</w:t>
      </w:r>
      <w:bookmarkEnd w:id="173"/>
      <w:bookmarkEnd w:id="174"/>
      <w:bookmarkEnd w:id="175"/>
      <w:bookmarkEnd w:id="176"/>
      <w:bookmarkEnd w:id="177"/>
      <w:bookmarkEnd w:id="178"/>
      <w:bookmarkEnd w:id="179"/>
      <w:bookmarkEnd w:id="180"/>
      <w:bookmarkEnd w:id="181"/>
      <w:bookmarkEnd w:id="182"/>
    </w:p>
    <w:tbl>
      <w:tblPr>
        <w:tblW w:w="4732" w:type="pct"/>
        <w:tblInd w:w="108" w:type="dxa"/>
        <w:tblBorders>
          <w:top w:val="single" w:sz="4" w:space="0" w:color="auto"/>
          <w:bottom w:val="single" w:sz="4" w:space="0" w:color="auto"/>
        </w:tblBorders>
        <w:tblLook w:val="04A0" w:firstRow="1" w:lastRow="0" w:firstColumn="1" w:lastColumn="0" w:noHBand="0" w:noVBand="1"/>
      </w:tblPr>
      <w:tblGrid>
        <w:gridCol w:w="1800"/>
        <w:gridCol w:w="2354"/>
        <w:gridCol w:w="2215"/>
        <w:gridCol w:w="2215"/>
      </w:tblGrid>
      <w:tr w:rsidR="00AE7868">
        <w:tc>
          <w:tcPr>
            <w:tcW w:w="1049" w:type="pct"/>
          </w:tcPr>
          <w:p w:rsidR="00AE7868" w:rsidRDefault="00FF2B57">
            <w:pPr>
              <w:pStyle w:val="TableHeading"/>
              <w:rPr>
                <w:rFonts w:ascii="Cambria" w:hAnsi="Cambria"/>
                <w:sz w:val="16"/>
                <w:szCs w:val="16"/>
              </w:rPr>
            </w:pPr>
            <w:r>
              <w:rPr>
                <w:rFonts w:ascii="Cambria" w:hAnsi="Cambria"/>
                <w:iCs/>
                <w:sz w:val="16"/>
                <w:szCs w:val="16"/>
              </w:rPr>
              <w:t>‘</w:t>
            </w:r>
            <w:r>
              <w:rPr>
                <w:rFonts w:ascii="Cambria" w:hAnsi="Cambria"/>
                <w:i/>
                <w:iCs/>
                <w:sz w:val="16"/>
                <w:szCs w:val="16"/>
              </w:rPr>
              <w:t>Candidatus</w:t>
            </w:r>
            <w:r>
              <w:rPr>
                <w:rFonts w:ascii="Cambria" w:hAnsi="Cambria"/>
                <w:sz w:val="16"/>
                <w:szCs w:val="16"/>
              </w:rPr>
              <w:t xml:space="preserve"> Liberibacter’ species </w:t>
            </w:r>
          </w:p>
        </w:tc>
        <w:tc>
          <w:tcPr>
            <w:tcW w:w="1371" w:type="pct"/>
          </w:tcPr>
          <w:p w:rsidR="00AE7868" w:rsidRDefault="00FF2B57">
            <w:pPr>
              <w:pStyle w:val="TableHeading"/>
              <w:rPr>
                <w:rFonts w:ascii="Cambria" w:hAnsi="Cambria"/>
                <w:sz w:val="16"/>
                <w:szCs w:val="16"/>
              </w:rPr>
            </w:pPr>
            <w:r>
              <w:rPr>
                <w:rFonts w:ascii="Cambria" w:hAnsi="Cambria"/>
                <w:sz w:val="16"/>
                <w:szCs w:val="16"/>
              </w:rPr>
              <w:t>Natural host plant</w:t>
            </w:r>
          </w:p>
        </w:tc>
        <w:tc>
          <w:tcPr>
            <w:tcW w:w="1290" w:type="pct"/>
          </w:tcPr>
          <w:p w:rsidR="00AE7868" w:rsidRDefault="00FF2B57">
            <w:pPr>
              <w:pStyle w:val="TableHeading"/>
              <w:rPr>
                <w:rFonts w:ascii="Cambria" w:hAnsi="Cambria"/>
                <w:sz w:val="16"/>
                <w:szCs w:val="16"/>
              </w:rPr>
            </w:pPr>
            <w:r>
              <w:rPr>
                <w:rFonts w:ascii="Cambria" w:hAnsi="Cambria"/>
                <w:sz w:val="16"/>
                <w:szCs w:val="16"/>
              </w:rPr>
              <w:t xml:space="preserve">Area of distribution </w:t>
            </w:r>
          </w:p>
        </w:tc>
        <w:tc>
          <w:tcPr>
            <w:tcW w:w="1290" w:type="pct"/>
          </w:tcPr>
          <w:p w:rsidR="00AE7868" w:rsidRDefault="00FF2B57">
            <w:pPr>
              <w:pStyle w:val="TableHeading"/>
              <w:rPr>
                <w:rFonts w:ascii="Cambria" w:hAnsi="Cambria"/>
                <w:sz w:val="16"/>
                <w:szCs w:val="16"/>
              </w:rPr>
            </w:pPr>
            <w:r>
              <w:rPr>
                <w:rFonts w:ascii="Cambria" w:hAnsi="Cambria"/>
                <w:sz w:val="16"/>
                <w:szCs w:val="16"/>
              </w:rPr>
              <w:t>Temperature sensitivity</w:t>
            </w:r>
          </w:p>
        </w:tc>
      </w:tr>
      <w:tr w:rsidR="00AE7868">
        <w:tc>
          <w:tcPr>
            <w:tcW w:w="1049" w:type="pct"/>
          </w:tcPr>
          <w:p w:rsidR="00AE7868" w:rsidRDefault="00FF2B57">
            <w:pPr>
              <w:spacing w:before="20" w:after="20" w:line="240" w:lineRule="atLeast"/>
              <w:rPr>
                <w:rFonts w:ascii="Cambria" w:hAnsi="Cambria" w:cstheme="minorHAnsi"/>
                <w:sz w:val="18"/>
                <w:szCs w:val="18"/>
              </w:rPr>
            </w:pPr>
            <w:r>
              <w:rPr>
                <w:rFonts w:ascii="Cambria" w:hAnsi="Cambria" w:cstheme="minorHAnsi"/>
                <w:sz w:val="18"/>
                <w:szCs w:val="18"/>
              </w:rPr>
              <w:t>‘</w:t>
            </w:r>
            <w:r>
              <w:rPr>
                <w:rFonts w:ascii="Cambria" w:hAnsi="Cambria" w:cstheme="minorHAnsi"/>
                <w:i/>
                <w:sz w:val="18"/>
                <w:szCs w:val="18"/>
              </w:rPr>
              <w:t xml:space="preserve">Ca. </w:t>
            </w:r>
            <w:r>
              <w:rPr>
                <w:rFonts w:ascii="Cambria" w:hAnsi="Cambria" w:cstheme="minorHAnsi"/>
                <w:sz w:val="18"/>
                <w:szCs w:val="18"/>
              </w:rPr>
              <w:t>L. africanus’</w:t>
            </w:r>
          </w:p>
        </w:tc>
        <w:tc>
          <w:tcPr>
            <w:tcW w:w="1371" w:type="pct"/>
          </w:tcPr>
          <w:p w:rsidR="00AE7868" w:rsidRDefault="00FF2B57">
            <w:pPr>
              <w:spacing w:before="20" w:after="20" w:line="240" w:lineRule="atLeast"/>
              <w:rPr>
                <w:rFonts w:ascii="Cambria" w:hAnsi="Cambria" w:cstheme="minorHAnsi"/>
                <w:sz w:val="18"/>
                <w:szCs w:val="18"/>
              </w:rPr>
            </w:pPr>
            <w:r>
              <w:rPr>
                <w:rFonts w:ascii="Cambria" w:hAnsi="Cambria"/>
                <w:sz w:val="18"/>
                <w:szCs w:val="18"/>
              </w:rPr>
              <w:t>Rutaceae (</w:t>
            </w:r>
            <w:r>
              <w:rPr>
                <w:rFonts w:ascii="Cambria" w:eastAsia="Cambria" w:hAnsi="Cambria" w:cs="FrutigerLTStd-Light"/>
                <w:sz w:val="18"/>
                <w:szCs w:val="18"/>
              </w:rPr>
              <w:t>Bové 2006</w:t>
            </w:r>
            <w:r>
              <w:rPr>
                <w:rFonts w:ascii="Cambria" w:hAnsi="Cambria"/>
                <w:sz w:val="18"/>
                <w:szCs w:val="18"/>
              </w:rPr>
              <w:t>)</w:t>
            </w:r>
          </w:p>
        </w:tc>
        <w:tc>
          <w:tcPr>
            <w:tcW w:w="1290" w:type="pct"/>
          </w:tcPr>
          <w:p w:rsidR="00AE7868" w:rsidRDefault="00FF2B57">
            <w:pPr>
              <w:spacing w:before="20" w:after="20" w:line="240" w:lineRule="atLeast"/>
              <w:rPr>
                <w:rFonts w:ascii="Cambria" w:hAnsi="Cambria" w:cstheme="minorHAnsi"/>
                <w:sz w:val="18"/>
                <w:szCs w:val="18"/>
              </w:rPr>
            </w:pPr>
            <w:r>
              <w:rPr>
                <w:rFonts w:ascii="Cambria" w:eastAsia="Cambria" w:hAnsi="Cambria" w:cs="FrutigerLTStd-Light"/>
                <w:sz w:val="18"/>
                <w:szCs w:val="18"/>
              </w:rPr>
              <w:t>Sub-Saharan Africa, Saudi Arabia, Yemen</w:t>
            </w:r>
          </w:p>
        </w:tc>
        <w:tc>
          <w:tcPr>
            <w:tcW w:w="1290" w:type="pct"/>
          </w:tcPr>
          <w:p w:rsidR="00AE7868" w:rsidRDefault="00FF2B57">
            <w:pPr>
              <w:spacing w:before="20" w:after="20" w:line="240" w:lineRule="atLeast"/>
              <w:rPr>
                <w:rFonts w:ascii="Cambria" w:eastAsia="Cambria" w:hAnsi="Cambria" w:cs="FrutigerLTStd-Light"/>
                <w:sz w:val="18"/>
                <w:szCs w:val="18"/>
              </w:rPr>
            </w:pPr>
            <w:r>
              <w:rPr>
                <w:rFonts w:ascii="Cambria" w:eastAsia="Cambria" w:hAnsi="Cambria" w:cs="FrutigerLTStd-Light"/>
                <w:sz w:val="18"/>
                <w:szCs w:val="18"/>
              </w:rPr>
              <w:t>Heat sensitive (Bové et al. 1974)</w:t>
            </w:r>
          </w:p>
        </w:tc>
      </w:tr>
      <w:tr w:rsidR="00AE7868">
        <w:tc>
          <w:tcPr>
            <w:tcW w:w="1049" w:type="pct"/>
          </w:tcPr>
          <w:p w:rsidR="00AE7868" w:rsidRDefault="00FF2B57">
            <w:pPr>
              <w:spacing w:before="20" w:after="20" w:line="240" w:lineRule="atLeast"/>
              <w:rPr>
                <w:rFonts w:ascii="Cambria" w:hAnsi="Cambria" w:cstheme="minorHAnsi"/>
                <w:i/>
                <w:sz w:val="18"/>
                <w:szCs w:val="18"/>
              </w:rPr>
            </w:pPr>
            <w:r>
              <w:rPr>
                <w:rFonts w:ascii="Cambria" w:hAnsi="Cambria" w:cstheme="minorHAnsi"/>
                <w:sz w:val="18"/>
                <w:szCs w:val="18"/>
              </w:rPr>
              <w:t>‘</w:t>
            </w:r>
            <w:r>
              <w:rPr>
                <w:rFonts w:ascii="Cambria" w:hAnsi="Cambria"/>
                <w:i/>
                <w:iCs/>
                <w:sz w:val="18"/>
                <w:szCs w:val="18"/>
              </w:rPr>
              <w:t xml:space="preserve">Ca. </w:t>
            </w:r>
            <w:r>
              <w:rPr>
                <w:rFonts w:ascii="Cambria" w:hAnsi="Cambria"/>
                <w:sz w:val="18"/>
                <w:szCs w:val="18"/>
              </w:rPr>
              <w:t>L. americanus’</w:t>
            </w:r>
          </w:p>
        </w:tc>
        <w:tc>
          <w:tcPr>
            <w:tcW w:w="1371" w:type="pct"/>
          </w:tcPr>
          <w:p w:rsidR="00AE7868" w:rsidRDefault="00FF2B57">
            <w:pPr>
              <w:spacing w:before="20" w:after="20" w:line="240" w:lineRule="atLeast"/>
              <w:rPr>
                <w:rFonts w:ascii="Cambria" w:hAnsi="Cambria" w:cstheme="minorHAnsi"/>
                <w:sz w:val="18"/>
                <w:szCs w:val="18"/>
              </w:rPr>
            </w:pPr>
            <w:r>
              <w:rPr>
                <w:rFonts w:ascii="Cambria" w:hAnsi="Cambria"/>
                <w:sz w:val="18"/>
                <w:szCs w:val="18"/>
              </w:rPr>
              <w:t>Rutaceae (</w:t>
            </w:r>
            <w:r>
              <w:rPr>
                <w:rFonts w:ascii="Cambria" w:eastAsia="Cambria" w:hAnsi="Cambria" w:cs="FrutigerLTStd-Light"/>
                <w:sz w:val="18"/>
                <w:szCs w:val="18"/>
              </w:rPr>
              <w:t>Bové 2006</w:t>
            </w:r>
            <w:r>
              <w:rPr>
                <w:rFonts w:ascii="Cambria" w:hAnsi="Cambria"/>
                <w:sz w:val="18"/>
                <w:szCs w:val="18"/>
              </w:rPr>
              <w:t>)</w:t>
            </w:r>
          </w:p>
        </w:tc>
        <w:tc>
          <w:tcPr>
            <w:tcW w:w="1290" w:type="pct"/>
          </w:tcPr>
          <w:p w:rsidR="00AE7868" w:rsidRDefault="00FF2B57">
            <w:pPr>
              <w:spacing w:before="20" w:after="20" w:line="240" w:lineRule="atLeast"/>
              <w:rPr>
                <w:rFonts w:ascii="Cambria" w:hAnsi="Cambria" w:cstheme="minorHAnsi"/>
                <w:sz w:val="18"/>
                <w:szCs w:val="18"/>
              </w:rPr>
            </w:pPr>
            <w:r>
              <w:rPr>
                <w:rFonts w:ascii="Cambria" w:hAnsi="Cambria" w:cstheme="minorHAnsi"/>
                <w:sz w:val="18"/>
                <w:szCs w:val="18"/>
              </w:rPr>
              <w:t>Brazil</w:t>
            </w:r>
          </w:p>
        </w:tc>
        <w:tc>
          <w:tcPr>
            <w:tcW w:w="1290" w:type="pct"/>
          </w:tcPr>
          <w:p w:rsidR="00AE7868" w:rsidRDefault="00FF2B57">
            <w:pPr>
              <w:spacing w:before="20" w:after="20" w:line="240" w:lineRule="atLeast"/>
              <w:rPr>
                <w:rFonts w:ascii="Cambria" w:hAnsi="Cambria" w:cstheme="minorHAnsi"/>
                <w:sz w:val="18"/>
                <w:szCs w:val="18"/>
              </w:rPr>
            </w:pPr>
            <w:r>
              <w:rPr>
                <w:rFonts w:ascii="Cambria" w:eastAsia="Cambria" w:hAnsi="Cambria" w:cs="FrutigerLTStd-Light"/>
                <w:sz w:val="18"/>
                <w:szCs w:val="18"/>
              </w:rPr>
              <w:t>Heat sensitive (Lopes et al. 2009)</w:t>
            </w:r>
          </w:p>
        </w:tc>
      </w:tr>
      <w:tr w:rsidR="00AE7868">
        <w:tc>
          <w:tcPr>
            <w:tcW w:w="1049" w:type="pct"/>
          </w:tcPr>
          <w:p w:rsidR="00AE7868" w:rsidRDefault="00FF2B57">
            <w:pPr>
              <w:spacing w:before="20" w:after="20" w:line="240" w:lineRule="atLeast"/>
              <w:rPr>
                <w:rFonts w:ascii="Cambria" w:hAnsi="Cambria"/>
                <w:i/>
                <w:iCs/>
                <w:sz w:val="18"/>
                <w:szCs w:val="18"/>
              </w:rPr>
            </w:pPr>
            <w:r>
              <w:rPr>
                <w:rFonts w:ascii="Cambria" w:hAnsi="Cambria" w:cstheme="minorHAnsi"/>
                <w:sz w:val="18"/>
                <w:szCs w:val="18"/>
              </w:rPr>
              <w:lastRenderedPageBreak/>
              <w:t>‘</w:t>
            </w:r>
            <w:r>
              <w:rPr>
                <w:rFonts w:ascii="Cambria" w:hAnsi="Cambria"/>
                <w:i/>
                <w:iCs/>
                <w:sz w:val="18"/>
                <w:szCs w:val="18"/>
              </w:rPr>
              <w:t xml:space="preserve">Ca. </w:t>
            </w:r>
            <w:r>
              <w:rPr>
                <w:rFonts w:ascii="Cambria" w:hAnsi="Cambria"/>
                <w:sz w:val="18"/>
                <w:szCs w:val="18"/>
              </w:rPr>
              <w:t>L. asiaticus’</w:t>
            </w:r>
          </w:p>
        </w:tc>
        <w:tc>
          <w:tcPr>
            <w:tcW w:w="1371" w:type="pct"/>
          </w:tcPr>
          <w:p w:rsidR="00AE7868" w:rsidRDefault="00FF2B57">
            <w:pPr>
              <w:spacing w:before="20" w:after="20" w:line="240" w:lineRule="atLeast"/>
              <w:rPr>
                <w:rFonts w:ascii="Cambria" w:hAnsi="Cambria"/>
                <w:sz w:val="18"/>
                <w:szCs w:val="18"/>
              </w:rPr>
            </w:pPr>
            <w:r>
              <w:rPr>
                <w:rFonts w:ascii="Cambria" w:hAnsi="Cambria"/>
                <w:sz w:val="18"/>
                <w:szCs w:val="18"/>
              </w:rPr>
              <w:t>Rutaceae (</w:t>
            </w:r>
            <w:r>
              <w:rPr>
                <w:rFonts w:ascii="Cambria" w:eastAsia="Cambria" w:hAnsi="Cambria" w:cs="FrutigerLTStd-Light"/>
                <w:sz w:val="18"/>
                <w:szCs w:val="18"/>
              </w:rPr>
              <w:t>Bové 2006</w:t>
            </w:r>
            <w:r>
              <w:rPr>
                <w:rFonts w:ascii="Cambria" w:hAnsi="Cambria"/>
                <w:sz w:val="18"/>
                <w:szCs w:val="18"/>
              </w:rPr>
              <w:t>)</w:t>
            </w:r>
          </w:p>
        </w:tc>
        <w:tc>
          <w:tcPr>
            <w:tcW w:w="1290" w:type="pct"/>
          </w:tcPr>
          <w:p w:rsidR="00AE7868" w:rsidRDefault="00FF2B57">
            <w:pPr>
              <w:spacing w:before="20" w:after="20" w:line="240" w:lineRule="atLeast"/>
              <w:rPr>
                <w:rFonts w:ascii="Cambria" w:hAnsi="Cambria" w:cs="MinionPro-It"/>
                <w:i/>
                <w:iCs/>
                <w:sz w:val="18"/>
                <w:szCs w:val="18"/>
              </w:rPr>
            </w:pPr>
            <w:r>
              <w:rPr>
                <w:rFonts w:ascii="Cambria" w:eastAsia="Cambria" w:hAnsi="Cambria" w:cs="FrutigerLTStd-Light"/>
                <w:sz w:val="18"/>
                <w:szCs w:val="18"/>
              </w:rPr>
              <w:t>Southern Asia, Brazil, Caribbean, USA, Africa, Saudi Arabia, Yemen</w:t>
            </w:r>
          </w:p>
        </w:tc>
        <w:tc>
          <w:tcPr>
            <w:tcW w:w="1290" w:type="pct"/>
          </w:tcPr>
          <w:p w:rsidR="00AE7868" w:rsidRDefault="00FF2B57">
            <w:pPr>
              <w:spacing w:before="20" w:after="20" w:line="240" w:lineRule="atLeast"/>
              <w:rPr>
                <w:rFonts w:ascii="Cambria" w:eastAsia="Cambria" w:hAnsi="Cambria" w:cs="FrutigerLTStd-Light"/>
                <w:sz w:val="18"/>
                <w:szCs w:val="18"/>
              </w:rPr>
            </w:pPr>
            <w:r>
              <w:rPr>
                <w:rFonts w:ascii="Cambria" w:eastAsia="Cambria" w:hAnsi="Cambria" w:cs="FrutigerLTStd-Light"/>
                <w:sz w:val="18"/>
                <w:szCs w:val="18"/>
              </w:rPr>
              <w:t>Heat tolerant (Bové 2006)</w:t>
            </w:r>
          </w:p>
        </w:tc>
      </w:tr>
      <w:tr w:rsidR="00AE7868">
        <w:tc>
          <w:tcPr>
            <w:tcW w:w="1049" w:type="pct"/>
          </w:tcPr>
          <w:p w:rsidR="00AE7868" w:rsidRDefault="00FF2B57">
            <w:pPr>
              <w:spacing w:before="20" w:after="20" w:line="240" w:lineRule="atLeast"/>
              <w:rPr>
                <w:rFonts w:ascii="Cambria" w:hAnsi="Cambria" w:cstheme="minorHAnsi"/>
                <w:sz w:val="18"/>
                <w:szCs w:val="18"/>
              </w:rPr>
            </w:pPr>
            <w:r>
              <w:rPr>
                <w:rFonts w:ascii="Cambria" w:hAnsi="Cambria" w:cstheme="minorHAnsi"/>
                <w:sz w:val="18"/>
                <w:szCs w:val="18"/>
              </w:rPr>
              <w:t>‘</w:t>
            </w:r>
            <w:r>
              <w:rPr>
                <w:rFonts w:ascii="Cambria" w:hAnsi="Cambria" w:cs="MinionPro-Regular"/>
                <w:i/>
                <w:sz w:val="18"/>
                <w:szCs w:val="18"/>
              </w:rPr>
              <w:t>Ca</w:t>
            </w:r>
            <w:r>
              <w:rPr>
                <w:rFonts w:ascii="Cambria" w:hAnsi="Cambria" w:cs="MinionPro-Regular"/>
                <w:sz w:val="18"/>
                <w:szCs w:val="18"/>
              </w:rPr>
              <w:t>. L. crescens’</w:t>
            </w:r>
          </w:p>
        </w:tc>
        <w:tc>
          <w:tcPr>
            <w:tcW w:w="1371" w:type="pct"/>
          </w:tcPr>
          <w:p w:rsidR="00AE7868" w:rsidRDefault="00FF2B57">
            <w:pPr>
              <w:spacing w:before="20" w:after="20" w:line="240" w:lineRule="atLeast"/>
              <w:rPr>
                <w:rFonts w:ascii="Cambria" w:hAnsi="Cambria"/>
                <w:sz w:val="18"/>
                <w:szCs w:val="18"/>
              </w:rPr>
            </w:pPr>
            <w:r>
              <w:rPr>
                <w:rFonts w:ascii="Cambria" w:eastAsia="Cambria" w:hAnsi="Cambria" w:cs="FrutigerLTStd-Light"/>
                <w:sz w:val="18"/>
                <w:szCs w:val="18"/>
              </w:rPr>
              <w:t>Caricaceae (Leonard et al. 2012)</w:t>
            </w:r>
          </w:p>
        </w:tc>
        <w:tc>
          <w:tcPr>
            <w:tcW w:w="1290" w:type="pct"/>
          </w:tcPr>
          <w:p w:rsidR="00AE7868" w:rsidRDefault="00FF2B57">
            <w:pPr>
              <w:spacing w:before="20" w:after="20" w:line="240" w:lineRule="atLeast"/>
              <w:rPr>
                <w:rFonts w:ascii="Cambria" w:eastAsia="Cambria" w:hAnsi="Cambria" w:cs="FrutigerLTStd-Light"/>
                <w:sz w:val="18"/>
                <w:szCs w:val="18"/>
              </w:rPr>
            </w:pPr>
            <w:r>
              <w:rPr>
                <w:rFonts w:ascii="Cambria" w:eastAsia="Cambria" w:hAnsi="Cambria" w:cs="FrutigerLTStd-Light"/>
                <w:sz w:val="18"/>
                <w:szCs w:val="18"/>
              </w:rPr>
              <w:t>Puerto Rico (Caribbean)</w:t>
            </w:r>
          </w:p>
        </w:tc>
        <w:tc>
          <w:tcPr>
            <w:tcW w:w="1290" w:type="pct"/>
          </w:tcPr>
          <w:p w:rsidR="00AE7868" w:rsidRDefault="00FF2B57">
            <w:pPr>
              <w:spacing w:before="20" w:after="20" w:line="240" w:lineRule="atLeast"/>
              <w:rPr>
                <w:rFonts w:ascii="Cambria" w:eastAsia="Cambria" w:hAnsi="Cambria" w:cs="FrutigerLTStd-Light"/>
                <w:sz w:val="18"/>
                <w:szCs w:val="18"/>
              </w:rPr>
            </w:pPr>
            <w:r>
              <w:rPr>
                <w:rFonts w:ascii="Cambria" w:eastAsia="Cambria" w:hAnsi="Cambria" w:cs="FrutigerLTStd-Light"/>
                <w:sz w:val="18"/>
                <w:szCs w:val="18"/>
              </w:rPr>
              <w:t>Heat sensitive (Haapalian 2014)</w:t>
            </w:r>
          </w:p>
        </w:tc>
      </w:tr>
      <w:tr w:rsidR="00AE7868">
        <w:tc>
          <w:tcPr>
            <w:tcW w:w="1049" w:type="pct"/>
          </w:tcPr>
          <w:p w:rsidR="00AE7868" w:rsidRDefault="00FF2B57">
            <w:pPr>
              <w:spacing w:before="20" w:after="20" w:line="240" w:lineRule="atLeast"/>
              <w:rPr>
                <w:rFonts w:ascii="Cambria" w:hAnsi="Cambria"/>
                <w:i/>
                <w:iCs/>
                <w:sz w:val="18"/>
                <w:szCs w:val="18"/>
              </w:rPr>
            </w:pPr>
            <w:r>
              <w:rPr>
                <w:rFonts w:ascii="Cambria" w:hAnsi="Cambria" w:cstheme="minorHAnsi"/>
                <w:sz w:val="18"/>
                <w:szCs w:val="18"/>
              </w:rPr>
              <w:t>‘</w:t>
            </w:r>
            <w:r>
              <w:rPr>
                <w:rFonts w:ascii="Cambria" w:hAnsi="Cambria"/>
                <w:i/>
                <w:iCs/>
                <w:sz w:val="18"/>
                <w:szCs w:val="18"/>
              </w:rPr>
              <w:t xml:space="preserve">Ca. </w:t>
            </w:r>
            <w:r>
              <w:rPr>
                <w:rFonts w:ascii="Cambria" w:hAnsi="Cambria"/>
                <w:sz w:val="18"/>
                <w:szCs w:val="18"/>
              </w:rPr>
              <w:t>L. e</w:t>
            </w:r>
            <w:r>
              <w:rPr>
                <w:rFonts w:ascii="Cambria" w:hAnsi="Cambria" w:cs="MinionPro-Regular"/>
                <w:sz w:val="18"/>
                <w:szCs w:val="18"/>
              </w:rPr>
              <w:t>uropaeus’</w:t>
            </w:r>
          </w:p>
        </w:tc>
        <w:tc>
          <w:tcPr>
            <w:tcW w:w="1371" w:type="pct"/>
          </w:tcPr>
          <w:p w:rsidR="00AE7868" w:rsidRDefault="00FF2B57">
            <w:pPr>
              <w:spacing w:before="20" w:after="20" w:line="240" w:lineRule="atLeast"/>
              <w:rPr>
                <w:rFonts w:ascii="Cambria" w:hAnsi="Cambria"/>
                <w:sz w:val="18"/>
                <w:szCs w:val="18"/>
              </w:rPr>
            </w:pPr>
            <w:r>
              <w:rPr>
                <w:rFonts w:ascii="Cambria" w:hAnsi="Cambria"/>
                <w:sz w:val="18"/>
                <w:szCs w:val="18"/>
              </w:rPr>
              <w:t xml:space="preserve">Rosacae (Camerota et al. 2012); </w:t>
            </w:r>
            <w:r>
              <w:rPr>
                <w:rFonts w:ascii="Cambria" w:eastAsia="Cambria" w:hAnsi="Cambria" w:cs="FrutigerLTStd-Light"/>
                <w:sz w:val="18"/>
                <w:szCs w:val="18"/>
              </w:rPr>
              <w:t>Fabaceae</w:t>
            </w:r>
            <w:r>
              <w:rPr>
                <w:rFonts w:ascii="Cambria" w:hAnsi="Cambria"/>
                <w:sz w:val="18"/>
                <w:szCs w:val="18"/>
              </w:rPr>
              <w:t xml:space="preserve"> (Thompson et al. 2013)</w:t>
            </w:r>
          </w:p>
        </w:tc>
        <w:tc>
          <w:tcPr>
            <w:tcW w:w="1290" w:type="pct"/>
          </w:tcPr>
          <w:p w:rsidR="00AE7868" w:rsidRDefault="00FF2B57">
            <w:pPr>
              <w:spacing w:before="20" w:after="20" w:line="240" w:lineRule="atLeast"/>
              <w:rPr>
                <w:rFonts w:ascii="Cambria" w:eastAsia="Cambria" w:hAnsi="Cambria" w:cs="FrutigerLTStd-Light"/>
                <w:sz w:val="18"/>
                <w:szCs w:val="18"/>
              </w:rPr>
            </w:pPr>
            <w:r>
              <w:rPr>
                <w:rFonts w:ascii="Cambria" w:eastAsia="Cambria" w:hAnsi="Cambria" w:cs="FrutigerLTStd-Light"/>
                <w:sz w:val="18"/>
                <w:szCs w:val="18"/>
              </w:rPr>
              <w:t>Europe</w:t>
            </w:r>
          </w:p>
          <w:p w:rsidR="00AE7868" w:rsidRDefault="00FF2B57">
            <w:pPr>
              <w:spacing w:before="20" w:after="20" w:line="240" w:lineRule="atLeast"/>
              <w:rPr>
                <w:rFonts w:ascii="Cambria" w:hAnsi="Cambria"/>
                <w:sz w:val="18"/>
                <w:szCs w:val="18"/>
              </w:rPr>
            </w:pPr>
            <w:r>
              <w:rPr>
                <w:rFonts w:ascii="Cambria" w:eastAsia="Cambria" w:hAnsi="Cambria" w:cs="FrutigerLTStd-Light"/>
                <w:sz w:val="18"/>
                <w:szCs w:val="18"/>
              </w:rPr>
              <w:t>Europe, New Zealand</w:t>
            </w:r>
          </w:p>
        </w:tc>
        <w:tc>
          <w:tcPr>
            <w:tcW w:w="1290" w:type="pct"/>
          </w:tcPr>
          <w:p w:rsidR="00AE7868" w:rsidRDefault="00FF2B57">
            <w:pPr>
              <w:spacing w:before="20" w:after="20" w:line="240" w:lineRule="atLeast"/>
              <w:rPr>
                <w:rFonts w:ascii="Cambria" w:eastAsia="Cambria" w:hAnsi="Cambria" w:cs="FrutigerLTStd-Light"/>
                <w:sz w:val="18"/>
                <w:szCs w:val="18"/>
              </w:rPr>
            </w:pPr>
            <w:r>
              <w:rPr>
                <w:rFonts w:ascii="Cambria" w:eastAsia="Cambria" w:hAnsi="Cambria" w:cs="FrutigerLTStd-Light"/>
                <w:sz w:val="18"/>
                <w:szCs w:val="18"/>
              </w:rPr>
              <w:t>Heat sensitive (Haapalian 2014)</w:t>
            </w:r>
          </w:p>
        </w:tc>
      </w:tr>
      <w:tr w:rsidR="00AE7868">
        <w:tc>
          <w:tcPr>
            <w:tcW w:w="1049" w:type="pct"/>
          </w:tcPr>
          <w:p w:rsidR="00AE7868" w:rsidRDefault="00FF2B57">
            <w:pPr>
              <w:spacing w:before="20" w:after="20" w:line="240" w:lineRule="atLeast"/>
              <w:rPr>
                <w:rFonts w:ascii="Cambria" w:hAnsi="Cambria"/>
                <w:iCs/>
                <w:sz w:val="18"/>
                <w:szCs w:val="18"/>
              </w:rPr>
            </w:pPr>
            <w:r>
              <w:rPr>
                <w:rFonts w:ascii="Cambria" w:hAnsi="Cambria" w:cstheme="minorHAnsi"/>
                <w:sz w:val="18"/>
                <w:szCs w:val="18"/>
              </w:rPr>
              <w:t>‘</w:t>
            </w:r>
            <w:r>
              <w:rPr>
                <w:rFonts w:ascii="Cambria" w:hAnsi="Cambria"/>
                <w:i/>
                <w:iCs/>
                <w:sz w:val="18"/>
                <w:szCs w:val="18"/>
              </w:rPr>
              <w:t xml:space="preserve">Ca. </w:t>
            </w:r>
            <w:r>
              <w:rPr>
                <w:rFonts w:ascii="Cambria" w:hAnsi="Cambria"/>
                <w:iCs/>
                <w:sz w:val="18"/>
                <w:szCs w:val="18"/>
              </w:rPr>
              <w:t xml:space="preserve">L. solanacearum’ </w:t>
            </w:r>
          </w:p>
        </w:tc>
        <w:tc>
          <w:tcPr>
            <w:tcW w:w="1371" w:type="pct"/>
          </w:tcPr>
          <w:p w:rsidR="00AE7868" w:rsidRDefault="00FF2B57">
            <w:pPr>
              <w:spacing w:before="20" w:after="20" w:line="240" w:lineRule="atLeast"/>
              <w:rPr>
                <w:rFonts w:ascii="Cambria" w:hAnsi="Cambria"/>
                <w:sz w:val="18"/>
                <w:szCs w:val="18"/>
              </w:rPr>
            </w:pPr>
            <w:r>
              <w:rPr>
                <w:rFonts w:ascii="Cambria" w:hAnsi="Cambria"/>
                <w:sz w:val="18"/>
                <w:szCs w:val="18"/>
              </w:rPr>
              <w:t>Solanaceae (Hansen et al. 2008; Munyaneza 2012);</w:t>
            </w:r>
          </w:p>
          <w:p w:rsidR="00AE7868" w:rsidRDefault="00FF2B57">
            <w:pPr>
              <w:spacing w:before="20" w:after="20" w:line="240" w:lineRule="atLeast"/>
              <w:rPr>
                <w:rFonts w:ascii="Cambria" w:hAnsi="Cambria"/>
                <w:sz w:val="18"/>
                <w:szCs w:val="18"/>
              </w:rPr>
            </w:pPr>
            <w:r>
              <w:rPr>
                <w:rFonts w:ascii="Cambria" w:hAnsi="Cambria"/>
                <w:sz w:val="18"/>
                <w:szCs w:val="18"/>
              </w:rPr>
              <w:t>Apiaceae (Teresani et al. 2014b; Bertolini et al. 2014)</w:t>
            </w:r>
          </w:p>
        </w:tc>
        <w:tc>
          <w:tcPr>
            <w:tcW w:w="1290" w:type="pct"/>
          </w:tcPr>
          <w:p w:rsidR="00AE7868" w:rsidRDefault="00FF2B57">
            <w:pPr>
              <w:spacing w:before="20" w:after="20" w:line="240" w:lineRule="atLeast"/>
              <w:rPr>
                <w:rFonts w:ascii="Cambria" w:hAnsi="Cambria" w:cs="MinionPro-It"/>
                <w:iCs/>
                <w:sz w:val="18"/>
                <w:szCs w:val="18"/>
              </w:rPr>
            </w:pPr>
            <w:r>
              <w:rPr>
                <w:rFonts w:ascii="Cambria" w:hAnsi="Cambria" w:cs="MinionPro-It"/>
                <w:iCs/>
                <w:sz w:val="18"/>
                <w:szCs w:val="18"/>
              </w:rPr>
              <w:t>North and Central America, New Zealand</w:t>
            </w:r>
          </w:p>
          <w:p w:rsidR="00AE7868" w:rsidRDefault="00FF2B57">
            <w:pPr>
              <w:spacing w:before="20" w:after="20" w:line="240" w:lineRule="atLeast"/>
              <w:rPr>
                <w:rFonts w:ascii="Cambria" w:hAnsi="Cambria" w:cs="MinionPro-It"/>
                <w:iCs/>
                <w:sz w:val="18"/>
                <w:szCs w:val="18"/>
              </w:rPr>
            </w:pPr>
            <w:r>
              <w:rPr>
                <w:rFonts w:ascii="Cambria" w:hAnsi="Cambria" w:cs="MinionPro-It"/>
                <w:iCs/>
                <w:sz w:val="18"/>
                <w:szCs w:val="18"/>
              </w:rPr>
              <w:t>Northern Europe, Austria, France, Germany, Morocco, Spain</w:t>
            </w:r>
          </w:p>
        </w:tc>
        <w:tc>
          <w:tcPr>
            <w:tcW w:w="1290" w:type="pct"/>
          </w:tcPr>
          <w:p w:rsidR="00AE7868" w:rsidRDefault="00FF2B57">
            <w:pPr>
              <w:spacing w:before="20" w:after="20" w:line="240" w:lineRule="atLeast"/>
              <w:rPr>
                <w:rFonts w:ascii="Cambria" w:hAnsi="Cambria" w:cs="MinionPro-It"/>
                <w:iCs/>
                <w:sz w:val="18"/>
                <w:szCs w:val="18"/>
              </w:rPr>
            </w:pPr>
            <w:r>
              <w:rPr>
                <w:rFonts w:ascii="Cambria" w:eastAsia="Cambria" w:hAnsi="Cambria" w:cs="FrutigerLTStd-Light"/>
                <w:sz w:val="18"/>
                <w:szCs w:val="18"/>
              </w:rPr>
              <w:t>Heat sensitive (</w:t>
            </w:r>
            <w:r>
              <w:rPr>
                <w:rFonts w:ascii="Cambria" w:hAnsi="Cambria"/>
                <w:sz w:val="18"/>
                <w:szCs w:val="18"/>
              </w:rPr>
              <w:t>Munyaneza 2012</w:t>
            </w:r>
            <w:r>
              <w:rPr>
                <w:rFonts w:ascii="Cambria" w:eastAsia="Cambria" w:hAnsi="Cambria" w:cs="FrutigerLTStd-Light"/>
                <w:sz w:val="18"/>
                <w:szCs w:val="18"/>
              </w:rPr>
              <w:t>)</w:t>
            </w:r>
          </w:p>
        </w:tc>
      </w:tr>
    </w:tbl>
    <w:p w:rsidR="00AE7868" w:rsidRDefault="00FF2B57">
      <w:pPr>
        <w:autoSpaceDE w:val="0"/>
        <w:autoSpaceDN w:val="0"/>
        <w:adjustRightInd w:val="0"/>
        <w:spacing w:before="200"/>
        <w:rPr>
          <w:rFonts w:ascii="Cambria" w:hAnsi="Cambria"/>
        </w:rPr>
      </w:pPr>
      <w:r>
        <w:rPr>
          <w:rFonts w:ascii="Cambria" w:hAnsi="Cambria"/>
        </w:rPr>
        <w:t>‘</w:t>
      </w:r>
      <w:r>
        <w:rPr>
          <w:rFonts w:ascii="Cambria" w:hAnsi="Cambria"/>
          <w:i/>
        </w:rPr>
        <w:t>Candidatus</w:t>
      </w:r>
      <w:r>
        <w:rPr>
          <w:rFonts w:ascii="Cambria" w:hAnsi="Cambria"/>
        </w:rPr>
        <w:t xml:space="preserve"> Liberibacter’ species are associated with Huanglongbing, also referred to as Citrus greening (Bové 2006), Zebra chip disease (Hansen et al. 2008) and other diseases of crops from the families of Apiaceae (Munyaneza et al. 2010a; Teresani et al. 2014b), Caricaceae (Leonard et al. 2012), Fabaceae (Thompson et al. 2013), Rosaceae (Camerota et al. 2012), Rutaceae (Bové 2006) and Solanaceae (Liefting et al. 2009b; Wen et al. 2009; Ling et al. 2011).</w:t>
      </w:r>
    </w:p>
    <w:p w:rsidR="00AE7868" w:rsidRDefault="00FF2B57">
      <w:pPr>
        <w:autoSpaceDE w:val="0"/>
        <w:autoSpaceDN w:val="0"/>
        <w:adjustRightInd w:val="0"/>
        <w:spacing w:before="200"/>
        <w:rPr>
          <w:rFonts w:ascii="Cambria" w:eastAsia="Cambria" w:hAnsi="Cambria" w:cs="MeridienLTStd-Roman"/>
        </w:rPr>
      </w:pPr>
      <w:r>
        <w:rPr>
          <w:rFonts w:ascii="Cambria" w:hAnsi="Cambria"/>
        </w:rPr>
        <w:t>‘</w:t>
      </w:r>
      <w:r>
        <w:rPr>
          <w:rFonts w:ascii="Cambria" w:hAnsi="Cambria"/>
          <w:i/>
          <w:iCs/>
        </w:rPr>
        <w:t xml:space="preserve">Candidatus </w:t>
      </w:r>
      <w:r>
        <w:rPr>
          <w:rFonts w:ascii="Cambria" w:hAnsi="Cambria"/>
        </w:rPr>
        <w:t xml:space="preserve">Liberibacter’ species affecting solanaceous crops were confirmed in New Zealand in 2008 (Liefting </w:t>
      </w:r>
      <w:r>
        <w:rPr>
          <w:rFonts w:ascii="Cambria" w:hAnsi="Cambria" w:cs="MeridienLTStd-Italic"/>
          <w:iCs/>
        </w:rPr>
        <w:t>et</w:t>
      </w:r>
      <w:r>
        <w:rPr>
          <w:rFonts w:ascii="Cambria" w:hAnsi="Cambria" w:cs="MeridienLTStd-Italic"/>
          <w:i/>
          <w:iCs/>
        </w:rPr>
        <w:t xml:space="preserve"> </w:t>
      </w:r>
      <w:r>
        <w:rPr>
          <w:rFonts w:ascii="Cambria" w:hAnsi="Cambria" w:cs="MeridienLTStd-Italic"/>
          <w:iCs/>
        </w:rPr>
        <w:t>al.</w:t>
      </w:r>
      <w:r>
        <w:rPr>
          <w:rFonts w:ascii="Cambria" w:hAnsi="Cambria"/>
        </w:rPr>
        <w:t xml:space="preserve"> 2009a</w:t>
      </w:r>
      <w:r>
        <w:rPr>
          <w:rFonts w:ascii="Cambria" w:hAnsi="Cambria" w:cs="MeridienLTStd-Italic"/>
          <w:iCs/>
        </w:rPr>
        <w:t>)</w:t>
      </w:r>
      <w:r>
        <w:rPr>
          <w:rFonts w:ascii="Cambria" w:hAnsi="Cambria"/>
        </w:rPr>
        <w:t xml:space="preserve"> and later on, the pathogen associated with ‘Zebra chip’ disease in potatoes was identified as a ‘</w:t>
      </w:r>
      <w:r>
        <w:rPr>
          <w:rFonts w:ascii="Cambria" w:hAnsi="Cambria"/>
          <w:i/>
          <w:iCs/>
        </w:rPr>
        <w:t xml:space="preserve">Ca. </w:t>
      </w:r>
      <w:r>
        <w:rPr>
          <w:rFonts w:ascii="Cambria" w:hAnsi="Cambria"/>
        </w:rPr>
        <w:t xml:space="preserve">L.’ species (Abad </w:t>
      </w:r>
      <w:r>
        <w:rPr>
          <w:rFonts w:ascii="Cambria" w:hAnsi="Cambria" w:cs="MeridienLTStd-Italic"/>
          <w:iCs/>
        </w:rPr>
        <w:t>et al.</w:t>
      </w:r>
      <w:r>
        <w:rPr>
          <w:rFonts w:ascii="Cambria" w:hAnsi="Cambria"/>
        </w:rPr>
        <w:t xml:space="preserve"> 2009; Liefting </w:t>
      </w:r>
      <w:r>
        <w:rPr>
          <w:rFonts w:ascii="Cambria" w:hAnsi="Cambria" w:cs="MeridienLTStd-Italic"/>
          <w:iCs/>
        </w:rPr>
        <w:t>et</w:t>
      </w:r>
      <w:r>
        <w:rPr>
          <w:rFonts w:ascii="Cambria" w:hAnsi="Cambria" w:cs="MeridienLTStd-Italic"/>
          <w:i/>
          <w:iCs/>
        </w:rPr>
        <w:t xml:space="preserve"> </w:t>
      </w:r>
      <w:r>
        <w:rPr>
          <w:rFonts w:ascii="Cambria" w:hAnsi="Cambria" w:cs="MeridienLTStd-Italic"/>
          <w:iCs/>
        </w:rPr>
        <w:t>al.</w:t>
      </w:r>
      <w:r>
        <w:rPr>
          <w:rFonts w:ascii="Cambria" w:hAnsi="Cambria"/>
        </w:rPr>
        <w:t xml:space="preserve"> 2009a). Molecular studies confirmed that the American isolates of ‘</w:t>
      </w:r>
      <w:r>
        <w:rPr>
          <w:rFonts w:ascii="Cambria" w:hAnsi="Cambria" w:cs="MeridienLTStd-Italic"/>
          <w:i/>
          <w:iCs/>
        </w:rPr>
        <w:t>Ca</w:t>
      </w:r>
      <w:r>
        <w:rPr>
          <w:rFonts w:ascii="Cambria" w:hAnsi="Cambria"/>
        </w:rPr>
        <w:t>. L.’ represented the same species found in New Zealand and the name ‘</w:t>
      </w:r>
      <w:r>
        <w:rPr>
          <w:rFonts w:ascii="Cambria" w:hAnsi="Cambria" w:cs="MeridienLTStd-Italic"/>
          <w:i/>
          <w:iCs/>
        </w:rPr>
        <w:t>Ca</w:t>
      </w:r>
      <w:r>
        <w:rPr>
          <w:rFonts w:ascii="Cambria" w:hAnsi="Cambria"/>
        </w:rPr>
        <w:t xml:space="preserve">. L. solanacearum’ was suggested (Abad </w:t>
      </w:r>
      <w:r>
        <w:rPr>
          <w:rFonts w:ascii="Cambria" w:hAnsi="Cambria" w:cs="MeridienLTStd-Italic"/>
          <w:iCs/>
        </w:rPr>
        <w:t>et al.</w:t>
      </w:r>
      <w:r>
        <w:rPr>
          <w:rFonts w:ascii="Cambria" w:hAnsi="Cambria"/>
        </w:rPr>
        <w:t xml:space="preserve"> 2009; Liefting </w:t>
      </w:r>
      <w:r>
        <w:rPr>
          <w:rFonts w:ascii="Cambria" w:hAnsi="Cambria" w:cs="MeridienLTStd-Italic"/>
          <w:iCs/>
        </w:rPr>
        <w:t>et</w:t>
      </w:r>
      <w:r>
        <w:rPr>
          <w:rFonts w:ascii="Cambria" w:hAnsi="Cambria" w:cs="MeridienLTStd-Italic"/>
          <w:i/>
          <w:iCs/>
        </w:rPr>
        <w:t xml:space="preserve"> </w:t>
      </w:r>
      <w:r>
        <w:rPr>
          <w:rFonts w:ascii="Cambria" w:hAnsi="Cambria" w:cs="MeridienLTStd-Italic"/>
          <w:iCs/>
        </w:rPr>
        <w:t>al.</w:t>
      </w:r>
      <w:r>
        <w:rPr>
          <w:rFonts w:ascii="Cambria" w:hAnsi="Cambria"/>
        </w:rPr>
        <w:t xml:space="preserve"> 2009</w:t>
      </w:r>
      <w:r>
        <w:rPr>
          <w:rFonts w:ascii="Cambria" w:hAnsi="Cambria" w:cs="MeridienLTStd-Italic"/>
          <w:iCs/>
        </w:rPr>
        <w:t>b</w:t>
      </w:r>
      <w:r>
        <w:rPr>
          <w:rFonts w:ascii="Cambria" w:hAnsi="Cambria"/>
        </w:rPr>
        <w:t xml:space="preserve">). </w:t>
      </w:r>
      <w:r>
        <w:rPr>
          <w:rFonts w:ascii="Cambria" w:eastAsia="Cambria" w:hAnsi="Cambria" w:cs="MeridienLTStd-Roman"/>
        </w:rPr>
        <w:lastRenderedPageBreak/>
        <w:t xml:space="preserve">The same bacterial pathogen was also associated with diseases of tomato and pepper in Mexico (Munyaneza </w:t>
      </w:r>
      <w:r>
        <w:rPr>
          <w:rFonts w:ascii="Cambria" w:eastAsia="Cambria" w:hAnsi="Cambria" w:cs="MeridienLTStd-Italic"/>
          <w:iCs/>
        </w:rPr>
        <w:t>et al.</w:t>
      </w:r>
      <w:r>
        <w:rPr>
          <w:rFonts w:ascii="Cambria" w:eastAsia="Cambria" w:hAnsi="Cambria" w:cs="MeridienLTStd-Roman"/>
        </w:rPr>
        <w:t xml:space="preserve"> 2009) and tobacco plants in Honduras (Aguilar </w:t>
      </w:r>
      <w:r>
        <w:rPr>
          <w:rFonts w:ascii="Cambria" w:eastAsia="Cambria" w:hAnsi="Cambria" w:cs="MeridienLTStd-Italic"/>
          <w:iCs/>
        </w:rPr>
        <w:t>et al.</w:t>
      </w:r>
      <w:r>
        <w:rPr>
          <w:rFonts w:ascii="Cambria" w:eastAsia="Cambria" w:hAnsi="Cambria" w:cs="MeridienLTStd-Roman"/>
        </w:rPr>
        <w:t xml:space="preserve"> 2013). This bacterium </w:t>
      </w:r>
      <w:r>
        <w:rPr>
          <w:rFonts w:ascii="Cambria" w:hAnsi="Cambria"/>
        </w:rPr>
        <w:t xml:space="preserve">has also been reported in a number of solanaceous weed species (Wen et al. 2009). </w:t>
      </w:r>
      <w:r>
        <w:rPr>
          <w:rFonts w:ascii="Cambria" w:eastAsia="Cambria" w:hAnsi="Cambria" w:cs="MeridienLTStd-Roman"/>
        </w:rPr>
        <w:t>In all of these cases, the bacterium was transmitted by the potato tomato psyllid (</w:t>
      </w:r>
      <w:r>
        <w:rPr>
          <w:rFonts w:ascii="Cambria" w:eastAsia="Cambria" w:hAnsi="Cambria" w:cs="MeridienLTStd-Italic"/>
          <w:i/>
          <w:iCs/>
        </w:rPr>
        <w:t>Bactericera cockerelli</w:t>
      </w:r>
      <w:r>
        <w:rPr>
          <w:rFonts w:ascii="Cambria" w:eastAsia="Cambria" w:hAnsi="Cambria" w:cs="MeridienLTStd-Italic"/>
          <w:iCs/>
        </w:rPr>
        <w:t>)</w:t>
      </w:r>
      <w:r>
        <w:rPr>
          <w:rFonts w:ascii="Cambria" w:eastAsia="Cambria" w:hAnsi="Cambria" w:cs="MeridienLTStd-Roman"/>
        </w:rPr>
        <w:t xml:space="preserve">. This psyllid is endemic to America, but was accidentally introduced to New Zealand, where it was first reported to occur in 2006 (Thomas </w:t>
      </w:r>
      <w:r>
        <w:rPr>
          <w:rFonts w:ascii="Cambria" w:eastAsia="Cambria" w:hAnsi="Cambria" w:cs="MeridienLTStd-Italic"/>
          <w:iCs/>
        </w:rPr>
        <w:t>et al.</w:t>
      </w:r>
      <w:r>
        <w:rPr>
          <w:rFonts w:ascii="Cambria" w:eastAsia="Cambria" w:hAnsi="Cambria" w:cs="MeridienLTStd-Roman"/>
        </w:rPr>
        <w:t xml:space="preserve"> 2011).</w:t>
      </w:r>
    </w:p>
    <w:p w:rsidR="00AE7868" w:rsidRDefault="00FF2B57">
      <w:pPr>
        <w:autoSpaceDE w:val="0"/>
        <w:autoSpaceDN w:val="0"/>
        <w:adjustRightInd w:val="0"/>
        <w:spacing w:before="200"/>
        <w:rPr>
          <w:rFonts w:ascii="Cambria" w:hAnsi="Cambria"/>
        </w:rPr>
      </w:pPr>
      <w:r>
        <w:rPr>
          <w:rFonts w:ascii="Cambria" w:eastAsia="Cambria" w:hAnsi="Cambria" w:cs="MeridienLTStd-Roman"/>
        </w:rPr>
        <w:t>‘</w:t>
      </w:r>
      <w:r>
        <w:rPr>
          <w:rFonts w:ascii="Cambria" w:hAnsi="Cambria"/>
          <w:i/>
          <w:iCs/>
        </w:rPr>
        <w:t xml:space="preserve">Candidatus </w:t>
      </w:r>
      <w:r>
        <w:rPr>
          <w:rFonts w:ascii="Cambria" w:hAnsi="Cambria"/>
        </w:rPr>
        <w:t>Liberibacter</w:t>
      </w:r>
      <w:r>
        <w:rPr>
          <w:rFonts w:ascii="Cambria" w:eastAsia="Cambria" w:hAnsi="Cambria" w:cs="MeridienLTStd-Italic"/>
          <w:i/>
          <w:iCs/>
        </w:rPr>
        <w:t xml:space="preserve"> </w:t>
      </w:r>
      <w:r>
        <w:rPr>
          <w:rFonts w:ascii="Cambria" w:eastAsia="Cambria" w:hAnsi="Cambria" w:cs="MeridienLTStd-Roman"/>
        </w:rPr>
        <w:t xml:space="preserve">solanacearum’ affecting apiaceous crops has been reported from Europe (Munyaneza et al. 2010a, b; Haapalian 2014) and northern Africa (Tahzima </w:t>
      </w:r>
      <w:r>
        <w:rPr>
          <w:rFonts w:ascii="Cambria" w:eastAsia="Cambria" w:hAnsi="Cambria" w:cs="MeridienLTStd-Italic"/>
          <w:iCs/>
        </w:rPr>
        <w:t>et al.</w:t>
      </w:r>
      <w:r>
        <w:rPr>
          <w:rFonts w:ascii="Cambria" w:eastAsia="Cambria" w:hAnsi="Cambria" w:cs="MeridienLTStd-Roman"/>
        </w:rPr>
        <w:t xml:space="preserve"> 2014). The bacterium is transmitted by the psyllids </w:t>
      </w:r>
      <w:r>
        <w:rPr>
          <w:rFonts w:ascii="Cambria" w:eastAsia="Cambria" w:hAnsi="Cambria" w:cs="MeridienLTStd-Italic"/>
          <w:i/>
          <w:iCs/>
        </w:rPr>
        <w:t>Bactericera trigonica</w:t>
      </w:r>
      <w:r>
        <w:rPr>
          <w:rFonts w:ascii="Cambria" w:eastAsia="Cambria" w:hAnsi="Cambria" w:cs="MeridienLTStd-Roman"/>
        </w:rPr>
        <w:t xml:space="preserve"> (</w:t>
      </w:r>
      <w:r>
        <w:rPr>
          <w:rFonts w:ascii="Cambria" w:hAnsi="Cambria"/>
        </w:rPr>
        <w:t>Alfaro-Fernandez et al 2012b)</w:t>
      </w:r>
      <w:r>
        <w:rPr>
          <w:rFonts w:ascii="Cambria" w:eastAsia="Cambria" w:hAnsi="Cambria" w:cs="MeridienLTStd-Roman"/>
        </w:rPr>
        <w:t xml:space="preserve"> and </w:t>
      </w:r>
      <w:r>
        <w:rPr>
          <w:rFonts w:ascii="Cambria" w:eastAsia="Cambria" w:hAnsi="Cambria" w:cs="MeridienLTStd-Italic"/>
          <w:i/>
          <w:iCs/>
        </w:rPr>
        <w:t xml:space="preserve">Trioza apicalis </w:t>
      </w:r>
      <w:r>
        <w:rPr>
          <w:rFonts w:ascii="Cambria" w:eastAsia="Cambria" w:hAnsi="Cambria" w:cs="MeridienLTStd-Roman"/>
        </w:rPr>
        <w:t>(</w:t>
      </w:r>
      <w:r>
        <w:rPr>
          <w:rFonts w:ascii="Cambria" w:hAnsi="Cambria"/>
        </w:rPr>
        <w:t>Munyaneza et al. 2010a</w:t>
      </w:r>
      <w:r>
        <w:rPr>
          <w:rFonts w:ascii="Cambria" w:eastAsia="Cambria" w:hAnsi="Cambria" w:cs="MeridienLTStd-Roman"/>
        </w:rPr>
        <w:t xml:space="preserve">). </w:t>
      </w:r>
      <w:r>
        <w:rPr>
          <w:rFonts w:ascii="Cambria" w:hAnsi="Cambria"/>
        </w:rPr>
        <w:t>The geographical distribution of plant-associated ‘</w:t>
      </w:r>
      <w:r>
        <w:rPr>
          <w:rFonts w:ascii="Cambria" w:hAnsi="Cambria"/>
          <w:i/>
        </w:rPr>
        <w:t>Ca</w:t>
      </w:r>
      <w:r>
        <w:rPr>
          <w:rFonts w:ascii="Cambria" w:hAnsi="Cambria"/>
        </w:rPr>
        <w:t xml:space="preserve">. L.’ species is presented in Map 3. </w:t>
      </w:r>
    </w:p>
    <w:p w:rsidR="00AE7868" w:rsidRDefault="00FF2B57">
      <w:pPr>
        <w:pStyle w:val="Caption"/>
        <w:keepNext w:val="0"/>
        <w:spacing w:before="120"/>
        <w:rPr>
          <w:rFonts w:asciiTheme="majorHAnsi" w:eastAsiaTheme="majorEastAsia" w:hAnsiTheme="majorHAnsi" w:cstheme="majorBidi"/>
          <w:color w:val="595959" w:themeColor="text1" w:themeTint="A6"/>
          <w:sz w:val="20"/>
        </w:rPr>
      </w:pPr>
      <w:bookmarkStart w:id="183" w:name="_Toc415256278"/>
      <w:bookmarkStart w:id="184" w:name="_Toc416467518"/>
      <w:bookmarkStart w:id="185" w:name="_Toc418146937"/>
      <w:bookmarkStart w:id="186" w:name="_Toc418712808"/>
      <w:bookmarkStart w:id="187" w:name="_Toc418712912"/>
      <w:bookmarkStart w:id="188" w:name="_Toc421786693"/>
      <w:bookmarkStart w:id="189" w:name="_Toc421786876"/>
      <w:bookmarkStart w:id="190" w:name="_Toc428785202"/>
      <w:bookmarkStart w:id="191" w:name="_Toc428785230"/>
      <w:bookmarkStart w:id="192" w:name="_Toc428786311"/>
      <w:bookmarkStart w:id="193" w:name="_Toc429494610"/>
      <w:bookmarkStart w:id="194" w:name="_Toc430256486"/>
      <w:bookmarkStart w:id="195" w:name="_Toc430256523"/>
      <w:bookmarkStart w:id="196" w:name="_Toc432876713"/>
      <w:bookmarkStart w:id="197" w:name="_Toc433293346"/>
      <w:bookmarkStart w:id="198" w:name="_Toc433707290"/>
      <w:bookmarkStart w:id="199" w:name="_Toc433707322"/>
      <w:bookmarkStart w:id="200" w:name="_Toc433796454"/>
      <w:bookmarkStart w:id="201" w:name="_Toc433796486"/>
      <w:bookmarkStart w:id="202" w:name="_Toc437355949"/>
      <w:bookmarkStart w:id="203" w:name="_Toc437355969"/>
      <w:bookmarkStart w:id="204" w:name="_Toc437355981"/>
      <w:r>
        <w:rPr>
          <w:rFonts w:asciiTheme="majorHAnsi" w:eastAsiaTheme="majorEastAsia" w:hAnsiTheme="majorHAnsi" w:cstheme="majorBidi"/>
          <w:color w:val="595959" w:themeColor="text1" w:themeTint="A6"/>
          <w:sz w:val="20"/>
        </w:rPr>
        <w:t xml:space="preserve">Map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Map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3</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Global occurrences of ‘</w:t>
      </w:r>
      <w:r>
        <w:rPr>
          <w:rFonts w:asciiTheme="majorHAnsi" w:eastAsiaTheme="majorEastAsia" w:hAnsiTheme="majorHAnsi" w:cstheme="majorBidi"/>
          <w:i/>
          <w:color w:val="595959" w:themeColor="text1" w:themeTint="A6"/>
          <w:sz w:val="20"/>
        </w:rPr>
        <w:t xml:space="preserve">Candidatus </w:t>
      </w:r>
      <w:r>
        <w:rPr>
          <w:rFonts w:asciiTheme="majorHAnsi" w:eastAsiaTheme="majorEastAsia" w:hAnsiTheme="majorHAnsi" w:cstheme="majorBidi"/>
          <w:color w:val="595959" w:themeColor="text1" w:themeTint="A6"/>
          <w:sz w:val="20"/>
        </w:rPr>
        <w:t>Liberibacter’ species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AE7868" w:rsidRDefault="00FF2B57">
      <w:pPr>
        <w:autoSpaceDE w:val="0"/>
        <w:autoSpaceDN w:val="0"/>
        <w:adjustRightInd w:val="0"/>
        <w:spacing w:before="200"/>
        <w:jc w:val="center"/>
        <w:rPr>
          <w:rFonts w:ascii="Cambria" w:hAnsi="Cambria"/>
        </w:rPr>
      </w:pPr>
      <w:r>
        <w:rPr>
          <w:rFonts w:ascii="Cambria" w:hAnsi="Cambria"/>
          <w:noProof/>
          <w:lang w:eastAsia="en-AU"/>
        </w:rPr>
        <w:lastRenderedPageBreak/>
        <w:drawing>
          <wp:inline distT="0" distB="0" distL="0" distR="0">
            <wp:extent cx="5143500" cy="2706931"/>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161505" cy="2716407"/>
                    </a:xfrm>
                    <a:prstGeom prst="rect">
                      <a:avLst/>
                    </a:prstGeom>
                    <a:noFill/>
                    <a:ln w="9525">
                      <a:noFill/>
                      <a:miter lim="800000"/>
                      <a:headEnd/>
                      <a:tailEnd/>
                    </a:ln>
                  </pic:spPr>
                </pic:pic>
              </a:graphicData>
            </a:graphic>
          </wp:inline>
        </w:drawing>
      </w:r>
    </w:p>
    <w:p w:rsidR="00AE7868" w:rsidRDefault="00FF2B57">
      <w:pPr>
        <w:autoSpaceDE w:val="0"/>
        <w:autoSpaceDN w:val="0"/>
        <w:adjustRightInd w:val="0"/>
        <w:spacing w:before="120" w:after="120"/>
        <w:rPr>
          <w:rFonts w:ascii="Cambria" w:eastAsia="Cambria" w:hAnsi="Cambria" w:cs="FrutigerLTStd-Light"/>
          <w:sz w:val="18"/>
          <w:szCs w:val="18"/>
        </w:rPr>
      </w:pPr>
      <w:r>
        <w:rPr>
          <w:rFonts w:ascii="Cambria" w:hAnsi="Cambria"/>
          <w:sz w:val="18"/>
          <w:szCs w:val="18"/>
        </w:rPr>
        <w:t xml:space="preserve">Source: Haapalainen (2014): </w:t>
      </w:r>
      <w:r>
        <w:rPr>
          <w:rFonts w:ascii="Cambria" w:eastAsia="Cambria" w:hAnsi="Cambria" w:cs="FrutigerLTStd-Light"/>
          <w:sz w:val="18"/>
          <w:szCs w:val="18"/>
        </w:rPr>
        <w:t>‘</w:t>
      </w:r>
      <w:r>
        <w:rPr>
          <w:rFonts w:ascii="Cambria" w:eastAsia="Cambria" w:hAnsi="Cambria" w:cs="FrutigerLTStd-LightItalic"/>
          <w:i/>
          <w:iCs/>
          <w:sz w:val="18"/>
          <w:szCs w:val="18"/>
        </w:rPr>
        <w:t>Ca</w:t>
      </w:r>
      <w:r>
        <w:rPr>
          <w:rFonts w:ascii="Cambria" w:eastAsia="Cambria" w:hAnsi="Cambria" w:cs="FrutigerLTStd-Light"/>
          <w:sz w:val="18"/>
          <w:szCs w:val="18"/>
        </w:rPr>
        <w:t>. L. africanus’ (green), ‘</w:t>
      </w:r>
      <w:r>
        <w:rPr>
          <w:rFonts w:ascii="Cambria" w:eastAsia="Cambria" w:hAnsi="Cambria" w:cs="FrutigerLTStd-LightItalic"/>
          <w:i/>
          <w:iCs/>
          <w:sz w:val="18"/>
          <w:szCs w:val="18"/>
        </w:rPr>
        <w:t>Ca</w:t>
      </w:r>
      <w:r>
        <w:rPr>
          <w:rFonts w:ascii="Cambria" w:eastAsia="Cambria" w:hAnsi="Cambria" w:cs="FrutigerLTStd-Light"/>
          <w:sz w:val="18"/>
          <w:szCs w:val="18"/>
        </w:rPr>
        <w:t>. L. americanus’ (black),</w:t>
      </w:r>
      <w:r>
        <w:rPr>
          <w:rFonts w:ascii="Cambria" w:hAnsi="Cambria"/>
          <w:sz w:val="18"/>
          <w:szCs w:val="18"/>
        </w:rPr>
        <w:t xml:space="preserve"> ‘</w:t>
      </w:r>
      <w:r>
        <w:rPr>
          <w:rFonts w:ascii="Cambria" w:eastAsia="Cambria" w:hAnsi="Cambria" w:cs="FrutigerLTStd-LightItalic"/>
          <w:i/>
          <w:iCs/>
          <w:sz w:val="18"/>
          <w:szCs w:val="18"/>
        </w:rPr>
        <w:t>Ca</w:t>
      </w:r>
      <w:r>
        <w:rPr>
          <w:rFonts w:ascii="Cambria" w:eastAsia="Cambria" w:hAnsi="Cambria" w:cs="FrutigerLTStd-Light"/>
          <w:sz w:val="18"/>
          <w:szCs w:val="18"/>
        </w:rPr>
        <w:t>. L. asiaticus’ (yellow), ‘</w:t>
      </w:r>
      <w:r>
        <w:rPr>
          <w:rFonts w:ascii="Cambria" w:eastAsia="Cambria" w:hAnsi="Cambria" w:cs="FrutigerLTStd-Light"/>
          <w:i/>
          <w:sz w:val="18"/>
          <w:szCs w:val="18"/>
        </w:rPr>
        <w:t xml:space="preserve">Ca. </w:t>
      </w:r>
      <w:r>
        <w:rPr>
          <w:rFonts w:ascii="Cambria" w:eastAsia="Cambria" w:hAnsi="Cambria" w:cs="FrutigerLTStd-LightItalic"/>
          <w:iCs/>
          <w:sz w:val="18"/>
          <w:szCs w:val="18"/>
        </w:rPr>
        <w:t>L.</w:t>
      </w:r>
      <w:r>
        <w:rPr>
          <w:rFonts w:ascii="Cambria" w:eastAsia="Cambria" w:hAnsi="Cambria" w:cs="FrutigerLTStd-LightItalic"/>
          <w:i/>
          <w:iCs/>
          <w:sz w:val="18"/>
          <w:szCs w:val="18"/>
        </w:rPr>
        <w:t xml:space="preserve"> </w:t>
      </w:r>
      <w:r>
        <w:rPr>
          <w:rFonts w:ascii="Cambria" w:eastAsia="Cambria" w:hAnsi="Cambria" w:cs="FrutigerLTStd-LightItalic"/>
          <w:iCs/>
          <w:sz w:val="18"/>
          <w:szCs w:val="18"/>
        </w:rPr>
        <w:t>crescens’</w:t>
      </w:r>
      <w:r>
        <w:rPr>
          <w:rFonts w:ascii="Cambria" w:eastAsia="Cambria" w:hAnsi="Cambria" w:cs="FrutigerLTStd-LightItalic"/>
          <w:i/>
          <w:iCs/>
          <w:sz w:val="18"/>
          <w:szCs w:val="18"/>
        </w:rPr>
        <w:t xml:space="preserve"> </w:t>
      </w:r>
      <w:r>
        <w:rPr>
          <w:rFonts w:ascii="Cambria" w:eastAsia="Cambria" w:hAnsi="Cambria" w:cs="FrutigerLTStd-Light"/>
          <w:sz w:val="18"/>
          <w:szCs w:val="18"/>
        </w:rPr>
        <w:t>(black star), ‘</w:t>
      </w:r>
      <w:r>
        <w:rPr>
          <w:rFonts w:ascii="Cambria" w:eastAsia="Cambria" w:hAnsi="Cambria" w:cs="FrutigerLTStd-LightItalic"/>
          <w:i/>
          <w:iCs/>
          <w:sz w:val="18"/>
          <w:szCs w:val="18"/>
        </w:rPr>
        <w:t>Ca</w:t>
      </w:r>
      <w:r>
        <w:rPr>
          <w:rFonts w:ascii="Cambria" w:eastAsia="Cambria" w:hAnsi="Cambria" w:cs="FrutigerLTStd-Light"/>
          <w:sz w:val="18"/>
          <w:szCs w:val="18"/>
        </w:rPr>
        <w:t>. L. europaeus’ (blue), ‘</w:t>
      </w:r>
      <w:r>
        <w:rPr>
          <w:rFonts w:ascii="Cambria" w:eastAsia="Cambria" w:hAnsi="Cambria" w:cs="FrutigerLTStd-LightItalic"/>
          <w:i/>
          <w:iCs/>
          <w:sz w:val="18"/>
          <w:szCs w:val="18"/>
        </w:rPr>
        <w:t>Ca</w:t>
      </w:r>
      <w:r>
        <w:rPr>
          <w:rFonts w:ascii="Cambria" w:eastAsia="Cambria" w:hAnsi="Cambria" w:cs="FrutigerLTStd-Light"/>
          <w:sz w:val="18"/>
          <w:szCs w:val="18"/>
        </w:rPr>
        <w:t>. L. solanacearum’ (red).</w:t>
      </w:r>
    </w:p>
    <w:p w:rsidR="00AE7868" w:rsidRDefault="00FF2B57">
      <w:pPr>
        <w:autoSpaceDE w:val="0"/>
        <w:autoSpaceDN w:val="0"/>
        <w:adjustRightInd w:val="0"/>
        <w:spacing w:before="200"/>
        <w:rPr>
          <w:rFonts w:ascii="Cambria" w:hAnsi="Cambria" w:cs="AdvP49811"/>
        </w:rPr>
      </w:pPr>
      <w:r>
        <w:rPr>
          <w:rFonts w:ascii="Cambria" w:hAnsi="Cambria" w:cs="MeridienLTStd-Italic"/>
          <w:iCs/>
        </w:rPr>
        <w:t>‘</w:t>
      </w:r>
      <w:r>
        <w:rPr>
          <w:rFonts w:ascii="Cambria" w:hAnsi="Cambria" w:cs="MeridienLTStd-Italic"/>
          <w:i/>
          <w:iCs/>
        </w:rPr>
        <w:t xml:space="preserve">Candidatus </w:t>
      </w:r>
      <w:r>
        <w:rPr>
          <w:rFonts w:ascii="Cambria" w:hAnsi="Cambria"/>
        </w:rPr>
        <w:t>Liberibacter’ species are obligate parasites of plants and psyllids, and are only able to multiply inside their hosts. ‘</w:t>
      </w:r>
      <w:r>
        <w:rPr>
          <w:rFonts w:ascii="Cambria" w:hAnsi="Cambria"/>
          <w:i/>
        </w:rPr>
        <w:t xml:space="preserve">Candidatus </w:t>
      </w:r>
      <w:r>
        <w:rPr>
          <w:rFonts w:ascii="Cambria" w:hAnsi="Cambria"/>
        </w:rPr>
        <w:t xml:space="preserve">Liberibacter’ species enter the plant host as the psyllid feeds on phloem, and in turn enter the insect during feeding, making their way from the gut to the haemolymph and then to the salivary glands for transport to the next host (Cooper et al. 2014). In the plant host, </w:t>
      </w:r>
      <w:r>
        <w:rPr>
          <w:rFonts w:ascii="Cambria" w:hAnsi="Cambria" w:cs="MeridienLTStd-Italic"/>
          <w:iCs/>
        </w:rPr>
        <w:t>‘</w:t>
      </w:r>
      <w:r>
        <w:rPr>
          <w:rFonts w:ascii="Cambria" w:hAnsi="Cambria" w:cs="MeridienLTStd-Italic"/>
          <w:i/>
          <w:iCs/>
        </w:rPr>
        <w:t xml:space="preserve">Candidatus </w:t>
      </w:r>
      <w:r>
        <w:rPr>
          <w:rFonts w:ascii="Cambria" w:hAnsi="Cambria"/>
        </w:rPr>
        <w:t xml:space="preserve">Liberibacter’ species move with the phloem in the sieve tubes throughout the whole plant, including the roots. </w:t>
      </w:r>
    </w:p>
    <w:p w:rsidR="00AE7868" w:rsidRDefault="00FF2B57">
      <w:pPr>
        <w:autoSpaceDE w:val="0"/>
        <w:autoSpaceDN w:val="0"/>
        <w:adjustRightInd w:val="0"/>
        <w:spacing w:before="200"/>
        <w:rPr>
          <w:rFonts w:ascii="Cambria" w:hAnsi="Cambria"/>
        </w:rPr>
      </w:pPr>
      <w:r>
        <w:rPr>
          <w:rFonts w:ascii="Cambria" w:eastAsia="Calibri" w:hAnsi="Cambria"/>
        </w:rPr>
        <w:lastRenderedPageBreak/>
        <w:t>‘</w:t>
      </w:r>
      <w:r>
        <w:rPr>
          <w:rFonts w:ascii="Cambria" w:eastAsia="Calibri" w:hAnsi="Cambria"/>
          <w:i/>
        </w:rPr>
        <w:t>Candidatus</w:t>
      </w:r>
      <w:r>
        <w:rPr>
          <w:rFonts w:ascii="Cambria" w:eastAsia="Calibri" w:hAnsi="Cambria"/>
        </w:rPr>
        <w:t xml:space="preserve"> Liberibacter’ species and </w:t>
      </w:r>
      <w:r>
        <w:rPr>
          <w:rFonts w:ascii="Cambria" w:hAnsi="Cambria"/>
        </w:rPr>
        <w:t>the</w:t>
      </w:r>
      <w:r>
        <w:rPr>
          <w:rFonts w:ascii="Cambria" w:eastAsia="Calibri" w:hAnsi="Cambria"/>
        </w:rPr>
        <w:t xml:space="preserve"> psyllid vectors are suspected of adapting to new host plant species, following changes in vegetation and environmental factors (Haapalainen 2014). N</w:t>
      </w:r>
      <w:r>
        <w:rPr>
          <w:rFonts w:ascii="Cambria" w:hAnsi="Cambria"/>
        </w:rPr>
        <w:t>ative wild plants may have developed some resistance or tolerance to ‘</w:t>
      </w:r>
      <w:r>
        <w:rPr>
          <w:rFonts w:ascii="Cambria" w:hAnsi="Cambria" w:cs="MeridienLTStd-Italic"/>
          <w:i/>
          <w:iCs/>
        </w:rPr>
        <w:t>Ca.</w:t>
      </w:r>
      <w:r>
        <w:rPr>
          <w:rFonts w:ascii="Cambria" w:hAnsi="Cambria"/>
        </w:rPr>
        <w:t xml:space="preserve"> L.’ species (Korsten et al. 1996; Albrecht &amp; Bowman 2012). These wild plants carry low levels of bacteria without producing disease symptoms (Korsten et al. 1996; Albrecht &amp; Bowman 2012). However, cultivated hosts, such as citrus, potato, carrot and celery plants, can be severely affected by ‘</w:t>
      </w:r>
      <w:r>
        <w:rPr>
          <w:rFonts w:ascii="Cambria" w:hAnsi="Cambria" w:cs="MeridienLTStd-Italic"/>
          <w:i/>
          <w:iCs/>
        </w:rPr>
        <w:t>Ca.</w:t>
      </w:r>
      <w:r>
        <w:rPr>
          <w:rFonts w:ascii="Cambria" w:hAnsi="Cambria"/>
        </w:rPr>
        <w:t xml:space="preserve"> L.’ infections and may be relatively new hosts for these pathogens. Epidemics involving different plants, psyllids and ‘</w:t>
      </w:r>
      <w:r>
        <w:rPr>
          <w:rFonts w:ascii="Cambria" w:hAnsi="Cambria" w:cs="MeridienLTStd-Italic"/>
          <w:i/>
          <w:iCs/>
        </w:rPr>
        <w:t>Ca.</w:t>
      </w:r>
      <w:r>
        <w:rPr>
          <w:rFonts w:ascii="Cambria" w:hAnsi="Cambria"/>
        </w:rPr>
        <w:t xml:space="preserve"> L.’ species are now emerging in different countries on several continents (Haapalainen 2014).</w:t>
      </w:r>
    </w:p>
    <w:p w:rsidR="00AE7868" w:rsidRDefault="00FF2B57">
      <w:pPr>
        <w:autoSpaceDE w:val="0"/>
        <w:autoSpaceDN w:val="0"/>
        <w:adjustRightInd w:val="0"/>
        <w:spacing w:before="200"/>
        <w:rPr>
          <w:rFonts w:ascii="Cambria" w:hAnsi="Cambria"/>
        </w:rPr>
      </w:pPr>
      <w:r>
        <w:rPr>
          <w:rFonts w:ascii="Cambria" w:hAnsi="Cambria"/>
        </w:rPr>
        <w:t>‘</w:t>
      </w:r>
      <w:r>
        <w:rPr>
          <w:rFonts w:ascii="Cambria" w:hAnsi="Cambria"/>
          <w:i/>
        </w:rPr>
        <w:t>Candidatus</w:t>
      </w:r>
      <w:r>
        <w:rPr>
          <w:rFonts w:ascii="Cambria" w:hAnsi="Cambria"/>
        </w:rPr>
        <w:t xml:space="preserve"> Liberibacter asiaticus’ is the only species known to cope with relatively high temperatures (</w:t>
      </w:r>
      <w:r>
        <w:rPr>
          <w:rFonts w:ascii="Cambria" w:hAnsi="Cambria" w:cs="SimonciniGaramondStd-Italic"/>
          <w:iCs/>
        </w:rPr>
        <w:t>around</w:t>
      </w:r>
      <w:r>
        <w:rPr>
          <w:rFonts w:ascii="Cambria" w:hAnsi="Cambria" w:cs="SimonciniGaramondStd-Italic"/>
          <w:i/>
          <w:iCs/>
        </w:rPr>
        <w:t xml:space="preserve"> </w:t>
      </w:r>
      <w:r>
        <w:rPr>
          <w:rFonts w:ascii="Cambria" w:hAnsi="Cambria"/>
        </w:rPr>
        <w:t xml:space="preserve">35 °C) (Bové </w:t>
      </w:r>
      <w:r>
        <w:rPr>
          <w:rFonts w:ascii="Cambria" w:hAnsi="Cambria" w:cs="SimonciniGaramondStd-Italic"/>
          <w:iCs/>
        </w:rPr>
        <w:t>et al.</w:t>
      </w:r>
      <w:r>
        <w:rPr>
          <w:rFonts w:ascii="Cambria" w:hAnsi="Cambria" w:cs="SimonciniGaramondStd-Italic"/>
          <w:i/>
          <w:iCs/>
        </w:rPr>
        <w:t xml:space="preserve"> </w:t>
      </w:r>
      <w:r>
        <w:rPr>
          <w:rFonts w:ascii="Cambria" w:hAnsi="Cambria"/>
        </w:rPr>
        <w:t xml:space="preserve">1974; Lopes et al. 2009; Munyaneza </w:t>
      </w:r>
      <w:r>
        <w:rPr>
          <w:rFonts w:ascii="Cambria" w:hAnsi="Cambria" w:cs="SimonciniGaramondStd-Italic"/>
          <w:iCs/>
        </w:rPr>
        <w:t>et al</w:t>
      </w:r>
      <w:r>
        <w:rPr>
          <w:rFonts w:ascii="Cambria" w:hAnsi="Cambria" w:cs="SimonciniGaramondStd-Italic"/>
          <w:i/>
          <w:iCs/>
        </w:rPr>
        <w:t xml:space="preserve">. </w:t>
      </w:r>
      <w:r>
        <w:rPr>
          <w:rFonts w:ascii="Cambria" w:hAnsi="Cambria"/>
        </w:rPr>
        <w:t xml:space="preserve">2012c; Bové 2013). </w:t>
      </w:r>
      <w:r>
        <w:rPr>
          <w:rFonts w:ascii="Cambria" w:eastAsia="Calibri" w:hAnsi="Cambria"/>
        </w:rPr>
        <w:t>‘</w:t>
      </w:r>
      <w:r>
        <w:rPr>
          <w:rFonts w:ascii="Cambria" w:hAnsi="Cambria"/>
          <w:i/>
          <w:iCs/>
        </w:rPr>
        <w:t xml:space="preserve">Candidatus </w:t>
      </w:r>
      <w:r>
        <w:rPr>
          <w:rFonts w:ascii="Cambria" w:hAnsi="Cambria"/>
        </w:rPr>
        <w:t>Liberibacter</w:t>
      </w:r>
      <w:r>
        <w:rPr>
          <w:rFonts w:ascii="Cambria" w:eastAsia="Calibri" w:hAnsi="Cambria"/>
          <w:i/>
        </w:rPr>
        <w:t xml:space="preserve"> </w:t>
      </w:r>
      <w:r>
        <w:rPr>
          <w:rFonts w:ascii="Cambria" w:eastAsia="Calibri" w:hAnsi="Cambria"/>
        </w:rPr>
        <w:t>africanus’, ‘</w:t>
      </w:r>
      <w:r>
        <w:rPr>
          <w:rFonts w:ascii="Cambria" w:eastAsia="Calibri" w:hAnsi="Cambria"/>
          <w:i/>
        </w:rPr>
        <w:t>Ca</w:t>
      </w:r>
      <w:r>
        <w:rPr>
          <w:rFonts w:ascii="Cambria" w:eastAsia="Calibri" w:hAnsi="Cambria"/>
        </w:rPr>
        <w:t>. L. americanus’ and ‘</w:t>
      </w:r>
      <w:r>
        <w:rPr>
          <w:rFonts w:ascii="Cambria" w:eastAsia="Calibri" w:hAnsi="Cambria"/>
          <w:i/>
        </w:rPr>
        <w:t>Ca</w:t>
      </w:r>
      <w:r>
        <w:rPr>
          <w:rFonts w:ascii="Cambria" w:eastAsia="Calibri" w:hAnsi="Cambria"/>
        </w:rPr>
        <w:t xml:space="preserve">. L. solanacearum’ are sensitive to temperatures above </w:t>
      </w:r>
      <w:r>
        <w:rPr>
          <w:rFonts w:ascii="Cambria" w:eastAsia="Cambria" w:hAnsi="Cambria" w:cs="MeridienLTStd-Roman"/>
        </w:rPr>
        <w:t xml:space="preserve">32 </w:t>
      </w:r>
      <w:r>
        <w:rPr>
          <w:rFonts w:ascii="Cambria" w:hAnsi="Cambria"/>
        </w:rPr>
        <w:t>°</w:t>
      </w:r>
      <w:r>
        <w:rPr>
          <w:rFonts w:ascii="Cambria" w:eastAsia="Cambria" w:hAnsi="Cambria" w:cs="MeridienLTStd-Roman"/>
        </w:rPr>
        <w:t xml:space="preserve">C (Bové </w:t>
      </w:r>
      <w:r>
        <w:rPr>
          <w:rFonts w:ascii="Cambria" w:eastAsia="Cambria" w:hAnsi="Cambria" w:cs="MeridienLTStd-Italic"/>
          <w:iCs/>
        </w:rPr>
        <w:t>et al.</w:t>
      </w:r>
      <w:r>
        <w:rPr>
          <w:rFonts w:ascii="Cambria" w:eastAsia="Cambria" w:hAnsi="Cambria" w:cs="MeridienLTStd-Roman"/>
        </w:rPr>
        <w:t xml:space="preserve"> 1974; Lopes </w:t>
      </w:r>
      <w:r>
        <w:rPr>
          <w:rFonts w:ascii="Cambria" w:eastAsia="Cambria" w:hAnsi="Cambria" w:cs="MeridienLTStd-Italic"/>
          <w:iCs/>
        </w:rPr>
        <w:t>et al.</w:t>
      </w:r>
      <w:r>
        <w:rPr>
          <w:rFonts w:ascii="Cambria" w:eastAsia="Cambria" w:hAnsi="Cambria" w:cs="MeridienLTStd-Roman"/>
        </w:rPr>
        <w:t xml:space="preserve"> 2009; Munyaneza </w:t>
      </w:r>
      <w:r>
        <w:rPr>
          <w:rFonts w:ascii="Cambria" w:eastAsia="Cambria" w:hAnsi="Cambria" w:cs="MeridienLTStd-Italic"/>
          <w:iCs/>
        </w:rPr>
        <w:t>et al.</w:t>
      </w:r>
      <w:r>
        <w:rPr>
          <w:rFonts w:ascii="Cambria" w:eastAsia="Cambria" w:hAnsi="Cambria" w:cs="MeridienLTStd-Roman"/>
        </w:rPr>
        <w:t xml:space="preserve"> 2012</w:t>
      </w:r>
      <w:r>
        <w:rPr>
          <w:rFonts w:ascii="Cambria" w:eastAsia="Cambria" w:hAnsi="Cambria" w:cs="MeridienLTStd-Italic"/>
          <w:iCs/>
        </w:rPr>
        <w:t>a</w:t>
      </w:r>
      <w:r>
        <w:rPr>
          <w:rFonts w:ascii="Cambria" w:hAnsi="Cambria"/>
        </w:rPr>
        <w:t xml:space="preserve">). </w:t>
      </w:r>
    </w:p>
    <w:p w:rsidR="00AE7868" w:rsidRDefault="00FF2B57">
      <w:pPr>
        <w:pStyle w:val="Heading2"/>
        <w:numPr>
          <w:ilvl w:val="1"/>
          <w:numId w:val="21"/>
        </w:numPr>
        <w:tabs>
          <w:tab w:val="clear" w:pos="576"/>
        </w:tabs>
        <w:spacing w:before="200" w:after="120"/>
        <w:ind w:left="357" w:hanging="357"/>
        <w:rPr>
          <w:rFonts w:eastAsiaTheme="majorEastAsia" w:cstheme="majorBidi"/>
          <w:color w:val="773141"/>
          <w:sz w:val="28"/>
        </w:rPr>
      </w:pPr>
      <w:bookmarkStart w:id="205" w:name="_Toc437356019"/>
      <w:r>
        <w:rPr>
          <w:rFonts w:eastAsiaTheme="majorEastAsia" w:cstheme="majorBidi"/>
          <w:color w:val="773141"/>
          <w:sz w:val="28"/>
        </w:rPr>
        <w:t>‘</w:t>
      </w:r>
      <w:r>
        <w:rPr>
          <w:rFonts w:eastAsiaTheme="majorEastAsia" w:cstheme="majorBidi"/>
          <w:i/>
          <w:color w:val="773141"/>
          <w:sz w:val="28"/>
        </w:rPr>
        <w:t xml:space="preserve">Candidatus </w:t>
      </w:r>
      <w:r>
        <w:rPr>
          <w:rFonts w:eastAsiaTheme="majorEastAsia" w:cstheme="majorBidi"/>
          <w:color w:val="773141"/>
          <w:sz w:val="28"/>
        </w:rPr>
        <w:t>Liberibacter solanacearum’</w:t>
      </w:r>
      <w:bookmarkEnd w:id="205"/>
    </w:p>
    <w:p w:rsidR="00AE7868" w:rsidRDefault="00FF2B57">
      <w:pPr>
        <w:autoSpaceDE w:val="0"/>
        <w:autoSpaceDN w:val="0"/>
        <w:adjustRightInd w:val="0"/>
        <w:spacing w:before="200"/>
        <w:rPr>
          <w:rFonts w:ascii="Cambria" w:hAnsi="Cambria"/>
        </w:rPr>
      </w:pPr>
      <w:r>
        <w:rPr>
          <w:rFonts w:ascii="Cambria" w:hAnsi="Cambria"/>
        </w:rPr>
        <w:t>‘</w:t>
      </w:r>
      <w:r>
        <w:rPr>
          <w:rFonts w:ascii="Cambria" w:hAnsi="Cambria"/>
          <w:i/>
        </w:rPr>
        <w:t>Candidatus</w:t>
      </w:r>
      <w:r>
        <w:rPr>
          <w:rFonts w:ascii="Cambria" w:hAnsi="Cambria"/>
        </w:rPr>
        <w:t xml:space="preserve"> Liberibacter solanacearum’ was originally associated only </w:t>
      </w:r>
      <w:r>
        <w:rPr>
          <w:rFonts w:ascii="Cambria" w:eastAsia="Cambria" w:hAnsi="Cambria" w:cs="MeridienLTStd-Roman"/>
        </w:rPr>
        <w:t>with</w:t>
      </w:r>
      <w:r>
        <w:rPr>
          <w:rFonts w:ascii="Cambria" w:hAnsi="Cambria"/>
        </w:rPr>
        <w:t xml:space="preserve"> solanaceous crops and was distributed in Central America, North America, New Zealand (Nelson et al. 2011; </w:t>
      </w:r>
      <w:r>
        <w:rPr>
          <w:rFonts w:ascii="Cambria" w:eastAsia="Calibri" w:hAnsi="Cambria"/>
        </w:rPr>
        <w:t>Haapalainen 2014) and Norfolk Island (NIQS 2014).</w:t>
      </w:r>
    </w:p>
    <w:p w:rsidR="00AE7868" w:rsidRDefault="00FF2B57">
      <w:pPr>
        <w:autoSpaceDE w:val="0"/>
        <w:autoSpaceDN w:val="0"/>
        <w:adjustRightInd w:val="0"/>
        <w:spacing w:before="200"/>
        <w:rPr>
          <w:rFonts w:ascii="Cambria" w:hAnsi="Cambria"/>
        </w:rPr>
      </w:pPr>
      <w:r>
        <w:rPr>
          <w:rFonts w:ascii="Cambria" w:hAnsi="Cambria"/>
        </w:rPr>
        <w:lastRenderedPageBreak/>
        <w:t xml:space="preserve">Carrot plants showing symptoms of yellows disease were first observed in different regions of Spain in 1999 (Font et al. 1999). Yellows disease is characterised by small leaves with yellowing and reddening discolouration; proliferation of leaves and small roots; and deformation, </w:t>
      </w:r>
      <w:r>
        <w:rPr>
          <w:rFonts w:ascii="Cambria" w:eastAsia="Cambria" w:hAnsi="Cambria" w:cs="MeridienLTStd-Roman"/>
        </w:rPr>
        <w:t>reduction</w:t>
      </w:r>
      <w:r>
        <w:rPr>
          <w:rFonts w:ascii="Cambria" w:hAnsi="Cambria"/>
        </w:rPr>
        <w:t xml:space="preserve"> and early senescence of roots. Carrot fields in the Canary Islands were heavily infested with the psyllid, </w:t>
      </w:r>
      <w:r>
        <w:rPr>
          <w:rFonts w:ascii="Cambria" w:hAnsi="Cambria"/>
          <w:i/>
        </w:rPr>
        <w:t xml:space="preserve">Bactericera trigonica </w:t>
      </w:r>
      <w:r>
        <w:rPr>
          <w:rFonts w:ascii="Cambria" w:hAnsi="Cambria"/>
        </w:rPr>
        <w:t xml:space="preserve">(Font et al. 1999). Aster yellows phytoplasma and Stolbut phytoplasma were detected in the carrot plants from some of the affected areas. The symptoms observed in Spanish carrot growing regions resembled those caused by leafhopper transmitted phytoplasmas and spiroplasmas in carrots (Lee et al. 2003; Weintraub &amp; Orenstein 2004; Lee et al. 2006; Duduk et al. 2008). </w:t>
      </w:r>
    </w:p>
    <w:p w:rsidR="00AE7868" w:rsidRDefault="00FF2B57">
      <w:pPr>
        <w:autoSpaceDE w:val="0"/>
        <w:autoSpaceDN w:val="0"/>
        <w:adjustRightInd w:val="0"/>
        <w:spacing w:before="200"/>
        <w:rPr>
          <w:rFonts w:ascii="Cambria" w:hAnsi="Cambria"/>
        </w:rPr>
      </w:pPr>
      <w:r>
        <w:rPr>
          <w:rFonts w:ascii="Cambria" w:hAnsi="Cambria" w:cs="MeridienLTStd-Roman"/>
        </w:rPr>
        <w:t>Mixed infections of phytoplasmas and liberibacters have been reported in potato and other solanaceous crops (</w:t>
      </w:r>
      <w:r>
        <w:rPr>
          <w:rFonts w:ascii="Cambria" w:hAnsi="Cambria"/>
        </w:rPr>
        <w:t xml:space="preserve">Rubio-Covarrubias et al. 2006; Liefting et al. 2009b; Santos-Cervantes et al. 2010). In Mexico, phytoplasmas were detected in potato psyllids at a low infection rate, suggesting that liberibacters were the most likely cause of symptoms observed in the affected potato plants (Rubio-Covarrubias et al. 2006; Santos-Cervantes et al. 2010). Low levels of phytoplasma infection in carrots have </w:t>
      </w:r>
      <w:r>
        <w:rPr>
          <w:rFonts w:ascii="Cambria" w:eastAsia="Cambria" w:hAnsi="Cambria" w:cs="MeridienLTStd-Roman"/>
        </w:rPr>
        <w:t>been</w:t>
      </w:r>
      <w:r>
        <w:rPr>
          <w:rFonts w:ascii="Cambria" w:hAnsi="Cambria"/>
        </w:rPr>
        <w:t xml:space="preserve"> reported from Finland, suggesting that mixed infections of both phytoplasmas and liberibacters in crops affected by psyllids may be common (Munyaneza et al. 2011).</w:t>
      </w:r>
    </w:p>
    <w:p w:rsidR="00AE7868" w:rsidRDefault="00FF2B57">
      <w:pPr>
        <w:autoSpaceDE w:val="0"/>
        <w:autoSpaceDN w:val="0"/>
        <w:adjustRightInd w:val="0"/>
        <w:spacing w:before="200"/>
        <w:rPr>
          <w:rFonts w:ascii="Cambria" w:hAnsi="Cambria"/>
        </w:rPr>
      </w:pPr>
      <w:r>
        <w:rPr>
          <w:rFonts w:ascii="Cambria" w:hAnsi="Cambria"/>
        </w:rPr>
        <w:t xml:space="preserve">Symptoms observed in carrots in mainland Spain and the Canary Islands in 1999 (Font et al. 1999), were very similar to symptoms often </w:t>
      </w:r>
      <w:r>
        <w:rPr>
          <w:rFonts w:ascii="Cambria" w:hAnsi="Cambria"/>
        </w:rPr>
        <w:lastRenderedPageBreak/>
        <w:t xml:space="preserve">observed in </w:t>
      </w:r>
      <w:r>
        <w:rPr>
          <w:rFonts w:ascii="Cambria" w:hAnsi="Cambria"/>
          <w:i/>
        </w:rPr>
        <w:t>Trioza apicalis–</w:t>
      </w:r>
      <w:r>
        <w:rPr>
          <w:rFonts w:ascii="Cambria" w:hAnsi="Cambria"/>
        </w:rPr>
        <w:t>‘</w:t>
      </w:r>
      <w:r>
        <w:rPr>
          <w:rFonts w:ascii="Cambria" w:hAnsi="Cambria"/>
          <w:i/>
        </w:rPr>
        <w:t>Ca</w:t>
      </w:r>
      <w:r>
        <w:rPr>
          <w:rFonts w:ascii="Cambria" w:hAnsi="Cambria"/>
        </w:rPr>
        <w:t>. L’ affected carrots in Finland (</w:t>
      </w:r>
      <w:r>
        <w:rPr>
          <w:rFonts w:ascii="Cambria" w:hAnsi="Cambria" w:cs="Highland-Roman"/>
          <w:color w:val="231F20"/>
        </w:rPr>
        <w:t>Munyaneza et al. 2010a</w:t>
      </w:r>
      <w:r>
        <w:rPr>
          <w:rFonts w:ascii="Cambria" w:hAnsi="Cambria"/>
        </w:rPr>
        <w:t xml:space="preserve">). Symptomatic plants and </w:t>
      </w:r>
      <w:r>
        <w:rPr>
          <w:rFonts w:ascii="Cambria" w:hAnsi="Cambria"/>
          <w:i/>
        </w:rPr>
        <w:t xml:space="preserve">B. trigonica </w:t>
      </w:r>
      <w:r>
        <w:rPr>
          <w:rFonts w:ascii="Cambria" w:hAnsi="Cambria"/>
        </w:rPr>
        <w:t>collected from carrot fields showing yellows disease in the Canary Islands were not tested for ‘</w:t>
      </w:r>
      <w:r>
        <w:rPr>
          <w:rFonts w:ascii="Cambria" w:hAnsi="Cambria"/>
          <w:i/>
        </w:rPr>
        <w:t>Ca</w:t>
      </w:r>
      <w:r>
        <w:rPr>
          <w:rFonts w:ascii="Cambria" w:hAnsi="Cambria"/>
        </w:rPr>
        <w:t>. L’ species, because this bacterium was not suspected of causing this disease at that time. However, recent studies reported the occurrence of ‘</w:t>
      </w:r>
      <w:r>
        <w:rPr>
          <w:rFonts w:ascii="Cambria" w:hAnsi="Cambria"/>
          <w:i/>
        </w:rPr>
        <w:t>Ca</w:t>
      </w:r>
      <w:r>
        <w:rPr>
          <w:rFonts w:ascii="Cambria" w:hAnsi="Cambria"/>
        </w:rPr>
        <w:t xml:space="preserve">. L. </w:t>
      </w:r>
      <w:r>
        <w:rPr>
          <w:rFonts w:ascii="Cambria" w:eastAsia="Cambria" w:hAnsi="Cambria" w:cs="MeridienLTStd-Roman"/>
        </w:rPr>
        <w:t>solanacearum’</w:t>
      </w:r>
      <w:r>
        <w:rPr>
          <w:rFonts w:ascii="Cambria" w:hAnsi="Cambria"/>
        </w:rPr>
        <w:t xml:space="preserve"> in both carrot crops and </w:t>
      </w:r>
      <w:r>
        <w:rPr>
          <w:rFonts w:ascii="Cambria" w:hAnsi="Cambria"/>
          <w:i/>
        </w:rPr>
        <w:t xml:space="preserve">B. trigonica </w:t>
      </w:r>
      <w:r>
        <w:rPr>
          <w:rFonts w:ascii="Cambria" w:hAnsi="Cambria"/>
        </w:rPr>
        <w:t xml:space="preserve">in the Canary Islands and other areas in Spain (Alfaro-Fernández </w:t>
      </w:r>
      <w:r>
        <w:rPr>
          <w:rFonts w:ascii="Cambria" w:hAnsi="Cambria" w:cs="MeridienLTStd-Italic"/>
          <w:iCs/>
        </w:rPr>
        <w:t>et al.</w:t>
      </w:r>
      <w:r>
        <w:rPr>
          <w:rFonts w:ascii="Cambria" w:hAnsi="Cambria"/>
        </w:rPr>
        <w:t xml:space="preserve"> 2012</w:t>
      </w:r>
      <w:r>
        <w:rPr>
          <w:rFonts w:ascii="Cambria" w:hAnsi="Cambria" w:cs="MeridienLTStd-Italic"/>
          <w:iCs/>
        </w:rPr>
        <w:t>a</w:t>
      </w:r>
      <w:r>
        <w:rPr>
          <w:rFonts w:ascii="Cambria" w:hAnsi="Cambria"/>
        </w:rPr>
        <w:t xml:space="preserve">, </w:t>
      </w:r>
      <w:r>
        <w:rPr>
          <w:rFonts w:ascii="Cambria" w:hAnsi="Cambria" w:cs="MeridienLTStd-Italic"/>
          <w:iCs/>
        </w:rPr>
        <w:t>b</w:t>
      </w:r>
      <w:r>
        <w:rPr>
          <w:rFonts w:ascii="Cambria" w:hAnsi="Cambria"/>
        </w:rPr>
        <w:t>).</w:t>
      </w:r>
    </w:p>
    <w:p w:rsidR="00AE7868" w:rsidRDefault="00FF2B57">
      <w:pPr>
        <w:autoSpaceDE w:val="0"/>
        <w:autoSpaceDN w:val="0"/>
        <w:adjustRightInd w:val="0"/>
        <w:spacing w:before="200"/>
        <w:rPr>
          <w:rFonts w:ascii="Cambria" w:hAnsi="Cambria"/>
        </w:rPr>
      </w:pPr>
      <w:r>
        <w:rPr>
          <w:rFonts w:ascii="Cambria" w:hAnsi="Cambria"/>
        </w:rPr>
        <w:t>‘</w:t>
      </w:r>
      <w:r>
        <w:rPr>
          <w:rFonts w:ascii="Cambria" w:hAnsi="Cambria"/>
          <w:i/>
        </w:rPr>
        <w:t>Candidatus</w:t>
      </w:r>
      <w:r>
        <w:rPr>
          <w:rFonts w:ascii="Cambria" w:hAnsi="Cambria"/>
        </w:rPr>
        <w:t xml:space="preserve"> Liberibacter solanacearum’ associated with carrots is distributed in Austria (</w:t>
      </w:r>
      <w:r>
        <w:rPr>
          <w:rFonts w:ascii="Cambria" w:hAnsi="Cambria" w:cs="Arial"/>
        </w:rPr>
        <w:t>EPPO Reporting Service 2015</w:t>
      </w:r>
      <w:r>
        <w:rPr>
          <w:rFonts w:ascii="Cambria" w:hAnsi="Cambria"/>
        </w:rPr>
        <w:t xml:space="preserve">), France (Loiseau </w:t>
      </w:r>
      <w:r>
        <w:rPr>
          <w:rFonts w:ascii="Cambria" w:hAnsi="Cambria" w:cs="MeridienLTStd-Italic"/>
          <w:iCs/>
        </w:rPr>
        <w:t>et al.</w:t>
      </w:r>
      <w:r>
        <w:rPr>
          <w:rFonts w:ascii="Cambria" w:hAnsi="Cambria"/>
        </w:rPr>
        <w:t xml:space="preserve"> 2014), Finland (Munyaneza et al. 2010a, b), Germany (Munyaneza </w:t>
      </w:r>
      <w:r>
        <w:rPr>
          <w:rFonts w:ascii="Cambria" w:hAnsi="Cambria" w:cs="MeridienLTStd-Italic"/>
          <w:iCs/>
        </w:rPr>
        <w:t>et al.</w:t>
      </w:r>
      <w:r>
        <w:rPr>
          <w:rFonts w:ascii="Cambria" w:hAnsi="Cambria"/>
        </w:rPr>
        <w:t xml:space="preserve"> 2015), Morocco (Tahzima </w:t>
      </w:r>
      <w:r>
        <w:rPr>
          <w:rFonts w:ascii="Cambria" w:hAnsi="Cambria" w:cs="MeridienLTStd-Italic"/>
          <w:iCs/>
        </w:rPr>
        <w:t>et al.</w:t>
      </w:r>
      <w:r>
        <w:rPr>
          <w:rFonts w:ascii="Cambria" w:hAnsi="Cambria"/>
        </w:rPr>
        <w:t xml:space="preserve"> 2014), Norway (Munyaneza </w:t>
      </w:r>
      <w:r>
        <w:rPr>
          <w:rFonts w:ascii="Cambria" w:hAnsi="Cambria" w:cs="MeridienLTStd-Italic"/>
          <w:iCs/>
        </w:rPr>
        <w:t>et al.</w:t>
      </w:r>
      <w:r>
        <w:rPr>
          <w:rFonts w:ascii="Cambria" w:hAnsi="Cambria"/>
        </w:rPr>
        <w:t xml:space="preserve"> 2012b), Spain (Alfaro-Fernández </w:t>
      </w:r>
      <w:r>
        <w:rPr>
          <w:rFonts w:ascii="Cambria" w:hAnsi="Cambria" w:cs="MeridienLTStd-Italic"/>
          <w:iCs/>
        </w:rPr>
        <w:t>et al.</w:t>
      </w:r>
      <w:r>
        <w:rPr>
          <w:rFonts w:ascii="Cambria" w:hAnsi="Cambria"/>
        </w:rPr>
        <w:t xml:space="preserve"> 2012</w:t>
      </w:r>
      <w:r>
        <w:rPr>
          <w:rFonts w:ascii="Cambria" w:hAnsi="Cambria" w:cs="MeridienLTStd-Italic"/>
          <w:iCs/>
        </w:rPr>
        <w:t>a</w:t>
      </w:r>
      <w:r>
        <w:rPr>
          <w:rFonts w:ascii="Cambria" w:hAnsi="Cambria"/>
        </w:rPr>
        <w:t xml:space="preserve">, </w:t>
      </w:r>
      <w:r>
        <w:rPr>
          <w:rFonts w:ascii="Cambria" w:hAnsi="Cambria" w:cs="MeridienLTStd-Italic"/>
          <w:iCs/>
        </w:rPr>
        <w:t>b</w:t>
      </w:r>
      <w:r>
        <w:rPr>
          <w:rFonts w:ascii="Cambria" w:hAnsi="Cambria"/>
        </w:rPr>
        <w:t xml:space="preserve">) and Sweden (Munyaneza </w:t>
      </w:r>
      <w:r>
        <w:rPr>
          <w:rFonts w:ascii="Cambria" w:hAnsi="Cambria" w:cs="MeridienLTStd-Italic"/>
          <w:iCs/>
        </w:rPr>
        <w:t>et al.</w:t>
      </w:r>
      <w:r>
        <w:rPr>
          <w:rFonts w:ascii="Cambria" w:hAnsi="Cambria"/>
        </w:rPr>
        <w:t xml:space="preserve"> 2012a). ‘</w:t>
      </w:r>
      <w:r>
        <w:rPr>
          <w:rFonts w:ascii="Cambria" w:hAnsi="Cambria"/>
          <w:i/>
        </w:rPr>
        <w:t>Candidatus</w:t>
      </w:r>
      <w:r>
        <w:rPr>
          <w:rFonts w:ascii="Cambria" w:hAnsi="Cambria"/>
        </w:rPr>
        <w:t xml:space="preserve"> Liberibacter solanacearum’ is also reported to occur on celery in Austria (</w:t>
      </w:r>
      <w:r>
        <w:rPr>
          <w:rFonts w:ascii="Cambria" w:hAnsi="Cambria" w:cs="Arial"/>
        </w:rPr>
        <w:t>EPPO Reporting Service 2015</w:t>
      </w:r>
      <w:r>
        <w:rPr>
          <w:rFonts w:ascii="Cambria" w:hAnsi="Cambria"/>
        </w:rPr>
        <w:t xml:space="preserve">) and Spain (EPPO 2012; Teresani </w:t>
      </w:r>
      <w:r>
        <w:rPr>
          <w:rFonts w:ascii="Cambria" w:hAnsi="Cambria" w:cs="MeridienLTStd-Italic"/>
          <w:iCs/>
        </w:rPr>
        <w:t>et al.</w:t>
      </w:r>
      <w:r>
        <w:rPr>
          <w:rFonts w:ascii="Cambria" w:hAnsi="Cambria"/>
        </w:rPr>
        <w:t xml:space="preserve"> 2014b); and parsnip in Spain (Cambra et al. 2015).</w:t>
      </w:r>
    </w:p>
    <w:p w:rsidR="00AE7868" w:rsidRDefault="00FF2B57">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206" w:name="_Toc437356020"/>
      <w:r>
        <w:rPr>
          <w:rFonts w:ascii="Calibri" w:hAnsi="Calibri" w:cstheme="minorBidi"/>
          <w:sz w:val="24"/>
          <w:szCs w:val="22"/>
        </w:rPr>
        <w:t>Haplotypes of ‘</w:t>
      </w:r>
      <w:r>
        <w:rPr>
          <w:rFonts w:ascii="Calibri" w:hAnsi="Calibri" w:cstheme="minorBidi"/>
          <w:i/>
          <w:sz w:val="24"/>
          <w:szCs w:val="22"/>
        </w:rPr>
        <w:t>Candidatus</w:t>
      </w:r>
      <w:r>
        <w:rPr>
          <w:rFonts w:ascii="Calibri" w:hAnsi="Calibri" w:cstheme="minorBidi"/>
          <w:sz w:val="24"/>
          <w:szCs w:val="22"/>
        </w:rPr>
        <w:t xml:space="preserve"> Liberibacter solanacearum’</w:t>
      </w:r>
      <w:bookmarkEnd w:id="206"/>
    </w:p>
    <w:p w:rsidR="00AE7868" w:rsidRDefault="00FF2B57">
      <w:pPr>
        <w:autoSpaceDE w:val="0"/>
        <w:autoSpaceDN w:val="0"/>
        <w:adjustRightInd w:val="0"/>
        <w:spacing w:before="200"/>
        <w:rPr>
          <w:rFonts w:ascii="Cambria" w:hAnsi="Cambria"/>
        </w:rPr>
      </w:pPr>
      <w:r>
        <w:rPr>
          <w:rFonts w:ascii="Cambria" w:hAnsi="Cambria"/>
        </w:rPr>
        <w:t>Based on molecular studies isolates of ‘</w:t>
      </w:r>
      <w:r>
        <w:rPr>
          <w:rFonts w:ascii="Cambria" w:hAnsi="Cambria"/>
          <w:i/>
        </w:rPr>
        <w:t>Ca</w:t>
      </w:r>
      <w:r>
        <w:rPr>
          <w:rFonts w:ascii="Cambria" w:hAnsi="Cambria"/>
        </w:rPr>
        <w:t>. L. solanacearum’ from different geographical areas have been characterised into five haplotypes (Nelson et al. 2011; 2012). ‘</w:t>
      </w:r>
      <w:r>
        <w:rPr>
          <w:rFonts w:ascii="Cambria" w:hAnsi="Cambria"/>
          <w:i/>
        </w:rPr>
        <w:t>Candidatus</w:t>
      </w:r>
      <w:r>
        <w:rPr>
          <w:rFonts w:ascii="Cambria" w:hAnsi="Cambria"/>
        </w:rPr>
        <w:t xml:space="preserve"> Liberibacter solanacearum’ isolates from North and Central America represent haplotypes A and B </w:t>
      </w:r>
      <w:r>
        <w:rPr>
          <w:rFonts w:ascii="Cambria" w:hAnsi="Cambria"/>
        </w:rPr>
        <w:lastRenderedPageBreak/>
        <w:t>infect solanaceous plants (Hansen et al. 2008). ‘</w:t>
      </w:r>
      <w:r>
        <w:rPr>
          <w:rFonts w:ascii="Cambria" w:hAnsi="Cambria"/>
          <w:i/>
        </w:rPr>
        <w:t>Candidatus</w:t>
      </w:r>
      <w:r>
        <w:rPr>
          <w:rFonts w:ascii="Cambria" w:hAnsi="Cambria"/>
        </w:rPr>
        <w:t xml:space="preserve"> Liberibacter solanacearum’ isolates associated with carrot in Northern Europe represent haplotype C (Nelson </w:t>
      </w:r>
      <w:r>
        <w:rPr>
          <w:rFonts w:ascii="Cambria" w:hAnsi="Cambria" w:cs="MeridienLTStd-Italic"/>
          <w:iCs/>
        </w:rPr>
        <w:t>et al.</w:t>
      </w:r>
      <w:r>
        <w:rPr>
          <w:rFonts w:ascii="Cambria" w:hAnsi="Cambria"/>
        </w:rPr>
        <w:t xml:space="preserve"> 2011; 2013) and ‘</w:t>
      </w:r>
      <w:r>
        <w:rPr>
          <w:rFonts w:ascii="Cambria" w:hAnsi="Cambria"/>
          <w:i/>
        </w:rPr>
        <w:t>Ca</w:t>
      </w:r>
      <w:r>
        <w:rPr>
          <w:rFonts w:ascii="Cambria" w:hAnsi="Cambria"/>
        </w:rPr>
        <w:t xml:space="preserve">. L. solanacearum’ isolates from carrot and celery plants in Spain and Morocco represent haplotypes D and E (Nelson </w:t>
      </w:r>
      <w:r>
        <w:rPr>
          <w:rFonts w:ascii="Cambria" w:hAnsi="Cambria" w:cs="MeridienLTStd-Italic"/>
          <w:iCs/>
        </w:rPr>
        <w:t>et al.</w:t>
      </w:r>
      <w:r>
        <w:rPr>
          <w:rFonts w:ascii="Cambria" w:hAnsi="Cambria"/>
        </w:rPr>
        <w:t xml:space="preserve"> 2013; Tahzima </w:t>
      </w:r>
      <w:r>
        <w:rPr>
          <w:rFonts w:ascii="Cambria" w:hAnsi="Cambria" w:cs="MeridienLTStd-Italic"/>
          <w:iCs/>
        </w:rPr>
        <w:t>et al.</w:t>
      </w:r>
      <w:r>
        <w:rPr>
          <w:rFonts w:ascii="Cambria" w:hAnsi="Cambria"/>
        </w:rPr>
        <w:t xml:space="preserve"> 2014; Teresani </w:t>
      </w:r>
      <w:r>
        <w:rPr>
          <w:rFonts w:ascii="Cambria" w:hAnsi="Cambria" w:cs="MeridienLTStd-Italic"/>
          <w:iCs/>
        </w:rPr>
        <w:t>et al.</w:t>
      </w:r>
      <w:r>
        <w:rPr>
          <w:rFonts w:ascii="Cambria" w:hAnsi="Cambria"/>
        </w:rPr>
        <w:t xml:space="preserve"> 2014b). The distribution, vectors and hosts of known haplotypes of ‘</w:t>
      </w:r>
      <w:r>
        <w:rPr>
          <w:rFonts w:ascii="Cambria" w:hAnsi="Cambria"/>
          <w:i/>
        </w:rPr>
        <w:t>Ca</w:t>
      </w:r>
      <w:r>
        <w:rPr>
          <w:rFonts w:ascii="Cambria" w:hAnsi="Cambria"/>
        </w:rPr>
        <w:t>. L. solanacearum’ are summarized in Table 8.</w:t>
      </w:r>
    </w:p>
    <w:p w:rsidR="00AE7868" w:rsidRDefault="00FF2B57">
      <w:pPr>
        <w:pStyle w:val="Caption"/>
        <w:spacing w:before="120"/>
        <w:rPr>
          <w:rFonts w:asciiTheme="majorHAnsi" w:eastAsiaTheme="majorEastAsia" w:hAnsiTheme="majorHAnsi" w:cstheme="majorBidi"/>
          <w:color w:val="595959" w:themeColor="text1" w:themeTint="A6"/>
          <w:sz w:val="20"/>
        </w:rPr>
      </w:pPr>
      <w:bookmarkStart w:id="207" w:name="_Toc418712913"/>
      <w:bookmarkStart w:id="208" w:name="_Toc421786694"/>
      <w:bookmarkStart w:id="209" w:name="_Toc428785203"/>
      <w:bookmarkStart w:id="210" w:name="_Toc428786312"/>
      <w:bookmarkStart w:id="211" w:name="_Toc429494611"/>
      <w:bookmarkStart w:id="212" w:name="_Toc430256524"/>
      <w:bookmarkStart w:id="213" w:name="_Toc433707323"/>
      <w:bookmarkStart w:id="214" w:name="_Toc433796487"/>
      <w:bookmarkStart w:id="215" w:name="_Toc437355950"/>
      <w:bookmarkStart w:id="216" w:name="_Toc437355982"/>
      <w:r>
        <w:rPr>
          <w:rFonts w:asciiTheme="majorHAnsi" w:eastAsiaTheme="majorEastAsia" w:hAnsiTheme="majorHAnsi" w:cstheme="majorBidi"/>
          <w:color w:val="595959" w:themeColor="text1" w:themeTint="A6"/>
          <w:sz w:val="20"/>
        </w:rPr>
        <w:t xml:space="preserve">Table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8</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w:t>
      </w:r>
      <w:r>
        <w:rPr>
          <w:rFonts w:asciiTheme="majorHAnsi" w:eastAsiaTheme="majorEastAsia" w:hAnsiTheme="majorHAnsi" w:cstheme="majorBidi"/>
          <w:i/>
          <w:color w:val="595959" w:themeColor="text1" w:themeTint="A6"/>
          <w:sz w:val="20"/>
        </w:rPr>
        <w:t xml:space="preserve">Candidatus </w:t>
      </w:r>
      <w:r>
        <w:rPr>
          <w:rFonts w:asciiTheme="majorHAnsi" w:eastAsiaTheme="majorEastAsia" w:hAnsiTheme="majorHAnsi" w:cstheme="majorBidi"/>
          <w:color w:val="595959" w:themeColor="text1" w:themeTint="A6"/>
          <w:sz w:val="20"/>
        </w:rPr>
        <w:t>Liberibacter solanacearum’ haplotypes, vectors, natural hosts and distribution</w:t>
      </w:r>
      <w:bookmarkEnd w:id="207"/>
      <w:bookmarkEnd w:id="208"/>
      <w:bookmarkEnd w:id="209"/>
      <w:bookmarkEnd w:id="210"/>
      <w:bookmarkEnd w:id="211"/>
      <w:bookmarkEnd w:id="212"/>
      <w:bookmarkEnd w:id="213"/>
      <w:bookmarkEnd w:id="214"/>
      <w:bookmarkEnd w:id="215"/>
      <w:bookmarkEnd w:id="216"/>
    </w:p>
    <w:tbl>
      <w:tblPr>
        <w:tblW w:w="4943" w:type="pct"/>
        <w:tblBorders>
          <w:top w:val="single" w:sz="4" w:space="0" w:color="auto"/>
          <w:bottom w:val="single" w:sz="4" w:space="0" w:color="auto"/>
        </w:tblBorders>
        <w:tblLook w:val="04A0" w:firstRow="1" w:lastRow="0" w:firstColumn="1" w:lastColumn="0" w:noHBand="0" w:noVBand="1"/>
      </w:tblPr>
      <w:tblGrid>
        <w:gridCol w:w="1352"/>
        <w:gridCol w:w="2077"/>
        <w:gridCol w:w="2907"/>
        <w:gridCol w:w="2631"/>
      </w:tblGrid>
      <w:tr w:rsidR="00AE7868">
        <w:tc>
          <w:tcPr>
            <w:tcW w:w="754" w:type="pct"/>
          </w:tcPr>
          <w:p w:rsidR="00AE7868" w:rsidRDefault="00FF2B57">
            <w:pPr>
              <w:pStyle w:val="TableHeading"/>
              <w:rPr>
                <w:rFonts w:ascii="Cambria" w:hAnsi="Cambria"/>
                <w:sz w:val="16"/>
                <w:szCs w:val="16"/>
              </w:rPr>
            </w:pPr>
            <w:r>
              <w:rPr>
                <w:rFonts w:ascii="Cambria" w:hAnsi="Cambria"/>
                <w:iCs/>
                <w:sz w:val="16"/>
                <w:szCs w:val="16"/>
              </w:rPr>
              <w:t>‘</w:t>
            </w:r>
            <w:r>
              <w:rPr>
                <w:rFonts w:ascii="Cambria" w:hAnsi="Cambria"/>
                <w:i/>
                <w:iCs/>
                <w:sz w:val="16"/>
                <w:szCs w:val="16"/>
              </w:rPr>
              <w:t>Ca</w:t>
            </w:r>
            <w:r>
              <w:rPr>
                <w:rFonts w:ascii="Cambria" w:hAnsi="Cambria"/>
                <w:iCs/>
                <w:sz w:val="16"/>
                <w:szCs w:val="16"/>
              </w:rPr>
              <w:t>. L. solanacearum’</w:t>
            </w:r>
          </w:p>
        </w:tc>
        <w:tc>
          <w:tcPr>
            <w:tcW w:w="1158" w:type="pct"/>
          </w:tcPr>
          <w:p w:rsidR="00AE7868" w:rsidRDefault="00FF2B57">
            <w:pPr>
              <w:pStyle w:val="TableHeading"/>
              <w:rPr>
                <w:rFonts w:ascii="Cambria" w:hAnsi="Cambria"/>
                <w:sz w:val="16"/>
                <w:szCs w:val="16"/>
              </w:rPr>
            </w:pPr>
            <w:r>
              <w:rPr>
                <w:rFonts w:ascii="Cambria" w:hAnsi="Cambria"/>
                <w:sz w:val="16"/>
                <w:szCs w:val="16"/>
              </w:rPr>
              <w:t>Psyllid host/vector</w:t>
            </w:r>
          </w:p>
        </w:tc>
        <w:tc>
          <w:tcPr>
            <w:tcW w:w="1621" w:type="pct"/>
          </w:tcPr>
          <w:p w:rsidR="00AE7868" w:rsidRDefault="00FF2B57">
            <w:pPr>
              <w:pStyle w:val="TableHeading"/>
              <w:rPr>
                <w:rFonts w:ascii="Cambria" w:hAnsi="Cambria"/>
                <w:sz w:val="16"/>
                <w:szCs w:val="16"/>
              </w:rPr>
            </w:pPr>
            <w:r>
              <w:rPr>
                <w:rFonts w:ascii="Cambria" w:hAnsi="Cambria"/>
                <w:sz w:val="16"/>
                <w:szCs w:val="16"/>
              </w:rPr>
              <w:t>Natural host plant</w:t>
            </w:r>
          </w:p>
        </w:tc>
        <w:tc>
          <w:tcPr>
            <w:tcW w:w="1467" w:type="pct"/>
          </w:tcPr>
          <w:p w:rsidR="00AE7868" w:rsidRDefault="00FF2B57">
            <w:pPr>
              <w:pStyle w:val="TableHeading"/>
              <w:rPr>
                <w:rFonts w:ascii="Cambria" w:hAnsi="Cambria"/>
                <w:sz w:val="16"/>
                <w:szCs w:val="16"/>
              </w:rPr>
            </w:pPr>
            <w:r>
              <w:rPr>
                <w:rFonts w:ascii="Cambria" w:hAnsi="Cambria"/>
                <w:sz w:val="16"/>
                <w:szCs w:val="16"/>
              </w:rPr>
              <w:t>Distribution*</w:t>
            </w:r>
          </w:p>
        </w:tc>
      </w:tr>
      <w:tr w:rsidR="00AE7868">
        <w:tc>
          <w:tcPr>
            <w:tcW w:w="754" w:type="pct"/>
          </w:tcPr>
          <w:p w:rsidR="00AE7868" w:rsidRDefault="00FF2B57">
            <w:pPr>
              <w:spacing w:before="20" w:after="20" w:line="240" w:lineRule="atLeast"/>
              <w:rPr>
                <w:rFonts w:ascii="Cambria" w:hAnsi="Cambria"/>
                <w:iCs/>
                <w:sz w:val="18"/>
                <w:szCs w:val="18"/>
              </w:rPr>
            </w:pPr>
            <w:r>
              <w:rPr>
                <w:rFonts w:ascii="Cambria" w:hAnsi="Cambria"/>
                <w:iCs/>
                <w:sz w:val="18"/>
                <w:szCs w:val="18"/>
              </w:rPr>
              <w:t>Haplotype A</w:t>
            </w:r>
          </w:p>
        </w:tc>
        <w:tc>
          <w:tcPr>
            <w:tcW w:w="1158" w:type="pct"/>
          </w:tcPr>
          <w:p w:rsidR="00AE7868" w:rsidRDefault="00FF2B57">
            <w:pPr>
              <w:spacing w:before="20" w:after="20" w:line="240" w:lineRule="atLeast"/>
              <w:rPr>
                <w:rFonts w:ascii="Cambria" w:hAnsi="Cambria" w:cs="MinionPro-It"/>
                <w:i/>
                <w:iCs/>
                <w:sz w:val="18"/>
                <w:szCs w:val="18"/>
              </w:rPr>
            </w:pPr>
            <w:r>
              <w:rPr>
                <w:rFonts w:ascii="Cambria" w:hAnsi="Cambria"/>
                <w:i/>
                <w:sz w:val="18"/>
                <w:szCs w:val="18"/>
              </w:rPr>
              <w:t>Bactericera cockerelli</w:t>
            </w:r>
            <w:r>
              <w:rPr>
                <w:rFonts w:ascii="Cambria" w:hAnsi="Cambria"/>
                <w:sz w:val="18"/>
                <w:szCs w:val="18"/>
              </w:rPr>
              <w:t xml:space="preserve"> </w:t>
            </w:r>
          </w:p>
        </w:tc>
        <w:tc>
          <w:tcPr>
            <w:tcW w:w="1621" w:type="pct"/>
          </w:tcPr>
          <w:p w:rsidR="00AE7868" w:rsidRDefault="00FF2B57">
            <w:pPr>
              <w:spacing w:before="20" w:after="20" w:line="240" w:lineRule="atLeast"/>
              <w:rPr>
                <w:rFonts w:ascii="Cambria" w:hAnsi="Cambria"/>
                <w:sz w:val="18"/>
                <w:szCs w:val="18"/>
              </w:rPr>
            </w:pPr>
            <w:r>
              <w:rPr>
                <w:rFonts w:ascii="Cambria" w:hAnsi="Cambria"/>
                <w:sz w:val="18"/>
                <w:szCs w:val="18"/>
              </w:rPr>
              <w:t>Solanaceae family</w:t>
            </w:r>
          </w:p>
        </w:tc>
        <w:tc>
          <w:tcPr>
            <w:tcW w:w="1467" w:type="pct"/>
          </w:tcPr>
          <w:p w:rsidR="00AE7868" w:rsidRDefault="00FF2B57">
            <w:pPr>
              <w:spacing w:before="20" w:after="20" w:line="240" w:lineRule="atLeast"/>
              <w:rPr>
                <w:rFonts w:ascii="Cambria" w:hAnsi="Cambria"/>
                <w:sz w:val="18"/>
                <w:szCs w:val="18"/>
              </w:rPr>
            </w:pPr>
            <w:r>
              <w:rPr>
                <w:rFonts w:ascii="Cambria" w:hAnsi="Cambria"/>
                <w:sz w:val="18"/>
                <w:szCs w:val="18"/>
              </w:rPr>
              <w:t>North and Central America, New Zealand, Norfolk Island</w:t>
            </w:r>
          </w:p>
        </w:tc>
      </w:tr>
      <w:tr w:rsidR="00AE7868">
        <w:tc>
          <w:tcPr>
            <w:tcW w:w="754" w:type="pct"/>
          </w:tcPr>
          <w:p w:rsidR="00AE7868" w:rsidRDefault="00FF2B57">
            <w:pPr>
              <w:spacing w:before="20" w:after="20" w:line="240" w:lineRule="atLeast"/>
              <w:rPr>
                <w:rFonts w:ascii="Cambria" w:hAnsi="Cambria"/>
                <w:iCs/>
                <w:sz w:val="18"/>
                <w:szCs w:val="18"/>
              </w:rPr>
            </w:pPr>
            <w:r>
              <w:rPr>
                <w:rFonts w:ascii="Cambria" w:hAnsi="Cambria"/>
                <w:iCs/>
                <w:sz w:val="18"/>
                <w:szCs w:val="18"/>
              </w:rPr>
              <w:t>Haplotype B</w:t>
            </w:r>
          </w:p>
        </w:tc>
        <w:tc>
          <w:tcPr>
            <w:tcW w:w="1158" w:type="pct"/>
          </w:tcPr>
          <w:p w:rsidR="00AE7868" w:rsidRDefault="00FF2B57">
            <w:pPr>
              <w:spacing w:before="20" w:after="20" w:line="240" w:lineRule="atLeast"/>
              <w:rPr>
                <w:rFonts w:ascii="Cambria" w:hAnsi="Cambria"/>
                <w:i/>
                <w:sz w:val="18"/>
                <w:szCs w:val="18"/>
              </w:rPr>
            </w:pPr>
            <w:r>
              <w:rPr>
                <w:rFonts w:ascii="Cambria" w:hAnsi="Cambria"/>
                <w:i/>
                <w:sz w:val="18"/>
                <w:szCs w:val="18"/>
              </w:rPr>
              <w:t>Bactericera cockerelli</w:t>
            </w:r>
            <w:r>
              <w:rPr>
                <w:rFonts w:ascii="Cambria" w:hAnsi="Cambria"/>
                <w:sz w:val="18"/>
                <w:szCs w:val="18"/>
              </w:rPr>
              <w:t xml:space="preserve"> </w:t>
            </w:r>
          </w:p>
        </w:tc>
        <w:tc>
          <w:tcPr>
            <w:tcW w:w="1621" w:type="pct"/>
          </w:tcPr>
          <w:p w:rsidR="00AE7868" w:rsidRDefault="00FF2B57">
            <w:pPr>
              <w:spacing w:before="20" w:after="20" w:line="240" w:lineRule="atLeast"/>
              <w:rPr>
                <w:rFonts w:ascii="Cambria" w:hAnsi="Cambria"/>
                <w:sz w:val="18"/>
                <w:szCs w:val="18"/>
              </w:rPr>
            </w:pPr>
            <w:r>
              <w:rPr>
                <w:rFonts w:ascii="Cambria" w:hAnsi="Cambria"/>
                <w:sz w:val="18"/>
                <w:szCs w:val="18"/>
              </w:rPr>
              <w:t>Solanaceae family</w:t>
            </w:r>
          </w:p>
        </w:tc>
        <w:tc>
          <w:tcPr>
            <w:tcW w:w="1467" w:type="pct"/>
          </w:tcPr>
          <w:p w:rsidR="00AE7868" w:rsidRDefault="00FF2B57">
            <w:pPr>
              <w:spacing w:before="20" w:after="20" w:line="240" w:lineRule="atLeast"/>
              <w:rPr>
                <w:rFonts w:ascii="Cambria" w:hAnsi="Cambria"/>
                <w:sz w:val="18"/>
                <w:szCs w:val="18"/>
              </w:rPr>
            </w:pPr>
            <w:r>
              <w:rPr>
                <w:rFonts w:ascii="Cambria" w:hAnsi="Cambria"/>
                <w:sz w:val="18"/>
                <w:szCs w:val="18"/>
              </w:rPr>
              <w:t xml:space="preserve">North and Central America </w:t>
            </w:r>
          </w:p>
        </w:tc>
      </w:tr>
      <w:tr w:rsidR="00AE7868">
        <w:tc>
          <w:tcPr>
            <w:tcW w:w="754" w:type="pct"/>
          </w:tcPr>
          <w:p w:rsidR="00AE7868" w:rsidRDefault="00FF2B57">
            <w:pPr>
              <w:spacing w:before="20" w:after="20" w:line="240" w:lineRule="atLeast"/>
              <w:rPr>
                <w:rFonts w:ascii="Cambria" w:hAnsi="Cambria"/>
                <w:iCs/>
                <w:sz w:val="18"/>
                <w:szCs w:val="18"/>
              </w:rPr>
            </w:pPr>
            <w:r>
              <w:rPr>
                <w:rFonts w:ascii="Cambria" w:hAnsi="Cambria"/>
                <w:iCs/>
                <w:sz w:val="18"/>
                <w:szCs w:val="18"/>
              </w:rPr>
              <w:t>Haplotype C</w:t>
            </w:r>
          </w:p>
        </w:tc>
        <w:tc>
          <w:tcPr>
            <w:tcW w:w="1158" w:type="pct"/>
          </w:tcPr>
          <w:p w:rsidR="00AE7868" w:rsidRDefault="00FF2B57">
            <w:pPr>
              <w:spacing w:before="20" w:after="20" w:line="240" w:lineRule="atLeast"/>
              <w:rPr>
                <w:rFonts w:ascii="Cambria" w:hAnsi="Cambria"/>
                <w:i/>
                <w:sz w:val="18"/>
                <w:szCs w:val="18"/>
              </w:rPr>
            </w:pPr>
            <w:r>
              <w:rPr>
                <w:rFonts w:ascii="Cambria" w:hAnsi="Cambria"/>
                <w:i/>
                <w:sz w:val="18"/>
                <w:szCs w:val="18"/>
              </w:rPr>
              <w:t>Trioza apicalis</w:t>
            </w:r>
            <w:r>
              <w:rPr>
                <w:rFonts w:ascii="Cambria" w:hAnsi="Cambria"/>
                <w:sz w:val="18"/>
                <w:szCs w:val="18"/>
              </w:rPr>
              <w:t xml:space="preserve"> </w:t>
            </w:r>
          </w:p>
        </w:tc>
        <w:tc>
          <w:tcPr>
            <w:tcW w:w="1621" w:type="pct"/>
          </w:tcPr>
          <w:p w:rsidR="00AE7868" w:rsidRDefault="00FF2B57">
            <w:pPr>
              <w:spacing w:before="20" w:after="20" w:line="240" w:lineRule="atLeast"/>
              <w:rPr>
                <w:rFonts w:ascii="Cambria" w:hAnsi="Cambria"/>
                <w:sz w:val="18"/>
                <w:szCs w:val="18"/>
              </w:rPr>
            </w:pPr>
            <w:r>
              <w:rPr>
                <w:rFonts w:ascii="Cambria" w:hAnsi="Cambria"/>
                <w:sz w:val="18"/>
                <w:szCs w:val="18"/>
              </w:rPr>
              <w:t>Apiaceae family (carrot)</w:t>
            </w:r>
          </w:p>
        </w:tc>
        <w:tc>
          <w:tcPr>
            <w:tcW w:w="1467" w:type="pct"/>
          </w:tcPr>
          <w:p w:rsidR="00AE7868" w:rsidRDefault="00FF2B57">
            <w:pPr>
              <w:spacing w:before="20" w:after="20" w:line="240" w:lineRule="atLeast"/>
              <w:rPr>
                <w:rFonts w:ascii="Cambria" w:hAnsi="Cambria"/>
                <w:sz w:val="18"/>
                <w:szCs w:val="18"/>
              </w:rPr>
            </w:pPr>
            <w:r>
              <w:rPr>
                <w:rFonts w:ascii="Cambria" w:hAnsi="Cambria"/>
                <w:sz w:val="18"/>
                <w:szCs w:val="18"/>
              </w:rPr>
              <w:t>Finland, Germany, Norway, Sweden</w:t>
            </w:r>
          </w:p>
        </w:tc>
      </w:tr>
      <w:tr w:rsidR="00AE7868">
        <w:tc>
          <w:tcPr>
            <w:tcW w:w="754" w:type="pct"/>
          </w:tcPr>
          <w:p w:rsidR="00AE7868" w:rsidRDefault="00FF2B57">
            <w:pPr>
              <w:spacing w:before="20" w:after="20" w:line="240" w:lineRule="atLeast"/>
              <w:rPr>
                <w:rFonts w:ascii="Cambria" w:hAnsi="Cambria"/>
                <w:iCs/>
                <w:sz w:val="18"/>
                <w:szCs w:val="18"/>
              </w:rPr>
            </w:pPr>
            <w:r>
              <w:rPr>
                <w:rFonts w:ascii="Cambria" w:hAnsi="Cambria"/>
                <w:iCs/>
                <w:sz w:val="18"/>
                <w:szCs w:val="18"/>
              </w:rPr>
              <w:t>Haplotype D</w:t>
            </w:r>
          </w:p>
        </w:tc>
        <w:tc>
          <w:tcPr>
            <w:tcW w:w="1158" w:type="pct"/>
          </w:tcPr>
          <w:p w:rsidR="00AE7868" w:rsidRDefault="00FF2B57">
            <w:pPr>
              <w:spacing w:before="20" w:after="20" w:line="240" w:lineRule="atLeast"/>
              <w:rPr>
                <w:rFonts w:ascii="Cambria" w:hAnsi="Cambria"/>
                <w:i/>
                <w:sz w:val="18"/>
                <w:szCs w:val="18"/>
              </w:rPr>
            </w:pPr>
            <w:r>
              <w:rPr>
                <w:rFonts w:ascii="Cambria" w:hAnsi="Cambria"/>
                <w:i/>
                <w:sz w:val="18"/>
                <w:szCs w:val="18"/>
              </w:rPr>
              <w:t>Bactericera trigonica</w:t>
            </w:r>
          </w:p>
        </w:tc>
        <w:tc>
          <w:tcPr>
            <w:tcW w:w="1621" w:type="pct"/>
          </w:tcPr>
          <w:p w:rsidR="00AE7868" w:rsidRDefault="00FF2B57">
            <w:pPr>
              <w:spacing w:before="20" w:after="20" w:line="240" w:lineRule="atLeast"/>
              <w:rPr>
                <w:rFonts w:ascii="Cambria" w:hAnsi="Cambria"/>
                <w:sz w:val="18"/>
                <w:szCs w:val="18"/>
              </w:rPr>
            </w:pPr>
            <w:r>
              <w:rPr>
                <w:rFonts w:ascii="Cambria" w:hAnsi="Cambria"/>
                <w:sz w:val="18"/>
                <w:szCs w:val="18"/>
              </w:rPr>
              <w:t>Apiaceae family (carrot)</w:t>
            </w:r>
          </w:p>
        </w:tc>
        <w:tc>
          <w:tcPr>
            <w:tcW w:w="1467" w:type="pct"/>
          </w:tcPr>
          <w:p w:rsidR="00AE7868" w:rsidRDefault="00FF2B57">
            <w:pPr>
              <w:spacing w:before="20" w:after="20" w:line="240" w:lineRule="atLeast"/>
              <w:rPr>
                <w:rFonts w:ascii="Cambria" w:hAnsi="Cambria"/>
                <w:sz w:val="18"/>
                <w:szCs w:val="18"/>
              </w:rPr>
            </w:pPr>
            <w:r>
              <w:rPr>
                <w:rFonts w:ascii="Cambria" w:hAnsi="Cambria"/>
                <w:sz w:val="18"/>
                <w:szCs w:val="18"/>
              </w:rPr>
              <w:t xml:space="preserve">Spain (mainland and Canary Islands), Morocco </w:t>
            </w:r>
          </w:p>
        </w:tc>
      </w:tr>
      <w:tr w:rsidR="00AE7868">
        <w:tc>
          <w:tcPr>
            <w:tcW w:w="754" w:type="pct"/>
          </w:tcPr>
          <w:p w:rsidR="00AE7868" w:rsidRDefault="00FF2B57">
            <w:pPr>
              <w:spacing w:before="20" w:after="20" w:line="240" w:lineRule="atLeast"/>
              <w:rPr>
                <w:rFonts w:ascii="Cambria" w:hAnsi="Cambria"/>
                <w:iCs/>
                <w:sz w:val="18"/>
                <w:szCs w:val="18"/>
              </w:rPr>
            </w:pPr>
            <w:r>
              <w:rPr>
                <w:rFonts w:ascii="Cambria" w:hAnsi="Cambria"/>
                <w:iCs/>
                <w:sz w:val="18"/>
                <w:szCs w:val="18"/>
              </w:rPr>
              <w:t>Haplotype E</w:t>
            </w:r>
          </w:p>
        </w:tc>
        <w:tc>
          <w:tcPr>
            <w:tcW w:w="1158" w:type="pct"/>
          </w:tcPr>
          <w:p w:rsidR="00AE7868" w:rsidRDefault="00FF2B57">
            <w:pPr>
              <w:spacing w:before="20" w:after="20" w:line="240" w:lineRule="atLeast"/>
              <w:rPr>
                <w:rFonts w:ascii="Cambria" w:hAnsi="Cambria"/>
                <w:i/>
                <w:sz w:val="18"/>
                <w:szCs w:val="18"/>
              </w:rPr>
            </w:pPr>
            <w:r>
              <w:rPr>
                <w:rFonts w:ascii="Cambria" w:hAnsi="Cambria"/>
                <w:i/>
                <w:sz w:val="18"/>
                <w:szCs w:val="18"/>
              </w:rPr>
              <w:t>Bactericera trigonica</w:t>
            </w:r>
          </w:p>
        </w:tc>
        <w:tc>
          <w:tcPr>
            <w:tcW w:w="1621" w:type="pct"/>
          </w:tcPr>
          <w:p w:rsidR="00AE7868" w:rsidRDefault="00FF2B57">
            <w:pPr>
              <w:spacing w:before="20" w:after="20" w:line="240" w:lineRule="atLeast"/>
              <w:rPr>
                <w:rFonts w:ascii="Cambria" w:hAnsi="Cambria"/>
                <w:sz w:val="18"/>
                <w:szCs w:val="18"/>
              </w:rPr>
            </w:pPr>
            <w:r>
              <w:rPr>
                <w:rFonts w:ascii="Cambria" w:hAnsi="Cambria"/>
                <w:sz w:val="18"/>
                <w:szCs w:val="18"/>
              </w:rPr>
              <w:t>Apiaceae family (carrot and celery)</w:t>
            </w:r>
          </w:p>
        </w:tc>
        <w:tc>
          <w:tcPr>
            <w:tcW w:w="1467" w:type="pct"/>
          </w:tcPr>
          <w:p w:rsidR="00AE7868" w:rsidRDefault="00FF2B57">
            <w:pPr>
              <w:spacing w:before="20" w:after="20" w:line="240" w:lineRule="atLeast"/>
              <w:rPr>
                <w:rFonts w:ascii="Cambria" w:hAnsi="Cambria"/>
                <w:sz w:val="18"/>
                <w:szCs w:val="18"/>
              </w:rPr>
            </w:pPr>
            <w:r>
              <w:rPr>
                <w:rFonts w:ascii="Cambria" w:hAnsi="Cambria"/>
                <w:sz w:val="18"/>
                <w:szCs w:val="18"/>
              </w:rPr>
              <w:t>Spain (mainland), France, Morocco</w:t>
            </w:r>
          </w:p>
        </w:tc>
      </w:tr>
    </w:tbl>
    <w:p w:rsidR="00AE7868" w:rsidRDefault="00FF2B57">
      <w:pPr>
        <w:spacing w:before="120" w:after="120" w:line="264" w:lineRule="auto"/>
        <w:rPr>
          <w:sz w:val="18"/>
          <w:szCs w:val="18"/>
        </w:rPr>
      </w:pPr>
      <w:r>
        <w:rPr>
          <w:sz w:val="18"/>
          <w:szCs w:val="18"/>
        </w:rPr>
        <w:t>*</w:t>
      </w:r>
      <w:r>
        <w:rPr>
          <w:rFonts w:ascii="Cambria" w:hAnsi="Cambria"/>
          <w:sz w:val="18"/>
          <w:szCs w:val="18"/>
        </w:rPr>
        <w:t xml:space="preserve"> This table only lists countries where the ‘</w:t>
      </w:r>
      <w:r>
        <w:rPr>
          <w:rFonts w:ascii="Cambria" w:hAnsi="Cambria"/>
          <w:i/>
          <w:sz w:val="18"/>
          <w:szCs w:val="18"/>
        </w:rPr>
        <w:t>Ca</w:t>
      </w:r>
      <w:r>
        <w:rPr>
          <w:rFonts w:ascii="Cambria" w:hAnsi="Cambria"/>
          <w:sz w:val="18"/>
          <w:szCs w:val="18"/>
        </w:rPr>
        <w:t>. L. solanacearum’ haplotype has been confirmed. For example, this bacterium is reported to occur in carrot and celery in Austria; however, the associated haplotype/s are unknown.</w:t>
      </w:r>
    </w:p>
    <w:p w:rsidR="00AE7868" w:rsidRDefault="00FF2B57">
      <w:pPr>
        <w:autoSpaceDE w:val="0"/>
        <w:autoSpaceDN w:val="0"/>
        <w:adjustRightInd w:val="0"/>
        <w:spacing w:before="200"/>
        <w:rPr>
          <w:rFonts w:ascii="Cambria" w:hAnsi="Cambria"/>
        </w:rPr>
      </w:pPr>
      <w:r>
        <w:rPr>
          <w:rFonts w:ascii="Cambria" w:eastAsia="Cambria" w:hAnsi="Cambria" w:cs="AdvTT2acb703b"/>
          <w:color w:val="131313"/>
        </w:rPr>
        <w:t>Haplotype A has been found primarily from Honduras and Guatemala through to western Mexico, Arizona and California, and in New Zealand (Nelson et al. 2011). Haplotype B</w:t>
      </w:r>
      <w:r>
        <w:rPr>
          <w:rFonts w:ascii="Cambria" w:eastAsia="AdvTT2acb703b+20" w:hAnsi="Cambria" w:cs="AdvTT2acb703b+20"/>
          <w:color w:val="131313"/>
        </w:rPr>
        <w:t xml:space="preserve"> </w:t>
      </w:r>
      <w:r>
        <w:rPr>
          <w:rFonts w:ascii="Cambria" w:eastAsia="Cambria" w:hAnsi="Cambria" w:cs="AdvTT2acb703b"/>
          <w:color w:val="131313"/>
        </w:rPr>
        <w:t xml:space="preserve">is currently found from eastern </w:t>
      </w:r>
      <w:r>
        <w:rPr>
          <w:rFonts w:ascii="Cambria" w:eastAsia="Cambria" w:hAnsi="Cambria" w:cs="AdvTT2acb703b"/>
          <w:color w:val="131313"/>
        </w:rPr>
        <w:lastRenderedPageBreak/>
        <w:t xml:space="preserve">Mexico, northwards through Texas to south central Washington (Nelson et al. 2011). These haplotypes show some range overlap in Texas, Kansas and Nebraska (Nelson et al. 2011). </w:t>
      </w:r>
    </w:p>
    <w:p w:rsidR="00AE7868" w:rsidRDefault="00FF2B57">
      <w:pPr>
        <w:autoSpaceDE w:val="0"/>
        <w:autoSpaceDN w:val="0"/>
        <w:adjustRightInd w:val="0"/>
        <w:spacing w:before="200"/>
        <w:rPr>
          <w:rFonts w:ascii="Cambria" w:hAnsi="Cambria"/>
          <w:bCs/>
        </w:rPr>
      </w:pPr>
      <w:r>
        <w:rPr>
          <w:rFonts w:ascii="Cambria" w:hAnsi="Cambria"/>
          <w:bCs/>
        </w:rPr>
        <w:t>Haplotype C was first described in carrots (Nelson et al. 2011) and is present in Finland,</w:t>
      </w:r>
      <w:r>
        <w:rPr>
          <w:rFonts w:ascii="Cambria" w:hAnsi="Cambria" w:cs="AdvTT3713a231"/>
        </w:rPr>
        <w:t xml:space="preserve"> </w:t>
      </w:r>
      <w:r>
        <w:rPr>
          <w:rFonts w:ascii="Cambria" w:hAnsi="Cambria"/>
          <w:bCs/>
        </w:rPr>
        <w:t xml:space="preserve">Norway, Sweden and Germany (Nelson et al. 2012). Haplotype D is associated with carrots (Nelson et al. 2012) and is found in Spain, the Canary Islands and Morocco and is likely to be present in France (Teresani et al. 2015). Haplotype E was described in Spain associated with both carrot and celery crops (Teresani et al. 2014b) and is also in France and Morocco (Teresani et al. 2015). </w:t>
      </w:r>
    </w:p>
    <w:p w:rsidR="00AE7868" w:rsidRDefault="00FF2B57">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217" w:name="_Toc437356021"/>
      <w:r>
        <w:rPr>
          <w:rFonts w:ascii="Calibri" w:hAnsi="Calibri" w:cstheme="minorBidi"/>
          <w:sz w:val="24"/>
          <w:szCs w:val="22"/>
        </w:rPr>
        <w:t>Symptoms of ‘</w:t>
      </w:r>
      <w:bookmarkStart w:id="218" w:name="OLE_LINK3"/>
      <w:r>
        <w:rPr>
          <w:rFonts w:ascii="Calibri" w:hAnsi="Calibri" w:cstheme="minorBidi"/>
          <w:i/>
          <w:sz w:val="24"/>
          <w:szCs w:val="22"/>
        </w:rPr>
        <w:t>Candidatus</w:t>
      </w:r>
      <w:r>
        <w:rPr>
          <w:rFonts w:ascii="Calibri" w:hAnsi="Calibri" w:cstheme="minorBidi"/>
          <w:sz w:val="24"/>
          <w:szCs w:val="22"/>
        </w:rPr>
        <w:t xml:space="preserve"> Liberibacter solanacearum’</w:t>
      </w:r>
      <w:bookmarkEnd w:id="217"/>
      <w:r>
        <w:rPr>
          <w:rFonts w:ascii="Calibri" w:hAnsi="Calibri" w:cstheme="minorBidi"/>
          <w:sz w:val="24"/>
          <w:szCs w:val="22"/>
        </w:rPr>
        <w:t xml:space="preserve"> </w:t>
      </w:r>
      <w:bookmarkEnd w:id="218"/>
    </w:p>
    <w:p w:rsidR="00AE7868" w:rsidRDefault="00FF2B57">
      <w:pPr>
        <w:autoSpaceDE w:val="0"/>
        <w:autoSpaceDN w:val="0"/>
        <w:adjustRightInd w:val="0"/>
        <w:spacing w:before="200"/>
        <w:rPr>
          <w:rFonts w:ascii="Cambria" w:eastAsia="Cambria" w:hAnsi="Cambria" w:cs="MeridienLTStd-Roman"/>
        </w:rPr>
      </w:pPr>
      <w:r>
        <w:rPr>
          <w:rFonts w:ascii="Cambria" w:hAnsi="Cambria"/>
        </w:rPr>
        <w:t>‘</w:t>
      </w:r>
      <w:r>
        <w:rPr>
          <w:rFonts w:ascii="Cambria" w:hAnsi="Cambria"/>
          <w:i/>
        </w:rPr>
        <w:t>Candidatus</w:t>
      </w:r>
      <w:r>
        <w:rPr>
          <w:rFonts w:ascii="Cambria" w:hAnsi="Cambria"/>
        </w:rPr>
        <w:t xml:space="preserve"> Liberibacter’ species are limited to the phloem; therefore, once a plant has become infected the bacterium can move throughout the plant. Symptoms caused by ‘</w:t>
      </w:r>
      <w:r>
        <w:rPr>
          <w:rFonts w:ascii="Cambria" w:hAnsi="Cambria"/>
          <w:i/>
        </w:rPr>
        <w:t xml:space="preserve">Ca. </w:t>
      </w:r>
      <w:r>
        <w:rPr>
          <w:rFonts w:ascii="Cambria" w:hAnsi="Cambria"/>
        </w:rPr>
        <w:t xml:space="preserve">L.’ species are not constant over time or between locations and they vary with season, host, pathogen species and </w:t>
      </w:r>
      <w:r>
        <w:rPr>
          <w:rFonts w:ascii="Cambria" w:hAnsi="Cambria"/>
          <w:bCs/>
        </w:rPr>
        <w:t>environmental</w:t>
      </w:r>
      <w:r>
        <w:rPr>
          <w:rFonts w:ascii="Cambria" w:hAnsi="Cambria"/>
        </w:rPr>
        <w:t xml:space="preserve"> conditions. </w:t>
      </w:r>
      <w:r>
        <w:rPr>
          <w:rFonts w:ascii="Cambria" w:eastAsia="Cambria" w:hAnsi="Cambria" w:cs="MeridienLTStd-Roman"/>
        </w:rPr>
        <w:t>For example, potato and tomato plants infected with ‘</w:t>
      </w:r>
      <w:r>
        <w:rPr>
          <w:rFonts w:ascii="Cambria" w:eastAsia="Cambria" w:hAnsi="Cambria" w:cs="MeridienLTStd-Roman"/>
          <w:i/>
        </w:rPr>
        <w:t>Ca</w:t>
      </w:r>
      <w:r>
        <w:rPr>
          <w:rFonts w:ascii="Cambria" w:eastAsia="Cambria" w:hAnsi="Cambria" w:cs="MeridienLTStd-Roman"/>
        </w:rPr>
        <w:t>. L. solanacearum’ can become severely diseased, whereas pepper and eggplant do not develop severe symptoms (Lin &amp; Gudmestad 2013).</w:t>
      </w:r>
    </w:p>
    <w:p w:rsidR="00AE7868" w:rsidRDefault="00FF2B57">
      <w:pPr>
        <w:autoSpaceDE w:val="0"/>
        <w:autoSpaceDN w:val="0"/>
        <w:adjustRightInd w:val="0"/>
        <w:spacing w:before="200"/>
        <w:rPr>
          <w:rFonts w:ascii="Cambria" w:eastAsia="Cambria" w:hAnsi="Cambria" w:cs="MeridienLTStd-Roman"/>
        </w:rPr>
      </w:pPr>
      <w:r>
        <w:rPr>
          <w:rFonts w:ascii="Cambria" w:eastAsia="Cambria" w:hAnsi="Cambria" w:cs="MeridienLTStd-Roman"/>
        </w:rPr>
        <w:t>‘</w:t>
      </w:r>
      <w:r>
        <w:rPr>
          <w:rFonts w:ascii="Cambria" w:hAnsi="Cambria"/>
          <w:i/>
        </w:rPr>
        <w:t>Candidatus</w:t>
      </w:r>
      <w:r>
        <w:rPr>
          <w:rFonts w:ascii="Cambria" w:hAnsi="Cambria"/>
        </w:rPr>
        <w:t xml:space="preserve"> Liberibacter</w:t>
      </w:r>
      <w:r>
        <w:rPr>
          <w:rFonts w:ascii="Cambria" w:eastAsia="Cambria" w:hAnsi="Cambria" w:cs="MeridienLTStd-Roman"/>
        </w:rPr>
        <w:t xml:space="preserve"> solanacearum’ in potato plants is often unevenly spread throughout the plant; however, in carrot it becomes systemic (Nissinen </w:t>
      </w:r>
      <w:r>
        <w:rPr>
          <w:rFonts w:ascii="Cambria" w:eastAsia="Cambria" w:hAnsi="Cambria" w:cs="MeridienLTStd-Italic"/>
          <w:iCs/>
        </w:rPr>
        <w:t>et al</w:t>
      </w:r>
      <w:r>
        <w:rPr>
          <w:rFonts w:ascii="Cambria" w:eastAsia="Cambria" w:hAnsi="Cambria" w:cs="MeridienLTStd-Italic"/>
          <w:i/>
          <w:iCs/>
        </w:rPr>
        <w:t>.</w:t>
      </w:r>
      <w:r>
        <w:rPr>
          <w:rFonts w:ascii="Cambria" w:eastAsia="Cambria" w:hAnsi="Cambria" w:cs="MeridienLTStd-Roman"/>
        </w:rPr>
        <w:t xml:space="preserve"> 2014). In celery plants, the ‘</w:t>
      </w:r>
      <w:r>
        <w:rPr>
          <w:rFonts w:ascii="Cambria" w:eastAsia="Cambria" w:hAnsi="Cambria" w:cs="MeridienLTStd-Roman"/>
          <w:i/>
        </w:rPr>
        <w:t>Ca</w:t>
      </w:r>
      <w:r>
        <w:rPr>
          <w:rFonts w:ascii="Cambria" w:eastAsia="Cambria" w:hAnsi="Cambria" w:cs="MeridienLTStd-Roman"/>
        </w:rPr>
        <w:t xml:space="preserve">. L. solanacearum’ </w:t>
      </w:r>
      <w:r>
        <w:rPr>
          <w:rFonts w:ascii="Cambria" w:eastAsia="Cambria" w:hAnsi="Cambria" w:cs="MeridienLTStd-Roman"/>
        </w:rPr>
        <w:lastRenderedPageBreak/>
        <w:t xml:space="preserve">haplotype E causes stem proliferation and curling symptoms (Teresani </w:t>
      </w:r>
      <w:r>
        <w:rPr>
          <w:rFonts w:ascii="Cambria" w:eastAsia="Cambria" w:hAnsi="Cambria" w:cs="MeridienLTStd-Italic"/>
          <w:iCs/>
        </w:rPr>
        <w:t>et al.</w:t>
      </w:r>
      <w:r>
        <w:rPr>
          <w:rFonts w:ascii="Cambria" w:eastAsia="Cambria" w:hAnsi="Cambria" w:cs="MeridienLTStd-Roman"/>
        </w:rPr>
        <w:t xml:space="preserve"> 2014b). Shoot proliferation is also seen in infected carrots in Spain and Morocco (Bertolini </w:t>
      </w:r>
      <w:r>
        <w:rPr>
          <w:rFonts w:ascii="Cambria" w:eastAsia="Cambria" w:hAnsi="Cambria" w:cs="MeridienLTStd-Italic"/>
          <w:iCs/>
        </w:rPr>
        <w:t>et al.</w:t>
      </w:r>
      <w:r>
        <w:rPr>
          <w:rFonts w:ascii="Cambria" w:eastAsia="Cambria" w:hAnsi="Cambria" w:cs="MeridienLTStd-Roman"/>
        </w:rPr>
        <w:t xml:space="preserve"> 2014; Tahzima </w:t>
      </w:r>
      <w:r>
        <w:rPr>
          <w:rFonts w:ascii="Cambria" w:eastAsia="Cambria" w:hAnsi="Cambria" w:cs="MeridienLTStd-Italic"/>
          <w:iCs/>
        </w:rPr>
        <w:t>et al.</w:t>
      </w:r>
      <w:r>
        <w:rPr>
          <w:rFonts w:ascii="Cambria" w:eastAsia="Cambria" w:hAnsi="Cambria" w:cs="MeridienLTStd-Roman"/>
        </w:rPr>
        <w:t xml:space="preserve"> 2014), suggesting differences in the bacteria–plant interaction when compared with the haplotype C, which does not induce shoot proliferation but causes discolouration of the carrot leaves.</w:t>
      </w:r>
    </w:p>
    <w:p w:rsidR="00AE7868" w:rsidRDefault="00FF2B57">
      <w:pPr>
        <w:pStyle w:val="Heading4"/>
        <w:spacing w:before="200"/>
      </w:pPr>
      <w:r>
        <w:t>Symptoms caused by ‘</w:t>
      </w:r>
      <w:r>
        <w:rPr>
          <w:i/>
        </w:rPr>
        <w:t>Ca</w:t>
      </w:r>
      <w:r>
        <w:t>. L. solanacearum’ in carrot</w:t>
      </w:r>
    </w:p>
    <w:p w:rsidR="00AE7868" w:rsidRDefault="00FF2B57">
      <w:pPr>
        <w:autoSpaceDE w:val="0"/>
        <w:autoSpaceDN w:val="0"/>
        <w:adjustRightInd w:val="0"/>
        <w:spacing w:before="200"/>
        <w:rPr>
          <w:rFonts w:ascii="Cambria" w:hAnsi="Cambria"/>
        </w:rPr>
      </w:pPr>
      <w:r>
        <w:rPr>
          <w:rFonts w:ascii="Cambria" w:hAnsi="Cambria"/>
        </w:rPr>
        <w:t>Symptoms caused by ‘</w:t>
      </w:r>
      <w:r>
        <w:rPr>
          <w:rFonts w:ascii="Cambria" w:hAnsi="Cambria"/>
          <w:i/>
        </w:rPr>
        <w:t>Ca</w:t>
      </w:r>
      <w:r>
        <w:rPr>
          <w:rFonts w:ascii="Cambria" w:hAnsi="Cambria"/>
        </w:rPr>
        <w:t>. L. solanacearum’ in carrot plants include leaf yellowing, bronze or red leaf discolouration, reduced size of the main root and lateral root proliferation (Munyaneza et al. 2011; Figure 1B). Other symptoms include stunting and proliferation of dwarfed shoots, bushy tops and a dense hairy growth of secondary roots (Loiseau et al. 2014). The number of leaves showing discolouration symptoms and the root weight reduction correlated with a high titre of ‘</w:t>
      </w:r>
      <w:r>
        <w:rPr>
          <w:rFonts w:ascii="Cambria" w:hAnsi="Cambria"/>
          <w:i/>
        </w:rPr>
        <w:t>Ca</w:t>
      </w:r>
      <w:r>
        <w:rPr>
          <w:rFonts w:ascii="Cambria" w:hAnsi="Cambria"/>
        </w:rPr>
        <w:t xml:space="preserve">. L. solanacearum’ in the plant (Nissinen et al. 2014). Infected plants show collapsed phloem cells and phloem tubes are densely colonised by bacteria (Figure 1C). </w:t>
      </w:r>
      <w:bookmarkStart w:id="219" w:name="_Toc356671315"/>
      <w:bookmarkStart w:id="220" w:name="_Toc386638138"/>
      <w:bookmarkStart w:id="221" w:name="_Toc386710533"/>
      <w:bookmarkStart w:id="222" w:name="_Toc388882528"/>
      <w:bookmarkStart w:id="223" w:name="_Toc388949924"/>
      <w:bookmarkStart w:id="224" w:name="_Toc392494637"/>
      <w:bookmarkStart w:id="225" w:name="_Toc392503880"/>
      <w:bookmarkStart w:id="226" w:name="_Toc409685807"/>
      <w:bookmarkStart w:id="227" w:name="_Toc412625746"/>
      <w:bookmarkStart w:id="228" w:name="_Toc413062154"/>
      <w:bookmarkStart w:id="229" w:name="_Toc414019476"/>
      <w:bookmarkStart w:id="230" w:name="_Toc418712810"/>
      <w:bookmarkStart w:id="231" w:name="_Toc421786878"/>
    </w:p>
    <w:p w:rsidR="00AE7868" w:rsidRDefault="00FF2B57">
      <w:pPr>
        <w:pStyle w:val="Caption"/>
        <w:spacing w:before="240"/>
        <w:rPr>
          <w:rFonts w:asciiTheme="majorHAnsi" w:eastAsiaTheme="majorEastAsia" w:hAnsiTheme="majorHAnsi" w:cstheme="majorBidi"/>
          <w:color w:val="595959" w:themeColor="text1" w:themeTint="A6"/>
          <w:sz w:val="20"/>
        </w:rPr>
      </w:pPr>
      <w:bookmarkStart w:id="232" w:name="_Toc430256488"/>
      <w:bookmarkStart w:id="233" w:name="_Toc432876715"/>
      <w:bookmarkStart w:id="234" w:name="_Toc433293348"/>
      <w:bookmarkStart w:id="235" w:name="_Toc433707292"/>
      <w:bookmarkStart w:id="236" w:name="_Toc433796456"/>
      <w:bookmarkStart w:id="237" w:name="_Toc437355951"/>
      <w:bookmarkStart w:id="238" w:name="_Toc437355983"/>
      <w:r>
        <w:rPr>
          <w:rFonts w:asciiTheme="majorHAnsi" w:eastAsiaTheme="majorEastAsia" w:hAnsiTheme="majorHAnsi" w:cstheme="majorBidi"/>
          <w:color w:val="595959" w:themeColor="text1" w:themeTint="A6"/>
          <w:sz w:val="20"/>
        </w:rPr>
        <w:lastRenderedPageBreak/>
        <w:t xml:space="preserve">Figure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Figure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1</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w:t>
      </w:r>
      <w:bookmarkEnd w:id="219"/>
      <w:bookmarkEnd w:id="220"/>
      <w:bookmarkEnd w:id="221"/>
      <w:bookmarkEnd w:id="222"/>
      <w:bookmarkEnd w:id="223"/>
      <w:bookmarkEnd w:id="224"/>
      <w:bookmarkEnd w:id="225"/>
      <w:bookmarkEnd w:id="226"/>
      <w:bookmarkEnd w:id="227"/>
      <w:bookmarkEnd w:id="228"/>
      <w:bookmarkEnd w:id="229"/>
      <w:r>
        <w:rPr>
          <w:rFonts w:asciiTheme="majorHAnsi" w:eastAsiaTheme="majorEastAsia" w:hAnsiTheme="majorHAnsi" w:cstheme="majorBidi"/>
          <w:color w:val="595959" w:themeColor="text1" w:themeTint="A6"/>
          <w:sz w:val="20"/>
        </w:rPr>
        <w:t>Symptoms caused by ‘</w:t>
      </w:r>
      <w:r>
        <w:rPr>
          <w:rFonts w:asciiTheme="majorHAnsi" w:eastAsiaTheme="majorEastAsia" w:hAnsiTheme="majorHAnsi" w:cstheme="majorBidi"/>
          <w:i/>
          <w:color w:val="595959" w:themeColor="text1" w:themeTint="A6"/>
          <w:sz w:val="20"/>
        </w:rPr>
        <w:t>Ca</w:t>
      </w:r>
      <w:r>
        <w:rPr>
          <w:rFonts w:asciiTheme="majorHAnsi" w:eastAsiaTheme="majorEastAsia" w:hAnsiTheme="majorHAnsi" w:cstheme="majorBidi"/>
          <w:color w:val="595959" w:themeColor="text1" w:themeTint="A6"/>
          <w:sz w:val="20"/>
        </w:rPr>
        <w:t>. L. solanacearum’ in carrot: (A) healthy carrot; (B) infected carrot showing discoloured leaves and reduced root volume; and (C) bacterial cells in a sieve tube element of an infected carrot root</w:t>
      </w:r>
      <w:bookmarkEnd w:id="232"/>
      <w:bookmarkEnd w:id="233"/>
      <w:bookmarkEnd w:id="234"/>
      <w:bookmarkEnd w:id="235"/>
      <w:bookmarkEnd w:id="236"/>
      <w:bookmarkEnd w:id="237"/>
      <w:bookmarkEnd w:id="238"/>
      <w:r>
        <w:rPr>
          <w:rFonts w:asciiTheme="majorHAnsi" w:eastAsiaTheme="majorEastAsia" w:hAnsiTheme="majorHAnsi" w:cstheme="majorBidi"/>
          <w:color w:val="595959" w:themeColor="text1" w:themeTint="A6"/>
          <w:sz w:val="20"/>
        </w:rPr>
        <w:t xml:space="preserve"> </w:t>
      </w:r>
      <w:bookmarkEnd w:id="230"/>
      <w:bookmarkEnd w:id="231"/>
    </w:p>
    <w:p w:rsidR="00AE7868" w:rsidRDefault="00FF2B57">
      <w:pPr>
        <w:autoSpaceDE w:val="0"/>
        <w:autoSpaceDN w:val="0"/>
        <w:adjustRightInd w:val="0"/>
        <w:spacing w:before="200"/>
        <w:jc w:val="center"/>
        <w:rPr>
          <w:rFonts w:ascii="Cambria" w:hAnsi="Cambria"/>
        </w:rPr>
      </w:pPr>
      <w:r>
        <w:rPr>
          <w:rFonts w:ascii="Cambria" w:hAnsi="Cambria"/>
          <w:noProof/>
          <w:lang w:eastAsia="en-AU"/>
        </w:rPr>
        <w:drawing>
          <wp:inline distT="0" distB="0" distL="0" distR="0">
            <wp:extent cx="4972541" cy="3125337"/>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978341" cy="3128982"/>
                    </a:xfrm>
                    <a:prstGeom prst="rect">
                      <a:avLst/>
                    </a:prstGeom>
                    <a:noFill/>
                    <a:ln w="9525">
                      <a:noFill/>
                      <a:miter lim="800000"/>
                      <a:headEnd/>
                      <a:tailEnd/>
                    </a:ln>
                  </pic:spPr>
                </pic:pic>
              </a:graphicData>
            </a:graphic>
          </wp:inline>
        </w:drawing>
      </w:r>
    </w:p>
    <w:p w:rsidR="00AE7868" w:rsidRDefault="00FF2B57">
      <w:pPr>
        <w:autoSpaceDE w:val="0"/>
        <w:autoSpaceDN w:val="0"/>
        <w:adjustRightInd w:val="0"/>
        <w:spacing w:before="200"/>
        <w:rPr>
          <w:rFonts w:ascii="Cambria" w:hAnsi="Cambria"/>
          <w:sz w:val="18"/>
          <w:szCs w:val="18"/>
        </w:rPr>
      </w:pPr>
      <w:r>
        <w:rPr>
          <w:rFonts w:ascii="Cambria" w:hAnsi="Cambria"/>
          <w:sz w:val="18"/>
          <w:szCs w:val="18"/>
        </w:rPr>
        <w:t>Source: Haapsalainen (2014).</w:t>
      </w:r>
    </w:p>
    <w:p w:rsidR="00AE7868" w:rsidRDefault="00FF2B57">
      <w:pPr>
        <w:pStyle w:val="Heading4"/>
        <w:spacing w:before="200"/>
      </w:pPr>
      <w:r>
        <w:t>Symptoms caused by ‘</w:t>
      </w:r>
      <w:r>
        <w:rPr>
          <w:i/>
        </w:rPr>
        <w:t>Ca</w:t>
      </w:r>
      <w:r>
        <w:t>. L. solanacearum’ in celery</w:t>
      </w:r>
    </w:p>
    <w:p w:rsidR="00AE7868" w:rsidRDefault="00FF2B57">
      <w:pPr>
        <w:autoSpaceDE w:val="0"/>
        <w:autoSpaceDN w:val="0"/>
        <w:adjustRightInd w:val="0"/>
        <w:spacing w:before="200"/>
        <w:contextualSpacing/>
        <w:rPr>
          <w:rFonts w:ascii="Cambria" w:eastAsia="Cambria" w:hAnsi="Cambria" w:cs="Times-Roman"/>
        </w:rPr>
      </w:pPr>
      <w:r>
        <w:rPr>
          <w:rFonts w:ascii="Cambria" w:eastAsia="Cambria" w:hAnsi="Cambria" w:cs="Times-Roman"/>
        </w:rPr>
        <w:t xml:space="preserve">In 2008, in Villena (Alicante, Spain), celery plants were observed showing an abnormal amount of shoots, curling of stems and yellowing (Figure 2A to D). These vegetative disorders were observed in a </w:t>
      </w:r>
      <w:r>
        <w:rPr>
          <w:rFonts w:ascii="Cambria" w:eastAsia="Cambria" w:hAnsi="Cambria" w:cs="Times-Roman"/>
        </w:rPr>
        <w:lastRenderedPageBreak/>
        <w:t>celery crop grown in close proximity to carrot plots showing a high prevalence of ‘</w:t>
      </w:r>
      <w:r>
        <w:rPr>
          <w:rFonts w:ascii="Cambria" w:eastAsia="Cambria" w:hAnsi="Cambria" w:cs="Times-Roman"/>
          <w:i/>
        </w:rPr>
        <w:t>Ca</w:t>
      </w:r>
      <w:r>
        <w:rPr>
          <w:rFonts w:ascii="Cambria" w:eastAsia="Cambria" w:hAnsi="Cambria" w:cs="Times-Roman"/>
        </w:rPr>
        <w:t>. L. solanacearum’ infected plants. Molecular studies confirmed that celery plants were infected with ‘</w:t>
      </w:r>
      <w:r>
        <w:rPr>
          <w:rFonts w:ascii="Cambria" w:eastAsia="Cambria" w:hAnsi="Cambria" w:cs="Times-Roman"/>
          <w:i/>
        </w:rPr>
        <w:t>Ca</w:t>
      </w:r>
      <w:r>
        <w:rPr>
          <w:rFonts w:ascii="Cambria" w:eastAsia="Cambria" w:hAnsi="Cambria" w:cs="Times-Roman"/>
        </w:rPr>
        <w:t>. L. solanacearum’ (Teresani et al. 2014b).</w:t>
      </w:r>
    </w:p>
    <w:p w:rsidR="00AE7868" w:rsidRDefault="00FF2B57">
      <w:pPr>
        <w:pStyle w:val="Caption"/>
        <w:spacing w:before="240"/>
        <w:rPr>
          <w:rFonts w:asciiTheme="majorHAnsi" w:eastAsiaTheme="majorEastAsia" w:hAnsiTheme="majorHAnsi" w:cstheme="majorBidi"/>
          <w:color w:val="595959" w:themeColor="text1" w:themeTint="A6"/>
          <w:sz w:val="20"/>
        </w:rPr>
      </w:pPr>
      <w:bookmarkStart w:id="239" w:name="_Toc418712811"/>
      <w:bookmarkStart w:id="240" w:name="_Toc421786879"/>
      <w:bookmarkStart w:id="241" w:name="_Toc428785232"/>
      <w:bookmarkStart w:id="242" w:name="_Toc430256489"/>
      <w:bookmarkStart w:id="243" w:name="_Toc432876716"/>
      <w:bookmarkStart w:id="244" w:name="_Toc433293349"/>
      <w:bookmarkStart w:id="245" w:name="_Toc433707293"/>
      <w:bookmarkStart w:id="246" w:name="_Toc433796457"/>
      <w:bookmarkStart w:id="247" w:name="_Toc437355952"/>
      <w:bookmarkStart w:id="248" w:name="_Toc437355984"/>
      <w:r>
        <w:rPr>
          <w:rFonts w:asciiTheme="majorHAnsi" w:eastAsiaTheme="majorEastAsia" w:hAnsiTheme="majorHAnsi" w:cstheme="majorBidi"/>
          <w:color w:val="595959" w:themeColor="text1" w:themeTint="A6"/>
          <w:sz w:val="20"/>
        </w:rPr>
        <w:t xml:space="preserve">Figure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Figure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2</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Symptoms caused by ‘</w:t>
      </w:r>
      <w:r>
        <w:rPr>
          <w:rFonts w:asciiTheme="majorHAnsi" w:eastAsiaTheme="majorEastAsia" w:hAnsiTheme="majorHAnsi" w:cstheme="majorBidi"/>
          <w:i/>
          <w:color w:val="595959" w:themeColor="text1" w:themeTint="A6"/>
          <w:sz w:val="20"/>
        </w:rPr>
        <w:t>Ca</w:t>
      </w:r>
      <w:r>
        <w:rPr>
          <w:rFonts w:asciiTheme="majorHAnsi" w:eastAsiaTheme="majorEastAsia" w:hAnsiTheme="majorHAnsi" w:cstheme="majorBidi"/>
          <w:color w:val="595959" w:themeColor="text1" w:themeTint="A6"/>
          <w:sz w:val="20"/>
        </w:rPr>
        <w:t xml:space="preserve">. L. solanacearum’ in celery: (A) infected celery (left) healthy celery (right); (B) infected  celery showing </w:t>
      </w:r>
      <w:r>
        <w:rPr>
          <w:rFonts w:asciiTheme="majorHAnsi" w:eastAsiaTheme="majorEastAsia" w:hAnsiTheme="majorHAnsi" w:cstheme="majorBidi"/>
          <w:color w:val="595959" w:themeColor="text1" w:themeTint="A6"/>
          <w:sz w:val="20"/>
        </w:rPr>
        <w:lastRenderedPageBreak/>
        <w:t>abnormal shoot proliferation; (C) curling of stems; and (D) mild symptoms in plant</w:t>
      </w:r>
      <w:bookmarkEnd w:id="239"/>
      <w:bookmarkEnd w:id="240"/>
      <w:bookmarkEnd w:id="241"/>
      <w:bookmarkEnd w:id="242"/>
      <w:bookmarkEnd w:id="243"/>
      <w:bookmarkEnd w:id="244"/>
      <w:bookmarkEnd w:id="245"/>
      <w:bookmarkEnd w:id="246"/>
      <w:bookmarkEnd w:id="247"/>
      <w:bookmarkEnd w:id="248"/>
    </w:p>
    <w:p w:rsidR="00AE7868" w:rsidRDefault="00FF2B57">
      <w:pPr>
        <w:pStyle w:val="Caption"/>
        <w:keepNext w:val="0"/>
        <w:spacing w:before="240"/>
        <w:jc w:val="center"/>
        <w:rPr>
          <w:rFonts w:ascii="Times-Roman" w:eastAsia="Cambria" w:hAnsi="Times-Roman" w:cs="Times-Roman"/>
          <w:sz w:val="19"/>
          <w:szCs w:val="19"/>
        </w:rPr>
      </w:pPr>
      <w:r>
        <w:rPr>
          <w:rFonts w:ascii="Times-Roman" w:eastAsia="Cambria" w:hAnsi="Times-Roman" w:cs="Times-Roman"/>
          <w:noProof/>
          <w:sz w:val="19"/>
          <w:szCs w:val="19"/>
          <w:lang w:eastAsia="en-AU"/>
        </w:rPr>
        <w:drawing>
          <wp:inline distT="0" distB="0" distL="0" distR="0">
            <wp:extent cx="4823089" cy="4769893"/>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4826958" cy="4773720"/>
                    </a:xfrm>
                    <a:prstGeom prst="rect">
                      <a:avLst/>
                    </a:prstGeom>
                    <a:noFill/>
                    <a:ln w="9525">
                      <a:noFill/>
                      <a:miter lim="800000"/>
                      <a:headEnd/>
                      <a:tailEnd/>
                    </a:ln>
                  </pic:spPr>
                </pic:pic>
              </a:graphicData>
            </a:graphic>
          </wp:inline>
        </w:drawing>
      </w:r>
    </w:p>
    <w:p w:rsidR="00AE7868" w:rsidRDefault="00FF2B57">
      <w:pPr>
        <w:autoSpaceDE w:val="0"/>
        <w:autoSpaceDN w:val="0"/>
        <w:adjustRightInd w:val="0"/>
        <w:spacing w:before="120"/>
        <w:rPr>
          <w:rFonts w:ascii="Cambria" w:eastAsia="Cambria" w:hAnsi="Cambria" w:cs="Times-Roman"/>
          <w:sz w:val="18"/>
          <w:szCs w:val="18"/>
        </w:rPr>
      </w:pPr>
      <w:r>
        <w:rPr>
          <w:rFonts w:ascii="Cambria" w:eastAsia="Cambria" w:hAnsi="Cambria" w:cs="Times-Roman"/>
          <w:sz w:val="18"/>
          <w:szCs w:val="18"/>
        </w:rPr>
        <w:t>Source: Teresani et al. (2014b).</w:t>
      </w:r>
    </w:p>
    <w:p w:rsidR="00AE7868" w:rsidRDefault="00FF2B57">
      <w:pPr>
        <w:pStyle w:val="Heading3"/>
        <w:keepLines/>
        <w:numPr>
          <w:ilvl w:val="2"/>
          <w:numId w:val="21"/>
        </w:numPr>
        <w:tabs>
          <w:tab w:val="clear" w:pos="720"/>
        </w:tabs>
        <w:spacing w:after="200"/>
        <w:ind w:left="357" w:hanging="357"/>
        <w:rPr>
          <w:rFonts w:ascii="Calibri" w:hAnsi="Calibri" w:cstheme="minorBidi"/>
          <w:sz w:val="24"/>
          <w:szCs w:val="22"/>
        </w:rPr>
      </w:pPr>
      <w:bookmarkStart w:id="249" w:name="_Toc421786638"/>
      <w:bookmarkStart w:id="250" w:name="_Toc421786639"/>
      <w:bookmarkStart w:id="251" w:name="_Toc437356022"/>
      <w:bookmarkEnd w:id="249"/>
      <w:bookmarkEnd w:id="250"/>
      <w:r>
        <w:rPr>
          <w:rFonts w:ascii="Calibri" w:hAnsi="Calibri" w:cstheme="minorBidi"/>
          <w:sz w:val="24"/>
          <w:szCs w:val="22"/>
        </w:rPr>
        <w:lastRenderedPageBreak/>
        <w:t>Transmission of ‘</w:t>
      </w:r>
      <w:r>
        <w:rPr>
          <w:rFonts w:ascii="Calibri" w:hAnsi="Calibri" w:cstheme="minorBidi"/>
          <w:i/>
          <w:sz w:val="24"/>
          <w:szCs w:val="22"/>
        </w:rPr>
        <w:t>Candidatus</w:t>
      </w:r>
      <w:r>
        <w:rPr>
          <w:rFonts w:ascii="Calibri" w:hAnsi="Calibri" w:cstheme="minorBidi"/>
          <w:sz w:val="24"/>
          <w:szCs w:val="22"/>
        </w:rPr>
        <w:t xml:space="preserve"> Liberibacter solanacearum’</w:t>
      </w:r>
      <w:bookmarkEnd w:id="251"/>
    </w:p>
    <w:p w:rsidR="00AE7868" w:rsidRDefault="00FF2B57">
      <w:pPr>
        <w:autoSpaceDE w:val="0"/>
        <w:autoSpaceDN w:val="0"/>
        <w:adjustRightInd w:val="0"/>
        <w:spacing w:before="200"/>
        <w:rPr>
          <w:rFonts w:asciiTheme="majorHAnsi" w:hAnsiTheme="majorHAnsi"/>
        </w:rPr>
      </w:pPr>
      <w:r>
        <w:rPr>
          <w:rFonts w:asciiTheme="majorHAnsi" w:hAnsiTheme="majorHAnsi"/>
          <w:color w:val="000000"/>
        </w:rPr>
        <w:t>‘</w:t>
      </w:r>
      <w:r>
        <w:rPr>
          <w:rFonts w:asciiTheme="majorHAnsi" w:hAnsiTheme="majorHAnsi"/>
          <w:i/>
        </w:rPr>
        <w:t>Candidatus</w:t>
      </w:r>
      <w:r>
        <w:rPr>
          <w:rFonts w:asciiTheme="majorHAnsi" w:hAnsiTheme="majorHAnsi"/>
        </w:rPr>
        <w:t xml:space="preserve"> Liberibacter solanacearum’ is </w:t>
      </w:r>
      <w:r>
        <w:rPr>
          <w:rFonts w:asciiTheme="majorHAnsi" w:eastAsia="Cambria" w:hAnsiTheme="majorHAnsi" w:cs="Times-Roman"/>
        </w:rPr>
        <w:t>transmitted through vegetative propagation and naturally by several psyllid species (</w:t>
      </w:r>
      <w:r>
        <w:rPr>
          <w:rFonts w:asciiTheme="majorHAnsi" w:eastAsia="Cambria" w:hAnsiTheme="majorHAnsi" w:cs="TimesNewRomanPSMT"/>
        </w:rPr>
        <w:t xml:space="preserve">Teresani </w:t>
      </w:r>
      <w:r>
        <w:rPr>
          <w:rFonts w:asciiTheme="majorHAnsi" w:eastAsia="Cambria" w:hAnsiTheme="majorHAnsi" w:cs="TimesNewRomanPS-ItalicMT"/>
          <w:iCs/>
        </w:rPr>
        <w:t>et al</w:t>
      </w:r>
      <w:r>
        <w:rPr>
          <w:rFonts w:asciiTheme="majorHAnsi" w:eastAsia="Cambria" w:hAnsiTheme="majorHAnsi" w:cs="TimesNewRomanPSMT"/>
        </w:rPr>
        <w:t>. 2014b</w:t>
      </w:r>
      <w:r>
        <w:rPr>
          <w:rFonts w:asciiTheme="majorHAnsi" w:eastAsia="Cambria" w:hAnsiTheme="majorHAnsi" w:cs="Times-Roman"/>
        </w:rPr>
        <w:t xml:space="preserve">). </w:t>
      </w:r>
      <w:r>
        <w:rPr>
          <w:rFonts w:asciiTheme="majorHAnsi" w:hAnsiTheme="majorHAnsi"/>
        </w:rPr>
        <w:t>Recently, seed transmission has been proven in carrot (Bertolini et al. 2015). Even though the pathogens are bacteria, they are not known to be mechanically transmitted or spread by wind or rain.</w:t>
      </w:r>
    </w:p>
    <w:p w:rsidR="00AE7868" w:rsidRDefault="00FF2B57">
      <w:pPr>
        <w:pStyle w:val="Heading4"/>
        <w:spacing w:before="200"/>
      </w:pPr>
      <w:r>
        <w:t>Psyllid transmission</w:t>
      </w:r>
    </w:p>
    <w:p w:rsidR="00AE7868" w:rsidRDefault="00FF2B57">
      <w:pPr>
        <w:autoSpaceDE w:val="0"/>
        <w:autoSpaceDN w:val="0"/>
        <w:adjustRightInd w:val="0"/>
        <w:spacing w:before="200"/>
        <w:rPr>
          <w:rFonts w:ascii="Cambria" w:eastAsia="Cambria" w:hAnsi="Cambria" w:cs="MeridienLTStd-Roman"/>
        </w:rPr>
      </w:pPr>
      <w:r>
        <w:rPr>
          <w:rFonts w:ascii="Cambria" w:eastAsia="Cambria" w:hAnsi="Cambria" w:cs="MeridienLTStd-Roman"/>
        </w:rPr>
        <w:t>Psyllids are pests in their own right in addition to being vectors of ‘</w:t>
      </w:r>
      <w:r>
        <w:rPr>
          <w:rFonts w:ascii="Cambria" w:eastAsia="Cambria" w:hAnsi="Cambria" w:cs="MeridienLTStd-Roman"/>
          <w:i/>
        </w:rPr>
        <w:t>Ca.</w:t>
      </w:r>
      <w:r>
        <w:rPr>
          <w:rFonts w:ascii="Cambria" w:eastAsia="Cambria" w:hAnsi="Cambria" w:cs="MeridienLTStd-Roman"/>
        </w:rPr>
        <w:t xml:space="preserve"> L.’ species (</w:t>
      </w:r>
      <w:r>
        <w:rPr>
          <w:rFonts w:ascii="Cambria" w:hAnsi="Cambria"/>
        </w:rPr>
        <w:t>Nehlin et al. 1994; Nissinen et al. 2007)</w:t>
      </w:r>
      <w:r>
        <w:rPr>
          <w:rFonts w:ascii="Cambria" w:eastAsia="Cambria" w:hAnsi="Cambria" w:cs="MeridienLTStd-Roman"/>
        </w:rPr>
        <w:t xml:space="preserve">. Psyllids feed on plants by sucking the phloem through their stylet (Hodkinson 2009; Ouvrard 2015). The total number of eggs laid by a mated female can be from one hundred to one thousand (Hodkinson 2009) and can have several generations per year. Thus, psyllid populations can grow very rapidly if no control measures are taken. The leaves of psyllid-infested plants appear chlorotic or discoloured, and galled, and a heavy infestation can lead to premature senescence and plant death. The psyllid-feeding symptoms in plants are referred to as psyllid yellows (Sengoda </w:t>
      </w:r>
      <w:r>
        <w:rPr>
          <w:rFonts w:ascii="Cambria" w:eastAsia="Cambria" w:hAnsi="Cambria" w:cs="MeridienLTStd-Italic"/>
          <w:iCs/>
        </w:rPr>
        <w:t>et al</w:t>
      </w:r>
      <w:r>
        <w:rPr>
          <w:rFonts w:ascii="Cambria" w:eastAsia="Cambria" w:hAnsi="Cambria" w:cs="MeridienLTStd-Italic"/>
          <w:i/>
          <w:iCs/>
        </w:rPr>
        <w:t>.</w:t>
      </w:r>
      <w:r>
        <w:rPr>
          <w:rFonts w:ascii="Cambria" w:eastAsia="Cambria" w:hAnsi="Cambria" w:cs="MeridienLTStd-Roman"/>
        </w:rPr>
        <w:t xml:space="preserve"> 2010).</w:t>
      </w:r>
    </w:p>
    <w:p w:rsidR="00AE7868" w:rsidRDefault="00FF2B57">
      <w:pPr>
        <w:autoSpaceDE w:val="0"/>
        <w:autoSpaceDN w:val="0"/>
        <w:adjustRightInd w:val="0"/>
        <w:spacing w:before="200"/>
        <w:rPr>
          <w:rFonts w:asciiTheme="majorHAnsi" w:hAnsiTheme="majorHAnsi"/>
        </w:rPr>
      </w:pPr>
      <w:r>
        <w:rPr>
          <w:rFonts w:ascii="Cambria" w:eastAsia="Cambria" w:hAnsi="Cambria" w:cs="MeridienLTStd-Roman"/>
        </w:rPr>
        <w:t>Psyllids acquire ‘</w:t>
      </w:r>
      <w:r>
        <w:rPr>
          <w:rFonts w:ascii="Cambria" w:eastAsia="Cambria" w:hAnsi="Cambria" w:cs="MeridienLTStd-Roman"/>
          <w:i/>
        </w:rPr>
        <w:t>Ca.</w:t>
      </w:r>
      <w:r>
        <w:rPr>
          <w:rFonts w:ascii="Cambria" w:eastAsia="Cambria" w:hAnsi="Cambria" w:cs="MeridienLTStd-Roman"/>
        </w:rPr>
        <w:t xml:space="preserve"> L.’ species through feeding on infected hosts (Bové 2006; Gottwald et al. 2007).</w:t>
      </w:r>
      <w:r>
        <w:rPr>
          <w:rFonts w:ascii="Cambria" w:hAnsi="Cambria"/>
          <w:bCs/>
        </w:rPr>
        <w:t xml:space="preserve"> </w:t>
      </w:r>
      <w:r>
        <w:rPr>
          <w:rFonts w:ascii="Cambria" w:eastAsia="Cambria" w:hAnsi="Cambria" w:cs="MeridienLTStd-Roman"/>
        </w:rPr>
        <w:t>When a psyllid feeds on the phloem of a ‘</w:t>
      </w:r>
      <w:r>
        <w:rPr>
          <w:rFonts w:ascii="Cambria" w:eastAsia="Cambria" w:hAnsi="Cambria" w:cs="MeridienLTStd-Italic"/>
          <w:i/>
          <w:iCs/>
        </w:rPr>
        <w:t>Ca.</w:t>
      </w:r>
      <w:r>
        <w:rPr>
          <w:rFonts w:ascii="Cambria" w:eastAsia="Cambria" w:hAnsi="Cambria" w:cs="MeridienLTStd-Roman"/>
        </w:rPr>
        <w:t xml:space="preserve"> L.’-infected plant, the bacteria can be ingested by the psyllid. </w:t>
      </w:r>
    </w:p>
    <w:p w:rsidR="00AE7868" w:rsidRDefault="00FF2B57">
      <w:pPr>
        <w:spacing w:before="200"/>
        <w:rPr>
          <w:rFonts w:asciiTheme="majorHAnsi" w:hAnsiTheme="majorHAnsi"/>
          <w:color w:val="000000"/>
        </w:rPr>
      </w:pPr>
      <w:r>
        <w:rPr>
          <w:rFonts w:asciiTheme="majorHAnsi" w:hAnsiTheme="majorHAnsi"/>
          <w:color w:val="000000"/>
        </w:rPr>
        <w:lastRenderedPageBreak/>
        <w:t>‘</w:t>
      </w:r>
      <w:r>
        <w:rPr>
          <w:rFonts w:asciiTheme="majorHAnsi" w:hAnsiTheme="majorHAnsi"/>
          <w:i/>
        </w:rPr>
        <w:t>Candidatus</w:t>
      </w:r>
      <w:r>
        <w:rPr>
          <w:rFonts w:asciiTheme="majorHAnsi" w:hAnsiTheme="majorHAnsi"/>
        </w:rPr>
        <w:t xml:space="preserve"> Liberibacter</w:t>
      </w:r>
      <w:r>
        <w:rPr>
          <w:rFonts w:asciiTheme="majorHAnsi" w:hAnsiTheme="majorHAnsi"/>
          <w:color w:val="000000"/>
        </w:rPr>
        <w:t xml:space="preserve"> solanacearum’ associated with solanaceous crops have been detected in the psyllid </w:t>
      </w:r>
      <w:r>
        <w:rPr>
          <w:rFonts w:asciiTheme="majorHAnsi" w:hAnsiTheme="majorHAnsi"/>
          <w:i/>
          <w:color w:val="000000"/>
        </w:rPr>
        <w:t>B. cockerelli</w:t>
      </w:r>
      <w:r>
        <w:rPr>
          <w:rFonts w:asciiTheme="majorHAnsi" w:hAnsiTheme="majorHAnsi"/>
          <w:color w:val="000000"/>
        </w:rPr>
        <w:t xml:space="preserve"> (Nelson et al. 2011). ‘</w:t>
      </w:r>
      <w:r>
        <w:rPr>
          <w:rFonts w:asciiTheme="majorHAnsi" w:hAnsiTheme="majorHAnsi"/>
          <w:i/>
        </w:rPr>
        <w:t>Candidatus</w:t>
      </w:r>
      <w:r>
        <w:rPr>
          <w:rFonts w:asciiTheme="majorHAnsi" w:hAnsiTheme="majorHAnsi"/>
        </w:rPr>
        <w:t xml:space="preserve"> Liberibacter</w:t>
      </w:r>
      <w:r>
        <w:rPr>
          <w:rFonts w:asciiTheme="majorHAnsi" w:hAnsiTheme="majorHAnsi"/>
          <w:color w:val="000000"/>
        </w:rPr>
        <w:t xml:space="preserve"> solanacearum’ associated with apiaceous crops have been detected in </w:t>
      </w:r>
      <w:r>
        <w:rPr>
          <w:rFonts w:asciiTheme="majorHAnsi" w:hAnsiTheme="majorHAnsi"/>
          <w:i/>
          <w:color w:val="000000"/>
        </w:rPr>
        <w:t xml:space="preserve">B. nigricornis, B. tremblayi, B. trigonica </w:t>
      </w:r>
      <w:r>
        <w:rPr>
          <w:rFonts w:asciiTheme="majorHAnsi" w:hAnsiTheme="majorHAnsi"/>
          <w:color w:val="000000"/>
        </w:rPr>
        <w:t>and</w:t>
      </w:r>
      <w:r>
        <w:rPr>
          <w:rFonts w:asciiTheme="majorHAnsi" w:hAnsiTheme="majorHAnsi"/>
          <w:i/>
          <w:color w:val="000000"/>
        </w:rPr>
        <w:t xml:space="preserve"> T. apicalis </w:t>
      </w:r>
      <w:r>
        <w:rPr>
          <w:rFonts w:asciiTheme="majorHAnsi" w:hAnsiTheme="majorHAnsi"/>
          <w:color w:val="000000"/>
        </w:rPr>
        <w:t>(</w:t>
      </w:r>
      <w:r>
        <w:rPr>
          <w:rFonts w:asciiTheme="majorHAnsi" w:eastAsia="Cambria" w:hAnsiTheme="majorHAnsi" w:cs="TimesNewRomanPSMT"/>
        </w:rPr>
        <w:t xml:space="preserve">Alfaro-Fernández </w:t>
      </w:r>
      <w:r>
        <w:rPr>
          <w:rFonts w:asciiTheme="majorHAnsi" w:eastAsia="Cambria" w:hAnsiTheme="majorHAnsi" w:cs="TimesNewRomanPS-ItalicMT"/>
          <w:iCs/>
        </w:rPr>
        <w:t>et al</w:t>
      </w:r>
      <w:r>
        <w:rPr>
          <w:rFonts w:asciiTheme="majorHAnsi" w:eastAsia="Cambria" w:hAnsiTheme="majorHAnsi" w:cs="TimesNewRomanPSMT"/>
        </w:rPr>
        <w:t xml:space="preserve">. 2012b; Nelson </w:t>
      </w:r>
      <w:r>
        <w:rPr>
          <w:rFonts w:asciiTheme="majorHAnsi" w:eastAsia="Cambria" w:hAnsiTheme="majorHAnsi" w:cs="TimesNewRomanPS-ItalicMT"/>
          <w:iCs/>
        </w:rPr>
        <w:t>et al</w:t>
      </w:r>
      <w:r>
        <w:rPr>
          <w:rFonts w:asciiTheme="majorHAnsi" w:eastAsia="Cambria" w:hAnsiTheme="majorHAnsi" w:cs="TimesNewRomanPSMT"/>
        </w:rPr>
        <w:t xml:space="preserve">. 2012; Teresani </w:t>
      </w:r>
      <w:r>
        <w:rPr>
          <w:rFonts w:asciiTheme="majorHAnsi" w:eastAsia="Cambria" w:hAnsiTheme="majorHAnsi" w:cs="TimesNewRomanPS-ItalicMT"/>
          <w:iCs/>
        </w:rPr>
        <w:t>et al</w:t>
      </w:r>
      <w:r>
        <w:rPr>
          <w:rFonts w:asciiTheme="majorHAnsi" w:eastAsia="Cambria" w:hAnsiTheme="majorHAnsi" w:cs="TimesNewRomanPSMT"/>
        </w:rPr>
        <w:t>. 2014b</w:t>
      </w:r>
      <w:r>
        <w:rPr>
          <w:rFonts w:asciiTheme="majorHAnsi" w:hAnsiTheme="majorHAnsi"/>
          <w:color w:val="000000"/>
        </w:rPr>
        <w:t xml:space="preserve">). Of these psyllids, transmission has only been demonstrated in </w:t>
      </w:r>
      <w:r>
        <w:rPr>
          <w:rFonts w:asciiTheme="majorHAnsi" w:hAnsiTheme="majorHAnsi"/>
          <w:i/>
          <w:color w:val="000000"/>
        </w:rPr>
        <w:t xml:space="preserve">Trioza apicalis </w:t>
      </w:r>
      <w:r>
        <w:rPr>
          <w:rFonts w:asciiTheme="majorHAnsi" w:hAnsiTheme="majorHAnsi"/>
          <w:color w:val="000000"/>
        </w:rPr>
        <w:t>(Munyaneza et al. 2010a) and</w:t>
      </w:r>
      <w:r>
        <w:rPr>
          <w:rFonts w:asciiTheme="majorHAnsi" w:hAnsiTheme="majorHAnsi"/>
          <w:i/>
          <w:color w:val="000000"/>
        </w:rPr>
        <w:t xml:space="preserve"> Bactericera trigonica</w:t>
      </w:r>
      <w:r>
        <w:rPr>
          <w:rFonts w:asciiTheme="majorHAnsi" w:hAnsiTheme="majorHAnsi"/>
          <w:color w:val="000000"/>
        </w:rPr>
        <w:t xml:space="preserve"> (Alfaro-Fernández et al. 2012b).</w:t>
      </w:r>
    </w:p>
    <w:p w:rsidR="00AE7868" w:rsidRDefault="00FF2B57">
      <w:pPr>
        <w:autoSpaceDE w:val="0"/>
        <w:autoSpaceDN w:val="0"/>
        <w:adjustRightInd w:val="0"/>
        <w:spacing w:before="200"/>
        <w:rPr>
          <w:rFonts w:ascii="Cambria" w:hAnsi="Cambria"/>
          <w:bCs/>
        </w:rPr>
      </w:pPr>
      <w:r>
        <w:rPr>
          <w:rFonts w:ascii="Cambria" w:eastAsia="Cambria" w:hAnsi="Cambria" w:cs="TimesNewRomanPS-ItalicMT"/>
          <w:i/>
          <w:iCs/>
        </w:rPr>
        <w:t xml:space="preserve">Bactericera trigonica, B. tremblayi </w:t>
      </w:r>
      <w:r>
        <w:rPr>
          <w:rFonts w:ascii="Cambria" w:eastAsia="Cambria" w:hAnsi="Cambria" w:cs="TimesNewRomanPSMT"/>
        </w:rPr>
        <w:t xml:space="preserve">and </w:t>
      </w:r>
      <w:r>
        <w:rPr>
          <w:rFonts w:ascii="Cambria" w:eastAsia="Cambria" w:hAnsi="Cambria" w:cs="TimesNewRomanPS-ItalicMT"/>
          <w:i/>
          <w:iCs/>
        </w:rPr>
        <w:t xml:space="preserve">B. nigricornis </w:t>
      </w:r>
      <w:r>
        <w:rPr>
          <w:rFonts w:ascii="Cambria" w:eastAsia="Cambria" w:hAnsi="Cambria" w:cs="TimesNewRomanPS-ItalicMT"/>
          <w:iCs/>
        </w:rPr>
        <w:t xml:space="preserve">have been detected in carrot and celery crops </w:t>
      </w:r>
      <w:r>
        <w:rPr>
          <w:rFonts w:ascii="Cambria" w:eastAsia="Cambria" w:hAnsi="Cambria" w:cs="TimesNewRomanPSMT"/>
        </w:rPr>
        <w:t>in continental Spain. ‘</w:t>
      </w:r>
      <w:r>
        <w:rPr>
          <w:rFonts w:ascii="Cambria" w:eastAsia="Cambria" w:hAnsi="Cambria" w:cs="MeridienLTStd-Roman"/>
          <w:i/>
        </w:rPr>
        <w:t>Candidatus</w:t>
      </w:r>
      <w:r>
        <w:rPr>
          <w:rFonts w:ascii="Cambria" w:eastAsia="Cambria" w:hAnsi="Cambria" w:cs="MeridienLTStd-Roman"/>
        </w:rPr>
        <w:t xml:space="preserve"> Liberibacter</w:t>
      </w:r>
      <w:r>
        <w:rPr>
          <w:rFonts w:ascii="Cambria" w:eastAsia="Cambria" w:hAnsi="Cambria" w:cs="TimesNewRomanPSMT"/>
          <w:i/>
        </w:rPr>
        <w:t xml:space="preserve"> </w:t>
      </w:r>
      <w:r>
        <w:rPr>
          <w:rFonts w:ascii="Cambria" w:eastAsia="Cambria" w:hAnsi="Cambria" w:cs="TimesNewRomanPSMT"/>
        </w:rPr>
        <w:t xml:space="preserve">solanacearum’ </w:t>
      </w:r>
      <w:r>
        <w:rPr>
          <w:rFonts w:ascii="Cambria" w:hAnsi="Cambria"/>
          <w:bCs/>
        </w:rPr>
        <w:t>was</w:t>
      </w:r>
      <w:r>
        <w:rPr>
          <w:rFonts w:ascii="Cambria" w:eastAsia="Cambria" w:hAnsi="Cambria" w:cs="TimesNewRomanPSMT"/>
        </w:rPr>
        <w:t xml:space="preserve"> detected in all these psyllids; therefore, these psyllids are potential vectors of the bacterium </w:t>
      </w:r>
      <w:r>
        <w:rPr>
          <w:rFonts w:ascii="Cambria" w:hAnsi="Cambria"/>
        </w:rPr>
        <w:t xml:space="preserve">(Teresani et al. 2015). </w:t>
      </w:r>
      <w:r>
        <w:rPr>
          <w:rFonts w:ascii="Cambria" w:hAnsi="Cambria"/>
          <w:bCs/>
        </w:rPr>
        <w:t>Once the psyllids have acquired the bacterium from an infected host, they maintain the ability to transmit the bacterium in a persistent manner (Teresani et al. 2015). Transmission of the bacteria by psyllid vectors is presented in Figure 3.</w:t>
      </w:r>
    </w:p>
    <w:p w:rsidR="00AE7868" w:rsidRDefault="00FF2B57">
      <w:pPr>
        <w:pStyle w:val="Caption"/>
        <w:spacing w:before="120"/>
        <w:rPr>
          <w:rFonts w:asciiTheme="majorHAnsi" w:eastAsiaTheme="majorEastAsia" w:hAnsiTheme="majorHAnsi" w:cstheme="majorBidi"/>
          <w:color w:val="595959" w:themeColor="text1" w:themeTint="A6"/>
          <w:sz w:val="20"/>
        </w:rPr>
      </w:pPr>
      <w:bookmarkStart w:id="252" w:name="_Toc418712813"/>
      <w:bookmarkStart w:id="253" w:name="_Toc421786881"/>
      <w:bookmarkStart w:id="254" w:name="_Toc428785234"/>
      <w:bookmarkStart w:id="255" w:name="_Toc430256491"/>
      <w:bookmarkStart w:id="256" w:name="_Toc432876717"/>
      <w:bookmarkStart w:id="257" w:name="_Toc433293350"/>
      <w:bookmarkStart w:id="258" w:name="_Toc433707294"/>
      <w:bookmarkStart w:id="259" w:name="_Toc433796458"/>
      <w:bookmarkStart w:id="260" w:name="_Toc437355953"/>
      <w:bookmarkStart w:id="261" w:name="_Toc437355985"/>
      <w:r>
        <w:rPr>
          <w:rFonts w:asciiTheme="majorHAnsi" w:eastAsiaTheme="majorEastAsia" w:hAnsiTheme="majorHAnsi" w:cstheme="majorBidi"/>
          <w:color w:val="595959" w:themeColor="text1" w:themeTint="A6"/>
          <w:sz w:val="20"/>
        </w:rPr>
        <w:lastRenderedPageBreak/>
        <w:t xml:space="preserve">Figure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Figure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3</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Transmission of ‘</w:t>
      </w:r>
      <w:r>
        <w:rPr>
          <w:rFonts w:asciiTheme="majorHAnsi" w:eastAsiaTheme="majorEastAsia" w:hAnsiTheme="majorHAnsi" w:cstheme="majorBidi"/>
          <w:i/>
          <w:color w:val="595959" w:themeColor="text1" w:themeTint="A6"/>
          <w:sz w:val="20"/>
        </w:rPr>
        <w:t xml:space="preserve">Candidatus </w:t>
      </w:r>
      <w:r>
        <w:rPr>
          <w:rFonts w:asciiTheme="majorHAnsi" w:eastAsiaTheme="majorEastAsia" w:hAnsiTheme="majorHAnsi" w:cstheme="majorBidi"/>
          <w:color w:val="595959" w:themeColor="text1" w:themeTint="A6"/>
          <w:sz w:val="20"/>
        </w:rPr>
        <w:t>Liberibacter solanacearum’ through psyllids</w:t>
      </w:r>
      <w:bookmarkEnd w:id="252"/>
      <w:bookmarkEnd w:id="253"/>
      <w:bookmarkEnd w:id="254"/>
      <w:bookmarkEnd w:id="255"/>
      <w:bookmarkEnd w:id="256"/>
      <w:bookmarkEnd w:id="257"/>
      <w:bookmarkEnd w:id="258"/>
      <w:bookmarkEnd w:id="259"/>
      <w:bookmarkEnd w:id="260"/>
      <w:bookmarkEnd w:id="261"/>
    </w:p>
    <w:p w:rsidR="00AE7868" w:rsidRDefault="00FF2B57">
      <w:pPr>
        <w:jc w:val="center"/>
      </w:pPr>
      <w:r>
        <w:rPr>
          <w:noProof/>
          <w:lang w:eastAsia="en-AU"/>
        </w:rPr>
        <w:drawing>
          <wp:inline distT="0" distB="0" distL="0" distR="0">
            <wp:extent cx="5528765" cy="3241343"/>
            <wp:effectExtent l="0" t="0" r="0" b="1651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AE7868" w:rsidRDefault="00FF2B57">
      <w:pPr>
        <w:autoSpaceDE w:val="0"/>
        <w:autoSpaceDN w:val="0"/>
        <w:adjustRightInd w:val="0"/>
        <w:spacing w:before="200"/>
        <w:rPr>
          <w:rFonts w:ascii="Cambria" w:eastAsia="Calibri" w:hAnsi="Cambria"/>
        </w:rPr>
      </w:pPr>
      <w:r>
        <w:rPr>
          <w:rFonts w:ascii="Cambria" w:hAnsi="Cambria"/>
          <w:lang w:val="en-GB"/>
        </w:rPr>
        <w:t xml:space="preserve">The psyllid acquires the </w:t>
      </w:r>
      <w:r>
        <w:rPr>
          <w:rFonts w:ascii="Cambria" w:hAnsi="Cambria"/>
          <w:bCs/>
        </w:rPr>
        <w:t>bacterium</w:t>
      </w:r>
      <w:r>
        <w:rPr>
          <w:rFonts w:ascii="Cambria" w:hAnsi="Cambria"/>
          <w:lang w:val="en-GB"/>
        </w:rPr>
        <w:t xml:space="preserve"> within two hours of colonising the plant (Munyaneza 2010); the bacterium then multiplies in the psyllid and </w:t>
      </w:r>
      <w:r>
        <w:rPr>
          <w:rFonts w:ascii="Cambria" w:eastAsia="Cambria" w:hAnsi="Cambria" w:cs="MeridienLTStd-Roman"/>
        </w:rPr>
        <w:t xml:space="preserve">transmission happens within three days (Nissinen et al. 2014). The symptoms of leaf discolouration in carrot become visible within 1–1.5 months </w:t>
      </w:r>
      <w:r>
        <w:rPr>
          <w:rFonts w:ascii="Cambria" w:eastAsia="Cambria" w:hAnsi="Cambria" w:cs="AdvPSSAB-R"/>
        </w:rPr>
        <w:t xml:space="preserve">(Nissinen </w:t>
      </w:r>
      <w:r>
        <w:rPr>
          <w:rFonts w:ascii="Cambria" w:eastAsia="Cambria" w:hAnsi="Cambria" w:cs="AdvPSSAB-I"/>
        </w:rPr>
        <w:t>et al.</w:t>
      </w:r>
      <w:r>
        <w:rPr>
          <w:rFonts w:ascii="Cambria" w:eastAsia="Cambria" w:hAnsi="Cambria" w:cs="AdvPSSAB-R"/>
        </w:rPr>
        <w:t xml:space="preserve"> 2007; 2012).</w:t>
      </w:r>
    </w:p>
    <w:p w:rsidR="00AE7868" w:rsidRDefault="00FF2B57">
      <w:pPr>
        <w:autoSpaceDE w:val="0"/>
        <w:autoSpaceDN w:val="0"/>
        <w:adjustRightInd w:val="0"/>
        <w:spacing w:before="200"/>
        <w:rPr>
          <w:rFonts w:ascii="Cambria" w:eastAsia="Cambria" w:hAnsi="Cambria" w:cs="MeridienLTStd-Roman"/>
        </w:rPr>
      </w:pPr>
      <w:r>
        <w:rPr>
          <w:rFonts w:ascii="Cambria" w:eastAsia="Cambria" w:hAnsi="Cambria" w:cs="MeridienLTStd-Roman"/>
        </w:rPr>
        <w:t>‘</w:t>
      </w:r>
      <w:r>
        <w:rPr>
          <w:rFonts w:ascii="Cambria" w:eastAsia="Cambria" w:hAnsi="Cambria" w:cs="MeridienLTStd-Roman"/>
          <w:i/>
        </w:rPr>
        <w:t>Candidatus</w:t>
      </w:r>
      <w:r>
        <w:rPr>
          <w:rFonts w:ascii="Cambria" w:eastAsia="Cambria" w:hAnsi="Cambria" w:cs="MeridienLTStd-Roman"/>
        </w:rPr>
        <w:t xml:space="preserve"> Liberibacter solanacearum’ titre in carrots is correlated with the bacterial titre in the psyllids. High ‘</w:t>
      </w:r>
      <w:r>
        <w:rPr>
          <w:rFonts w:ascii="Cambria" w:eastAsia="Cambria" w:hAnsi="Cambria" w:cs="MeridienLTStd-Roman"/>
          <w:i/>
        </w:rPr>
        <w:t>Ca</w:t>
      </w:r>
      <w:r>
        <w:rPr>
          <w:rFonts w:ascii="Cambria" w:eastAsia="Cambria" w:hAnsi="Cambria" w:cs="MeridienLTStd-Roman"/>
        </w:rPr>
        <w:t xml:space="preserve">. L. solanacearum’ titre in the plants significantly reduces the root weight, but does not affect </w:t>
      </w:r>
      <w:r>
        <w:rPr>
          <w:rFonts w:ascii="Cambria" w:eastAsia="Cambria" w:hAnsi="Cambria" w:cs="MeridienLTStd-Roman"/>
        </w:rPr>
        <w:lastRenderedPageBreak/>
        <w:t>the number of curled leaves. The subsequent leaf discolouration symptom is thought to be caused by the multiplication of the bacteria (Nissinen et al. 2014).</w:t>
      </w:r>
    </w:p>
    <w:p w:rsidR="00AE7868" w:rsidRDefault="00FF2B57">
      <w:pPr>
        <w:pStyle w:val="Heading4"/>
        <w:spacing w:before="200"/>
      </w:pPr>
      <w:r>
        <w:t>Seed Transmission</w:t>
      </w:r>
    </w:p>
    <w:p w:rsidR="00AE7868" w:rsidRDefault="00FF2B57">
      <w:pPr>
        <w:spacing w:before="200"/>
        <w:rPr>
          <w:rFonts w:ascii="Cambria" w:hAnsi="Cambria"/>
        </w:rPr>
      </w:pPr>
      <w:r>
        <w:rPr>
          <w:rFonts w:ascii="Cambria" w:hAnsi="Cambria"/>
        </w:rPr>
        <w:t>‘</w:t>
      </w:r>
      <w:r>
        <w:rPr>
          <w:rFonts w:ascii="Cambria" w:hAnsi="Cambria"/>
          <w:i/>
        </w:rPr>
        <w:t>Ca</w:t>
      </w:r>
      <w:r>
        <w:rPr>
          <w:rFonts w:ascii="Cambria" w:hAnsi="Cambria"/>
        </w:rPr>
        <w:t>. L. solanacearum’ associated with apiaceous crops have been detected in carrot seeds and seed transmission has been demonstrated (Bertolini et al. 2015).</w:t>
      </w:r>
    </w:p>
    <w:p w:rsidR="00AE7868" w:rsidRDefault="00FF2B57">
      <w:pPr>
        <w:pStyle w:val="Heading3"/>
        <w:keepLines/>
        <w:numPr>
          <w:ilvl w:val="2"/>
          <w:numId w:val="21"/>
        </w:numPr>
        <w:tabs>
          <w:tab w:val="clear" w:pos="720"/>
        </w:tabs>
        <w:spacing w:after="200"/>
        <w:ind w:left="709" w:hanging="709"/>
        <w:rPr>
          <w:rFonts w:ascii="Calibri" w:hAnsi="Calibri" w:cstheme="minorBidi"/>
          <w:sz w:val="24"/>
          <w:szCs w:val="22"/>
        </w:rPr>
      </w:pPr>
      <w:bookmarkStart w:id="262" w:name="_Toc421786641"/>
      <w:bookmarkStart w:id="263" w:name="_Toc421786642"/>
      <w:bookmarkStart w:id="264" w:name="_Toc437356023"/>
      <w:bookmarkEnd w:id="262"/>
      <w:bookmarkEnd w:id="263"/>
      <w:r>
        <w:rPr>
          <w:rFonts w:ascii="Calibri" w:hAnsi="Calibri" w:cstheme="minorBidi"/>
          <w:sz w:val="24"/>
          <w:szCs w:val="22"/>
        </w:rPr>
        <w:t>Psyllid vectors and carriers of ‘</w:t>
      </w:r>
      <w:r>
        <w:rPr>
          <w:rFonts w:ascii="Calibri" w:hAnsi="Calibri" w:cstheme="minorBidi"/>
          <w:i/>
          <w:sz w:val="24"/>
          <w:szCs w:val="22"/>
        </w:rPr>
        <w:t>Candidatus</w:t>
      </w:r>
      <w:r>
        <w:rPr>
          <w:rFonts w:ascii="Calibri" w:hAnsi="Calibri" w:cstheme="minorBidi"/>
          <w:sz w:val="24"/>
          <w:szCs w:val="22"/>
        </w:rPr>
        <w:t xml:space="preserve"> Liberibacter solanacearum’ in apiaceous crops</w:t>
      </w:r>
      <w:bookmarkEnd w:id="264"/>
    </w:p>
    <w:p w:rsidR="00AE7868" w:rsidRDefault="00FF2B57">
      <w:pPr>
        <w:spacing w:before="200" w:after="0"/>
      </w:pPr>
      <w:r>
        <w:rPr>
          <w:rFonts w:ascii="Cambria" w:hAnsi="Cambria"/>
        </w:rPr>
        <w:t>‘</w:t>
      </w:r>
      <w:r>
        <w:rPr>
          <w:rFonts w:ascii="Cambria" w:eastAsia="Cambria" w:hAnsi="Cambria" w:cs="MeridienLTStd-Roman"/>
          <w:i/>
        </w:rPr>
        <w:t>Candidatus</w:t>
      </w:r>
      <w:r>
        <w:rPr>
          <w:rFonts w:ascii="Cambria" w:eastAsia="Cambria" w:hAnsi="Cambria" w:cs="MeridienLTStd-Roman"/>
        </w:rPr>
        <w:t xml:space="preserve"> Liberibacter</w:t>
      </w:r>
      <w:r>
        <w:rPr>
          <w:rFonts w:ascii="Cambria" w:hAnsi="Cambria"/>
          <w:i/>
        </w:rPr>
        <w:t xml:space="preserve"> </w:t>
      </w:r>
      <w:r>
        <w:rPr>
          <w:rFonts w:ascii="Cambria" w:hAnsi="Cambria"/>
        </w:rPr>
        <w:t>solanacearum’ is transmitted by different psyllid species (</w:t>
      </w:r>
      <w:r>
        <w:rPr>
          <w:rFonts w:ascii="Cambria" w:eastAsia="Cambria" w:hAnsi="Cambria" w:cs="TimesNewRomanPSMT"/>
        </w:rPr>
        <w:t xml:space="preserve">Teresani </w:t>
      </w:r>
      <w:r>
        <w:rPr>
          <w:rFonts w:ascii="Cambria" w:eastAsia="Cambria" w:hAnsi="Cambria" w:cs="TimesNewRomanPS-ItalicMT"/>
          <w:iCs/>
        </w:rPr>
        <w:t>et al</w:t>
      </w:r>
      <w:r>
        <w:rPr>
          <w:rFonts w:ascii="Cambria" w:eastAsia="Cambria" w:hAnsi="Cambria" w:cs="TimesNewRomanPSMT"/>
        </w:rPr>
        <w:t xml:space="preserve">. </w:t>
      </w:r>
      <w:r>
        <w:rPr>
          <w:rFonts w:ascii="Cambria" w:hAnsi="Cambria"/>
        </w:rPr>
        <w:t xml:space="preserve">2015). These psyllid vectors are damaging to the host crops (Nehlin et al. 1994; Nissinen et al. 2007). </w:t>
      </w:r>
      <w:r>
        <w:rPr>
          <w:rFonts w:ascii="Cambria" w:hAnsi="Cambria"/>
          <w:i/>
          <w:iCs/>
        </w:rPr>
        <w:t>B</w:t>
      </w:r>
      <w:r>
        <w:rPr>
          <w:rFonts w:ascii="Cambria" w:hAnsi="Cambria"/>
          <w:i/>
          <w:color w:val="000000"/>
        </w:rPr>
        <w:t>actericera</w:t>
      </w:r>
      <w:r>
        <w:rPr>
          <w:rFonts w:ascii="Cambria" w:hAnsi="Cambria"/>
          <w:i/>
          <w:iCs/>
        </w:rPr>
        <w:t xml:space="preserve"> trigonica </w:t>
      </w:r>
      <w:r>
        <w:rPr>
          <w:rFonts w:ascii="Cambria" w:hAnsi="Cambria"/>
          <w:iCs/>
        </w:rPr>
        <w:t xml:space="preserve">and </w:t>
      </w:r>
      <w:r>
        <w:rPr>
          <w:rFonts w:ascii="Cambria" w:hAnsi="Cambria"/>
          <w:i/>
          <w:iCs/>
        </w:rPr>
        <w:t xml:space="preserve">T. apicalis </w:t>
      </w:r>
      <w:r>
        <w:rPr>
          <w:rFonts w:ascii="Cambria" w:hAnsi="Cambria"/>
          <w:iCs/>
        </w:rPr>
        <w:t>are efficient vectors of ‘</w:t>
      </w:r>
      <w:r>
        <w:rPr>
          <w:rFonts w:ascii="Cambria" w:hAnsi="Cambria"/>
          <w:i/>
          <w:iCs/>
        </w:rPr>
        <w:t>Ca</w:t>
      </w:r>
      <w:r>
        <w:rPr>
          <w:rFonts w:ascii="Cambria" w:hAnsi="Cambria"/>
          <w:iCs/>
        </w:rPr>
        <w:t>. L. solanacearum’ (</w:t>
      </w:r>
      <w:r>
        <w:rPr>
          <w:rFonts w:ascii="Cambria" w:eastAsia="Cambria" w:hAnsi="Cambria" w:cs="TimesNewRomanPSMT"/>
        </w:rPr>
        <w:t xml:space="preserve">Nelson </w:t>
      </w:r>
      <w:r>
        <w:rPr>
          <w:rFonts w:ascii="Cambria" w:eastAsia="Cambria" w:hAnsi="Cambria" w:cs="TimesNewRomanPS-ItalicMT"/>
          <w:iCs/>
        </w:rPr>
        <w:t>et al</w:t>
      </w:r>
      <w:r>
        <w:rPr>
          <w:rFonts w:ascii="Cambria" w:eastAsia="Cambria" w:hAnsi="Cambria" w:cs="TimesNewRomanPSMT"/>
        </w:rPr>
        <w:t xml:space="preserve">. 2011; Alfaro-Fernández </w:t>
      </w:r>
      <w:r>
        <w:rPr>
          <w:rFonts w:ascii="Cambria" w:eastAsia="Cambria" w:hAnsi="Cambria" w:cs="TimesNewRomanPS-ItalicMT"/>
          <w:iCs/>
        </w:rPr>
        <w:t>et al</w:t>
      </w:r>
      <w:r>
        <w:rPr>
          <w:rFonts w:ascii="Cambria" w:eastAsia="Cambria" w:hAnsi="Cambria" w:cs="TimesNewRomanPSMT"/>
        </w:rPr>
        <w:t xml:space="preserve">. 2012b; Nelson </w:t>
      </w:r>
      <w:r>
        <w:rPr>
          <w:rFonts w:ascii="Cambria" w:eastAsia="Cambria" w:hAnsi="Cambria" w:cs="TimesNewRomanPS-ItalicMT"/>
          <w:iCs/>
        </w:rPr>
        <w:t>et al</w:t>
      </w:r>
      <w:r>
        <w:rPr>
          <w:rFonts w:ascii="Cambria" w:eastAsia="Cambria" w:hAnsi="Cambria" w:cs="TimesNewRomanPSMT"/>
        </w:rPr>
        <w:t xml:space="preserve">. 2012; Teresani </w:t>
      </w:r>
      <w:r>
        <w:rPr>
          <w:rFonts w:ascii="Cambria" w:eastAsia="Cambria" w:hAnsi="Cambria" w:cs="TimesNewRomanPS-ItalicMT"/>
          <w:iCs/>
        </w:rPr>
        <w:t>et al</w:t>
      </w:r>
      <w:r>
        <w:rPr>
          <w:rFonts w:ascii="Cambria" w:eastAsia="Cambria" w:hAnsi="Cambria" w:cs="TimesNewRomanPSMT"/>
        </w:rPr>
        <w:t>. 2014b</w:t>
      </w:r>
      <w:r>
        <w:rPr>
          <w:rFonts w:ascii="Cambria" w:eastAsia="Cambria" w:hAnsi="Cambria" w:cs="MeridienLTStd-Roman"/>
        </w:rPr>
        <w:t>). ‘</w:t>
      </w:r>
      <w:r>
        <w:rPr>
          <w:rFonts w:ascii="Cambria" w:eastAsia="Cambria" w:hAnsi="Cambria" w:cs="MeridienLTStd-Roman"/>
          <w:i/>
        </w:rPr>
        <w:t>Candidatus</w:t>
      </w:r>
      <w:r>
        <w:rPr>
          <w:rFonts w:ascii="Cambria" w:eastAsia="Cambria" w:hAnsi="Cambria" w:cs="MeridienLTStd-Roman"/>
        </w:rPr>
        <w:t xml:space="preserve"> Liberibacter solanacearum’ has also been detected in </w:t>
      </w:r>
      <w:r>
        <w:rPr>
          <w:rFonts w:ascii="Cambria" w:hAnsi="Cambria"/>
          <w:i/>
          <w:color w:val="000000"/>
        </w:rPr>
        <w:t xml:space="preserve">B. tremblayi </w:t>
      </w:r>
      <w:r>
        <w:rPr>
          <w:rFonts w:ascii="Cambria" w:hAnsi="Cambria"/>
          <w:color w:val="000000"/>
        </w:rPr>
        <w:t xml:space="preserve">and </w:t>
      </w:r>
      <w:r>
        <w:rPr>
          <w:rFonts w:ascii="Cambria" w:hAnsi="Cambria"/>
          <w:i/>
          <w:color w:val="000000"/>
        </w:rPr>
        <w:t xml:space="preserve">B. nigricornis </w:t>
      </w:r>
      <w:r>
        <w:rPr>
          <w:rFonts w:ascii="Cambria" w:hAnsi="Cambria"/>
          <w:color w:val="000000"/>
        </w:rPr>
        <w:t>collected from carrot and celery fields in Spain (</w:t>
      </w:r>
      <w:r>
        <w:rPr>
          <w:rFonts w:ascii="Cambria" w:eastAsia="Cambria" w:hAnsi="Cambria" w:cs="TimesNewRomanPSMT"/>
        </w:rPr>
        <w:t xml:space="preserve">Teresani </w:t>
      </w:r>
      <w:r>
        <w:rPr>
          <w:rFonts w:ascii="Cambria" w:eastAsia="Cambria" w:hAnsi="Cambria" w:cs="TimesNewRomanPS-ItalicMT"/>
          <w:iCs/>
        </w:rPr>
        <w:t>et al</w:t>
      </w:r>
      <w:r>
        <w:rPr>
          <w:rFonts w:ascii="Cambria" w:eastAsia="Cambria" w:hAnsi="Cambria" w:cs="TimesNewRomanPSMT"/>
        </w:rPr>
        <w:t xml:space="preserve">. </w:t>
      </w:r>
      <w:r>
        <w:rPr>
          <w:rFonts w:ascii="Cambria" w:hAnsi="Cambria"/>
        </w:rPr>
        <w:t>2015</w:t>
      </w:r>
      <w:r>
        <w:rPr>
          <w:rFonts w:ascii="Cambria" w:hAnsi="Cambria"/>
          <w:color w:val="000000"/>
        </w:rPr>
        <w:t>).</w:t>
      </w:r>
    </w:p>
    <w:p w:rsidR="00AE7868" w:rsidRDefault="00FF2B57">
      <w:pPr>
        <w:pStyle w:val="Heading4"/>
        <w:spacing w:before="200"/>
        <w:rPr>
          <w:i/>
        </w:rPr>
      </w:pPr>
      <w:r>
        <w:rPr>
          <w:i/>
        </w:rPr>
        <w:t>Trioza apicalis</w:t>
      </w:r>
    </w:p>
    <w:p w:rsidR="00AE7868" w:rsidRDefault="00FF2B57">
      <w:pPr>
        <w:autoSpaceDE w:val="0"/>
        <w:autoSpaceDN w:val="0"/>
        <w:adjustRightInd w:val="0"/>
        <w:spacing w:before="200"/>
        <w:rPr>
          <w:rFonts w:ascii="Cambria" w:eastAsia="Cambria" w:hAnsi="Cambria" w:cs="MeridienLTStd-Roman"/>
        </w:rPr>
      </w:pPr>
      <w:r>
        <w:rPr>
          <w:rFonts w:ascii="Cambria" w:eastAsia="WarnockPro-Regular" w:hAnsi="Cambria" w:cs="WarnockPro-Regular"/>
        </w:rPr>
        <w:t xml:space="preserve">The origin of </w:t>
      </w:r>
      <w:r>
        <w:rPr>
          <w:rFonts w:ascii="Cambria" w:eastAsia="WarnockPro-Regular" w:hAnsi="Cambria" w:cs="WarnockPro-Regular"/>
          <w:i/>
        </w:rPr>
        <w:t xml:space="preserve">Trioza apicalis </w:t>
      </w:r>
      <w:r>
        <w:rPr>
          <w:rFonts w:ascii="Cambria" w:eastAsia="WarnockPro-Regular" w:hAnsi="Cambria" w:cs="WarnockPro-Regular"/>
        </w:rPr>
        <w:t>is unknown; however, this psyllid has existed for at least several thousand years in temperate and northern Eurasia (</w:t>
      </w:r>
      <w:r>
        <w:rPr>
          <w:rFonts w:ascii="Cambria" w:eastAsia="Cambria" w:hAnsi="Cambria" w:cs="MeridienLTStd-Roman"/>
        </w:rPr>
        <w:t>Láska</w:t>
      </w:r>
      <w:r>
        <w:rPr>
          <w:rFonts w:ascii="Cambria" w:eastAsia="WarnockPro-Regular" w:hAnsi="Cambria" w:cs="WarnockPro-Regular"/>
        </w:rPr>
        <w:t xml:space="preserve"> 2011). Over 160 years ago, </w:t>
      </w:r>
      <w:r>
        <w:rPr>
          <w:rFonts w:ascii="Cambria" w:eastAsia="WarnockPro-Regular" w:hAnsi="Cambria" w:cs="WarnockPro-Regular"/>
          <w:i/>
        </w:rPr>
        <w:t xml:space="preserve">T. apicalis </w:t>
      </w:r>
      <w:r>
        <w:rPr>
          <w:rFonts w:ascii="Cambria" w:eastAsia="WarnockPro-Regular" w:hAnsi="Cambria" w:cs="WarnockPro-Regular"/>
        </w:rPr>
        <w:t xml:space="preserve">was described </w:t>
      </w:r>
      <w:r>
        <w:rPr>
          <w:rFonts w:ascii="Cambria" w:eastAsia="WarnockPro-Regular" w:hAnsi="Cambria" w:cs="WarnockPro-Regular"/>
        </w:rPr>
        <w:lastRenderedPageBreak/>
        <w:t xml:space="preserve">from Germany (Foerster 1848, cited in </w:t>
      </w:r>
      <w:r>
        <w:rPr>
          <w:rFonts w:ascii="Cambria" w:eastAsia="Cambria" w:hAnsi="Cambria" w:cs="MeridienLTStd-Roman"/>
        </w:rPr>
        <w:t>Láska</w:t>
      </w:r>
      <w:r>
        <w:rPr>
          <w:rFonts w:ascii="Cambria" w:eastAsia="WarnockPro-Regular" w:hAnsi="Cambria" w:cs="WarnockPro-Regular"/>
        </w:rPr>
        <w:t xml:space="preserve"> 2011). The psyllid slowly expanded its range and reached continental Denmark in about 1912 (Rostrup 1921, cited in </w:t>
      </w:r>
      <w:r>
        <w:rPr>
          <w:rFonts w:ascii="Cambria" w:eastAsia="Cambria" w:hAnsi="Cambria" w:cs="MeridienLTStd-Roman"/>
        </w:rPr>
        <w:t>Láska</w:t>
      </w:r>
      <w:r>
        <w:rPr>
          <w:rFonts w:ascii="Cambria" w:eastAsia="WarnockPro-Regular" w:hAnsi="Cambria" w:cs="WarnockPro-Regular"/>
        </w:rPr>
        <w:t xml:space="preserve"> 2011). The psyllid then expanded its range from Denmark to neighbouring countries including Latvia, Sweden and Norway. </w:t>
      </w:r>
      <w:r>
        <w:rPr>
          <w:rFonts w:ascii="Cambria" w:eastAsia="Cambria" w:hAnsi="Cambria" w:cs="MeridienLTStd-Roman"/>
          <w:i/>
        </w:rPr>
        <w:t>Trioza apicalis</w:t>
      </w:r>
      <w:r>
        <w:rPr>
          <w:rFonts w:ascii="Cambria" w:eastAsia="Cambria" w:hAnsi="Cambria" w:cs="MeridienLTStd-Roman"/>
        </w:rPr>
        <w:t xml:space="preserve"> </w:t>
      </w:r>
      <w:r>
        <w:rPr>
          <w:rFonts w:ascii="Cambria" w:eastAsia="WarnockPro-Regular" w:hAnsi="Cambria" w:cs="WarnockPro-Regular"/>
        </w:rPr>
        <w:t xml:space="preserve">was reported in Czechoslovakia in 1936 (Baudyš 1936, cited in </w:t>
      </w:r>
      <w:r>
        <w:rPr>
          <w:rFonts w:ascii="Cambria" w:eastAsia="Cambria" w:hAnsi="Cambria" w:cs="MeridienLTStd-Roman"/>
        </w:rPr>
        <w:t>Láska</w:t>
      </w:r>
      <w:r>
        <w:rPr>
          <w:rFonts w:ascii="Cambria" w:eastAsia="WarnockPro-Regular" w:hAnsi="Cambria" w:cs="WarnockPro-Regular"/>
        </w:rPr>
        <w:t xml:space="preserve"> 2011). </w:t>
      </w:r>
      <w:r>
        <w:rPr>
          <w:rFonts w:ascii="Cambria" w:eastAsia="Cambria" w:hAnsi="Cambria" w:cs="MeridienLTStd-Roman"/>
          <w:i/>
        </w:rPr>
        <w:t>Trioza apicalis</w:t>
      </w:r>
      <w:r>
        <w:rPr>
          <w:rFonts w:ascii="Cambria" w:eastAsia="Cambria" w:hAnsi="Cambria" w:cs="MeridienLTStd-Roman"/>
        </w:rPr>
        <w:t xml:space="preserve"> is associated with carrot in Scandinavia, Finland and other parts of northern and central Europe, although it occurs in wider areas of Eurasia from Great Britain to Mongolia (Hodkinson 1984; Láska 2011; Map 4).</w:t>
      </w:r>
    </w:p>
    <w:p w:rsidR="00AE7868" w:rsidRDefault="00FF2B57">
      <w:pPr>
        <w:pStyle w:val="Caption"/>
        <w:spacing w:before="120"/>
        <w:rPr>
          <w:rFonts w:asciiTheme="majorHAnsi" w:eastAsiaTheme="majorEastAsia" w:hAnsiTheme="majorHAnsi" w:cstheme="majorBidi"/>
          <w:color w:val="595959" w:themeColor="text1" w:themeTint="A6"/>
          <w:sz w:val="20"/>
        </w:rPr>
      </w:pPr>
      <w:bookmarkStart w:id="265" w:name="_Toc418146943"/>
      <w:bookmarkStart w:id="266" w:name="_Toc418712814"/>
      <w:bookmarkStart w:id="267" w:name="_Toc418712918"/>
      <w:bookmarkStart w:id="268" w:name="_Toc421786699"/>
      <w:bookmarkStart w:id="269" w:name="_Toc421786882"/>
      <w:bookmarkStart w:id="270" w:name="_Toc428785235"/>
      <w:bookmarkStart w:id="271" w:name="_Toc428786317"/>
      <w:bookmarkStart w:id="272" w:name="_Toc429494616"/>
      <w:bookmarkStart w:id="273" w:name="_Toc430256492"/>
      <w:bookmarkStart w:id="274" w:name="_Toc430256529"/>
      <w:bookmarkStart w:id="275" w:name="_Toc432876718"/>
      <w:bookmarkStart w:id="276" w:name="_Toc433293351"/>
      <w:bookmarkStart w:id="277" w:name="_Toc433707295"/>
      <w:bookmarkStart w:id="278" w:name="_Toc433707327"/>
      <w:bookmarkStart w:id="279" w:name="_Toc433796459"/>
      <w:bookmarkStart w:id="280" w:name="_Toc433796491"/>
      <w:bookmarkStart w:id="281" w:name="_Toc437355954"/>
      <w:bookmarkStart w:id="282" w:name="_Toc437355970"/>
      <w:bookmarkStart w:id="283" w:name="_Toc437355986"/>
      <w:r>
        <w:rPr>
          <w:rFonts w:asciiTheme="majorHAnsi" w:eastAsiaTheme="majorEastAsia" w:hAnsiTheme="majorHAnsi" w:cstheme="majorBidi"/>
          <w:color w:val="595959" w:themeColor="text1" w:themeTint="A6"/>
          <w:sz w:val="20"/>
        </w:rPr>
        <w:t xml:space="preserve">Map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Map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4</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Distribution of </w:t>
      </w:r>
      <w:r>
        <w:rPr>
          <w:rFonts w:asciiTheme="majorHAnsi" w:eastAsiaTheme="majorEastAsia" w:hAnsiTheme="majorHAnsi" w:cstheme="majorBidi"/>
          <w:i/>
          <w:color w:val="595959" w:themeColor="text1" w:themeTint="A6"/>
          <w:sz w:val="20"/>
        </w:rPr>
        <w:t>Trioza apicalis</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asciiTheme="majorHAnsi" w:eastAsiaTheme="majorEastAsia" w:hAnsiTheme="majorHAnsi" w:cstheme="majorBidi"/>
          <w:i/>
          <w:color w:val="595959" w:themeColor="text1" w:themeTint="A6"/>
          <w:sz w:val="20"/>
        </w:rPr>
        <w:t xml:space="preserve"> </w:t>
      </w:r>
    </w:p>
    <w:p w:rsidR="00AE7868" w:rsidRDefault="00FF2B57">
      <w:pPr>
        <w:jc w:val="center"/>
      </w:pPr>
      <w:r>
        <w:rPr>
          <w:noProof/>
          <w:lang w:eastAsia="en-AU"/>
        </w:rPr>
        <w:drawing>
          <wp:inline distT="0" distB="0" distL="0" distR="0">
            <wp:extent cx="5890431" cy="2994971"/>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5890431" cy="2994971"/>
                    </a:xfrm>
                    <a:prstGeom prst="rect">
                      <a:avLst/>
                    </a:prstGeom>
                    <a:noFill/>
                    <a:ln w="9525">
                      <a:noFill/>
                      <a:miter lim="800000"/>
                      <a:headEnd/>
                      <a:tailEnd/>
                    </a:ln>
                  </pic:spPr>
                </pic:pic>
              </a:graphicData>
            </a:graphic>
          </wp:inline>
        </w:drawing>
      </w:r>
    </w:p>
    <w:p w:rsidR="00AE7868" w:rsidRDefault="00FF2B57">
      <w:pPr>
        <w:rPr>
          <w:rFonts w:ascii="Cambria" w:hAnsi="Cambria"/>
          <w:sz w:val="18"/>
          <w:szCs w:val="18"/>
        </w:rPr>
      </w:pPr>
      <w:r>
        <w:rPr>
          <w:rFonts w:ascii="Cambria" w:hAnsi="Cambria"/>
          <w:sz w:val="18"/>
          <w:szCs w:val="18"/>
        </w:rPr>
        <w:t xml:space="preserve">Source: </w:t>
      </w:r>
      <w:r>
        <w:rPr>
          <w:rFonts w:ascii="Cambria" w:eastAsia="Cambria" w:hAnsi="Cambria" w:cs="MeridienLTStd-Roman"/>
          <w:sz w:val="18"/>
          <w:szCs w:val="18"/>
        </w:rPr>
        <w:t>Ouvrard (2015).</w:t>
      </w:r>
    </w:p>
    <w:p w:rsidR="00AE7868" w:rsidRDefault="00FF2B57">
      <w:pPr>
        <w:autoSpaceDE w:val="0"/>
        <w:autoSpaceDN w:val="0"/>
        <w:adjustRightInd w:val="0"/>
        <w:spacing w:before="200"/>
        <w:rPr>
          <w:rFonts w:ascii="Cambria" w:eastAsia="Cambria" w:hAnsi="Cambria" w:cs="MeridienLTStd-Roman"/>
        </w:rPr>
      </w:pPr>
      <w:r>
        <w:rPr>
          <w:rFonts w:ascii="Cambria" w:eastAsia="Cambria" w:hAnsi="Cambria" w:cs="MeridienLTStd-Roman"/>
          <w:i/>
        </w:rPr>
        <w:lastRenderedPageBreak/>
        <w:t>Trioza apicalis</w:t>
      </w:r>
      <w:r>
        <w:rPr>
          <w:rFonts w:ascii="Cambria" w:eastAsia="Cambria" w:hAnsi="Cambria" w:cs="MeridienLTStd-Roman"/>
        </w:rPr>
        <w:t xml:space="preserve"> has only one generation per year (Kristoffersen &amp; Anderbrant 2007). The adult females of </w:t>
      </w:r>
      <w:r>
        <w:rPr>
          <w:rFonts w:ascii="Cambria" w:eastAsia="Cambria" w:hAnsi="Cambria" w:cs="MeridienLTStd-Roman"/>
          <w:i/>
        </w:rPr>
        <w:t>Trioza apicalis</w:t>
      </w:r>
      <w:r>
        <w:rPr>
          <w:rFonts w:ascii="Cambria" w:eastAsia="Cambria" w:hAnsi="Cambria" w:cs="MeridienLTStd-Roman"/>
        </w:rPr>
        <w:t xml:space="preserve"> lay eggs in the leaf tissue (Figure 4B) during summer. Embryonic development takes 12 to 14 days on average under field conditions (Láska 1974). The total development time (including eggs) under field conditions (at a mean temperature of 17 °C) takes a median of 54 days (Láska 1974). </w:t>
      </w:r>
    </w:p>
    <w:p w:rsidR="00AE7868" w:rsidRDefault="00FF2B57">
      <w:pPr>
        <w:pStyle w:val="Caption"/>
        <w:keepNext w:val="0"/>
        <w:spacing w:before="120" w:after="80"/>
        <w:rPr>
          <w:rFonts w:asciiTheme="majorHAnsi" w:eastAsiaTheme="majorEastAsia" w:hAnsiTheme="majorHAnsi" w:cstheme="majorBidi"/>
          <w:color w:val="595959" w:themeColor="text1" w:themeTint="A6"/>
          <w:sz w:val="20"/>
        </w:rPr>
      </w:pPr>
      <w:bookmarkStart w:id="284" w:name="_Toc428785236"/>
      <w:bookmarkStart w:id="285" w:name="_Toc430256493"/>
      <w:bookmarkStart w:id="286" w:name="_Toc432876719"/>
      <w:bookmarkStart w:id="287" w:name="_Toc433293352"/>
      <w:bookmarkStart w:id="288" w:name="_Toc433707296"/>
      <w:bookmarkStart w:id="289" w:name="_Toc433796460"/>
      <w:bookmarkStart w:id="290" w:name="_Toc437355955"/>
      <w:bookmarkStart w:id="291" w:name="_Toc437355987"/>
      <w:bookmarkStart w:id="292" w:name="_Toc418712815"/>
      <w:bookmarkStart w:id="293" w:name="_Toc421786883"/>
      <w:r>
        <w:rPr>
          <w:rFonts w:asciiTheme="majorHAnsi" w:eastAsiaTheme="majorEastAsia" w:hAnsiTheme="majorHAnsi" w:cstheme="majorBidi"/>
          <w:color w:val="595959" w:themeColor="text1" w:themeTint="A6"/>
          <w:sz w:val="20"/>
        </w:rPr>
        <w:t xml:space="preserve">Figure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Figure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4</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w:t>
      </w:r>
      <w:r>
        <w:rPr>
          <w:rFonts w:asciiTheme="majorHAnsi" w:eastAsiaTheme="majorEastAsia" w:hAnsiTheme="majorHAnsi" w:cstheme="majorBidi"/>
          <w:i/>
          <w:color w:val="595959" w:themeColor="text1" w:themeTint="A6"/>
          <w:sz w:val="20"/>
        </w:rPr>
        <w:t>Trioza apicalis</w:t>
      </w:r>
      <w:r>
        <w:rPr>
          <w:rFonts w:asciiTheme="majorHAnsi" w:eastAsiaTheme="majorEastAsia" w:hAnsiTheme="majorHAnsi" w:cstheme="majorBidi"/>
          <w:color w:val="595959" w:themeColor="text1" w:themeTint="A6"/>
          <w:sz w:val="20"/>
        </w:rPr>
        <w:t>: (A) adult; (B) female on a carrot leaf; (C) small elongated eggs; and (D) nymphs</w:t>
      </w:r>
      <w:bookmarkEnd w:id="284"/>
      <w:bookmarkEnd w:id="285"/>
      <w:bookmarkEnd w:id="286"/>
      <w:bookmarkEnd w:id="287"/>
      <w:bookmarkEnd w:id="288"/>
      <w:bookmarkEnd w:id="289"/>
      <w:bookmarkEnd w:id="290"/>
      <w:bookmarkEnd w:id="291"/>
      <w:r>
        <w:rPr>
          <w:rFonts w:asciiTheme="majorHAnsi" w:eastAsiaTheme="majorEastAsia" w:hAnsiTheme="majorHAnsi" w:cstheme="majorBidi"/>
          <w:color w:val="595959" w:themeColor="text1" w:themeTint="A6"/>
          <w:sz w:val="20"/>
        </w:rPr>
        <w:t xml:space="preserve"> </w:t>
      </w:r>
      <w:bookmarkEnd w:id="292"/>
      <w:bookmarkEnd w:id="293"/>
    </w:p>
    <w:p w:rsidR="00AE7868" w:rsidRDefault="00FF2B57">
      <w:pPr>
        <w:autoSpaceDE w:val="0"/>
        <w:autoSpaceDN w:val="0"/>
        <w:adjustRightInd w:val="0"/>
        <w:spacing w:after="120"/>
        <w:jc w:val="center"/>
        <w:rPr>
          <w:rFonts w:ascii="Cambria" w:eastAsia="Cambria" w:hAnsi="Cambria" w:cs="MeridienLTStd-Roman"/>
        </w:rPr>
      </w:pPr>
      <w:r>
        <w:rPr>
          <w:rFonts w:ascii="Cambria" w:eastAsia="Cambria" w:hAnsi="Cambria" w:cs="MeridienLTStd-Roman"/>
          <w:noProof/>
          <w:lang w:eastAsia="en-AU"/>
        </w:rPr>
        <w:drawing>
          <wp:inline distT="0" distB="0" distL="0" distR="0">
            <wp:extent cx="4204932" cy="3126971"/>
            <wp:effectExtent l="19050" t="0" r="5118"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4226308" cy="3142867"/>
                    </a:xfrm>
                    <a:prstGeom prst="rect">
                      <a:avLst/>
                    </a:prstGeom>
                    <a:noFill/>
                    <a:ln w="9525">
                      <a:noFill/>
                      <a:miter lim="800000"/>
                      <a:headEnd/>
                      <a:tailEnd/>
                    </a:ln>
                  </pic:spPr>
                </pic:pic>
              </a:graphicData>
            </a:graphic>
          </wp:inline>
        </w:drawing>
      </w:r>
    </w:p>
    <w:p w:rsidR="00AE7868" w:rsidRDefault="00FF2B57">
      <w:pPr>
        <w:pStyle w:val="Default"/>
        <w:rPr>
          <w:rFonts w:ascii="Cambria" w:eastAsia="Cambria" w:hAnsi="Cambria" w:cs="SimonciniGaramond"/>
          <w:sz w:val="18"/>
          <w:szCs w:val="18"/>
        </w:rPr>
      </w:pPr>
      <w:r>
        <w:rPr>
          <w:rFonts w:ascii="Cambria" w:eastAsia="Cambria" w:hAnsi="Cambria" w:cs="SimonciniGaramond"/>
          <w:sz w:val="18"/>
          <w:szCs w:val="18"/>
        </w:rPr>
        <w:t>Source: Meadow (2010); Munyaneza et al. (2010b).</w:t>
      </w:r>
    </w:p>
    <w:p w:rsidR="00AE7868" w:rsidRDefault="00FF2B57">
      <w:pPr>
        <w:autoSpaceDE w:val="0"/>
        <w:autoSpaceDN w:val="0"/>
        <w:adjustRightInd w:val="0"/>
        <w:spacing w:before="200"/>
        <w:rPr>
          <w:rFonts w:ascii="Cambria" w:eastAsia="WarnockPro-Regular" w:hAnsi="Cambria" w:cs="WarnockPro-Regular"/>
        </w:rPr>
      </w:pPr>
      <w:r>
        <w:rPr>
          <w:rFonts w:ascii="Cambria" w:eastAsia="Cambria" w:hAnsi="Cambria" w:cs="MeridienLTStd-Roman"/>
        </w:rPr>
        <w:lastRenderedPageBreak/>
        <w:t xml:space="preserve">The feeding activity of </w:t>
      </w:r>
      <w:r>
        <w:rPr>
          <w:rFonts w:ascii="Cambria" w:eastAsia="Cambria" w:hAnsi="Cambria" w:cs="MeridienLTStd-Roman"/>
          <w:i/>
        </w:rPr>
        <w:t xml:space="preserve">Trioza apicalis </w:t>
      </w:r>
      <w:r>
        <w:rPr>
          <w:rFonts w:ascii="Cambria" w:eastAsia="Cambria" w:hAnsi="Cambria" w:cs="MeridienLTStd-Roman"/>
        </w:rPr>
        <w:t xml:space="preserve">causes curling of the youngest leaves (Figure 5). </w:t>
      </w:r>
      <w:r>
        <w:rPr>
          <w:rFonts w:ascii="Cambria" w:eastAsia="WarnockPro-Regular" w:hAnsi="Cambria" w:cs="WarnockPro-Regular"/>
        </w:rPr>
        <w:t xml:space="preserve">The first record of curling of carrot leaves dates back to 1896; however, the cause of this damage was identified in 1908 as </w:t>
      </w:r>
      <w:r>
        <w:rPr>
          <w:rFonts w:ascii="Cambria" w:eastAsia="WarnockPro-Regular" w:hAnsi="Cambria" w:cs="WarnockPro-Regular"/>
          <w:i/>
        </w:rPr>
        <w:t xml:space="preserve">T. viridula </w:t>
      </w:r>
      <w:r>
        <w:rPr>
          <w:rFonts w:ascii="Cambria" w:eastAsia="WarnockPro-Regular" w:hAnsi="Cambria" w:cs="WarnockPro-Regular"/>
        </w:rPr>
        <w:t xml:space="preserve">(Rostrup 1921, cited in </w:t>
      </w:r>
      <w:r>
        <w:rPr>
          <w:rFonts w:ascii="Cambria" w:eastAsia="Cambria" w:hAnsi="Cambria" w:cs="MeridienLTStd-Roman"/>
        </w:rPr>
        <w:t>Láska</w:t>
      </w:r>
      <w:r>
        <w:rPr>
          <w:rFonts w:ascii="Cambria" w:eastAsia="WarnockPro-Regular" w:hAnsi="Cambria" w:cs="WarnockPro-Regular"/>
        </w:rPr>
        <w:t xml:space="preserve"> 2011). Later on, similar damage on carrot was reported on the Danish island of Sjalland (Rostrup 1921, cited in </w:t>
      </w:r>
      <w:r>
        <w:rPr>
          <w:rFonts w:ascii="Cambria" w:eastAsia="Cambria" w:hAnsi="Cambria" w:cs="MeridienLTStd-Roman"/>
        </w:rPr>
        <w:t>Láska</w:t>
      </w:r>
      <w:r>
        <w:rPr>
          <w:rFonts w:ascii="Cambria" w:eastAsia="WarnockPro-Regular" w:hAnsi="Cambria" w:cs="WarnockPro-Regular"/>
        </w:rPr>
        <w:t xml:space="preserve"> 2011). Subsequently, damage in carrot was reported from Germany (Krumrey &amp; Wendland 1973) and Switzerland (Burckhardt &amp; Freuler 2000; Fischer &amp; Terretaz 2002).</w:t>
      </w:r>
    </w:p>
    <w:p w:rsidR="00AE7868" w:rsidRDefault="00FF2B57">
      <w:pPr>
        <w:pStyle w:val="Caption"/>
        <w:spacing w:before="120"/>
        <w:rPr>
          <w:rFonts w:asciiTheme="majorHAnsi" w:eastAsiaTheme="majorEastAsia" w:hAnsiTheme="majorHAnsi" w:cstheme="majorBidi"/>
          <w:color w:val="595959" w:themeColor="text1" w:themeTint="A6"/>
          <w:sz w:val="20"/>
        </w:rPr>
      </w:pPr>
      <w:bookmarkStart w:id="294" w:name="_Toc418712816"/>
      <w:bookmarkStart w:id="295" w:name="_Toc421786884"/>
      <w:bookmarkStart w:id="296" w:name="_Toc428785237"/>
      <w:bookmarkStart w:id="297" w:name="_Toc430256494"/>
      <w:bookmarkStart w:id="298" w:name="_Toc432876720"/>
      <w:bookmarkStart w:id="299" w:name="_Toc433293353"/>
      <w:bookmarkStart w:id="300" w:name="_Toc433707297"/>
      <w:bookmarkStart w:id="301" w:name="_Toc433796461"/>
      <w:bookmarkStart w:id="302" w:name="_Toc437355956"/>
      <w:bookmarkStart w:id="303" w:name="_Toc437355988"/>
      <w:r>
        <w:rPr>
          <w:rFonts w:asciiTheme="majorHAnsi" w:eastAsiaTheme="majorEastAsia" w:hAnsiTheme="majorHAnsi" w:cstheme="majorBidi"/>
          <w:color w:val="595959" w:themeColor="text1" w:themeTint="A6"/>
          <w:sz w:val="20"/>
        </w:rPr>
        <w:t xml:space="preserve">Figure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Figure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5</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Leaf curling caused by the carrot psyllid</w:t>
      </w:r>
      <w:bookmarkEnd w:id="294"/>
      <w:bookmarkEnd w:id="295"/>
      <w:bookmarkEnd w:id="296"/>
      <w:bookmarkEnd w:id="297"/>
      <w:bookmarkEnd w:id="298"/>
      <w:bookmarkEnd w:id="299"/>
      <w:bookmarkEnd w:id="300"/>
      <w:bookmarkEnd w:id="301"/>
      <w:bookmarkEnd w:id="302"/>
      <w:bookmarkEnd w:id="303"/>
    </w:p>
    <w:p w:rsidR="00AE7868" w:rsidRDefault="00FF2B57">
      <w:pPr>
        <w:jc w:val="center"/>
      </w:pPr>
      <w:r>
        <w:rPr>
          <w:noProof/>
          <w:lang w:eastAsia="en-AU"/>
        </w:rPr>
        <w:drawing>
          <wp:inline distT="0" distB="0" distL="0" distR="0">
            <wp:extent cx="3945625" cy="2073871"/>
            <wp:effectExtent l="1905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3957493" cy="2080109"/>
                    </a:xfrm>
                    <a:prstGeom prst="rect">
                      <a:avLst/>
                    </a:prstGeom>
                    <a:noFill/>
                    <a:ln w="9525">
                      <a:noFill/>
                      <a:miter lim="800000"/>
                      <a:headEnd/>
                      <a:tailEnd/>
                    </a:ln>
                  </pic:spPr>
                </pic:pic>
              </a:graphicData>
            </a:graphic>
          </wp:inline>
        </w:drawing>
      </w:r>
    </w:p>
    <w:p w:rsidR="00AE7868" w:rsidRDefault="00FF2B57">
      <w:pPr>
        <w:autoSpaceDE w:val="0"/>
        <w:autoSpaceDN w:val="0"/>
        <w:adjustRightInd w:val="0"/>
        <w:spacing w:before="200"/>
        <w:rPr>
          <w:rFonts w:ascii="Cambria" w:eastAsia="Cambria" w:hAnsi="Cambria" w:cs="MeridienLTStd-Roman"/>
          <w:sz w:val="18"/>
          <w:szCs w:val="18"/>
        </w:rPr>
      </w:pPr>
      <w:r>
        <w:rPr>
          <w:rFonts w:ascii="Cambria" w:eastAsia="Cambria" w:hAnsi="Cambria" w:cs="MeridienLTStd-Roman"/>
          <w:sz w:val="18"/>
          <w:szCs w:val="18"/>
        </w:rPr>
        <w:t>Source: Munyaneza et al. (2010b).</w:t>
      </w:r>
    </w:p>
    <w:p w:rsidR="00AE7868" w:rsidRDefault="00FF2B57">
      <w:pPr>
        <w:autoSpaceDE w:val="0"/>
        <w:autoSpaceDN w:val="0"/>
        <w:adjustRightInd w:val="0"/>
        <w:spacing w:before="200"/>
        <w:rPr>
          <w:rFonts w:ascii="Cambria" w:eastAsia="Cambria" w:hAnsi="Cambria" w:cs="Highland-Roman"/>
        </w:rPr>
      </w:pPr>
      <w:r>
        <w:rPr>
          <w:rFonts w:ascii="Cambria" w:eastAsia="Cambria" w:hAnsi="Cambria" w:cs="SimonciniGaramond"/>
        </w:rPr>
        <w:t xml:space="preserve">In addition to leaf curling, it was recognised that </w:t>
      </w:r>
      <w:r>
        <w:rPr>
          <w:rFonts w:ascii="Cambria" w:eastAsia="Cambria" w:hAnsi="Cambria" w:cs="SimonciniGaramond"/>
          <w:i/>
        </w:rPr>
        <w:t xml:space="preserve">T. apicalis </w:t>
      </w:r>
      <w:r>
        <w:rPr>
          <w:rFonts w:ascii="Cambria" w:eastAsia="Cambria" w:hAnsi="Cambria" w:cs="SimonciniGaramond"/>
        </w:rPr>
        <w:t xml:space="preserve">feeding damage </w:t>
      </w:r>
      <w:r>
        <w:rPr>
          <w:rFonts w:ascii="Cambria" w:eastAsia="Cambria" w:hAnsi="Cambria" w:cs="MeridienLTStd-Roman"/>
        </w:rPr>
        <w:t xml:space="preserve">includes </w:t>
      </w:r>
      <w:r>
        <w:rPr>
          <w:rFonts w:ascii="Cambria" w:eastAsia="Cambria" w:hAnsi="Cambria" w:cs="Highland-Roman"/>
        </w:rPr>
        <w:t xml:space="preserve">yellowish, bronze, and purplish discolouration of leaves; stunting of the shoots and roots; and proliferation of secondary </w:t>
      </w:r>
      <w:r>
        <w:rPr>
          <w:rFonts w:ascii="Cambria" w:eastAsia="Cambria" w:hAnsi="Cambria" w:cs="Highland-Roman"/>
        </w:rPr>
        <w:lastRenderedPageBreak/>
        <w:t xml:space="preserve">roots </w:t>
      </w:r>
      <w:r>
        <w:rPr>
          <w:rFonts w:ascii="Cambria" w:eastAsia="Cambria" w:hAnsi="Cambria" w:cs="SimonciniGaramond"/>
        </w:rPr>
        <w:t>(Markkula et al. 1976; Nehlin et al. 1994; Nissinen et al. 2007; Figure 6).</w:t>
      </w:r>
    </w:p>
    <w:p w:rsidR="00AE7868" w:rsidRDefault="00FF2B57">
      <w:pPr>
        <w:pStyle w:val="Caption"/>
        <w:keepNext w:val="0"/>
        <w:spacing w:before="120"/>
        <w:rPr>
          <w:rFonts w:asciiTheme="majorHAnsi" w:eastAsiaTheme="majorEastAsia" w:hAnsiTheme="majorHAnsi" w:cstheme="majorBidi"/>
          <w:color w:val="595959" w:themeColor="text1" w:themeTint="A6"/>
          <w:sz w:val="20"/>
        </w:rPr>
      </w:pPr>
      <w:bookmarkStart w:id="304" w:name="_Toc418712817"/>
      <w:bookmarkStart w:id="305" w:name="_Toc421786885"/>
      <w:bookmarkStart w:id="306" w:name="_Toc428785238"/>
      <w:bookmarkStart w:id="307" w:name="_Toc430256495"/>
      <w:bookmarkStart w:id="308" w:name="_Toc432876721"/>
      <w:bookmarkStart w:id="309" w:name="_Toc433293354"/>
      <w:bookmarkStart w:id="310" w:name="_Toc433707298"/>
      <w:bookmarkStart w:id="311" w:name="_Toc433796462"/>
      <w:bookmarkStart w:id="312" w:name="_Toc437355957"/>
      <w:bookmarkStart w:id="313" w:name="_Toc437355989"/>
      <w:r>
        <w:rPr>
          <w:rFonts w:asciiTheme="majorHAnsi" w:eastAsiaTheme="majorEastAsia" w:hAnsiTheme="majorHAnsi" w:cstheme="majorBidi"/>
          <w:color w:val="595959" w:themeColor="text1" w:themeTint="A6"/>
          <w:sz w:val="20"/>
        </w:rPr>
        <w:t xml:space="preserve">Figure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Figure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6</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Symptoms developed on carrot after psyllid exposure: (A) healthy leaf; (B) leaf showing discolouration; (C) damage without discolouration; and (D) proliferation of secondary roots</w:t>
      </w:r>
      <w:bookmarkEnd w:id="304"/>
      <w:bookmarkEnd w:id="305"/>
      <w:bookmarkEnd w:id="306"/>
      <w:bookmarkEnd w:id="307"/>
      <w:bookmarkEnd w:id="308"/>
      <w:bookmarkEnd w:id="309"/>
      <w:bookmarkEnd w:id="310"/>
      <w:bookmarkEnd w:id="311"/>
      <w:bookmarkEnd w:id="312"/>
      <w:bookmarkEnd w:id="313"/>
      <w:r>
        <w:rPr>
          <w:rFonts w:asciiTheme="majorHAnsi" w:eastAsiaTheme="majorEastAsia" w:hAnsiTheme="majorHAnsi" w:cstheme="majorBidi"/>
          <w:color w:val="595959" w:themeColor="text1" w:themeTint="A6"/>
          <w:sz w:val="20"/>
        </w:rPr>
        <w:t xml:space="preserve"> </w:t>
      </w:r>
    </w:p>
    <w:p w:rsidR="00AE7868" w:rsidRDefault="00FF2B57">
      <w:pPr>
        <w:autoSpaceDE w:val="0"/>
        <w:autoSpaceDN w:val="0"/>
        <w:adjustRightInd w:val="0"/>
        <w:spacing w:before="200"/>
        <w:jc w:val="center"/>
        <w:rPr>
          <w:rFonts w:ascii="Cambria" w:eastAsia="Cambria" w:hAnsi="Cambria" w:cs="MeridienLTStd-Roman"/>
        </w:rPr>
      </w:pPr>
      <w:r>
        <w:rPr>
          <w:rFonts w:ascii="Cambria" w:eastAsia="Cambria" w:hAnsi="Cambria" w:cs="MeridienLTStd-Roman"/>
          <w:noProof/>
          <w:lang w:eastAsia="en-AU"/>
        </w:rPr>
        <w:drawing>
          <wp:inline distT="0" distB="0" distL="0" distR="0">
            <wp:extent cx="4056063" cy="3590775"/>
            <wp:effectExtent l="19050" t="0" r="1587"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4077883" cy="3610092"/>
                    </a:xfrm>
                    <a:prstGeom prst="rect">
                      <a:avLst/>
                    </a:prstGeom>
                    <a:noFill/>
                    <a:ln w="9525">
                      <a:noFill/>
                      <a:miter lim="800000"/>
                      <a:headEnd/>
                      <a:tailEnd/>
                    </a:ln>
                  </pic:spPr>
                </pic:pic>
              </a:graphicData>
            </a:graphic>
          </wp:inline>
        </w:drawing>
      </w:r>
    </w:p>
    <w:p w:rsidR="00AE7868" w:rsidRDefault="00FF2B57">
      <w:pPr>
        <w:autoSpaceDE w:val="0"/>
        <w:autoSpaceDN w:val="0"/>
        <w:adjustRightInd w:val="0"/>
        <w:spacing w:before="200"/>
        <w:rPr>
          <w:rFonts w:ascii="Cambria" w:eastAsia="Cambria" w:hAnsi="Cambria" w:cs="MeridienLTStd-Roman"/>
          <w:sz w:val="18"/>
          <w:szCs w:val="18"/>
        </w:rPr>
      </w:pPr>
      <w:r>
        <w:rPr>
          <w:rFonts w:ascii="Cambria" w:eastAsia="Cambria" w:hAnsi="Cambria" w:cs="MeridienLTStd-Roman"/>
          <w:sz w:val="18"/>
          <w:szCs w:val="18"/>
        </w:rPr>
        <w:t>Source: Munyaneza et al. (2010b).</w:t>
      </w:r>
    </w:p>
    <w:p w:rsidR="00AE7868" w:rsidRDefault="00FF2B57">
      <w:pPr>
        <w:autoSpaceDE w:val="0"/>
        <w:autoSpaceDN w:val="0"/>
        <w:adjustRightInd w:val="0"/>
        <w:spacing w:before="200"/>
        <w:rPr>
          <w:rFonts w:ascii="Cambria" w:eastAsia="Cambria" w:hAnsi="Cambria" w:cs="SimonciniGaramond"/>
        </w:rPr>
      </w:pPr>
      <w:r>
        <w:rPr>
          <w:rFonts w:ascii="Cambria" w:eastAsia="Cambria" w:hAnsi="Cambria" w:cs="Highland-Roman"/>
        </w:rPr>
        <w:t xml:space="preserve">Symptoms caused in carrot were considered to be a result of toxins injected by the psyllid during feeding activities (Markkula et al. 1976; </w:t>
      </w:r>
      <w:r>
        <w:rPr>
          <w:rFonts w:ascii="Cambria" w:eastAsia="Cambria" w:hAnsi="Cambria" w:cs="Highland-Roman"/>
        </w:rPr>
        <w:lastRenderedPageBreak/>
        <w:t xml:space="preserve">Nehlin et al. 1994). However, no toxin was identified from the extractions of psyllid salivary glands and salivary secretions (Markkula &amp; Laurema 1971). Further studies demonstrated that the short feeding period of </w:t>
      </w:r>
      <w:r>
        <w:rPr>
          <w:rFonts w:ascii="Cambria" w:eastAsia="Cambria" w:hAnsi="Cambria" w:cs="Highland-Roman"/>
          <w:i/>
        </w:rPr>
        <w:t>T. apicalis</w:t>
      </w:r>
      <w:r>
        <w:rPr>
          <w:rFonts w:ascii="Cambria" w:eastAsia="Cambria" w:hAnsi="Cambria" w:cs="Highland-Roman"/>
        </w:rPr>
        <w:t xml:space="preserve"> results in the development of severe symptoms in carrots that usually appear one month after insect removal (Nissinen et al. 2007). These studies suggested that plant pathogens may be involved in this </w:t>
      </w:r>
      <w:r>
        <w:rPr>
          <w:rFonts w:ascii="Cambria" w:eastAsia="Cambria" w:hAnsi="Cambria" w:cs="Highland-Italic"/>
          <w:i/>
          <w:iCs/>
        </w:rPr>
        <w:t>T. apicalis</w:t>
      </w:r>
      <w:r>
        <w:rPr>
          <w:rFonts w:ascii="Cambria" w:eastAsia="Cambria" w:hAnsi="Cambria" w:cs="Highland-Roman"/>
        </w:rPr>
        <w:t xml:space="preserve">-induced disorder (Nissinen et al. 2007). Subsequent studies </w:t>
      </w:r>
      <w:r>
        <w:rPr>
          <w:rFonts w:ascii="Cambria" w:eastAsia="Cambria" w:hAnsi="Cambria" w:cs="SimonciniGaramond"/>
        </w:rPr>
        <w:t>discovered that ‘</w:t>
      </w:r>
      <w:r>
        <w:rPr>
          <w:rFonts w:ascii="Cambria" w:eastAsia="Cambria" w:hAnsi="Cambria" w:cs="SimonciniGaramond"/>
          <w:i/>
        </w:rPr>
        <w:t>Ca</w:t>
      </w:r>
      <w:r>
        <w:rPr>
          <w:rFonts w:ascii="Cambria" w:eastAsia="Cambria" w:hAnsi="Cambria" w:cs="SimonciniGaramond"/>
        </w:rPr>
        <w:t>. L. solanacearum’ is associated with both the psyllid and the carrot plant (Munyaneza et al. 2010a, b). Leaf discolouration and root size reduction are correlated with the colonisation of the carrot phloem vessels by the bacterium. The bacteria colonises the phloem vessels systemically and proliferate to a high density, filling the sieve cells (Haapalainen et al. 2014).</w:t>
      </w:r>
    </w:p>
    <w:p w:rsidR="00AE7868" w:rsidRDefault="00FF2B57">
      <w:pPr>
        <w:spacing w:before="200"/>
        <w:rPr>
          <w:rFonts w:ascii="Cambria" w:eastAsia="Cambria" w:hAnsi="Cambria" w:cs="TimesNewRomanPSMT"/>
        </w:rPr>
      </w:pPr>
      <w:r>
        <w:rPr>
          <w:rFonts w:ascii="Cambria" w:eastAsia="Cambria" w:hAnsi="Cambria" w:cs="TimesNewRomanPSMT"/>
        </w:rPr>
        <w:t>The psyllid lifecycle begins with mating between fertile adults on summer hosts (</w:t>
      </w:r>
      <w:r>
        <w:rPr>
          <w:rFonts w:ascii="Cambria" w:eastAsia="Cambria" w:hAnsi="Cambria" w:cs="Arial"/>
        </w:rPr>
        <w:t xml:space="preserve">Kristoffersen &amp; Anderbrant 2007). </w:t>
      </w:r>
      <w:r>
        <w:rPr>
          <w:rFonts w:ascii="Cambria" w:eastAsia="Cambria" w:hAnsi="Cambria" w:cs="MeridienLTStd-Roman"/>
        </w:rPr>
        <w:t xml:space="preserve">The adult females lay eggs </w:t>
      </w:r>
      <w:r>
        <w:rPr>
          <w:rFonts w:ascii="Cambria" w:eastAsia="Cambria" w:hAnsi="Cambria" w:cs="TimesNewRomanPSMT"/>
        </w:rPr>
        <w:t xml:space="preserve">on the host plant leaves. After egg hatching, nymphs develop through five instar stages, and then adults (Figure 7). The time needed for development from eggs to mature adults varies in length depending on temperature, but is usually about one month (Hodkinson 2009). The reproductive biology of psyllids is closely tied to the availability of the new leaf flush for egg laying and subsequent development of nymphs. As these leaves mature, they become unsuitable for psyllid development and the psyllids seek out new breeding sites (Hodkinson 2009). Depending on the season and climate conditions, the newly </w:t>
      </w:r>
      <w:r>
        <w:rPr>
          <w:rFonts w:ascii="Cambria" w:eastAsia="Cambria" w:hAnsi="Cambria" w:cs="TimesNewRomanPSMT"/>
        </w:rPr>
        <w:lastRenderedPageBreak/>
        <w:t>emerged adults either fly to new summer host plants to reproduce, or migrate to overwintering hosts (</w:t>
      </w:r>
      <w:r>
        <w:rPr>
          <w:rFonts w:ascii="Cambria" w:eastAsia="Cambria" w:hAnsi="Cambria" w:cs="Arial"/>
        </w:rPr>
        <w:t>Kristoffersen &amp; Anderbrant 2007)</w:t>
      </w:r>
      <w:r>
        <w:rPr>
          <w:rFonts w:ascii="Cambria" w:eastAsia="Cambria" w:hAnsi="Cambria" w:cs="TimesNewRomanPSMT"/>
        </w:rPr>
        <w:t xml:space="preserve">. The period spent overwintering on shelter plants usually matches the period when the summer host is dormant or unfavourable for psyllid development. </w:t>
      </w:r>
      <w:r>
        <w:rPr>
          <w:rFonts w:ascii="Cambria" w:eastAsia="Cambria" w:hAnsi="Cambria" w:cs="Arial"/>
        </w:rPr>
        <w:t xml:space="preserve">The adult carrot psyllids leave their overwintering host in late spring or early summer, usually at the time when the main summer host is emerging. </w:t>
      </w:r>
      <w:r>
        <w:rPr>
          <w:rFonts w:ascii="Cambria" w:eastAsia="Cambria" w:hAnsi="Cambria" w:cs="TimesNewRomanPSMT"/>
        </w:rPr>
        <w:t xml:space="preserve">Photoperiod plays a role in the migration between winter and summer hosts (Valterová et al. 1997). In addition, changes in the concentration of secondary metabolites in the winter host could affect the timing of the migration of carrot psyllids (Nissinen et al. 2008). </w:t>
      </w:r>
    </w:p>
    <w:p w:rsidR="00AE7868" w:rsidRDefault="00FF2B57">
      <w:pPr>
        <w:pStyle w:val="Caption"/>
        <w:keepNext w:val="0"/>
        <w:spacing w:before="120"/>
        <w:rPr>
          <w:rFonts w:asciiTheme="majorHAnsi" w:eastAsiaTheme="majorEastAsia" w:hAnsiTheme="majorHAnsi" w:cstheme="majorBidi"/>
          <w:i/>
          <w:color w:val="595959" w:themeColor="text1" w:themeTint="A6"/>
          <w:sz w:val="20"/>
        </w:rPr>
      </w:pPr>
      <w:bookmarkStart w:id="314" w:name="_Toc421786889"/>
      <w:bookmarkStart w:id="315" w:name="_Toc428785242"/>
      <w:bookmarkStart w:id="316" w:name="_Toc430256499"/>
      <w:bookmarkStart w:id="317" w:name="_Toc432876722"/>
      <w:bookmarkStart w:id="318" w:name="_Toc433293355"/>
      <w:bookmarkStart w:id="319" w:name="_Toc433707299"/>
      <w:bookmarkStart w:id="320" w:name="_Toc433796463"/>
      <w:bookmarkStart w:id="321" w:name="_Toc437355958"/>
      <w:bookmarkStart w:id="322" w:name="_Toc437355990"/>
      <w:r>
        <w:rPr>
          <w:rFonts w:asciiTheme="majorHAnsi" w:eastAsiaTheme="majorEastAsia" w:hAnsiTheme="majorHAnsi" w:cstheme="majorBidi"/>
          <w:color w:val="595959" w:themeColor="text1" w:themeTint="A6"/>
          <w:sz w:val="20"/>
        </w:rPr>
        <w:t xml:space="preserve">Figure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Figure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7</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Life cycle of </w:t>
      </w:r>
      <w:r>
        <w:rPr>
          <w:rFonts w:asciiTheme="majorHAnsi" w:eastAsiaTheme="majorEastAsia" w:hAnsiTheme="majorHAnsi" w:cstheme="majorBidi"/>
          <w:i/>
          <w:color w:val="595959" w:themeColor="text1" w:themeTint="A6"/>
          <w:sz w:val="20"/>
        </w:rPr>
        <w:t>Trioza apicalis</w:t>
      </w:r>
      <w:bookmarkEnd w:id="314"/>
      <w:bookmarkEnd w:id="315"/>
      <w:bookmarkEnd w:id="316"/>
      <w:bookmarkEnd w:id="317"/>
      <w:bookmarkEnd w:id="318"/>
      <w:bookmarkEnd w:id="319"/>
      <w:bookmarkEnd w:id="320"/>
      <w:bookmarkEnd w:id="321"/>
      <w:bookmarkEnd w:id="322"/>
    </w:p>
    <w:p w:rsidR="00AE7868" w:rsidRDefault="00FF2B57">
      <w:pPr>
        <w:autoSpaceDE w:val="0"/>
        <w:autoSpaceDN w:val="0"/>
        <w:adjustRightInd w:val="0"/>
        <w:spacing w:before="200"/>
        <w:jc w:val="center"/>
        <w:rPr>
          <w:rFonts w:ascii="Cambria" w:eastAsia="Cambria" w:hAnsi="Cambria" w:cs="SimonciniGaramond"/>
        </w:rPr>
      </w:pPr>
      <w:r>
        <w:rPr>
          <w:rFonts w:ascii="Cambria" w:eastAsia="Cambria" w:hAnsi="Cambria" w:cs="SimonciniGaramond"/>
          <w:noProof/>
          <w:lang w:eastAsia="en-AU"/>
        </w:rPr>
        <w:lastRenderedPageBreak/>
        <w:drawing>
          <wp:inline distT="0" distB="0" distL="0" distR="0">
            <wp:extent cx="5767754" cy="4036840"/>
            <wp:effectExtent l="19050" t="0" r="4396"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5773736" cy="4041027"/>
                    </a:xfrm>
                    <a:prstGeom prst="rect">
                      <a:avLst/>
                    </a:prstGeom>
                    <a:noFill/>
                    <a:ln w="9525">
                      <a:noFill/>
                      <a:miter lim="800000"/>
                      <a:headEnd/>
                      <a:tailEnd/>
                    </a:ln>
                  </pic:spPr>
                </pic:pic>
              </a:graphicData>
            </a:graphic>
          </wp:inline>
        </w:drawing>
      </w:r>
    </w:p>
    <w:p w:rsidR="00AE7868" w:rsidRDefault="00FF2B57">
      <w:pPr>
        <w:spacing w:before="200"/>
        <w:rPr>
          <w:rFonts w:ascii="Cambria" w:eastAsia="Cambria" w:hAnsi="Cambria" w:cs="TimesNewRomanPSMT"/>
        </w:rPr>
      </w:pPr>
      <w:r>
        <w:rPr>
          <w:rFonts w:ascii="Cambria" w:eastAsia="Cambria" w:hAnsi="Cambria" w:cs="TimesNewRomanPSMT"/>
        </w:rPr>
        <w:t xml:space="preserve">Host selection by insects is based on various stimuli released by the host plant, and consists of a sequence of behavioural responses (Visser 1986; Stadler 1992). Different types of compounds released from carrots have been identified (Buttery et al. 1968; Simon et al. 1980). For example, host selection in </w:t>
      </w:r>
      <w:r>
        <w:rPr>
          <w:rFonts w:ascii="Cambria" w:eastAsia="Cambria" w:hAnsi="Cambria" w:cs="TimesNewRomanPSMT"/>
          <w:i/>
        </w:rPr>
        <w:t xml:space="preserve">T. apicalis </w:t>
      </w:r>
      <w:r>
        <w:rPr>
          <w:rFonts w:ascii="Cambria" w:eastAsia="Cambria" w:hAnsi="Cambria" w:cs="TimesNewRomanPSMT"/>
        </w:rPr>
        <w:t>seems to be connected to the high release of sabinene and apinene (Nehlin et al. 1996).</w:t>
      </w:r>
    </w:p>
    <w:p w:rsidR="00AE7868" w:rsidRDefault="00FF2B57">
      <w:pPr>
        <w:pStyle w:val="Heading4"/>
        <w:spacing w:before="200"/>
      </w:pPr>
      <w:r>
        <w:rPr>
          <w:i/>
        </w:rPr>
        <w:lastRenderedPageBreak/>
        <w:t xml:space="preserve">‘Bactericera nigricornis </w:t>
      </w:r>
      <w:r>
        <w:t>group’</w:t>
      </w:r>
    </w:p>
    <w:p w:rsidR="00AE7868" w:rsidRDefault="00FF2B57">
      <w:pPr>
        <w:spacing w:before="200"/>
        <w:rPr>
          <w:rFonts w:ascii="Cambria" w:hAnsi="Cambria"/>
        </w:rPr>
      </w:pPr>
      <w:r>
        <w:rPr>
          <w:rFonts w:ascii="Cambria" w:eastAsia="Cambria" w:hAnsi="Cambria" w:cs="TimesNewRomanPS-ItalicMT"/>
          <w:i/>
          <w:iCs/>
        </w:rPr>
        <w:t>Bactericera nigricornis</w:t>
      </w:r>
      <w:r>
        <w:rPr>
          <w:rFonts w:ascii="Cambria" w:eastAsia="Cambria" w:hAnsi="Cambria" w:cs="TimesNewRomanPS-ItalicMT"/>
          <w:iCs/>
        </w:rPr>
        <w:t>,</w:t>
      </w:r>
      <w:r>
        <w:rPr>
          <w:rFonts w:ascii="Cambria" w:eastAsia="Cambria" w:hAnsi="Cambria" w:cs="TimesNewRomanPS-ItalicMT"/>
          <w:i/>
          <w:iCs/>
        </w:rPr>
        <w:t xml:space="preserve"> B. tremblayi</w:t>
      </w:r>
      <w:r>
        <w:rPr>
          <w:rFonts w:ascii="Cambria" w:eastAsia="Cambria" w:hAnsi="Cambria" w:cs="TimesNewRomanPSMT"/>
        </w:rPr>
        <w:t xml:space="preserve"> and </w:t>
      </w:r>
      <w:r>
        <w:rPr>
          <w:rFonts w:ascii="Cambria" w:eastAsia="Cambria" w:hAnsi="Cambria" w:cs="TimesNewRomanPS-ItalicMT"/>
          <w:i/>
          <w:iCs/>
        </w:rPr>
        <w:t xml:space="preserve">B. trigonica </w:t>
      </w:r>
      <w:r>
        <w:rPr>
          <w:rFonts w:ascii="Cambria" w:eastAsia="Cambria" w:hAnsi="Cambria" w:cs="TimesNewRomanPSMT"/>
        </w:rPr>
        <w:t>are morphologically similar psyllid species that belong to the ‘</w:t>
      </w:r>
      <w:r>
        <w:rPr>
          <w:rFonts w:ascii="Cambria" w:eastAsia="Cambria" w:hAnsi="Cambria" w:cs="TimesNewRomanPSMT"/>
          <w:i/>
        </w:rPr>
        <w:t>Bactericera</w:t>
      </w:r>
      <w:r>
        <w:rPr>
          <w:rFonts w:ascii="Cambria" w:eastAsia="Cambria" w:hAnsi="Cambria" w:cs="TimesNewRomanPSMT"/>
        </w:rPr>
        <w:t xml:space="preserve"> </w:t>
      </w:r>
      <w:r>
        <w:rPr>
          <w:rFonts w:ascii="Cambria" w:eastAsia="Cambria" w:hAnsi="Cambria" w:cs="TimesNewRomanPSMT"/>
          <w:i/>
        </w:rPr>
        <w:t>nigricornis</w:t>
      </w:r>
      <w:r>
        <w:rPr>
          <w:rFonts w:ascii="Cambria" w:eastAsia="Cambria" w:hAnsi="Cambria" w:cs="TimesNewRomanPSMT"/>
        </w:rPr>
        <w:t xml:space="preserve"> group’ (Hodkinson 1981).</w:t>
      </w:r>
      <w:r>
        <w:rPr>
          <w:rFonts w:ascii="Cambria" w:eastAsia="Cambria" w:hAnsi="Cambria" w:cs="TimesNewRomanPS-ItalicMT"/>
          <w:i/>
          <w:iCs/>
        </w:rPr>
        <w:t xml:space="preserve"> </w:t>
      </w:r>
      <w:r>
        <w:rPr>
          <w:rFonts w:ascii="Cambria" w:eastAsia="Cambria" w:hAnsi="Cambria" w:cs="TimesNewRomanPS-ItalicMT"/>
          <w:iCs/>
        </w:rPr>
        <w:t>Members of t</w:t>
      </w:r>
      <w:r>
        <w:rPr>
          <w:rFonts w:ascii="Cambria" w:eastAsia="Cambria" w:hAnsi="Cambria" w:cs="TimesNewRomanPSMT"/>
        </w:rPr>
        <w:t xml:space="preserve">his group are polyphagous, show overlapping areas of distribution and are widely distributed in the Mediterranean region (Alfaro-Fernández </w:t>
      </w:r>
      <w:r>
        <w:rPr>
          <w:rFonts w:ascii="Cambria" w:eastAsia="Cambria" w:hAnsi="Cambria" w:cs="TimesNewRomanPS-ItalicMT"/>
          <w:iCs/>
        </w:rPr>
        <w:t>et al</w:t>
      </w:r>
      <w:r>
        <w:rPr>
          <w:rFonts w:ascii="Cambria" w:eastAsia="Cambria" w:hAnsi="Cambria" w:cs="TimesNewRomanPSMT"/>
        </w:rPr>
        <w:t>. 2012b; Ouvrard &amp; Burckhardt 2012; Haapalainen 2014; Teserani et al. 2015; Map 5).</w:t>
      </w:r>
    </w:p>
    <w:p w:rsidR="00AE7868" w:rsidRDefault="00FF2B57">
      <w:pPr>
        <w:pStyle w:val="Caption"/>
        <w:spacing w:before="120"/>
        <w:rPr>
          <w:rFonts w:asciiTheme="majorHAnsi" w:eastAsiaTheme="majorEastAsia" w:hAnsiTheme="majorHAnsi" w:cstheme="majorBidi"/>
          <w:color w:val="595959" w:themeColor="text1" w:themeTint="A6"/>
          <w:sz w:val="20"/>
        </w:rPr>
      </w:pPr>
      <w:bookmarkStart w:id="323" w:name="_Toc416467521"/>
      <w:bookmarkStart w:id="324" w:name="_Toc386709918"/>
      <w:bookmarkStart w:id="325" w:name="_Toc392494640"/>
      <w:bookmarkStart w:id="326" w:name="_Toc392503883"/>
      <w:bookmarkStart w:id="327" w:name="_Toc409685810"/>
      <w:bookmarkStart w:id="328" w:name="_Toc412625748"/>
      <w:bookmarkStart w:id="329" w:name="_Toc415256281"/>
      <w:bookmarkStart w:id="330" w:name="_Toc415256300"/>
      <w:bookmarkStart w:id="331" w:name="_Toc418146949"/>
      <w:bookmarkStart w:id="332" w:name="_Toc418712820"/>
      <w:bookmarkStart w:id="333" w:name="_Toc418712924"/>
      <w:bookmarkStart w:id="334" w:name="_Toc421786705"/>
      <w:bookmarkStart w:id="335" w:name="_Toc428785241"/>
      <w:bookmarkStart w:id="336" w:name="_Toc428786323"/>
      <w:bookmarkStart w:id="337" w:name="_Toc429494622"/>
      <w:bookmarkStart w:id="338" w:name="_Toc430256498"/>
      <w:bookmarkStart w:id="339" w:name="_Toc430256535"/>
      <w:bookmarkStart w:id="340" w:name="_Toc432876723"/>
      <w:bookmarkStart w:id="341" w:name="_Toc433293356"/>
      <w:bookmarkStart w:id="342" w:name="_Toc433707300"/>
      <w:bookmarkStart w:id="343" w:name="_Toc433707332"/>
      <w:bookmarkStart w:id="344" w:name="_Toc433796464"/>
      <w:bookmarkStart w:id="345" w:name="_Toc433796496"/>
      <w:bookmarkStart w:id="346" w:name="_Toc437355959"/>
      <w:bookmarkStart w:id="347" w:name="_Toc437355971"/>
      <w:bookmarkStart w:id="348" w:name="_Toc437355991"/>
      <w:r>
        <w:rPr>
          <w:rFonts w:asciiTheme="majorHAnsi" w:eastAsiaTheme="majorEastAsia" w:hAnsiTheme="majorHAnsi" w:cstheme="majorBidi"/>
          <w:color w:val="595959" w:themeColor="text1" w:themeTint="A6"/>
          <w:sz w:val="20"/>
        </w:rPr>
        <w:t xml:space="preserve">Map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Map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5</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Distribution of ‘</w:t>
      </w:r>
      <w:r>
        <w:rPr>
          <w:rFonts w:asciiTheme="majorHAnsi" w:eastAsiaTheme="majorEastAsia" w:hAnsiTheme="majorHAnsi" w:cstheme="majorBidi"/>
          <w:i/>
          <w:color w:val="595959" w:themeColor="text1" w:themeTint="A6"/>
          <w:sz w:val="20"/>
        </w:rPr>
        <w:t>Bactericera nigricornis</w:t>
      </w:r>
      <w:r>
        <w:rPr>
          <w:rFonts w:asciiTheme="majorHAnsi" w:eastAsiaTheme="majorEastAsia" w:hAnsiTheme="majorHAnsi" w:cstheme="majorBidi"/>
          <w:color w:val="595959" w:themeColor="text1" w:themeTint="A6"/>
          <w:sz w:val="20"/>
        </w:rPr>
        <w:t xml:space="preserve"> group</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Pr>
          <w:rFonts w:asciiTheme="majorHAnsi" w:eastAsiaTheme="majorEastAsia" w:hAnsiTheme="majorHAnsi" w:cstheme="majorBidi"/>
          <w:color w:val="595959" w:themeColor="text1" w:themeTint="A6"/>
          <w:sz w:val="20"/>
        </w:rPr>
        <w:t>’</w:t>
      </w:r>
      <w:bookmarkEnd w:id="341"/>
      <w:bookmarkEnd w:id="342"/>
      <w:bookmarkEnd w:id="343"/>
      <w:bookmarkEnd w:id="344"/>
      <w:bookmarkEnd w:id="345"/>
      <w:bookmarkEnd w:id="346"/>
      <w:bookmarkEnd w:id="347"/>
      <w:bookmarkEnd w:id="348"/>
    </w:p>
    <w:p w:rsidR="00AE7868" w:rsidRDefault="00FF2B57">
      <w:pPr>
        <w:pStyle w:val="Caption"/>
        <w:keepNext w:val="0"/>
        <w:spacing w:before="120"/>
        <w:jc w:val="center"/>
        <w:rPr>
          <w:rFonts w:asciiTheme="majorHAnsi" w:eastAsiaTheme="majorEastAsia" w:hAnsiTheme="majorHAnsi" w:cstheme="majorBidi"/>
          <w:color w:val="595959" w:themeColor="text1" w:themeTint="A6"/>
          <w:sz w:val="20"/>
        </w:rPr>
      </w:pPr>
      <w:r>
        <w:rPr>
          <w:rFonts w:asciiTheme="majorHAnsi" w:eastAsiaTheme="majorEastAsia" w:hAnsiTheme="majorHAnsi" w:cstheme="majorBidi"/>
          <w:noProof/>
          <w:color w:val="595959" w:themeColor="text1" w:themeTint="A6"/>
          <w:sz w:val="20"/>
          <w:lang w:eastAsia="en-AU"/>
        </w:rPr>
        <w:drawing>
          <wp:inline distT="0" distB="0" distL="0" distR="0">
            <wp:extent cx="5040245" cy="3107575"/>
            <wp:effectExtent l="19050" t="0" r="800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049376" cy="3113205"/>
                    </a:xfrm>
                    <a:prstGeom prst="rect">
                      <a:avLst/>
                    </a:prstGeom>
                    <a:noFill/>
                    <a:ln w="9525">
                      <a:noFill/>
                      <a:miter lim="800000"/>
                      <a:headEnd/>
                      <a:tailEnd/>
                    </a:ln>
                  </pic:spPr>
                </pic:pic>
              </a:graphicData>
            </a:graphic>
          </wp:inline>
        </w:drawing>
      </w:r>
    </w:p>
    <w:p w:rsidR="00AE7868" w:rsidRDefault="00FF2B57">
      <w:pPr>
        <w:autoSpaceDE w:val="0"/>
        <w:autoSpaceDN w:val="0"/>
        <w:adjustRightInd w:val="0"/>
        <w:spacing w:before="200"/>
        <w:rPr>
          <w:rFonts w:ascii="Cambria" w:eastAsia="Cambria" w:hAnsi="Cambria" w:cs="TimesNewRomanPSMT"/>
        </w:rPr>
      </w:pPr>
      <w:r>
        <w:rPr>
          <w:rFonts w:ascii="Cambria" w:eastAsia="Cambria" w:hAnsi="Cambria" w:cs="TimesNewRomanPS-ItalicMT"/>
          <w:iCs/>
        </w:rPr>
        <w:t>The species within the ‘</w:t>
      </w:r>
      <w:r>
        <w:rPr>
          <w:rFonts w:ascii="Cambria" w:eastAsia="Cambria" w:hAnsi="Cambria" w:cs="TimesNewRomanPS-ItalicMT"/>
          <w:i/>
          <w:iCs/>
        </w:rPr>
        <w:t xml:space="preserve">B. nigricornis </w:t>
      </w:r>
      <w:r>
        <w:rPr>
          <w:rFonts w:ascii="Cambria" w:eastAsia="Cambria" w:hAnsi="Cambria" w:cs="TimesNewRomanPSMT"/>
        </w:rPr>
        <w:t xml:space="preserve">group’ are multivoltine (Hodkinson 2009), </w:t>
      </w:r>
      <w:r>
        <w:rPr>
          <w:rFonts w:ascii="Cambria" w:hAnsi="Cambria"/>
          <w:lang w:val="en-GB"/>
        </w:rPr>
        <w:t xml:space="preserve">overwinter as adults and </w:t>
      </w:r>
      <w:r>
        <w:rPr>
          <w:rFonts w:ascii="Cambria" w:eastAsia="Cambria" w:hAnsi="Cambria" w:cs="TimesNewRomanPSMT"/>
        </w:rPr>
        <w:t xml:space="preserve">feed on a variety of herbaceous </w:t>
      </w:r>
      <w:r>
        <w:rPr>
          <w:rFonts w:ascii="Cambria" w:eastAsia="Cambria" w:hAnsi="Cambria" w:cs="TimesNewRomanPSMT"/>
        </w:rPr>
        <w:lastRenderedPageBreak/>
        <w:t xml:space="preserve">plants, including beet, cabbage, carrot, onion, parsley and potato (Burckhardt &amp; </w:t>
      </w:r>
      <w:r>
        <w:rPr>
          <w:rFonts w:ascii="Cambria" w:hAnsi="Cambria"/>
          <w:lang w:val="en-GB"/>
        </w:rPr>
        <w:t>Lauterer 1997; Lauterer 1991).</w:t>
      </w:r>
      <w:r>
        <w:rPr>
          <w:rFonts w:ascii="Cambria" w:eastAsia="Cambria" w:hAnsi="Cambria" w:cs="TimesNewRomanPSMT"/>
        </w:rPr>
        <w:t xml:space="preserve"> </w:t>
      </w:r>
      <w:r>
        <w:rPr>
          <w:rFonts w:ascii="Cambria" w:eastAsia="Cambria" w:hAnsi="Cambria" w:cs="TimesNewRomanPS-ItalicMT"/>
          <w:i/>
          <w:iCs/>
        </w:rPr>
        <w:t>Bactericera nigricornis</w:t>
      </w:r>
      <w:r>
        <w:rPr>
          <w:rFonts w:ascii="Cambria" w:eastAsia="Cambria" w:hAnsi="Cambria" w:cs="TimesNewRomanPS-ItalicMT"/>
          <w:iCs/>
        </w:rPr>
        <w:t>,</w:t>
      </w:r>
      <w:r>
        <w:rPr>
          <w:rFonts w:ascii="Cambria" w:eastAsia="Cambria" w:hAnsi="Cambria" w:cs="TimesNewRomanPS-ItalicMT"/>
          <w:i/>
          <w:iCs/>
        </w:rPr>
        <w:t xml:space="preserve"> B. tremblayi</w:t>
      </w:r>
      <w:r>
        <w:rPr>
          <w:rFonts w:ascii="Cambria" w:eastAsia="Cambria" w:hAnsi="Cambria" w:cs="TimesNewRomanPSMT"/>
        </w:rPr>
        <w:t xml:space="preserve"> and </w:t>
      </w:r>
      <w:r>
        <w:rPr>
          <w:rFonts w:ascii="Cambria" w:eastAsia="Cambria" w:hAnsi="Cambria" w:cs="TimesNewRomanPS-ItalicMT"/>
          <w:i/>
          <w:iCs/>
        </w:rPr>
        <w:t xml:space="preserve">B. trigonica </w:t>
      </w:r>
      <w:r>
        <w:rPr>
          <w:rFonts w:ascii="Cambria" w:eastAsia="Cambria" w:hAnsi="Cambria" w:cs="TimesNewRomanPS-ItalicMT"/>
          <w:iCs/>
        </w:rPr>
        <w:t>are found in carrot and celery fields in Spain (</w:t>
      </w:r>
      <w:r>
        <w:rPr>
          <w:rFonts w:ascii="Cambria" w:eastAsia="Cambria" w:hAnsi="Cambria" w:cs="TimesNewRomanPSMT"/>
        </w:rPr>
        <w:t xml:space="preserve">Font </w:t>
      </w:r>
      <w:r>
        <w:rPr>
          <w:rFonts w:ascii="Cambria" w:eastAsia="Cambria" w:hAnsi="Cambria" w:cs="TimesNewRomanPS-ItalicMT"/>
          <w:iCs/>
        </w:rPr>
        <w:t>et al</w:t>
      </w:r>
      <w:r>
        <w:rPr>
          <w:rFonts w:ascii="Cambria" w:eastAsia="Cambria" w:hAnsi="Cambria" w:cs="TimesNewRomanPSMT"/>
        </w:rPr>
        <w:t xml:space="preserve">. 2010; Alfaro-Fernández </w:t>
      </w:r>
      <w:r>
        <w:rPr>
          <w:rFonts w:ascii="Cambria" w:eastAsia="Cambria" w:hAnsi="Cambria" w:cs="TimesNewRomanPS-ItalicMT"/>
          <w:iCs/>
        </w:rPr>
        <w:t>et al</w:t>
      </w:r>
      <w:r>
        <w:rPr>
          <w:rFonts w:ascii="Cambria" w:eastAsia="Cambria" w:hAnsi="Cambria" w:cs="TimesNewRomanPSMT"/>
        </w:rPr>
        <w:t>. 2012a; Teresani et al. 2015</w:t>
      </w:r>
      <w:r>
        <w:rPr>
          <w:rFonts w:ascii="Cambria" w:eastAsia="Cambria" w:hAnsi="Cambria" w:cs="TimesNewRomanPS-ItalicMT"/>
          <w:iCs/>
        </w:rPr>
        <w:t xml:space="preserve">). </w:t>
      </w:r>
      <w:r>
        <w:rPr>
          <w:rFonts w:ascii="Cambria" w:eastAsia="Cambria" w:hAnsi="Cambria" w:cs="TimesNewRomanPSMT"/>
        </w:rPr>
        <w:t>‘</w:t>
      </w:r>
      <w:r>
        <w:rPr>
          <w:rFonts w:ascii="Cambria" w:eastAsia="Cambria" w:hAnsi="Cambria" w:cs="TimesNewRomanPSMT"/>
          <w:i/>
        </w:rPr>
        <w:t>Ca</w:t>
      </w:r>
      <w:r>
        <w:rPr>
          <w:rFonts w:ascii="Cambria" w:eastAsia="Cambria" w:hAnsi="Cambria" w:cs="TimesNewRomanPSMT"/>
        </w:rPr>
        <w:t xml:space="preserve">. L. solanacearum’ has been detected in these psyllid species, therefore; these psyllids are potential vectors of the bacterium </w:t>
      </w:r>
      <w:r>
        <w:rPr>
          <w:rFonts w:ascii="Cambria" w:eastAsia="Cambria" w:hAnsi="Cambria" w:cs="TimesNewRomanPS-ItalicMT"/>
          <w:iCs/>
        </w:rPr>
        <w:t>(</w:t>
      </w:r>
      <w:r>
        <w:rPr>
          <w:rFonts w:ascii="Cambria" w:eastAsia="Cambria" w:hAnsi="Cambria" w:cs="TimesNewRomanPSMT"/>
        </w:rPr>
        <w:t>Teresani et al. 2015</w:t>
      </w:r>
      <w:r>
        <w:rPr>
          <w:rFonts w:ascii="Cambria" w:eastAsia="Cambria" w:hAnsi="Cambria" w:cs="TimesNewRomanPS-ItalicMT"/>
          <w:iCs/>
        </w:rPr>
        <w:t xml:space="preserve">). </w:t>
      </w:r>
      <w:r>
        <w:rPr>
          <w:rFonts w:ascii="Cambria" w:eastAsia="Cambria" w:hAnsi="Cambria" w:cs="TimesNewRomanPSMT"/>
        </w:rPr>
        <w:t>It is suspected that more psyllid species may be vectors of ‘</w:t>
      </w:r>
      <w:r>
        <w:rPr>
          <w:rFonts w:ascii="Cambria" w:eastAsia="Cambria" w:hAnsi="Cambria" w:cs="TimesNewRomanPSMT"/>
          <w:i/>
        </w:rPr>
        <w:t>Ca</w:t>
      </w:r>
      <w:r>
        <w:rPr>
          <w:rFonts w:ascii="Cambria" w:eastAsia="Cambria" w:hAnsi="Cambria" w:cs="TimesNewRomanPSMT"/>
        </w:rPr>
        <w:t>. L. solanacearum’. Overlapping host ranges would provide ample opportunity for other members of the ‘</w:t>
      </w:r>
      <w:r>
        <w:rPr>
          <w:rFonts w:ascii="Cambria" w:eastAsia="Cambria" w:hAnsi="Cambria" w:cs="TimesNewRomanPSMT"/>
          <w:i/>
        </w:rPr>
        <w:t xml:space="preserve">B. nigricornis </w:t>
      </w:r>
      <w:r>
        <w:rPr>
          <w:rFonts w:ascii="Cambria" w:eastAsia="Cambria" w:hAnsi="Cambria" w:cs="TimesNewRomanPSMT"/>
        </w:rPr>
        <w:t>group’ that feed on carrot to acquire the ‘</w:t>
      </w:r>
      <w:r>
        <w:rPr>
          <w:rFonts w:ascii="Cambria" w:eastAsia="Cambria" w:hAnsi="Cambria" w:cs="TimesNewRomanPSMT"/>
          <w:i/>
        </w:rPr>
        <w:t>Ca</w:t>
      </w:r>
      <w:r>
        <w:rPr>
          <w:rFonts w:ascii="Cambria" w:eastAsia="Cambria" w:hAnsi="Cambria" w:cs="TimesNewRomanPSMT"/>
        </w:rPr>
        <w:t>. L. solanacearum’ pathogen.</w:t>
      </w:r>
    </w:p>
    <w:p w:rsidR="00AE7868" w:rsidRDefault="00FF2B57">
      <w:pPr>
        <w:autoSpaceDE w:val="0"/>
        <w:autoSpaceDN w:val="0"/>
        <w:adjustRightInd w:val="0"/>
        <w:spacing w:before="200"/>
        <w:rPr>
          <w:rFonts w:ascii="Cambria" w:eastAsia="Cambria" w:hAnsi="Cambria" w:cs="TimesNewRomanPSMT"/>
        </w:rPr>
      </w:pPr>
      <w:r>
        <w:rPr>
          <w:rFonts w:ascii="Cambria" w:eastAsia="Cambria" w:hAnsi="Cambria" w:cs="TimesNewRomanPSMT"/>
        </w:rPr>
        <w:t>‘</w:t>
      </w:r>
      <w:r>
        <w:rPr>
          <w:rFonts w:ascii="Cambria" w:eastAsia="Cambria" w:hAnsi="Cambria" w:cs="TimesNewRomanPSMT"/>
          <w:i/>
        </w:rPr>
        <w:t>Candidatus</w:t>
      </w:r>
      <w:r>
        <w:rPr>
          <w:rFonts w:ascii="Cambria" w:eastAsia="Cambria" w:hAnsi="Cambria" w:cs="TimesNewRomanPSMT"/>
        </w:rPr>
        <w:t xml:space="preserve"> Liberibacter solanacearum’ associated with apiaceous crops has been detected in a potato plant growing in a carrot field, which was heavily infested with </w:t>
      </w:r>
      <w:r>
        <w:rPr>
          <w:rFonts w:ascii="Cambria" w:eastAsia="Cambria" w:hAnsi="Cambria" w:cs="TimesNewRomanPSMT"/>
          <w:i/>
        </w:rPr>
        <w:t>T. apicalis</w:t>
      </w:r>
      <w:r>
        <w:rPr>
          <w:rFonts w:ascii="Cambria" w:eastAsia="Cambria" w:hAnsi="Cambria" w:cs="TimesNewRomanPSMT"/>
        </w:rPr>
        <w:t xml:space="preserve"> (Nissinen et al. 2014; FERA 2014). However, it is not clear whether carrot ‘</w:t>
      </w:r>
      <w:r>
        <w:rPr>
          <w:rFonts w:ascii="Cambria" w:eastAsia="Cambria" w:hAnsi="Cambria" w:cs="TimesNewRomanPSMT"/>
          <w:i/>
        </w:rPr>
        <w:t>Ca</w:t>
      </w:r>
      <w:r>
        <w:rPr>
          <w:rFonts w:ascii="Cambria" w:eastAsia="Cambria" w:hAnsi="Cambria" w:cs="TimesNewRomanPSMT"/>
        </w:rPr>
        <w:t>. L. solanacearum’ (haplotypes C, D &amp; E) can produce systemic infections in potato.</w:t>
      </w:r>
    </w:p>
    <w:p w:rsidR="00AE7868" w:rsidRDefault="00FF2B57">
      <w:pPr>
        <w:pStyle w:val="Heading4"/>
        <w:spacing w:before="200"/>
        <w:rPr>
          <w:i/>
        </w:rPr>
      </w:pPr>
      <w:r>
        <w:rPr>
          <w:i/>
        </w:rPr>
        <w:t>Bactericera nigricornis</w:t>
      </w:r>
    </w:p>
    <w:p w:rsidR="00AE7868" w:rsidRDefault="00FF2B57">
      <w:pPr>
        <w:autoSpaceDE w:val="0"/>
        <w:autoSpaceDN w:val="0"/>
        <w:adjustRightInd w:val="0"/>
        <w:spacing w:before="200"/>
        <w:rPr>
          <w:rFonts w:ascii="Cambria" w:eastAsia="Cambria" w:hAnsi="Cambria"/>
        </w:rPr>
      </w:pPr>
      <w:r>
        <w:rPr>
          <w:rFonts w:ascii="Cambria" w:eastAsia="WarnockPro-Regular" w:hAnsi="Cambria" w:cs="WarnockPro-Regular"/>
        </w:rPr>
        <w:t xml:space="preserve">The origin of </w:t>
      </w:r>
      <w:r>
        <w:rPr>
          <w:rFonts w:ascii="Cambria" w:eastAsia="Cambria" w:hAnsi="Cambria" w:cs="TimesNewRomanPS-ItalicMT"/>
          <w:i/>
          <w:iCs/>
        </w:rPr>
        <w:t xml:space="preserve">B. nigricornis </w:t>
      </w:r>
      <w:r>
        <w:rPr>
          <w:rFonts w:ascii="Cambria" w:eastAsia="Cambria" w:hAnsi="Cambria" w:cs="TimesNewRomanPS-ItalicMT"/>
          <w:iCs/>
        </w:rPr>
        <w:t xml:space="preserve">(synonym </w:t>
      </w:r>
      <w:r>
        <w:rPr>
          <w:rFonts w:ascii="Cambria" w:eastAsia="Cambria" w:hAnsi="Cambria" w:cs="TimesNewRomanPS-ItalicMT"/>
          <w:i/>
          <w:iCs/>
        </w:rPr>
        <w:t>Trioza nigricornis</w:t>
      </w:r>
      <w:r>
        <w:rPr>
          <w:rFonts w:ascii="Cambria" w:eastAsia="Cambria" w:hAnsi="Cambria" w:cs="TimesNewRomanPS-ItalicMT"/>
          <w:iCs/>
        </w:rPr>
        <w:t>)</w:t>
      </w:r>
      <w:r>
        <w:rPr>
          <w:rFonts w:ascii="Cambria" w:eastAsia="WarnockPro-Regular" w:hAnsi="Cambria" w:cs="WarnockPro-Regular"/>
        </w:rPr>
        <w:t xml:space="preserve"> is unknown, but it was described from Germany (Forster 1848, cited in Hodkinson 1981) and has subsequently been recorded throughout Europe, Asia Minor, North Africa and from as far east as Siberia (Hodkinson 1981). Earlier studies suggested that </w:t>
      </w:r>
      <w:r>
        <w:rPr>
          <w:rFonts w:ascii="Cambria" w:eastAsia="WarnockPro-Regular" w:hAnsi="Cambria" w:cs="WarnockPro-Regular"/>
          <w:i/>
        </w:rPr>
        <w:t>B. nigricornis</w:t>
      </w:r>
      <w:r>
        <w:rPr>
          <w:rFonts w:ascii="Cambria" w:eastAsia="WarnockPro-Regular" w:hAnsi="Cambria" w:cs="WarnockPro-Regular"/>
        </w:rPr>
        <w:t xml:space="preserve"> is highly polyphagous, feeding and developing on carrot, parsley, potato, beet, brassicas, onion and radish in addition to a variety of weed species in a number of </w:t>
      </w:r>
      <w:r>
        <w:rPr>
          <w:rFonts w:ascii="Cambria" w:eastAsia="WarnockPro-Regular" w:hAnsi="Cambria" w:cs="WarnockPro-Regular"/>
        </w:rPr>
        <w:lastRenderedPageBreak/>
        <w:t xml:space="preserve">families (Hodkinson 1981). Adults are also reported to overwinter on conifers (Reuter 1908, cited in Hodkinson 1981; Figure 8A). In Sweden, </w:t>
      </w:r>
      <w:r>
        <w:rPr>
          <w:rFonts w:ascii="Cambria" w:eastAsia="Cambria" w:hAnsi="Cambria"/>
          <w:i/>
          <w:iCs/>
        </w:rPr>
        <w:t xml:space="preserve">B. nigricornis </w:t>
      </w:r>
      <w:r>
        <w:rPr>
          <w:rFonts w:ascii="Cambria" w:eastAsia="WarnockPro-Regular" w:hAnsi="Cambria" w:cs="WarnockPro-Regular"/>
        </w:rPr>
        <w:t xml:space="preserve">was reported to </w:t>
      </w:r>
      <w:r>
        <w:rPr>
          <w:rFonts w:ascii="Cambria" w:eastAsia="Cambria" w:hAnsi="Cambria"/>
        </w:rPr>
        <w:t xml:space="preserve">breed on </w:t>
      </w:r>
      <w:r>
        <w:rPr>
          <w:rFonts w:ascii="Cambria" w:eastAsia="Cambria" w:hAnsi="Cambria"/>
          <w:i/>
          <w:iCs/>
        </w:rPr>
        <w:t xml:space="preserve">Brassica </w:t>
      </w:r>
      <w:r>
        <w:rPr>
          <w:rFonts w:ascii="Cambria" w:eastAsia="Cambria" w:hAnsi="Cambria"/>
          <w:iCs/>
        </w:rPr>
        <w:t xml:space="preserve">species </w:t>
      </w:r>
      <w:r>
        <w:rPr>
          <w:rFonts w:ascii="Cambria" w:eastAsia="Cambria" w:hAnsi="Cambria"/>
        </w:rPr>
        <w:t xml:space="preserve">and adults to occur, but not breed, on carrot (Lundblad 1929, </w:t>
      </w:r>
      <w:r>
        <w:rPr>
          <w:rFonts w:ascii="Cambria" w:eastAsia="WarnockPro-Regular" w:hAnsi="Cambria" w:cs="WarnockPro-Regular"/>
        </w:rPr>
        <w:t>cited in Hodkinson 1981). In contrast, in Germany this psyllid was reported to breed on carrot and parsley, while beetroot and Jimson weed (</w:t>
      </w:r>
      <w:r>
        <w:rPr>
          <w:rFonts w:ascii="Cambria" w:eastAsia="WarnockPro-Regular" w:hAnsi="Cambria" w:cs="WarnockPro-Regular"/>
          <w:i/>
        </w:rPr>
        <w:t>Datura stramonium</w:t>
      </w:r>
      <w:r>
        <w:rPr>
          <w:rFonts w:ascii="Cambria" w:eastAsia="WarnockPro-Regular" w:hAnsi="Cambria" w:cs="WarnockPro-Regular"/>
        </w:rPr>
        <w:t xml:space="preserve">) were alternative hosts (Bey 1931, cited in Hodkinson 1981). Later on, potato and </w:t>
      </w:r>
      <w:r>
        <w:rPr>
          <w:rFonts w:ascii="Cambria" w:eastAsia="WarnockPro-Regular" w:hAnsi="Cambria" w:cs="WarnockPro-Regular"/>
          <w:i/>
        </w:rPr>
        <w:t>Brassica</w:t>
      </w:r>
      <w:r>
        <w:rPr>
          <w:rFonts w:ascii="Cambria" w:eastAsia="WarnockPro-Regular" w:hAnsi="Cambria" w:cs="WarnockPro-Regular"/>
        </w:rPr>
        <w:t xml:space="preserve"> species were listed as the main hosts of this psyllid in Germany (</w:t>
      </w:r>
      <w:r>
        <w:rPr>
          <w:rFonts w:ascii="Cambria" w:eastAsia="Cambria" w:hAnsi="Cambria"/>
        </w:rPr>
        <w:t xml:space="preserve">Heinze &amp; Profit 1939, </w:t>
      </w:r>
      <w:r>
        <w:rPr>
          <w:rFonts w:ascii="Cambria" w:eastAsia="WarnockPro-Regular" w:hAnsi="Cambria" w:cs="WarnockPro-Regular"/>
        </w:rPr>
        <w:t>cited in Hodkinson 1981), Sweden and the Netherlands (</w:t>
      </w:r>
      <w:r>
        <w:rPr>
          <w:rFonts w:ascii="Cambria" w:eastAsia="Cambria" w:hAnsi="Cambria"/>
        </w:rPr>
        <w:t>Ossiannilsson 1943 and Gravestein 1949, cited in</w:t>
      </w:r>
      <w:r>
        <w:rPr>
          <w:rFonts w:ascii="Cambria" w:eastAsia="WarnockPro-Regular" w:hAnsi="Cambria" w:cs="WarnockPro-Regular"/>
        </w:rPr>
        <w:t xml:space="preserve"> Hodkinson 1981</w:t>
      </w:r>
      <w:r>
        <w:rPr>
          <w:rFonts w:ascii="Cambria" w:eastAsia="Cambria" w:hAnsi="Cambria"/>
        </w:rPr>
        <w:t>).</w:t>
      </w:r>
    </w:p>
    <w:p w:rsidR="00AE7868" w:rsidRDefault="00FF2B57">
      <w:pPr>
        <w:pStyle w:val="Caption"/>
        <w:keepNext w:val="0"/>
        <w:spacing w:before="120"/>
        <w:rPr>
          <w:rFonts w:asciiTheme="majorHAnsi" w:eastAsiaTheme="majorEastAsia" w:hAnsiTheme="majorHAnsi" w:cstheme="majorBidi"/>
          <w:color w:val="595959" w:themeColor="text1" w:themeTint="A6"/>
          <w:sz w:val="20"/>
        </w:rPr>
      </w:pPr>
      <w:bookmarkStart w:id="349" w:name="_Toc418712818"/>
      <w:bookmarkStart w:id="350" w:name="_Toc421786886"/>
      <w:bookmarkStart w:id="351" w:name="_Toc428785239"/>
      <w:bookmarkStart w:id="352" w:name="_Toc430256496"/>
      <w:bookmarkStart w:id="353" w:name="_Toc432876724"/>
      <w:bookmarkStart w:id="354" w:name="_Toc433293357"/>
      <w:bookmarkStart w:id="355" w:name="_Toc433707301"/>
      <w:bookmarkStart w:id="356" w:name="_Toc433796465"/>
      <w:bookmarkStart w:id="357" w:name="_Toc437355960"/>
      <w:bookmarkStart w:id="358" w:name="_Toc437355992"/>
      <w:r>
        <w:rPr>
          <w:rFonts w:asciiTheme="majorHAnsi" w:eastAsiaTheme="majorEastAsia" w:hAnsiTheme="majorHAnsi" w:cstheme="majorBidi"/>
          <w:color w:val="595959" w:themeColor="text1" w:themeTint="A6"/>
          <w:sz w:val="20"/>
        </w:rPr>
        <w:t xml:space="preserve">Figure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Figure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8</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w:t>
      </w:r>
      <w:r>
        <w:rPr>
          <w:rFonts w:asciiTheme="majorHAnsi" w:eastAsiaTheme="majorEastAsia" w:hAnsiTheme="majorHAnsi" w:cstheme="majorBidi"/>
          <w:i/>
          <w:color w:val="595959" w:themeColor="text1" w:themeTint="A6"/>
          <w:sz w:val="20"/>
        </w:rPr>
        <w:t>Bactericera nigricornis</w:t>
      </w:r>
      <w:r>
        <w:rPr>
          <w:rFonts w:asciiTheme="majorHAnsi" w:eastAsiaTheme="majorEastAsia" w:hAnsiTheme="majorHAnsi" w:cstheme="majorBidi"/>
          <w:color w:val="595959" w:themeColor="text1" w:themeTint="A6"/>
          <w:sz w:val="20"/>
        </w:rPr>
        <w:t>:</w:t>
      </w:r>
      <w:r>
        <w:rPr>
          <w:rFonts w:asciiTheme="majorHAnsi" w:eastAsiaTheme="majorEastAsia" w:hAnsiTheme="majorHAnsi" w:cstheme="majorBidi"/>
          <w:i/>
          <w:color w:val="595959" w:themeColor="text1" w:themeTint="A6"/>
          <w:sz w:val="20"/>
        </w:rPr>
        <w:t xml:space="preserve"> </w:t>
      </w:r>
      <w:r>
        <w:rPr>
          <w:rFonts w:asciiTheme="majorHAnsi" w:eastAsiaTheme="majorEastAsia" w:hAnsiTheme="majorHAnsi" w:cstheme="majorBidi"/>
          <w:color w:val="595959" w:themeColor="text1" w:themeTint="A6"/>
          <w:sz w:val="20"/>
        </w:rPr>
        <w:t xml:space="preserve">(A) adult; (B) small elongated eggs; (C) eggs on stalk; (D) nymphs; and </w:t>
      </w:r>
      <w:bookmarkEnd w:id="349"/>
      <w:r>
        <w:rPr>
          <w:rFonts w:asciiTheme="majorHAnsi" w:eastAsiaTheme="majorEastAsia" w:hAnsiTheme="majorHAnsi" w:cstheme="majorBidi"/>
          <w:color w:val="595959" w:themeColor="text1" w:themeTint="A6"/>
          <w:sz w:val="20"/>
        </w:rPr>
        <w:t>(E) adult</w:t>
      </w:r>
      <w:bookmarkEnd w:id="350"/>
      <w:bookmarkEnd w:id="351"/>
      <w:bookmarkEnd w:id="352"/>
      <w:bookmarkEnd w:id="353"/>
      <w:bookmarkEnd w:id="354"/>
      <w:bookmarkEnd w:id="355"/>
      <w:bookmarkEnd w:id="356"/>
      <w:bookmarkEnd w:id="357"/>
      <w:bookmarkEnd w:id="358"/>
    </w:p>
    <w:p w:rsidR="00AE7868" w:rsidRDefault="00FF2B57">
      <w:pPr>
        <w:autoSpaceDE w:val="0"/>
        <w:autoSpaceDN w:val="0"/>
        <w:adjustRightInd w:val="0"/>
        <w:jc w:val="center"/>
        <w:rPr>
          <w:rFonts w:ascii="Cambria" w:eastAsia="Cambria" w:hAnsi="Cambria" w:cs="TimesNewRomanPSMT"/>
        </w:rPr>
      </w:pPr>
      <w:r>
        <w:rPr>
          <w:rFonts w:ascii="Cambria" w:eastAsia="Cambria" w:hAnsi="Cambria" w:cs="TimesNewRomanPSMT"/>
          <w:noProof/>
          <w:sz w:val="18"/>
          <w:szCs w:val="18"/>
          <w:lang w:eastAsia="en-AU"/>
        </w:rPr>
        <w:lastRenderedPageBreak/>
        <w:drawing>
          <wp:inline distT="0" distB="0" distL="0" distR="0">
            <wp:extent cx="3676650" cy="287845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3676650" cy="2878455"/>
                    </a:xfrm>
                    <a:prstGeom prst="rect">
                      <a:avLst/>
                    </a:prstGeom>
                    <a:noFill/>
                    <a:ln w="9525">
                      <a:noFill/>
                      <a:miter lim="800000"/>
                      <a:headEnd/>
                      <a:tailEnd/>
                    </a:ln>
                  </pic:spPr>
                </pic:pic>
              </a:graphicData>
            </a:graphic>
          </wp:inline>
        </w:drawing>
      </w:r>
    </w:p>
    <w:p w:rsidR="00AE7868" w:rsidRDefault="00FF2B57">
      <w:pPr>
        <w:autoSpaceDE w:val="0"/>
        <w:autoSpaceDN w:val="0"/>
        <w:adjustRightInd w:val="0"/>
        <w:rPr>
          <w:rFonts w:ascii="Cambria" w:eastAsia="Cambria" w:hAnsi="Cambria" w:cs="MeridienLTStd-Roman"/>
          <w:sz w:val="18"/>
          <w:szCs w:val="18"/>
        </w:rPr>
      </w:pPr>
      <w:r>
        <w:rPr>
          <w:rFonts w:ascii="Cambria" w:eastAsia="Cambria" w:hAnsi="Cambria" w:cs="MeridienLTStd-Roman"/>
          <w:sz w:val="18"/>
          <w:szCs w:val="18"/>
        </w:rPr>
        <w:t>Source: Ouvrard (2015).</w:t>
      </w:r>
    </w:p>
    <w:p w:rsidR="00AE7868" w:rsidRDefault="00FF2B57">
      <w:pPr>
        <w:autoSpaceDE w:val="0"/>
        <w:autoSpaceDN w:val="0"/>
        <w:adjustRightInd w:val="0"/>
        <w:spacing w:before="200"/>
        <w:rPr>
          <w:rFonts w:ascii="Cambria" w:eastAsia="Cambria" w:hAnsi="Cambria" w:cs="TimesNewRomanPS-ItalicMT"/>
          <w:iCs/>
        </w:rPr>
      </w:pPr>
      <w:r>
        <w:rPr>
          <w:rFonts w:ascii="Cambria" w:eastAsia="Cambria" w:hAnsi="Cambria" w:cs="TimesNewRomanPS-ItalicMT"/>
          <w:i/>
          <w:iCs/>
        </w:rPr>
        <w:t>Bactericera nigricornis</w:t>
      </w:r>
      <w:r>
        <w:rPr>
          <w:rFonts w:ascii="Cambria" w:eastAsia="Cambria" w:hAnsi="Cambria" w:cs="TimesNewRomanPS-ItalicMT"/>
          <w:iCs/>
        </w:rPr>
        <w:t xml:space="preserve"> is a major pest of potatoes in Iran (Fathi 2011). Females lay eggs on the lower surface of potato leaves. After hatching, the nymphs feed on plant sap and excrete large amounts of honeydew (Fathi &amp; Nouri-Ganbalani 2008). Field observations in Iran indicate that in potato fields infested with </w:t>
      </w:r>
      <w:r>
        <w:rPr>
          <w:rFonts w:ascii="Cambria" w:eastAsia="Cambria" w:hAnsi="Cambria" w:cs="TimesNewRomanPS-ItalicMT"/>
          <w:i/>
          <w:iCs/>
        </w:rPr>
        <w:t>B. nigricornis</w:t>
      </w:r>
      <w:r>
        <w:rPr>
          <w:rFonts w:ascii="Cambria" w:eastAsia="Cambria" w:hAnsi="Cambria" w:cs="TimesNewRomanPS-ItalicMT"/>
          <w:iCs/>
        </w:rPr>
        <w:t xml:space="preserve">, yield is decreased, and a striped pattern of necrosis develops in the tuber cross-section (Fathi 2011). </w:t>
      </w:r>
      <w:r>
        <w:rPr>
          <w:rFonts w:ascii="Cambria" w:hAnsi="Cambria" w:cs="AdvOT863180fb"/>
          <w:color w:val="000000"/>
        </w:rPr>
        <w:t xml:space="preserve">These symptoms resemble those that develop in tubers of potato infested with </w:t>
      </w:r>
      <w:r>
        <w:rPr>
          <w:rFonts w:ascii="Cambria" w:hAnsi="Cambria" w:cs="AdvOT863180fb"/>
          <w:i/>
          <w:color w:val="000000"/>
        </w:rPr>
        <w:t>B. cockerelli</w:t>
      </w:r>
      <w:r>
        <w:rPr>
          <w:rFonts w:ascii="Cambria" w:hAnsi="Cambria" w:cs="AdvOT863180fb"/>
          <w:color w:val="000000"/>
        </w:rPr>
        <w:t xml:space="preserve"> (Fathi &amp; Nouri-Ganbalani 2008). </w:t>
      </w:r>
      <w:r>
        <w:rPr>
          <w:rFonts w:ascii="Cambria" w:eastAsia="Cambria" w:hAnsi="Cambria" w:cs="TimesNewRomanPS-ItalicMT"/>
          <w:iCs/>
        </w:rPr>
        <w:t>However, currently there is no information on the presence of ‘</w:t>
      </w:r>
      <w:r>
        <w:rPr>
          <w:rFonts w:ascii="Cambria" w:eastAsia="Cambria" w:hAnsi="Cambria" w:cs="TimesNewRomanPS-ItalicMT"/>
          <w:i/>
          <w:iCs/>
        </w:rPr>
        <w:t xml:space="preserve">Ca. </w:t>
      </w:r>
      <w:r>
        <w:rPr>
          <w:rFonts w:ascii="Cambria" w:eastAsia="Cambria" w:hAnsi="Cambria" w:cs="TimesNewRomanPS-ItalicMT"/>
          <w:iCs/>
        </w:rPr>
        <w:t xml:space="preserve">Liberibacter solanacearum’ and </w:t>
      </w:r>
      <w:r>
        <w:rPr>
          <w:rFonts w:ascii="Cambria" w:eastAsia="Cambria" w:hAnsi="Cambria" w:cs="TimesNewRomanPS-ItalicMT"/>
          <w:i/>
          <w:iCs/>
        </w:rPr>
        <w:t>B. cockerelli</w:t>
      </w:r>
      <w:r>
        <w:rPr>
          <w:rFonts w:ascii="Cambria" w:eastAsia="Cambria" w:hAnsi="Cambria" w:cs="TimesNewRomanPS-ItalicMT"/>
          <w:iCs/>
        </w:rPr>
        <w:t xml:space="preserve"> in Iran. </w:t>
      </w:r>
      <w:r>
        <w:rPr>
          <w:rFonts w:ascii="Cambria" w:eastAsia="Cambria" w:hAnsi="Cambria" w:cs="TimesNewRomanPS-ItalicMT"/>
          <w:i/>
          <w:iCs/>
        </w:rPr>
        <w:t>Bactericera nigricornis</w:t>
      </w:r>
      <w:r>
        <w:rPr>
          <w:rFonts w:ascii="Cambria" w:eastAsia="Cambria" w:hAnsi="Cambria" w:cs="TimesNewRomanPS-ItalicMT"/>
          <w:iCs/>
        </w:rPr>
        <w:t xml:space="preserve"> </w:t>
      </w:r>
      <w:r>
        <w:rPr>
          <w:rFonts w:ascii="Cambria" w:eastAsia="Cambria" w:hAnsi="Cambria" w:cs="TimesNewRomanPS-ItalicMT"/>
          <w:iCs/>
        </w:rPr>
        <w:lastRenderedPageBreak/>
        <w:t xml:space="preserve">may possibly transmit Zebra Chip disease in infested potatoes, but no study has investigated this possibility in Iran (Fathi 2011). </w:t>
      </w:r>
    </w:p>
    <w:p w:rsidR="00AE7868" w:rsidRDefault="00FF2B57">
      <w:pPr>
        <w:pStyle w:val="Heading4"/>
        <w:spacing w:before="200"/>
        <w:rPr>
          <w:i/>
        </w:rPr>
      </w:pPr>
      <w:r>
        <w:rPr>
          <w:i/>
        </w:rPr>
        <w:t>Bactericera tremblayi</w:t>
      </w:r>
    </w:p>
    <w:p w:rsidR="00AE7868" w:rsidRDefault="00FF2B57">
      <w:pPr>
        <w:autoSpaceDE w:val="0"/>
        <w:autoSpaceDN w:val="0"/>
        <w:adjustRightInd w:val="0"/>
        <w:spacing w:before="200"/>
        <w:rPr>
          <w:rFonts w:ascii="Cambria" w:eastAsia="Cambria" w:hAnsi="Cambria"/>
        </w:rPr>
      </w:pPr>
      <w:r>
        <w:rPr>
          <w:rFonts w:ascii="Cambria" w:eastAsia="Cambria" w:hAnsi="Cambria" w:cs="TimesNewRomanPS-ItalicMT"/>
          <w:i/>
          <w:iCs/>
        </w:rPr>
        <w:t>Bactericera tremblayi</w:t>
      </w:r>
      <w:r>
        <w:rPr>
          <w:rFonts w:ascii="Cambria" w:eastAsia="Cambria" w:hAnsi="Cambria" w:cs="TimesNewRomanPSMT"/>
        </w:rPr>
        <w:t xml:space="preserve"> was described on onion, in Italy (Wagner 1961; Tremblay 1965a, b). However, the psyllid was also reported to breed on </w:t>
      </w:r>
      <w:r>
        <w:rPr>
          <w:rFonts w:ascii="Cambria" w:eastAsia="Cambria" w:hAnsi="Cambria"/>
          <w:i/>
          <w:iCs/>
        </w:rPr>
        <w:t xml:space="preserve">Brassica </w:t>
      </w:r>
      <w:r>
        <w:rPr>
          <w:rFonts w:ascii="Cambria" w:eastAsia="Cambria" w:hAnsi="Cambria"/>
        </w:rPr>
        <w:t xml:space="preserve">species, </w:t>
      </w:r>
      <w:r>
        <w:rPr>
          <w:rFonts w:ascii="Cambria" w:eastAsia="Cambria" w:hAnsi="Cambria"/>
          <w:i/>
          <w:iCs/>
        </w:rPr>
        <w:t>Capsella burso-pastori</w:t>
      </w:r>
      <w:r>
        <w:rPr>
          <w:rFonts w:ascii="Cambria" w:eastAsia="Cambria" w:hAnsi="Cambria"/>
          <w:iCs/>
        </w:rPr>
        <w:t>,</w:t>
      </w:r>
      <w:r>
        <w:rPr>
          <w:rFonts w:ascii="Cambria" w:eastAsia="Cambria" w:hAnsi="Cambria"/>
          <w:i/>
          <w:iCs/>
        </w:rPr>
        <w:t xml:space="preserve"> Capsicum </w:t>
      </w:r>
      <w:r>
        <w:rPr>
          <w:rFonts w:ascii="Cambria" w:eastAsia="Cambria" w:hAnsi="Cambria"/>
        </w:rPr>
        <w:t xml:space="preserve">species, </w:t>
      </w:r>
      <w:r>
        <w:rPr>
          <w:rFonts w:ascii="Cambria" w:eastAsia="Cambria" w:hAnsi="Cambria"/>
          <w:i/>
          <w:iCs/>
        </w:rPr>
        <w:t xml:space="preserve">Chenopodium </w:t>
      </w:r>
      <w:r>
        <w:rPr>
          <w:rFonts w:ascii="Cambria" w:eastAsia="Cambria" w:hAnsi="Cambria"/>
        </w:rPr>
        <w:t xml:space="preserve">species and </w:t>
      </w:r>
      <w:r>
        <w:rPr>
          <w:rFonts w:ascii="Cambria" w:eastAsia="Cambria" w:hAnsi="Cambria"/>
          <w:i/>
          <w:iCs/>
        </w:rPr>
        <w:t>Stellaria media</w:t>
      </w:r>
      <w:r>
        <w:rPr>
          <w:rFonts w:ascii="Cambria" w:eastAsia="Cambria" w:hAnsi="Cambria"/>
        </w:rPr>
        <w:t xml:space="preserve"> </w:t>
      </w:r>
      <w:r>
        <w:rPr>
          <w:rFonts w:ascii="Cambria" w:eastAsia="Cambria" w:hAnsi="Cambria"/>
          <w:iCs/>
        </w:rPr>
        <w:t>(</w:t>
      </w:r>
      <w:r>
        <w:rPr>
          <w:rFonts w:ascii="Cambria" w:eastAsia="Cambria" w:hAnsi="Cambria" w:cs="TimesNewRomanPSMT"/>
        </w:rPr>
        <w:t xml:space="preserve">Tremblay 1965a, b). Oviposition did not occur on small, hairy potato </w:t>
      </w:r>
      <w:r>
        <w:rPr>
          <w:rFonts w:ascii="Cambria" w:eastAsia="Cambria" w:hAnsi="Cambria"/>
        </w:rPr>
        <w:t xml:space="preserve">plants but some eggs (Figure 9B) and nymphs (Figure 9D) were found on a larger potato plant. Therefore, this psyllid appears to be polyphagous and share several common host-plants with </w:t>
      </w:r>
      <w:r>
        <w:rPr>
          <w:rFonts w:ascii="Cambria" w:eastAsia="Cambria" w:hAnsi="Cambria" w:cs="TimesNewRomanPS-ItalicMT"/>
          <w:i/>
          <w:iCs/>
        </w:rPr>
        <w:t>B.</w:t>
      </w:r>
      <w:r>
        <w:rPr>
          <w:rFonts w:ascii="Cambria" w:eastAsia="Cambria" w:hAnsi="Cambria"/>
          <w:i/>
          <w:iCs/>
        </w:rPr>
        <w:t xml:space="preserve"> nigricornis. </w:t>
      </w:r>
      <w:r>
        <w:rPr>
          <w:rFonts w:ascii="Cambria" w:eastAsia="Cambria" w:hAnsi="Cambria"/>
          <w:iCs/>
        </w:rPr>
        <w:t xml:space="preserve">The range of this species has </w:t>
      </w:r>
      <w:r>
        <w:rPr>
          <w:rFonts w:ascii="Cambria" w:eastAsia="Cambria" w:hAnsi="Cambria"/>
        </w:rPr>
        <w:t xml:space="preserve">subsequently been extended to include Turkey (Klimaszewski &amp; Lodos 1979) and possibly Syria (Klimaszewski 1968). Some authors have continued to apply the name </w:t>
      </w:r>
      <w:r>
        <w:rPr>
          <w:rFonts w:ascii="Cambria" w:eastAsia="Cambria" w:hAnsi="Cambria" w:cs="TimesNewRomanPS-ItalicMT"/>
          <w:i/>
          <w:iCs/>
        </w:rPr>
        <w:t>B.</w:t>
      </w:r>
      <w:r>
        <w:rPr>
          <w:rFonts w:ascii="Cambria" w:eastAsia="Cambria" w:hAnsi="Cambria"/>
          <w:i/>
          <w:iCs/>
        </w:rPr>
        <w:t xml:space="preserve"> nigricornis</w:t>
      </w:r>
      <w:r>
        <w:rPr>
          <w:rFonts w:ascii="Cambria" w:eastAsia="Cambria" w:hAnsi="Cambria"/>
        </w:rPr>
        <w:t xml:space="preserve"> to a species breeding on wild onions (</w:t>
      </w:r>
      <w:r>
        <w:rPr>
          <w:rFonts w:ascii="Cambria" w:eastAsia="Cambria" w:hAnsi="Cambria"/>
          <w:i/>
        </w:rPr>
        <w:t xml:space="preserve">Allium </w:t>
      </w:r>
      <w:r>
        <w:rPr>
          <w:rFonts w:ascii="Cambria" w:eastAsia="Cambria" w:hAnsi="Cambria"/>
        </w:rPr>
        <w:t xml:space="preserve">species) in Mongolia and Caucasus (Loginova 1968; 1970). </w:t>
      </w:r>
    </w:p>
    <w:p w:rsidR="00AE7868" w:rsidRDefault="00FF2B57">
      <w:pPr>
        <w:pStyle w:val="Caption"/>
        <w:keepLines/>
        <w:spacing w:before="120"/>
        <w:rPr>
          <w:rFonts w:asciiTheme="majorHAnsi" w:eastAsiaTheme="majorEastAsia" w:hAnsiTheme="majorHAnsi" w:cstheme="majorBidi"/>
          <w:color w:val="595959" w:themeColor="text1" w:themeTint="A6"/>
          <w:sz w:val="20"/>
        </w:rPr>
      </w:pPr>
      <w:bookmarkStart w:id="359" w:name="_Toc428785240"/>
      <w:bookmarkStart w:id="360" w:name="_Toc430256497"/>
      <w:bookmarkStart w:id="361" w:name="_Toc432876725"/>
      <w:bookmarkStart w:id="362" w:name="_Toc433293358"/>
      <w:bookmarkStart w:id="363" w:name="_Toc433707302"/>
      <w:bookmarkStart w:id="364" w:name="_Toc433796466"/>
      <w:bookmarkStart w:id="365" w:name="_Toc437355961"/>
      <w:bookmarkStart w:id="366" w:name="_Toc437355993"/>
      <w:bookmarkStart w:id="367" w:name="_Toc418712819"/>
      <w:bookmarkStart w:id="368" w:name="_Toc421786887"/>
      <w:r>
        <w:rPr>
          <w:rFonts w:asciiTheme="majorHAnsi" w:eastAsiaTheme="majorEastAsia" w:hAnsiTheme="majorHAnsi" w:cstheme="majorBidi"/>
          <w:color w:val="595959" w:themeColor="text1" w:themeTint="A6"/>
          <w:sz w:val="20"/>
        </w:rPr>
        <w:lastRenderedPageBreak/>
        <w:t xml:space="preserve">Figure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Figure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9</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w:t>
      </w:r>
      <w:r>
        <w:rPr>
          <w:rFonts w:asciiTheme="majorHAnsi" w:eastAsiaTheme="majorEastAsia" w:hAnsiTheme="majorHAnsi" w:cstheme="majorBidi"/>
          <w:i/>
          <w:color w:val="595959" w:themeColor="text1" w:themeTint="A6"/>
          <w:sz w:val="20"/>
        </w:rPr>
        <w:t>Bactericera tremblayi</w:t>
      </w:r>
      <w:r>
        <w:rPr>
          <w:rFonts w:asciiTheme="majorHAnsi" w:eastAsiaTheme="majorEastAsia" w:hAnsiTheme="majorHAnsi" w:cstheme="majorBidi"/>
          <w:color w:val="595959" w:themeColor="text1" w:themeTint="A6"/>
          <w:sz w:val="20"/>
        </w:rPr>
        <w:t>: (A) adult; (B) small elongated eggs; (C) eggs on stalk; and (D) nymphs</w:t>
      </w:r>
      <w:bookmarkEnd w:id="359"/>
      <w:bookmarkEnd w:id="360"/>
      <w:bookmarkEnd w:id="361"/>
      <w:bookmarkEnd w:id="362"/>
      <w:bookmarkEnd w:id="363"/>
      <w:bookmarkEnd w:id="364"/>
      <w:bookmarkEnd w:id="365"/>
      <w:bookmarkEnd w:id="366"/>
      <w:r>
        <w:rPr>
          <w:rFonts w:asciiTheme="majorHAnsi" w:eastAsiaTheme="majorEastAsia" w:hAnsiTheme="majorHAnsi" w:cstheme="majorBidi"/>
          <w:color w:val="595959" w:themeColor="text1" w:themeTint="A6"/>
          <w:sz w:val="20"/>
        </w:rPr>
        <w:t xml:space="preserve"> </w:t>
      </w:r>
      <w:bookmarkEnd w:id="367"/>
      <w:bookmarkEnd w:id="368"/>
    </w:p>
    <w:p w:rsidR="00AE7868" w:rsidRDefault="00FF2B57">
      <w:pPr>
        <w:jc w:val="center"/>
      </w:pPr>
      <w:r>
        <w:rPr>
          <w:noProof/>
          <w:lang w:eastAsia="en-AU"/>
        </w:rPr>
        <w:drawing>
          <wp:inline distT="0" distB="0" distL="0" distR="0">
            <wp:extent cx="3145790" cy="2968625"/>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3145790" cy="2968625"/>
                    </a:xfrm>
                    <a:prstGeom prst="rect">
                      <a:avLst/>
                    </a:prstGeom>
                    <a:noFill/>
                    <a:ln w="9525">
                      <a:noFill/>
                      <a:miter lim="800000"/>
                      <a:headEnd/>
                      <a:tailEnd/>
                    </a:ln>
                  </pic:spPr>
                </pic:pic>
              </a:graphicData>
            </a:graphic>
          </wp:inline>
        </w:drawing>
      </w:r>
    </w:p>
    <w:p w:rsidR="00AE7868" w:rsidRDefault="00FF2B57">
      <w:pPr>
        <w:autoSpaceDE w:val="0"/>
        <w:autoSpaceDN w:val="0"/>
        <w:adjustRightInd w:val="0"/>
        <w:spacing w:before="120" w:line="288" w:lineRule="auto"/>
        <w:rPr>
          <w:rFonts w:ascii="MeridienLTStd-Roman" w:eastAsia="Cambria" w:hAnsi="MeridienLTStd-Roman" w:cs="MeridienLTStd-Roman"/>
          <w:sz w:val="18"/>
          <w:szCs w:val="18"/>
        </w:rPr>
      </w:pPr>
      <w:r>
        <w:rPr>
          <w:rFonts w:ascii="Cambria" w:eastAsia="Cambria" w:hAnsi="Cambria" w:cs="MeridienLTStd-Roman"/>
          <w:sz w:val="18"/>
          <w:szCs w:val="18"/>
        </w:rPr>
        <w:t>Source: Ouvrard (2012; 2015).</w:t>
      </w:r>
    </w:p>
    <w:p w:rsidR="00AE7868" w:rsidRDefault="00FF2B57">
      <w:pPr>
        <w:spacing w:before="200"/>
      </w:pPr>
      <w:r>
        <w:rPr>
          <w:rFonts w:ascii="Cambria" w:eastAsia="Cambria" w:hAnsi="Cambria" w:cs="TimesNewRomanPS-ItalicMT"/>
          <w:iCs/>
        </w:rPr>
        <w:t xml:space="preserve">In France, high populations of </w:t>
      </w:r>
      <w:r>
        <w:rPr>
          <w:rFonts w:ascii="Cambria" w:eastAsia="Cambria" w:hAnsi="Cambria" w:cs="TimesNewRomanPS-ItalicMT"/>
          <w:i/>
          <w:iCs/>
        </w:rPr>
        <w:t>B. tremblayi</w:t>
      </w:r>
      <w:r>
        <w:rPr>
          <w:rFonts w:ascii="Cambria" w:eastAsia="Cambria" w:hAnsi="Cambria" w:cs="TimesNewRomanPS-ItalicMT"/>
          <w:iCs/>
        </w:rPr>
        <w:t xml:space="preserve"> have been reported to cause new symptoms on </w:t>
      </w:r>
      <w:r>
        <w:rPr>
          <w:rFonts w:ascii="Cambria" w:eastAsia="Cambria" w:hAnsi="Cambria" w:cs="TimesNewRomanPS-ItalicMT"/>
          <w:i/>
          <w:iCs/>
        </w:rPr>
        <w:t>Allium porri</w:t>
      </w:r>
      <w:r>
        <w:rPr>
          <w:rFonts w:ascii="Cambria" w:eastAsia="Cambria" w:hAnsi="Cambria" w:cs="TimesNewRomanPS-ItalicMT"/>
          <w:iCs/>
        </w:rPr>
        <w:t xml:space="preserve"> (Ouvrard 2012). Symptoms include longitudinal yellow stripes on the cylinder, bursting of bundled leaf sheaths and root growth between the burst sheaths. The aerial tip of the green leaves wither; the colour changes from bluish-green to dark shiny green and eventually the plant may die (Ouvrard 2012). These symptoms suggest that the psyllid may be vectoring a pathogen; how</w:t>
      </w:r>
      <w:r>
        <w:rPr>
          <w:rFonts w:ascii="Cambria" w:eastAsia="Cambria" w:hAnsi="Cambria" w:cs="TimesNewRomanPS-ItalicMT"/>
          <w:iCs/>
        </w:rPr>
        <w:lastRenderedPageBreak/>
        <w:t xml:space="preserve">ever, the pathogen has not been identified (Ouvrard 2012). </w:t>
      </w:r>
      <w:r>
        <w:rPr>
          <w:rFonts w:ascii="Cambria" w:eastAsia="Cambria" w:hAnsi="Cambria" w:cs="MeridienLTStd-Roman"/>
        </w:rPr>
        <w:t>‘</w:t>
      </w:r>
      <w:r>
        <w:rPr>
          <w:rFonts w:ascii="Cambria" w:eastAsia="Cambria" w:hAnsi="Cambria" w:cs="MeridienLTStd-Roman"/>
          <w:i/>
        </w:rPr>
        <w:t>Candidatus</w:t>
      </w:r>
      <w:r>
        <w:rPr>
          <w:rFonts w:ascii="Cambria" w:eastAsia="Cambria" w:hAnsi="Cambria" w:cs="MeridienLTStd-Roman"/>
        </w:rPr>
        <w:t xml:space="preserve"> Liberibacter solanacearum’ has been detected in </w:t>
      </w:r>
      <w:r>
        <w:rPr>
          <w:rFonts w:ascii="Cambria" w:hAnsi="Cambria"/>
          <w:i/>
          <w:color w:val="000000"/>
        </w:rPr>
        <w:t xml:space="preserve">B. tremblayi </w:t>
      </w:r>
      <w:r>
        <w:rPr>
          <w:rFonts w:ascii="Cambria" w:hAnsi="Cambria"/>
          <w:color w:val="000000"/>
        </w:rPr>
        <w:t>collected from carrot and celery fields in Spain (</w:t>
      </w:r>
      <w:r>
        <w:rPr>
          <w:rFonts w:ascii="Cambria" w:eastAsia="Cambria" w:hAnsi="Cambria" w:cs="TimesNewRomanPSMT"/>
        </w:rPr>
        <w:t xml:space="preserve">Teresani </w:t>
      </w:r>
      <w:r>
        <w:rPr>
          <w:rFonts w:ascii="Cambria" w:eastAsia="Cambria" w:hAnsi="Cambria" w:cs="TimesNewRomanPS-ItalicMT"/>
          <w:iCs/>
        </w:rPr>
        <w:t>et al</w:t>
      </w:r>
      <w:r>
        <w:rPr>
          <w:rFonts w:ascii="Cambria" w:eastAsia="Cambria" w:hAnsi="Cambria" w:cs="TimesNewRomanPSMT"/>
        </w:rPr>
        <w:t xml:space="preserve">. </w:t>
      </w:r>
      <w:r>
        <w:rPr>
          <w:rFonts w:ascii="Cambria" w:hAnsi="Cambria"/>
        </w:rPr>
        <w:t>2015</w:t>
      </w:r>
      <w:r>
        <w:rPr>
          <w:rFonts w:ascii="Cambria" w:hAnsi="Cambria"/>
          <w:color w:val="000000"/>
        </w:rPr>
        <w:t>).</w:t>
      </w:r>
    </w:p>
    <w:p w:rsidR="00AE7868" w:rsidRDefault="00FF2B57">
      <w:pPr>
        <w:pStyle w:val="Heading4"/>
        <w:spacing w:before="200"/>
        <w:rPr>
          <w:i/>
        </w:rPr>
      </w:pPr>
      <w:r>
        <w:rPr>
          <w:i/>
        </w:rPr>
        <w:t>Bactericera trigonica</w:t>
      </w:r>
    </w:p>
    <w:p w:rsidR="00AE7868" w:rsidRDefault="00FF2B57">
      <w:pPr>
        <w:autoSpaceDE w:val="0"/>
        <w:autoSpaceDN w:val="0"/>
        <w:adjustRightInd w:val="0"/>
        <w:spacing w:before="200"/>
        <w:rPr>
          <w:rFonts w:ascii="Cambria" w:eastAsia="Cambria" w:hAnsi="Cambria" w:cs="MeridienLTStd-Roman"/>
        </w:rPr>
      </w:pPr>
      <w:r>
        <w:rPr>
          <w:rFonts w:ascii="Cambria" w:hAnsi="Cambria"/>
          <w:i/>
          <w:lang w:val="en-GB"/>
        </w:rPr>
        <w:t>Bactericera trigonica</w:t>
      </w:r>
      <w:r>
        <w:rPr>
          <w:rFonts w:ascii="Cambria" w:hAnsi="Cambria"/>
          <w:lang w:val="en-GB"/>
        </w:rPr>
        <w:t xml:space="preserve"> was described from carrot (Portugal), </w:t>
      </w:r>
      <w:r>
        <w:rPr>
          <w:rFonts w:ascii="Cambria" w:eastAsia="Cambria" w:hAnsi="Cambria"/>
          <w:iCs/>
        </w:rPr>
        <w:t xml:space="preserve">nasturtium (Iran) and </w:t>
      </w:r>
      <w:r>
        <w:rPr>
          <w:rFonts w:ascii="Cambria" w:hAnsi="Cambria"/>
          <w:lang w:val="en-GB"/>
        </w:rPr>
        <w:t xml:space="preserve">other </w:t>
      </w:r>
      <w:r>
        <w:rPr>
          <w:rFonts w:ascii="Cambria" w:eastAsia="Cambria" w:hAnsi="Cambria"/>
        </w:rPr>
        <w:t>vegetables (Cyprus) (</w:t>
      </w:r>
      <w:r>
        <w:rPr>
          <w:rFonts w:ascii="Cambria" w:eastAsia="Cambria" w:hAnsi="Cambria"/>
          <w:iCs/>
        </w:rPr>
        <w:t xml:space="preserve">Hodkinson 1981). </w:t>
      </w:r>
      <w:r>
        <w:rPr>
          <w:rFonts w:ascii="Cambria" w:eastAsia="Cambria" w:hAnsi="Cambria" w:cs="TimesNewRomanPSMT"/>
          <w:i/>
        </w:rPr>
        <w:t xml:space="preserve">Bactericera </w:t>
      </w:r>
      <w:r>
        <w:rPr>
          <w:rFonts w:ascii="Cambria" w:eastAsia="Cambria" w:hAnsi="Cambria" w:cs="MeridienLTStd-Italic"/>
          <w:i/>
          <w:iCs/>
        </w:rPr>
        <w:t xml:space="preserve">trigonica </w:t>
      </w:r>
      <w:r>
        <w:rPr>
          <w:rFonts w:ascii="Cambria" w:eastAsia="Cambria" w:hAnsi="Cambria" w:cs="MeridienLTStd-Roman"/>
        </w:rPr>
        <w:t xml:space="preserve">feeds on carrots and related plants, and the adults overwinter in evergreen shrubs (Hodkinson 2009). </w:t>
      </w:r>
      <w:r>
        <w:rPr>
          <w:rFonts w:ascii="Cambria" w:eastAsia="Cambria" w:hAnsi="Cambria" w:cs="TimesNewRomanPSMT"/>
          <w:i/>
        </w:rPr>
        <w:t xml:space="preserve">Bactericera </w:t>
      </w:r>
      <w:r>
        <w:rPr>
          <w:rFonts w:ascii="Cambria" w:eastAsia="Cambria" w:hAnsi="Cambria" w:cs="MeridienLTStd-Italic"/>
          <w:i/>
          <w:iCs/>
        </w:rPr>
        <w:t xml:space="preserve">trigonica </w:t>
      </w:r>
      <w:r>
        <w:rPr>
          <w:rFonts w:ascii="Cambria" w:eastAsia="Cambria" w:hAnsi="Cambria" w:cs="MeridienLTStd-Roman"/>
        </w:rPr>
        <w:t xml:space="preserve">has two or three </w:t>
      </w:r>
      <w:r>
        <w:rPr>
          <w:rFonts w:ascii="Cambria" w:eastAsia="Cambria" w:hAnsi="Cambria" w:cs="TimesNewRomanPSMT"/>
        </w:rPr>
        <w:t>generations</w:t>
      </w:r>
      <w:r>
        <w:rPr>
          <w:rFonts w:ascii="Cambria" w:eastAsia="Cambria" w:hAnsi="Cambria" w:cs="MeridienLTStd-Roman"/>
        </w:rPr>
        <w:t xml:space="preserve"> per year (Hodkinson 2009). </w:t>
      </w:r>
    </w:p>
    <w:p w:rsidR="00AE7868" w:rsidRDefault="00FF2B57">
      <w:pPr>
        <w:autoSpaceDE w:val="0"/>
        <w:autoSpaceDN w:val="0"/>
        <w:adjustRightInd w:val="0"/>
        <w:spacing w:before="200"/>
        <w:rPr>
          <w:rFonts w:ascii="Cambria" w:eastAsia="Cambria" w:hAnsi="Cambria" w:cs="MeridienLTStd-Roman"/>
        </w:rPr>
      </w:pPr>
      <w:r>
        <w:rPr>
          <w:rFonts w:ascii="Cambria" w:hAnsi="Cambria"/>
          <w:i/>
          <w:lang w:val="en-GB"/>
        </w:rPr>
        <w:t>Bactericera trigonica</w:t>
      </w:r>
      <w:r>
        <w:rPr>
          <w:rFonts w:ascii="Cambria" w:hAnsi="Cambria"/>
          <w:lang w:val="en-GB"/>
        </w:rPr>
        <w:t xml:space="preserve"> has been reported from Algeria, Cyprus, Czech Republic, Egypt, France, Greece, Hungary, Iran, Israel, Italy, Malta, Portugal, Slovakia, Spain, Switzerland and Turkey (Ouvrard 2015).</w:t>
      </w:r>
      <w:r>
        <w:rPr>
          <w:rFonts w:ascii="Cambria" w:eastAsia="Cambria" w:hAnsi="Cambria" w:cs="MeridienLTStd-Roman"/>
        </w:rPr>
        <w:t xml:space="preserve"> </w:t>
      </w:r>
    </w:p>
    <w:p w:rsidR="00AE7868" w:rsidRDefault="00FF2B57">
      <w:pPr>
        <w:autoSpaceDE w:val="0"/>
        <w:autoSpaceDN w:val="0"/>
        <w:adjustRightInd w:val="0"/>
        <w:spacing w:before="200"/>
        <w:rPr>
          <w:rFonts w:ascii="Cambria" w:hAnsi="Cambria"/>
          <w:lang w:val="en-GB"/>
        </w:rPr>
      </w:pPr>
      <w:r>
        <w:rPr>
          <w:rFonts w:ascii="Cambria" w:eastAsia="Cambria" w:hAnsi="Cambria" w:cs="MeridienLTStd-Roman"/>
        </w:rPr>
        <w:t xml:space="preserve">A large population of </w:t>
      </w:r>
      <w:r>
        <w:rPr>
          <w:rFonts w:ascii="Cambria" w:hAnsi="Cambria"/>
          <w:i/>
          <w:lang w:val="en-GB"/>
        </w:rPr>
        <w:t>B. trigonica</w:t>
      </w:r>
      <w:r>
        <w:rPr>
          <w:rFonts w:ascii="Cambria" w:hAnsi="Cambria"/>
          <w:lang w:val="en-GB"/>
        </w:rPr>
        <w:t xml:space="preserve"> was noted in carrot fields showing symptoms of curling; yellow, bronze, and purple discolouration of leaves; stunting of shoots and tap roots; and proliferation of secondary roots (Alfaro-Fernández et al. 2012a, b). ‘</w:t>
      </w:r>
      <w:r>
        <w:rPr>
          <w:rFonts w:ascii="Cambria" w:hAnsi="Cambria"/>
          <w:i/>
          <w:lang w:val="en-GB"/>
        </w:rPr>
        <w:t xml:space="preserve">Candidatus </w:t>
      </w:r>
      <w:r>
        <w:rPr>
          <w:rFonts w:ascii="Cambria" w:hAnsi="Cambria"/>
          <w:lang w:val="en-GB"/>
        </w:rPr>
        <w:t xml:space="preserve">Liberibacter solanacearum’ was detected in carrots and </w:t>
      </w:r>
      <w:r>
        <w:rPr>
          <w:rFonts w:ascii="Cambria" w:eastAsia="Cambria" w:hAnsi="Cambria" w:cs="TimesNewRomanPSMT"/>
          <w:i/>
        </w:rPr>
        <w:t xml:space="preserve">B. </w:t>
      </w:r>
      <w:r>
        <w:rPr>
          <w:rFonts w:ascii="Cambria" w:eastAsia="Cambria" w:hAnsi="Cambria" w:cs="MeridienLTStd-Italic"/>
          <w:i/>
          <w:iCs/>
        </w:rPr>
        <w:t xml:space="preserve">trigonica </w:t>
      </w:r>
      <w:r>
        <w:rPr>
          <w:rFonts w:ascii="Cambria" w:hAnsi="Cambria"/>
          <w:lang w:val="en-GB"/>
        </w:rPr>
        <w:t xml:space="preserve">(Alfaro-Fernández et al. 2012b). This was the first report of this plant pathogen associated with </w:t>
      </w:r>
      <w:r>
        <w:rPr>
          <w:rFonts w:ascii="Cambria" w:hAnsi="Cambria"/>
          <w:i/>
          <w:iCs/>
          <w:lang w:val="en-GB"/>
        </w:rPr>
        <w:t>B. trigonica</w:t>
      </w:r>
      <w:r>
        <w:rPr>
          <w:rFonts w:ascii="Cambria" w:hAnsi="Cambria"/>
          <w:lang w:val="en-GB"/>
        </w:rPr>
        <w:t xml:space="preserve"> (Alfaro-Fernández et al. 2012b).</w:t>
      </w:r>
    </w:p>
    <w:p w:rsidR="00AE7868" w:rsidRDefault="00AE7868"/>
    <w:p w:rsidR="00AE7868" w:rsidRDefault="00AE7868">
      <w:pPr>
        <w:sectPr w:rsidR="00AE7868">
          <w:headerReference w:type="default" r:id="rId49"/>
          <w:pgSz w:w="11906" w:h="16838"/>
          <w:pgMar w:top="1418" w:right="1418" w:bottom="1418" w:left="1418" w:header="567" w:footer="283" w:gutter="0"/>
          <w:cols w:space="708"/>
          <w:docGrid w:linePitch="360"/>
        </w:sectPr>
      </w:pPr>
    </w:p>
    <w:p w:rsidR="00AE7868" w:rsidRDefault="00FF2B57">
      <w:pPr>
        <w:pStyle w:val="Heading1"/>
        <w:pageBreakBefore w:val="0"/>
        <w:numPr>
          <w:ilvl w:val="0"/>
          <w:numId w:val="21"/>
        </w:numPr>
        <w:tabs>
          <w:tab w:val="clear" w:pos="432"/>
        </w:tabs>
        <w:spacing w:before="480" w:after="120"/>
        <w:ind w:left="709" w:hanging="709"/>
        <w:rPr>
          <w:rFonts w:eastAsiaTheme="majorEastAsia" w:cstheme="majorBidi"/>
          <w:b/>
          <w:color w:val="D52B1E"/>
          <w:sz w:val="34"/>
        </w:rPr>
      </w:pPr>
      <w:r>
        <w:rPr>
          <w:rFonts w:eastAsiaTheme="majorEastAsia" w:cstheme="majorBidi"/>
          <w:b/>
          <w:color w:val="D52B1E"/>
          <w:sz w:val="34"/>
        </w:rPr>
        <w:lastRenderedPageBreak/>
        <w:t xml:space="preserve"> </w:t>
      </w:r>
      <w:bookmarkStart w:id="369" w:name="_Toc437356024"/>
      <w:r>
        <w:rPr>
          <w:rFonts w:eastAsiaTheme="majorEastAsia" w:cstheme="majorBidi"/>
          <w:b/>
          <w:color w:val="D52B1E"/>
          <w:sz w:val="34"/>
        </w:rPr>
        <w:t>Pest risk assessment</w:t>
      </w:r>
      <w:bookmarkEnd w:id="369"/>
    </w:p>
    <w:p w:rsidR="00AE7868" w:rsidRDefault="00FF2B57">
      <w:pPr>
        <w:spacing w:before="200" w:after="120"/>
        <w:rPr>
          <w:rFonts w:ascii="Cambria" w:hAnsi="Cambria" w:cs="Helvetica"/>
        </w:rPr>
      </w:pPr>
      <w:r>
        <w:rPr>
          <w:rFonts w:ascii="Cambria" w:hAnsi="Cambria" w:cs="Helvetica"/>
        </w:rPr>
        <w:t>The pest risk assessment provides technical justification for identifying quarantine pests and for establishing phytosanitary import requirements. This pathogen-based risk assessment was initiated due to the identification of ‘</w:t>
      </w:r>
      <w:r>
        <w:rPr>
          <w:rFonts w:ascii="Cambria" w:hAnsi="Cambria" w:cs="Helvetica"/>
          <w:i/>
        </w:rPr>
        <w:t>Ca.</w:t>
      </w:r>
      <w:r>
        <w:rPr>
          <w:rFonts w:ascii="Cambria" w:hAnsi="Cambria" w:cs="Helvetica"/>
        </w:rPr>
        <w:t xml:space="preserve"> L. solanacearum’ on apiaceous hosts and new evidence of it being seed-borne and seed transmitted in carrot (</w:t>
      </w:r>
      <w:r>
        <w:rPr>
          <w:rFonts w:ascii="Cambria" w:hAnsi="Cambria"/>
        </w:rPr>
        <w:t>Bertolini et al. 2014</w:t>
      </w:r>
      <w:r>
        <w:rPr>
          <w:rFonts w:ascii="Cambria" w:hAnsi="Cambria" w:cs="Helvetica"/>
        </w:rPr>
        <w:t>). ‘</w:t>
      </w:r>
      <w:r>
        <w:rPr>
          <w:rFonts w:ascii="Cambria" w:hAnsi="Cambria" w:cs="Helvetica"/>
          <w:i/>
        </w:rPr>
        <w:t>Candidatus</w:t>
      </w:r>
      <w:r>
        <w:rPr>
          <w:rFonts w:ascii="Cambria" w:hAnsi="Cambria" w:cs="Helvetica"/>
        </w:rPr>
        <w:t xml:space="preserve"> Liberibacter solanacearum’ is identified as a quarantine pathogen in the pest categorisation process because it:</w:t>
      </w:r>
    </w:p>
    <w:p w:rsidR="00AE7868" w:rsidRDefault="00FF2B57">
      <w:pPr>
        <w:pStyle w:val="ListParagraph"/>
        <w:numPr>
          <w:ilvl w:val="0"/>
          <w:numId w:val="35"/>
        </w:numPr>
        <w:spacing w:before="120" w:after="120"/>
        <w:ind w:left="426" w:hanging="284"/>
        <w:rPr>
          <w:rFonts w:ascii="Cambria" w:hAnsi="Cambria" w:cs="Helvetica"/>
          <w:szCs w:val="22"/>
        </w:rPr>
      </w:pPr>
      <w:r>
        <w:rPr>
          <w:rFonts w:ascii="Cambria" w:hAnsi="Cambria" w:cs="Helvetica"/>
          <w:szCs w:val="22"/>
        </w:rPr>
        <w:t>is not present in Australia;</w:t>
      </w:r>
    </w:p>
    <w:p w:rsidR="00AE7868" w:rsidRDefault="00FF2B57">
      <w:pPr>
        <w:pStyle w:val="ListParagraph"/>
        <w:numPr>
          <w:ilvl w:val="0"/>
          <w:numId w:val="35"/>
        </w:numPr>
        <w:spacing w:before="120" w:after="120"/>
        <w:ind w:left="426" w:hanging="284"/>
        <w:rPr>
          <w:rFonts w:ascii="Cambria" w:hAnsi="Cambria" w:cs="Helvetica"/>
          <w:szCs w:val="22"/>
        </w:rPr>
      </w:pPr>
      <w:r>
        <w:rPr>
          <w:rFonts w:ascii="Cambria" w:hAnsi="Cambria" w:cs="Helvetica"/>
          <w:szCs w:val="22"/>
        </w:rPr>
        <w:t>has the potential to be</w:t>
      </w:r>
      <w:r>
        <w:rPr>
          <w:rFonts w:ascii="Cambria" w:hAnsi="Cambria" w:cs="Helvetica"/>
          <w:i/>
          <w:szCs w:val="22"/>
        </w:rPr>
        <w:t xml:space="preserve"> </w:t>
      </w:r>
      <w:r>
        <w:rPr>
          <w:rFonts w:ascii="Cambria" w:hAnsi="Cambria" w:cs="Helvetica"/>
          <w:szCs w:val="22"/>
        </w:rPr>
        <w:t>associated with the pathways of seeds (carrot) and tissue cultures (carrot, celery and parsnip);</w:t>
      </w:r>
    </w:p>
    <w:p w:rsidR="00AE7868" w:rsidRDefault="00FF2B57">
      <w:pPr>
        <w:pStyle w:val="ListParagraph"/>
        <w:numPr>
          <w:ilvl w:val="0"/>
          <w:numId w:val="35"/>
        </w:numPr>
        <w:spacing w:before="120" w:after="120"/>
        <w:ind w:left="426" w:hanging="284"/>
        <w:rPr>
          <w:rFonts w:ascii="Cambria" w:hAnsi="Cambria" w:cs="Helvetica"/>
          <w:szCs w:val="22"/>
        </w:rPr>
      </w:pPr>
      <w:r>
        <w:rPr>
          <w:rFonts w:ascii="Cambria" w:hAnsi="Cambria" w:cs="Helvetica"/>
          <w:szCs w:val="22"/>
        </w:rPr>
        <w:t>has the potential to establish and spread in Australia; and</w:t>
      </w:r>
    </w:p>
    <w:p w:rsidR="00AE7868" w:rsidRDefault="00FF2B57">
      <w:pPr>
        <w:pStyle w:val="ListParagraph"/>
        <w:numPr>
          <w:ilvl w:val="0"/>
          <w:numId w:val="35"/>
        </w:numPr>
        <w:spacing w:before="120" w:after="120"/>
        <w:ind w:left="426" w:hanging="284"/>
        <w:rPr>
          <w:rFonts w:ascii="Cambria" w:hAnsi="Cambria" w:cs="Helvetica"/>
          <w:szCs w:val="22"/>
        </w:rPr>
      </w:pPr>
      <w:r>
        <w:rPr>
          <w:rFonts w:ascii="Cambria" w:hAnsi="Cambria" w:cs="Helvetica"/>
          <w:szCs w:val="22"/>
        </w:rPr>
        <w:t>has the potential for significant economic consequences in Australia.</w:t>
      </w:r>
    </w:p>
    <w:p w:rsidR="00AE7868" w:rsidRDefault="00FF2B57">
      <w:pPr>
        <w:pStyle w:val="Heading2"/>
        <w:numPr>
          <w:ilvl w:val="1"/>
          <w:numId w:val="21"/>
        </w:numPr>
        <w:tabs>
          <w:tab w:val="clear" w:pos="576"/>
        </w:tabs>
        <w:spacing w:before="200" w:after="120"/>
        <w:ind w:left="709" w:hanging="709"/>
        <w:rPr>
          <w:rFonts w:eastAsiaTheme="majorEastAsia" w:cstheme="majorBidi"/>
          <w:color w:val="773141"/>
          <w:sz w:val="28"/>
        </w:rPr>
      </w:pPr>
      <w:bookmarkStart w:id="370" w:name="_Toc437356025"/>
      <w:r>
        <w:rPr>
          <w:rFonts w:eastAsiaTheme="majorEastAsia" w:cstheme="majorBidi"/>
          <w:color w:val="773141"/>
          <w:sz w:val="28"/>
        </w:rPr>
        <w:t>‘</w:t>
      </w:r>
      <w:r>
        <w:rPr>
          <w:rFonts w:eastAsiaTheme="majorEastAsia" w:cstheme="majorBidi"/>
          <w:i/>
          <w:color w:val="773141"/>
          <w:sz w:val="28"/>
        </w:rPr>
        <w:t>Candidatus</w:t>
      </w:r>
      <w:r>
        <w:rPr>
          <w:rFonts w:eastAsiaTheme="majorEastAsia" w:cstheme="majorBidi"/>
          <w:color w:val="773141"/>
          <w:sz w:val="28"/>
        </w:rPr>
        <w:t xml:space="preserve"> Liberibacter solanacearum’</w:t>
      </w:r>
      <w:bookmarkEnd w:id="370"/>
    </w:p>
    <w:p w:rsidR="00AE7868" w:rsidRDefault="00FF2B57">
      <w:pPr>
        <w:spacing w:before="200"/>
        <w:rPr>
          <w:rFonts w:ascii="Cambria" w:hAnsi="Cambria"/>
        </w:rPr>
      </w:pPr>
      <w:r>
        <w:rPr>
          <w:rFonts w:ascii="Cambria" w:hAnsi="Cambria"/>
        </w:rPr>
        <w:t xml:space="preserve">Three haplotypes of </w:t>
      </w:r>
      <w:r>
        <w:rPr>
          <w:rFonts w:ascii="Cambria" w:hAnsi="Cambria"/>
          <w:bCs/>
        </w:rPr>
        <w:t>‘</w:t>
      </w:r>
      <w:r>
        <w:rPr>
          <w:rFonts w:ascii="Cambria" w:hAnsi="Cambria"/>
          <w:bCs/>
          <w:i/>
        </w:rPr>
        <w:t>Ca</w:t>
      </w:r>
      <w:r>
        <w:rPr>
          <w:rFonts w:ascii="Cambria" w:hAnsi="Cambria"/>
          <w:bCs/>
        </w:rPr>
        <w:t xml:space="preserve">. L. solanacearum’ (C, D &amp; E) have been identified as associated with apiaceous crops (carrot, celery and parsnip). Therefore, this </w:t>
      </w:r>
      <w:r>
        <w:rPr>
          <w:rFonts w:ascii="Cambria" w:hAnsi="Cambria"/>
        </w:rPr>
        <w:t>risk assessment focuses on apiaceous propagative ma</w:t>
      </w:r>
      <w:r>
        <w:rPr>
          <w:rFonts w:ascii="Cambria" w:hAnsi="Cambria"/>
        </w:rPr>
        <w:lastRenderedPageBreak/>
        <w:t xml:space="preserve">terial (seeds and tissue cultures) as potential pathways for the introduction of </w:t>
      </w:r>
      <w:r>
        <w:rPr>
          <w:rFonts w:ascii="Cambria" w:hAnsi="Cambria"/>
          <w:bCs/>
        </w:rPr>
        <w:t>‘</w:t>
      </w:r>
      <w:r>
        <w:rPr>
          <w:rFonts w:ascii="Cambria" w:hAnsi="Cambria"/>
          <w:bCs/>
          <w:i/>
        </w:rPr>
        <w:t>Ca.</w:t>
      </w:r>
      <w:r>
        <w:rPr>
          <w:rFonts w:ascii="Cambria" w:hAnsi="Cambria"/>
          <w:bCs/>
        </w:rPr>
        <w:t xml:space="preserve"> L. solanacearum’ haplotypes associated with apiaceous crops</w:t>
      </w:r>
      <w:r>
        <w:rPr>
          <w:rFonts w:ascii="Cambria" w:hAnsi="Cambria"/>
        </w:rPr>
        <w:t xml:space="preserve">. </w:t>
      </w:r>
    </w:p>
    <w:p w:rsidR="00AE7868" w:rsidRDefault="00FF2B57">
      <w:pPr>
        <w:spacing w:before="200"/>
        <w:rPr>
          <w:rFonts w:ascii="Cambria" w:hAnsi="Cambria"/>
        </w:rPr>
      </w:pPr>
      <w:r>
        <w:rPr>
          <w:rFonts w:ascii="Cambria" w:hAnsi="Cambria"/>
        </w:rPr>
        <w:t>The probability of entry has been considered individually for each pathway, as the pathway by which ‘</w:t>
      </w:r>
      <w:r>
        <w:rPr>
          <w:rFonts w:ascii="Cambria" w:hAnsi="Cambria"/>
          <w:i/>
        </w:rPr>
        <w:t>Ca</w:t>
      </w:r>
      <w:r>
        <w:rPr>
          <w:rFonts w:ascii="Cambria" w:hAnsi="Cambria"/>
        </w:rPr>
        <w:t xml:space="preserve">. L. solanacearum’ </w:t>
      </w:r>
      <w:r>
        <w:rPr>
          <w:rFonts w:ascii="Cambria" w:hAnsi="Cambria"/>
          <w:bCs/>
        </w:rPr>
        <w:t>haplotypes</w:t>
      </w:r>
      <w:r>
        <w:rPr>
          <w:rFonts w:ascii="Cambria" w:hAnsi="Cambria"/>
        </w:rPr>
        <w:t xml:space="preserve"> might enter Australia may have a significant effect on the unrestricted risk estimate. </w:t>
      </w:r>
    </w:p>
    <w:p w:rsidR="00AE7868" w:rsidRDefault="00FF2B57">
      <w:pPr>
        <w:spacing w:before="200"/>
        <w:rPr>
          <w:rFonts w:ascii="Cambria" w:hAnsi="Cambria"/>
        </w:rPr>
      </w:pPr>
      <w:r>
        <w:rPr>
          <w:rFonts w:ascii="Cambria" w:hAnsi="Cambria"/>
        </w:rPr>
        <w:t xml:space="preserve">The probability of establishment and spread, and the assessment of potential consequences, are considered to be independent of the pathway of entry. Instead, they are influenced by post-border issues, such as the susceptibility of hosts, the availability of hosts and the suitability of the environment in Australia for </w:t>
      </w:r>
      <w:r>
        <w:rPr>
          <w:rFonts w:ascii="Cambria" w:hAnsi="Cambria"/>
          <w:bCs/>
        </w:rPr>
        <w:t>‘</w:t>
      </w:r>
      <w:r>
        <w:rPr>
          <w:rFonts w:ascii="Cambria" w:hAnsi="Cambria"/>
          <w:bCs/>
          <w:i/>
        </w:rPr>
        <w:t>Ca</w:t>
      </w:r>
      <w:r>
        <w:rPr>
          <w:rFonts w:ascii="Cambria" w:hAnsi="Cambria"/>
          <w:bCs/>
        </w:rPr>
        <w:t>. L. solanacearum’ (haplotypes C, D &amp; E)</w:t>
      </w:r>
      <w:r>
        <w:rPr>
          <w:rFonts w:ascii="Cambria" w:hAnsi="Cambria"/>
        </w:rPr>
        <w:t>. Therefore, the probability of establishment and spread and the economic consequences of ‘</w:t>
      </w:r>
      <w:r>
        <w:rPr>
          <w:rFonts w:ascii="Cambria" w:hAnsi="Cambria"/>
          <w:i/>
        </w:rPr>
        <w:t>Ca</w:t>
      </w:r>
      <w:r>
        <w:rPr>
          <w:rFonts w:ascii="Cambria" w:hAnsi="Cambria"/>
        </w:rPr>
        <w:t>. L. solanacearum’ have been assessed only once.</w:t>
      </w:r>
    </w:p>
    <w:p w:rsidR="00AE7868" w:rsidRDefault="00FF2B57">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371" w:name="_Toc428282644"/>
      <w:bookmarkStart w:id="372" w:name="_Toc428283693"/>
      <w:bookmarkStart w:id="373" w:name="_Toc437356026"/>
      <w:bookmarkEnd w:id="371"/>
      <w:bookmarkEnd w:id="372"/>
      <w:r>
        <w:rPr>
          <w:rFonts w:ascii="Calibri" w:hAnsi="Calibri" w:cstheme="minorBidi"/>
          <w:sz w:val="24"/>
          <w:szCs w:val="22"/>
        </w:rPr>
        <w:t>Likelihood of entry</w:t>
      </w:r>
      <w:bookmarkEnd w:id="373"/>
    </w:p>
    <w:p w:rsidR="00AE7868" w:rsidRDefault="00FF2B57">
      <w:pPr>
        <w:spacing w:before="200"/>
        <w:rPr>
          <w:rFonts w:ascii="Cambria" w:hAnsi="Cambria"/>
        </w:rPr>
      </w:pPr>
      <w:r>
        <w:rPr>
          <w:rFonts w:ascii="Cambria" w:hAnsi="Cambria"/>
        </w:rPr>
        <w:t>The likelihood of entry is divided for assessment purposes into the likelihood of importation (the likelihood that the ‘</w:t>
      </w:r>
      <w:r>
        <w:rPr>
          <w:rFonts w:ascii="Cambria" w:hAnsi="Cambria"/>
          <w:i/>
        </w:rPr>
        <w:t>Ca</w:t>
      </w:r>
      <w:r>
        <w:rPr>
          <w:rFonts w:ascii="Cambria" w:hAnsi="Cambria"/>
        </w:rPr>
        <w:t>. L. solanacearum’ will arrive when seeds for sowing (carrot) and tissue cultures (carrot, celery and parsnip) are imported) and the likelihood of distribution (the likelihood that ‘</w:t>
      </w:r>
      <w:r>
        <w:rPr>
          <w:rFonts w:ascii="Cambria" w:hAnsi="Cambria"/>
          <w:i/>
        </w:rPr>
        <w:t>Ca</w:t>
      </w:r>
      <w:r>
        <w:rPr>
          <w:rFonts w:ascii="Cambria" w:hAnsi="Cambria"/>
        </w:rPr>
        <w:t xml:space="preserve">. L. solanacearum’ associated with seeds for </w:t>
      </w:r>
      <w:r>
        <w:rPr>
          <w:rFonts w:ascii="Cambria" w:hAnsi="Cambria"/>
        </w:rPr>
        <w:lastRenderedPageBreak/>
        <w:t>sowing (carrot) and tissue cultures (carrot, celery and parsnip) will be viable and be transferred to suitable host).</w:t>
      </w:r>
    </w:p>
    <w:p w:rsidR="00AE7868" w:rsidRDefault="00FF2B57">
      <w:pPr>
        <w:pStyle w:val="Heading4"/>
        <w:spacing w:before="120"/>
        <w:rPr>
          <w:rFonts w:asciiTheme="minorHAnsi" w:hAnsiTheme="minorHAnsi"/>
          <w:sz w:val="24"/>
          <w:szCs w:val="24"/>
        </w:rPr>
      </w:pPr>
      <w:r>
        <w:rPr>
          <w:rFonts w:asciiTheme="minorHAnsi" w:hAnsiTheme="minorHAnsi"/>
          <w:sz w:val="24"/>
          <w:szCs w:val="24"/>
        </w:rPr>
        <w:t>Pathway One: Seeds for sowing (carrot)</w:t>
      </w:r>
    </w:p>
    <w:p w:rsidR="00AE7868" w:rsidRDefault="00FF2B57">
      <w:pPr>
        <w:spacing w:before="200"/>
        <w:rPr>
          <w:rFonts w:ascii="Cambria" w:hAnsi="Cambria"/>
        </w:rPr>
      </w:pPr>
      <w:r>
        <w:rPr>
          <w:rFonts w:ascii="Cambria" w:hAnsi="Cambria"/>
        </w:rPr>
        <w:t>Seed pathogens have evolved many different types of associations with their hosts. These associations span a continuum of relationships that range from passive hitchhiking on seed coats to infecting embryonic tissue (Elmer 2001).</w:t>
      </w:r>
    </w:p>
    <w:p w:rsidR="00AE7868" w:rsidRDefault="00FF2B57">
      <w:pPr>
        <w:pStyle w:val="Heading4"/>
        <w:spacing w:before="200"/>
      </w:pPr>
      <w:r>
        <w:t>Likelihood of importation</w:t>
      </w:r>
    </w:p>
    <w:p w:rsidR="00AE7868" w:rsidRDefault="00FF2B57">
      <w:pPr>
        <w:spacing w:before="200"/>
        <w:rPr>
          <w:rFonts w:ascii="Cambria" w:hAnsi="Cambria"/>
        </w:rPr>
      </w:pPr>
      <w:r>
        <w:rPr>
          <w:rFonts w:ascii="Cambria" w:hAnsi="Cambria"/>
        </w:rPr>
        <w:t xml:space="preserve">The likelihood that the </w:t>
      </w:r>
      <w:bookmarkStart w:id="374" w:name="OLE_LINK1"/>
      <w:bookmarkStart w:id="375" w:name="OLE_LINK2"/>
      <w:r>
        <w:rPr>
          <w:rFonts w:ascii="Cambria" w:hAnsi="Cambria"/>
        </w:rPr>
        <w:t>‘</w:t>
      </w:r>
      <w:r>
        <w:rPr>
          <w:rFonts w:ascii="Cambria" w:hAnsi="Cambria"/>
          <w:i/>
        </w:rPr>
        <w:t>Ca</w:t>
      </w:r>
      <w:r>
        <w:rPr>
          <w:rFonts w:ascii="Cambria" w:hAnsi="Cambria"/>
        </w:rPr>
        <w:t xml:space="preserve">. L. solanacearum’ </w:t>
      </w:r>
      <w:bookmarkEnd w:id="374"/>
      <w:bookmarkEnd w:id="375"/>
      <w:r>
        <w:rPr>
          <w:rFonts w:ascii="Cambria" w:hAnsi="Cambria"/>
        </w:rPr>
        <w:t xml:space="preserve">will arrive in Australia with trade in carrot seeds for sowing is </w:t>
      </w:r>
      <w:r>
        <w:rPr>
          <w:rFonts w:ascii="Cambria" w:hAnsi="Cambria"/>
          <w:b/>
          <w:bCs/>
        </w:rPr>
        <w:t>HIGH</w:t>
      </w:r>
      <w:r>
        <w:rPr>
          <w:rFonts w:ascii="Cambria" w:hAnsi="Cambria"/>
        </w:rPr>
        <w:t>.</w:t>
      </w:r>
    </w:p>
    <w:p w:rsidR="00AE7868" w:rsidRDefault="00FF2B57">
      <w:pPr>
        <w:pStyle w:val="Heading5"/>
        <w:spacing w:before="160"/>
      </w:pPr>
      <w:r>
        <w:t>Association of the pest with the pathway</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bookmarkStart w:id="376" w:name="_Toc356671318"/>
      <w:r>
        <w:rPr>
          <w:rFonts w:ascii="Cambria" w:hAnsi="Cambria"/>
          <w:iCs/>
          <w:szCs w:val="22"/>
        </w:rPr>
        <w:t>‘</w:t>
      </w:r>
      <w:r>
        <w:rPr>
          <w:rFonts w:ascii="Cambria" w:hAnsi="Cambria"/>
          <w:i/>
          <w:iCs/>
          <w:szCs w:val="22"/>
        </w:rPr>
        <w:t>Ca</w:t>
      </w:r>
      <w:r>
        <w:rPr>
          <w:rFonts w:ascii="Cambria" w:hAnsi="Cambria"/>
          <w:iCs/>
          <w:szCs w:val="22"/>
        </w:rPr>
        <w:t xml:space="preserve">. L. solanacearum’ </w:t>
      </w:r>
      <w:r>
        <w:rPr>
          <w:rFonts w:ascii="Cambria" w:hAnsi="Cambria"/>
          <w:szCs w:val="22"/>
        </w:rPr>
        <w:t>is reported as seed-borne in carrot (Bertolini et al. 2015); therefore, this bacterium is associated with the carrot seed pathway.</w:t>
      </w:r>
    </w:p>
    <w:bookmarkEnd w:id="376"/>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Global trade and the associated movement of carrot seeds across borders may have introduced ‘</w:t>
      </w:r>
      <w:r>
        <w:rPr>
          <w:rFonts w:ascii="Cambria" w:hAnsi="Cambria"/>
          <w:i/>
          <w:szCs w:val="22"/>
        </w:rPr>
        <w:t>Ca</w:t>
      </w:r>
      <w:r>
        <w:rPr>
          <w:rFonts w:ascii="Cambria" w:hAnsi="Cambria"/>
          <w:szCs w:val="22"/>
        </w:rPr>
        <w:t>. L. solanacearum’ into new areas (Bertolini et al. 2015)</w:t>
      </w:r>
      <w:r>
        <w:rPr>
          <w:rFonts w:ascii="Cambria" w:hAnsi="Cambria"/>
          <w:i/>
          <w:szCs w:val="22"/>
        </w:rPr>
        <w:t xml:space="preserve">. </w:t>
      </w:r>
      <w:r>
        <w:rPr>
          <w:rFonts w:ascii="Cambria" w:hAnsi="Cambria"/>
          <w:szCs w:val="22"/>
        </w:rPr>
        <w:t>Therefore, the movement of infected carrot seeds may be a significant pathway for the introduction of this pathogen into new areas.</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lastRenderedPageBreak/>
        <w:t>‘</w:t>
      </w:r>
      <w:r>
        <w:rPr>
          <w:rFonts w:ascii="Cambria" w:hAnsi="Cambria"/>
          <w:i/>
          <w:szCs w:val="22"/>
        </w:rPr>
        <w:t>Ca</w:t>
      </w:r>
      <w:r>
        <w:rPr>
          <w:rFonts w:ascii="Cambria" w:hAnsi="Cambria"/>
          <w:szCs w:val="22"/>
        </w:rPr>
        <w:t>. L. solanacearum’ was detected in carrot seed lots from 2010 to 2014 (Bertolini et al. 2015), indicating that the bacterium is able to persist in seeds and is therefore associated with the pathway.</w:t>
      </w:r>
    </w:p>
    <w:p w:rsidR="00AE7868" w:rsidRDefault="00FF2B57">
      <w:pPr>
        <w:pStyle w:val="Heading5"/>
        <w:spacing w:before="160"/>
      </w:pPr>
      <w:r>
        <w:t>Ability of the pest to survive transport and storage</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iCs/>
          <w:szCs w:val="22"/>
        </w:rPr>
        <w:t>‘</w:t>
      </w:r>
      <w:r>
        <w:rPr>
          <w:rFonts w:ascii="Cambria" w:hAnsi="Cambria"/>
          <w:i/>
          <w:iCs/>
          <w:szCs w:val="22"/>
        </w:rPr>
        <w:t>Ca</w:t>
      </w:r>
      <w:r>
        <w:rPr>
          <w:rFonts w:ascii="Cambria" w:hAnsi="Cambria"/>
          <w:iCs/>
          <w:szCs w:val="22"/>
        </w:rPr>
        <w:t xml:space="preserve">. L. solanacearum’ </w:t>
      </w:r>
      <w:r>
        <w:rPr>
          <w:rFonts w:ascii="Cambria" w:hAnsi="Cambria"/>
          <w:szCs w:val="22"/>
        </w:rPr>
        <w:t>is very likely to survive during transport and storage since the primary conditions for survival are fulfilled by the presence of the live host material and associated environmental conditions. Carrot seeds are packaged and shipped to areas conducive to their survival. The handling of carrot seeds is unlikely to be detrimental to the survival of this pathogen.</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Most seed-borne pathogens infect and use seeds as a vehicle for transport and survival (Elmer 2001). Seed associations can provide long-term survival for pathogens. Survival is highly unlikely to be diminished during transport or storage (Elmer 2001).</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Transport and storage of propagative material is done at low temperatures and these conditions are not expected to affect the viability of the ‘</w:t>
      </w:r>
      <w:r>
        <w:rPr>
          <w:rFonts w:ascii="Cambria" w:hAnsi="Cambria"/>
          <w:i/>
          <w:szCs w:val="22"/>
        </w:rPr>
        <w:t>Ca</w:t>
      </w:r>
      <w:r>
        <w:rPr>
          <w:rFonts w:ascii="Cambria" w:hAnsi="Cambria"/>
          <w:szCs w:val="22"/>
        </w:rPr>
        <w:t>. L. solanacearum’. Therefore, ‘</w:t>
      </w:r>
      <w:r>
        <w:rPr>
          <w:rFonts w:ascii="Cambria" w:hAnsi="Cambria"/>
          <w:i/>
          <w:szCs w:val="22"/>
        </w:rPr>
        <w:t>Ca</w:t>
      </w:r>
      <w:r>
        <w:rPr>
          <w:rFonts w:ascii="Cambria" w:hAnsi="Cambria"/>
          <w:szCs w:val="22"/>
        </w:rPr>
        <w:t>. L. solanacearum’ is likely to survive transport and storage.</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iCs/>
          <w:szCs w:val="22"/>
        </w:rPr>
        <w:t xml:space="preserve">The transportation of carrot seeds from the country of origin to Australia may take several days. There is no reason to suspect that transportation conditions would affect the viability of </w:t>
      </w:r>
      <w:r>
        <w:rPr>
          <w:rFonts w:ascii="Cambria" w:hAnsi="Cambria"/>
          <w:szCs w:val="22"/>
        </w:rPr>
        <w:t>‘</w:t>
      </w:r>
      <w:r>
        <w:rPr>
          <w:rFonts w:ascii="Cambria" w:hAnsi="Cambria"/>
          <w:i/>
          <w:szCs w:val="22"/>
        </w:rPr>
        <w:t>Ca</w:t>
      </w:r>
      <w:r>
        <w:rPr>
          <w:rFonts w:ascii="Cambria" w:hAnsi="Cambria"/>
          <w:szCs w:val="22"/>
        </w:rPr>
        <w:t>. L. solanacearum’</w:t>
      </w:r>
      <w:r>
        <w:rPr>
          <w:rFonts w:ascii="Cambria" w:hAnsi="Cambria"/>
          <w:iCs/>
          <w:szCs w:val="22"/>
        </w:rPr>
        <w:t xml:space="preserve"> within the seed.</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lastRenderedPageBreak/>
        <w:t>‘</w:t>
      </w:r>
      <w:r>
        <w:rPr>
          <w:rFonts w:ascii="Cambria" w:hAnsi="Cambria"/>
          <w:i/>
          <w:szCs w:val="22"/>
        </w:rPr>
        <w:t>Ca</w:t>
      </w:r>
      <w:r>
        <w:rPr>
          <w:rFonts w:ascii="Cambria" w:hAnsi="Cambria"/>
          <w:szCs w:val="22"/>
        </w:rPr>
        <w:t>. L. solanacearum’ is found within carrot seed and is unlikely to be dislodged during standard harvesting, handling and shipping operations. Therefore, ‘</w:t>
      </w:r>
      <w:r>
        <w:rPr>
          <w:rFonts w:ascii="Cambria" w:hAnsi="Cambria"/>
          <w:i/>
          <w:szCs w:val="22"/>
        </w:rPr>
        <w:t>Ca</w:t>
      </w:r>
      <w:r>
        <w:rPr>
          <w:rFonts w:ascii="Cambria" w:hAnsi="Cambria"/>
          <w:szCs w:val="22"/>
        </w:rPr>
        <w:t>. L. solanacearum’ associated with carrot seeds are likely to survive during transport and storage.</w:t>
      </w:r>
    </w:p>
    <w:p w:rsidR="00AE7868" w:rsidRDefault="00FF2B57">
      <w:pPr>
        <w:pStyle w:val="Heading5"/>
        <w:spacing w:before="160"/>
        <w:rPr>
          <w:i w:val="0"/>
        </w:rPr>
      </w:pPr>
      <w:r>
        <w:t>Ability of the pest to survive existing pest management procedures</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Currently, there are few effective control strategies for the protection of host crops against natural infections of ‘</w:t>
      </w:r>
      <w:r>
        <w:rPr>
          <w:rFonts w:ascii="Cambria" w:hAnsi="Cambria"/>
          <w:i/>
          <w:szCs w:val="22"/>
        </w:rPr>
        <w:t>Ca</w:t>
      </w:r>
      <w:r>
        <w:rPr>
          <w:rFonts w:ascii="Cambria" w:hAnsi="Cambria"/>
          <w:szCs w:val="22"/>
        </w:rPr>
        <w:t xml:space="preserve">. L. solanacearum’. </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w:t>
      </w:r>
      <w:r>
        <w:rPr>
          <w:rFonts w:ascii="Cambria" w:hAnsi="Cambria"/>
          <w:i/>
          <w:iCs/>
          <w:szCs w:val="22"/>
        </w:rPr>
        <w:t xml:space="preserve">Candidatus </w:t>
      </w:r>
      <w:r>
        <w:rPr>
          <w:rFonts w:ascii="Cambria" w:hAnsi="Cambria"/>
          <w:szCs w:val="22"/>
        </w:rPr>
        <w:t>Liberibacter’</w:t>
      </w:r>
      <w:r>
        <w:rPr>
          <w:rFonts w:ascii="Cambria" w:hAnsi="Cambria"/>
          <w:i/>
          <w:szCs w:val="22"/>
        </w:rPr>
        <w:t xml:space="preserve"> </w:t>
      </w:r>
      <w:r>
        <w:rPr>
          <w:rFonts w:ascii="Cambria" w:hAnsi="Cambria"/>
          <w:szCs w:val="22"/>
        </w:rPr>
        <w:t xml:space="preserve">species are typically managed by chemical control of vector populations and the removal of the inoculum source. Crops may also be cultivated under insect-proof facilities to exclude vectors. </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The use of ‘</w:t>
      </w:r>
      <w:r>
        <w:rPr>
          <w:rFonts w:ascii="Cambria" w:hAnsi="Cambria"/>
          <w:i/>
          <w:szCs w:val="22"/>
        </w:rPr>
        <w:t>Ca</w:t>
      </w:r>
      <w:r>
        <w:rPr>
          <w:rFonts w:ascii="Cambria" w:hAnsi="Cambria"/>
          <w:szCs w:val="22"/>
        </w:rPr>
        <w:t>. L. solanacearum’-free carrot seeds and management of psyllid vectors are critical factors in managing ‘</w:t>
      </w:r>
      <w:r>
        <w:rPr>
          <w:rFonts w:ascii="Cambria" w:hAnsi="Cambria"/>
          <w:i/>
          <w:szCs w:val="22"/>
        </w:rPr>
        <w:t>Ca</w:t>
      </w:r>
      <w:r>
        <w:rPr>
          <w:rFonts w:ascii="Cambria" w:hAnsi="Cambria"/>
          <w:szCs w:val="22"/>
        </w:rPr>
        <w:t>. L. solanacearum’ in carrot.</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 xml:space="preserve">Plant protection measures are mostly taken against the psyllids. Measures against psyllids have been implemented everywhere that the psyllid and the psyllid/bacterium combination are present, in order to keep damage under a threshold level. Treatments against the insect vector reduce the incidence of damage but do not completely suppress the bacterium. </w:t>
      </w:r>
      <w:r>
        <w:rPr>
          <w:rFonts w:ascii="Cambria" w:eastAsia="WarnockPro-Regular" w:hAnsi="Cambria" w:cs="WarnockPro-Regular"/>
          <w:szCs w:val="22"/>
        </w:rPr>
        <w:t xml:space="preserve">In some years in northern Europe, carrots cannot be grown without the application of insecticides. For </w:t>
      </w:r>
      <w:r>
        <w:rPr>
          <w:rFonts w:ascii="Cambria" w:eastAsia="WarnockPro-Regular" w:hAnsi="Cambria" w:cs="WarnockPro-Regular"/>
          <w:szCs w:val="22"/>
        </w:rPr>
        <w:lastRenderedPageBreak/>
        <w:t>example, insecticide treatment is an economic necessity in Norway, Sweden, Denmark, Latvia and Switzerland (</w:t>
      </w:r>
      <w:r>
        <w:rPr>
          <w:rFonts w:ascii="Cambria" w:eastAsia="Cambria" w:hAnsi="Cambria" w:cs="MeridienLTStd-Roman"/>
          <w:szCs w:val="22"/>
        </w:rPr>
        <w:t>Láska</w:t>
      </w:r>
      <w:r>
        <w:rPr>
          <w:rFonts w:ascii="Cambria" w:eastAsia="WarnockPro-Regular" w:hAnsi="Cambria" w:cs="WarnockPro-Regular"/>
          <w:szCs w:val="22"/>
        </w:rPr>
        <w:t xml:space="preserve"> 2011).</w:t>
      </w:r>
    </w:p>
    <w:p w:rsidR="00AE7868" w:rsidRDefault="00FF2B57">
      <w:pPr>
        <w:pStyle w:val="Heading4"/>
        <w:spacing w:before="200"/>
        <w:rPr>
          <w:rFonts w:asciiTheme="minorHAnsi" w:hAnsiTheme="minorHAnsi"/>
        </w:rPr>
      </w:pPr>
      <w:r>
        <w:rPr>
          <w:rFonts w:asciiTheme="minorHAnsi" w:hAnsiTheme="minorHAnsi"/>
        </w:rPr>
        <w:t>Likelihood of distribution (transfer to a susceptible host)</w:t>
      </w:r>
    </w:p>
    <w:p w:rsidR="00AE7868" w:rsidRDefault="00FF2B57">
      <w:pPr>
        <w:pStyle w:val="AQISNum"/>
        <w:spacing w:before="200" w:line="276" w:lineRule="auto"/>
        <w:rPr>
          <w:rFonts w:ascii="Cambria" w:eastAsia="WarnockPro-Regular" w:hAnsi="Cambria" w:cs="WarnockPro-Regular"/>
          <w:szCs w:val="22"/>
        </w:rPr>
      </w:pPr>
      <w:r>
        <w:rPr>
          <w:rFonts w:ascii="Cambria" w:hAnsi="Cambria"/>
          <w:szCs w:val="22"/>
        </w:rPr>
        <w:t>The likelihood that ‘</w:t>
      </w:r>
      <w:r>
        <w:rPr>
          <w:rFonts w:ascii="Cambria" w:hAnsi="Cambria"/>
          <w:i/>
          <w:szCs w:val="22"/>
        </w:rPr>
        <w:t>Ca</w:t>
      </w:r>
      <w:r>
        <w:rPr>
          <w:rFonts w:ascii="Cambria" w:hAnsi="Cambria"/>
          <w:szCs w:val="22"/>
        </w:rPr>
        <w:t>. L. solanacearum’ will be distributed within Austra</w:t>
      </w:r>
      <w:r>
        <w:rPr>
          <w:rFonts w:ascii="Cambria" w:eastAsia="WarnockPro-Regular" w:hAnsi="Cambria" w:cs="WarnockPro-Regular"/>
          <w:szCs w:val="22"/>
        </w:rPr>
        <w:t xml:space="preserve">lia in a viable state with imported carrot seeds for sowing and be transferred from the resulting carrot plants to a suitable host is </w:t>
      </w:r>
      <w:r>
        <w:rPr>
          <w:rFonts w:ascii="Cambria" w:eastAsia="WarnockPro-Regular" w:hAnsi="Cambria" w:cs="WarnockPro-Regular"/>
          <w:b/>
          <w:bCs/>
          <w:szCs w:val="22"/>
        </w:rPr>
        <w:t>LOW</w:t>
      </w:r>
      <w:r>
        <w:rPr>
          <w:rFonts w:ascii="Cambria" w:eastAsia="WarnockPro-Regular" w:hAnsi="Cambria" w:cs="WarnockPro-Regular"/>
          <w:szCs w:val="22"/>
        </w:rPr>
        <w:t>.</w:t>
      </w:r>
    </w:p>
    <w:p w:rsidR="00AE7868" w:rsidRDefault="00FF2B57">
      <w:pPr>
        <w:pStyle w:val="Heading5"/>
        <w:spacing w:before="160"/>
      </w:pPr>
      <w:r>
        <w:t>Ability of the pest to move from the pathway to a suitable host</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eastAsia="WarnockPro-Regular" w:hAnsi="Cambria" w:cs="WarnockPro-Regular"/>
          <w:iCs/>
          <w:szCs w:val="22"/>
        </w:rPr>
        <w:t>‘</w:t>
      </w:r>
      <w:r>
        <w:rPr>
          <w:rFonts w:ascii="Cambria" w:eastAsia="WarnockPro-Regular" w:hAnsi="Cambria" w:cs="WarnockPro-Regular"/>
          <w:i/>
          <w:iCs/>
          <w:szCs w:val="22"/>
        </w:rPr>
        <w:t>Ca</w:t>
      </w:r>
      <w:r>
        <w:rPr>
          <w:rFonts w:ascii="Cambria" w:eastAsia="WarnockPro-Regular" w:hAnsi="Cambria" w:cs="WarnockPro-Regular"/>
          <w:iCs/>
          <w:szCs w:val="22"/>
        </w:rPr>
        <w:t xml:space="preserve">. L. solanacearum’ is seed-borne and seed transmissible in carrot </w:t>
      </w:r>
      <w:r>
        <w:rPr>
          <w:rFonts w:ascii="Cambria" w:hAnsi="Cambria"/>
          <w:szCs w:val="22"/>
        </w:rPr>
        <w:t>(Bertolini et al. 2015).</w:t>
      </w:r>
      <w:r>
        <w:rPr>
          <w:rFonts w:ascii="Cambria" w:eastAsia="WarnockPro-Regular" w:hAnsi="Cambria" w:cs="WarnockPro-Regular"/>
          <w:iCs/>
          <w:szCs w:val="22"/>
        </w:rPr>
        <w:t xml:space="preserve">  Therefore, ‘</w:t>
      </w:r>
      <w:r>
        <w:rPr>
          <w:rFonts w:ascii="Cambria" w:eastAsia="WarnockPro-Regular" w:hAnsi="Cambria" w:cs="WarnockPro-Regular"/>
          <w:i/>
          <w:iCs/>
          <w:szCs w:val="22"/>
        </w:rPr>
        <w:t>Ca</w:t>
      </w:r>
      <w:r>
        <w:rPr>
          <w:rFonts w:ascii="Cambria" w:eastAsia="WarnockPro-Regular" w:hAnsi="Cambria" w:cs="WarnockPro-Regular"/>
          <w:iCs/>
          <w:szCs w:val="22"/>
        </w:rPr>
        <w:t xml:space="preserve">. L. solanacearum’ </w:t>
      </w:r>
      <w:r>
        <w:rPr>
          <w:rFonts w:ascii="Cambria" w:eastAsia="WarnockPro-Regular" w:hAnsi="Cambria" w:cs="WarnockPro-Regular"/>
          <w:szCs w:val="22"/>
        </w:rPr>
        <w:t>arriving i</w:t>
      </w:r>
      <w:r>
        <w:rPr>
          <w:rFonts w:ascii="Cambria" w:eastAsia="Cambria" w:hAnsi="Cambria" w:cs="MeridienLTStd-Roman"/>
          <w:szCs w:val="22"/>
        </w:rPr>
        <w:t>n Aus</w:t>
      </w:r>
      <w:r>
        <w:rPr>
          <w:rFonts w:ascii="Cambria" w:eastAsia="WarnockPro-Regular" w:hAnsi="Cambria" w:cs="WarnockPro-Regular"/>
          <w:szCs w:val="22"/>
        </w:rPr>
        <w:t xml:space="preserve">tralia </w:t>
      </w:r>
      <w:r>
        <w:rPr>
          <w:rFonts w:ascii="Cambria" w:hAnsi="Cambria"/>
          <w:szCs w:val="22"/>
        </w:rPr>
        <w:t xml:space="preserve">with imported infected carrot seeds for sowing is already present within a suitable host that will be used for propagation. </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Although ‘</w:t>
      </w:r>
      <w:r>
        <w:rPr>
          <w:rFonts w:ascii="Cambria" w:hAnsi="Cambria"/>
          <w:i/>
          <w:szCs w:val="22"/>
        </w:rPr>
        <w:t>Ca</w:t>
      </w:r>
      <w:r>
        <w:rPr>
          <w:rFonts w:ascii="Cambria" w:hAnsi="Cambria"/>
          <w:szCs w:val="22"/>
        </w:rPr>
        <w:t>. L. solanacearum’ is unable to move independently from imported seeds to a suitable host, the bacterium has been shown to be transmitted from seed to the resultant seedling (Bertolini et al. 2015). The bacterium is likely to survive as long as its host plant is present. In the case of annual crops, such as carrot for consumption that are harvested before seed are produced, the bacterium will depend on a vector to transfer it to a reservoir host for survival during the cropless period and infection of the next generation of carrot seed.</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lastRenderedPageBreak/>
        <w:t xml:space="preserve">The transfer of </w:t>
      </w:r>
      <w:r>
        <w:rPr>
          <w:rFonts w:ascii="Cambria" w:eastAsia="WarnockPro-Regular" w:hAnsi="Cambria" w:cs="WarnockPro-Regular"/>
          <w:iCs/>
          <w:szCs w:val="22"/>
        </w:rPr>
        <w:t>‘</w:t>
      </w:r>
      <w:r>
        <w:rPr>
          <w:rFonts w:ascii="Cambria" w:eastAsia="WarnockPro-Regular" w:hAnsi="Cambria" w:cs="WarnockPro-Regular"/>
          <w:i/>
          <w:iCs/>
          <w:szCs w:val="22"/>
        </w:rPr>
        <w:t>Ca</w:t>
      </w:r>
      <w:r>
        <w:rPr>
          <w:rFonts w:ascii="Cambria" w:eastAsia="WarnockPro-Regular" w:hAnsi="Cambria" w:cs="WarnockPro-Regular"/>
          <w:iCs/>
          <w:szCs w:val="22"/>
        </w:rPr>
        <w:t xml:space="preserve">. L. solanacearum’ from an infected seedling </w:t>
      </w:r>
      <w:r>
        <w:rPr>
          <w:rFonts w:ascii="Cambria" w:hAnsi="Cambria"/>
          <w:szCs w:val="22"/>
        </w:rPr>
        <w:t xml:space="preserve">to other suitable hosts or carrot plants within a field would require a vector. In the absence of a vector, </w:t>
      </w:r>
      <w:r>
        <w:rPr>
          <w:rFonts w:ascii="Cambria" w:eastAsia="WarnockPro-Regular" w:hAnsi="Cambria" w:cs="WarnockPro-Regular"/>
          <w:iCs/>
          <w:szCs w:val="22"/>
        </w:rPr>
        <w:t>‘</w:t>
      </w:r>
      <w:r>
        <w:rPr>
          <w:rFonts w:ascii="Cambria" w:eastAsia="WarnockPro-Regular" w:hAnsi="Cambria" w:cs="WarnockPro-Regular"/>
          <w:i/>
          <w:iCs/>
          <w:szCs w:val="22"/>
        </w:rPr>
        <w:t>Ca</w:t>
      </w:r>
      <w:r>
        <w:rPr>
          <w:rFonts w:ascii="Cambria" w:eastAsia="WarnockPro-Regular" w:hAnsi="Cambria" w:cs="WarnockPro-Regular"/>
          <w:iCs/>
          <w:szCs w:val="22"/>
        </w:rPr>
        <w:t>. L. solanacearum’ could only persist through multiple generations of seed to seedling transmission</w:t>
      </w:r>
      <w:r>
        <w:rPr>
          <w:rFonts w:ascii="Cambria" w:hAnsi="Cambria"/>
          <w:szCs w:val="22"/>
        </w:rPr>
        <w:t>.</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Carrot seeds are imported specifically for the purpose of propagation and can be a significant investment for importers. Infected carrot seeds are therefore likely to be grown directly in suitable habitats at multiple locations throughout Australia. The distribution of infected carrot seeds commercially will assist in the distribution of ‘</w:t>
      </w:r>
      <w:r>
        <w:rPr>
          <w:rFonts w:ascii="Cambria" w:hAnsi="Cambria"/>
          <w:i/>
          <w:szCs w:val="22"/>
        </w:rPr>
        <w:t>Ca</w:t>
      </w:r>
      <w:r>
        <w:rPr>
          <w:rFonts w:ascii="Cambria" w:hAnsi="Cambria"/>
          <w:szCs w:val="22"/>
        </w:rPr>
        <w:t>. L. solanacearum’ within Australia.</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iCs/>
          <w:szCs w:val="22"/>
        </w:rPr>
        <w:t>‘</w:t>
      </w:r>
      <w:r>
        <w:rPr>
          <w:rFonts w:ascii="Cambria" w:hAnsi="Cambria"/>
          <w:i/>
          <w:iCs/>
          <w:szCs w:val="22"/>
        </w:rPr>
        <w:t>Ca</w:t>
      </w:r>
      <w:r>
        <w:rPr>
          <w:rFonts w:ascii="Cambria" w:hAnsi="Cambria"/>
          <w:iCs/>
          <w:szCs w:val="22"/>
        </w:rPr>
        <w:t xml:space="preserve">. L. solanacearum’ </w:t>
      </w:r>
      <w:r>
        <w:rPr>
          <w:rFonts w:ascii="Cambria" w:hAnsi="Cambria"/>
          <w:bCs/>
          <w:szCs w:val="22"/>
        </w:rPr>
        <w:t>haplotypes C, D and E</w:t>
      </w:r>
      <w:r>
        <w:rPr>
          <w:rFonts w:ascii="Cambria" w:hAnsi="Cambria"/>
          <w:iCs/>
          <w:szCs w:val="22"/>
        </w:rPr>
        <w:t xml:space="preserve"> are</w:t>
      </w:r>
      <w:r>
        <w:rPr>
          <w:rFonts w:ascii="Cambria" w:hAnsi="Cambria"/>
          <w:szCs w:val="22"/>
        </w:rPr>
        <w:t xml:space="preserve"> host specific to carrot and celery (Munyaneza et al. 2010a</w:t>
      </w:r>
      <w:r>
        <w:rPr>
          <w:rFonts w:ascii="Cambria" w:eastAsia="Cambria" w:hAnsi="Cambria" w:cs="Arial"/>
          <w:szCs w:val="22"/>
        </w:rPr>
        <w:t xml:space="preserve">; Teresani </w:t>
      </w:r>
      <w:r>
        <w:rPr>
          <w:rFonts w:ascii="Cambria" w:eastAsia="Cambria" w:hAnsi="Cambria" w:cs="Arial"/>
          <w:iCs/>
          <w:szCs w:val="22"/>
        </w:rPr>
        <w:t>et al</w:t>
      </w:r>
      <w:r>
        <w:rPr>
          <w:rFonts w:ascii="Cambria" w:eastAsia="Cambria" w:hAnsi="Cambria" w:cs="Arial"/>
          <w:szCs w:val="22"/>
        </w:rPr>
        <w:t>. 2014b</w:t>
      </w:r>
      <w:r>
        <w:rPr>
          <w:rFonts w:ascii="Cambria" w:hAnsi="Cambria"/>
          <w:szCs w:val="22"/>
        </w:rPr>
        <w:t>). Carrot and celery crops are widely distributed throughout Australia with many residential and semi-rural properties in the metropolitan area growing vegetables in the backyard. However, in the absence of psyllid vectors, the bacterium is unlikely to move to these available hosts.</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w:t>
      </w:r>
      <w:r>
        <w:rPr>
          <w:rFonts w:ascii="Cambria" w:hAnsi="Cambria"/>
          <w:i/>
          <w:szCs w:val="22"/>
        </w:rPr>
        <w:t>Ca</w:t>
      </w:r>
      <w:r>
        <w:rPr>
          <w:rFonts w:ascii="Cambria" w:hAnsi="Cambria"/>
          <w:szCs w:val="22"/>
        </w:rPr>
        <w:t xml:space="preserve">. L. solanacearum’ has been detected in three species of </w:t>
      </w:r>
      <w:r>
        <w:rPr>
          <w:rFonts w:ascii="Cambria" w:hAnsi="Cambria"/>
          <w:i/>
          <w:szCs w:val="22"/>
        </w:rPr>
        <w:t xml:space="preserve">Bactericera </w:t>
      </w:r>
      <w:r>
        <w:rPr>
          <w:rFonts w:ascii="Cambria" w:hAnsi="Cambria"/>
          <w:szCs w:val="22"/>
        </w:rPr>
        <w:t>(</w:t>
      </w:r>
      <w:r>
        <w:rPr>
          <w:rFonts w:ascii="Cambria" w:hAnsi="Cambria"/>
          <w:i/>
          <w:szCs w:val="22"/>
        </w:rPr>
        <w:t>B. nigricornis</w:t>
      </w:r>
      <w:r>
        <w:rPr>
          <w:rFonts w:ascii="Cambria" w:hAnsi="Cambria"/>
          <w:szCs w:val="22"/>
        </w:rPr>
        <w:t xml:space="preserve">, </w:t>
      </w:r>
      <w:r>
        <w:rPr>
          <w:rFonts w:ascii="Cambria" w:hAnsi="Cambria"/>
          <w:i/>
          <w:szCs w:val="22"/>
        </w:rPr>
        <w:t>B. tremblayi</w:t>
      </w:r>
      <w:r>
        <w:rPr>
          <w:rFonts w:ascii="Cambria" w:hAnsi="Cambria"/>
          <w:szCs w:val="22"/>
        </w:rPr>
        <w:t xml:space="preserve"> and</w:t>
      </w:r>
      <w:r>
        <w:rPr>
          <w:rFonts w:ascii="Cambria" w:hAnsi="Cambria"/>
          <w:i/>
          <w:szCs w:val="22"/>
        </w:rPr>
        <w:t xml:space="preserve"> B. trigonica</w:t>
      </w:r>
      <w:r>
        <w:rPr>
          <w:rFonts w:ascii="Cambria" w:hAnsi="Cambria"/>
          <w:szCs w:val="22"/>
        </w:rPr>
        <w:t xml:space="preserve">) and </w:t>
      </w:r>
      <w:r>
        <w:rPr>
          <w:rFonts w:ascii="Cambria" w:hAnsi="Cambria"/>
          <w:i/>
          <w:szCs w:val="22"/>
        </w:rPr>
        <w:t>T. apicalis</w:t>
      </w:r>
      <w:r>
        <w:rPr>
          <w:rFonts w:ascii="Cambria" w:hAnsi="Cambria"/>
          <w:szCs w:val="22"/>
        </w:rPr>
        <w:t xml:space="preserve">. However, only </w:t>
      </w:r>
      <w:r>
        <w:rPr>
          <w:rFonts w:ascii="Cambria" w:hAnsi="Cambria"/>
          <w:i/>
          <w:szCs w:val="22"/>
        </w:rPr>
        <w:t>B. trigonica</w:t>
      </w:r>
      <w:r>
        <w:rPr>
          <w:rFonts w:ascii="Cambria" w:hAnsi="Cambria"/>
          <w:szCs w:val="22"/>
        </w:rPr>
        <w:t xml:space="preserve"> and </w:t>
      </w:r>
      <w:r>
        <w:rPr>
          <w:rFonts w:ascii="Cambria" w:hAnsi="Cambria"/>
          <w:i/>
          <w:szCs w:val="22"/>
        </w:rPr>
        <w:t>T. apicalis</w:t>
      </w:r>
      <w:r>
        <w:rPr>
          <w:rFonts w:ascii="Cambria" w:hAnsi="Cambria"/>
          <w:szCs w:val="22"/>
        </w:rPr>
        <w:t xml:space="preserve"> are known to transmit ‘</w:t>
      </w:r>
      <w:r>
        <w:rPr>
          <w:rFonts w:ascii="Cambria" w:hAnsi="Cambria"/>
          <w:i/>
          <w:szCs w:val="22"/>
        </w:rPr>
        <w:t>Ca</w:t>
      </w:r>
      <w:r>
        <w:rPr>
          <w:rFonts w:ascii="Cambria" w:hAnsi="Cambria"/>
          <w:szCs w:val="22"/>
        </w:rPr>
        <w:t xml:space="preserve">. </w:t>
      </w:r>
      <w:r>
        <w:rPr>
          <w:rFonts w:ascii="Cambria" w:hAnsi="Cambria"/>
          <w:szCs w:val="22"/>
        </w:rPr>
        <w:lastRenderedPageBreak/>
        <w:t>L. solanacearum’ naturally (Haapalainen 2014). This vector specificity suggests it is unlikely that Australian native psyllids would be able to transmit ‘</w:t>
      </w:r>
      <w:r>
        <w:rPr>
          <w:rFonts w:ascii="Cambria" w:hAnsi="Cambria"/>
          <w:i/>
          <w:szCs w:val="22"/>
        </w:rPr>
        <w:t>Ca</w:t>
      </w:r>
      <w:r>
        <w:rPr>
          <w:rFonts w:ascii="Cambria" w:hAnsi="Cambria"/>
          <w:szCs w:val="22"/>
        </w:rPr>
        <w:t>. L. solanacearum’.</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 xml:space="preserve">In carrot plants, the infection may be maintained as long as new carrot seeds are being produced from the line originating from the infected imported carrot seeds. </w:t>
      </w:r>
    </w:p>
    <w:p w:rsidR="00AE7868" w:rsidRDefault="00FF2B57">
      <w:pPr>
        <w:pStyle w:val="Heading5"/>
        <w:spacing w:before="200"/>
        <w:rPr>
          <w:i w:val="0"/>
        </w:rPr>
      </w:pPr>
      <w:r>
        <w:t>Distribution of the imported commodity in the PRA area</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The distribution of carrot seeds for sowing would be for commercial and retail distribution to multiple destinations throughout Australia. Carrot seeds for sowing would also be distributed throughout Australia for propagation.</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The distribution of infected seeds commercially through seed companies may facilitate the distribution of ‘</w:t>
      </w:r>
      <w:r>
        <w:rPr>
          <w:rFonts w:ascii="Cambria" w:hAnsi="Cambria"/>
          <w:i/>
          <w:szCs w:val="22"/>
        </w:rPr>
        <w:t>Ca</w:t>
      </w:r>
      <w:r>
        <w:rPr>
          <w:rFonts w:ascii="Cambria" w:hAnsi="Cambria"/>
          <w:szCs w:val="22"/>
        </w:rPr>
        <w:t xml:space="preserve">. L. solanacearum’ in Australia. Asymptomatic plants that develop from infected seeds may also be overlooked and sold to commercial users and households. </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w:t>
      </w:r>
      <w:r>
        <w:rPr>
          <w:rFonts w:ascii="Cambria" w:hAnsi="Cambria"/>
          <w:i/>
          <w:szCs w:val="22"/>
        </w:rPr>
        <w:t>Ca</w:t>
      </w:r>
      <w:r>
        <w:rPr>
          <w:rFonts w:ascii="Cambria" w:hAnsi="Cambria"/>
          <w:szCs w:val="22"/>
        </w:rPr>
        <w:t xml:space="preserve">. L. solanacearum’ is likely to survive transportation and storage within Australia. Carrot seeds are likely to </w:t>
      </w:r>
      <w:r>
        <w:rPr>
          <w:rFonts w:ascii="Cambria" w:hAnsi="Cambria"/>
          <w:color w:val="000000"/>
          <w:szCs w:val="22"/>
          <w:lang w:val="en-US"/>
        </w:rPr>
        <w:t xml:space="preserve">be transported, stored and maintained in appropriate conditions. </w:t>
      </w:r>
      <w:r>
        <w:rPr>
          <w:rFonts w:ascii="Cambria" w:hAnsi="Cambria"/>
          <w:szCs w:val="22"/>
        </w:rPr>
        <w:t>Thus, transport and storage conditions within Australia are unlikely to have any impact on the survival of ‘</w:t>
      </w:r>
      <w:r>
        <w:rPr>
          <w:rFonts w:ascii="Cambria" w:hAnsi="Cambria"/>
          <w:i/>
          <w:szCs w:val="22"/>
        </w:rPr>
        <w:t>Ca</w:t>
      </w:r>
      <w:r>
        <w:rPr>
          <w:rFonts w:ascii="Cambria" w:hAnsi="Cambria"/>
          <w:szCs w:val="22"/>
        </w:rPr>
        <w:t>. L. solanacearum’ in imported seeds.</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Association with carrot seeds provides the opportunity for ‘</w:t>
      </w:r>
      <w:r>
        <w:rPr>
          <w:rFonts w:ascii="Cambria" w:hAnsi="Cambria"/>
          <w:i/>
          <w:szCs w:val="22"/>
        </w:rPr>
        <w:t>Ca</w:t>
      </w:r>
      <w:r>
        <w:rPr>
          <w:rFonts w:ascii="Cambria" w:hAnsi="Cambria"/>
          <w:szCs w:val="22"/>
        </w:rPr>
        <w:t xml:space="preserve">. L. solanacearum’ to enter Australia. Its ability to survive on, or in, </w:t>
      </w:r>
      <w:r>
        <w:rPr>
          <w:rFonts w:ascii="Cambria" w:hAnsi="Cambria"/>
          <w:szCs w:val="22"/>
        </w:rPr>
        <w:lastRenderedPageBreak/>
        <w:t>propagative material acts to ensure the viability of the bacterium on route to, and during distribution across, Australia.</w:t>
      </w:r>
    </w:p>
    <w:p w:rsidR="00AE7868" w:rsidRDefault="00FF2B57">
      <w:pPr>
        <w:pStyle w:val="Heading5"/>
        <w:spacing w:before="120"/>
      </w:pPr>
      <w:r>
        <w:t>Risks from by-products and waste</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The intended use of carrot seeds is for propagation, and all imported seeds would be grown under ideal conditions. Carrot seeds that do not survive transportation and storage may not be used for sowing. Therefore, waste material may be generated. As the bacterium can infect seeds, any such material that is discarded may contain the bacterium.</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If a seed does germinate and seed to seedling transmission occurs, an infected plant will establish. The transfer of ‘</w:t>
      </w:r>
      <w:r>
        <w:rPr>
          <w:rFonts w:ascii="Cambria" w:hAnsi="Cambria"/>
          <w:i/>
          <w:szCs w:val="22"/>
        </w:rPr>
        <w:t>Ca</w:t>
      </w:r>
      <w:r>
        <w:rPr>
          <w:rFonts w:ascii="Cambria" w:hAnsi="Cambria"/>
          <w:szCs w:val="22"/>
        </w:rPr>
        <w:t>. L. solanacearum’ from an infected seedling established at a waste depot or in the backyard, to a host would require a vector.</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The transfer of ‘</w:t>
      </w:r>
      <w:r>
        <w:rPr>
          <w:rFonts w:ascii="Cambria" w:hAnsi="Cambria"/>
          <w:i/>
          <w:szCs w:val="22"/>
        </w:rPr>
        <w:t xml:space="preserve">Ca. </w:t>
      </w:r>
      <w:r>
        <w:rPr>
          <w:rFonts w:ascii="Cambria" w:hAnsi="Cambria"/>
          <w:szCs w:val="22"/>
        </w:rPr>
        <w:t>L. solanacearum’ from an established seedling at a waste depot or in the backyard, to a new host would then require a vector.</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w:t>
      </w:r>
      <w:r>
        <w:rPr>
          <w:rFonts w:ascii="Cambria" w:hAnsi="Cambria"/>
          <w:i/>
          <w:szCs w:val="22"/>
        </w:rPr>
        <w:t>Ca</w:t>
      </w:r>
      <w:r>
        <w:rPr>
          <w:rFonts w:ascii="Cambria" w:hAnsi="Cambria"/>
          <w:szCs w:val="22"/>
        </w:rPr>
        <w:t xml:space="preserve">. L. solanacearum’ has been detected in three species of </w:t>
      </w:r>
      <w:r>
        <w:rPr>
          <w:rFonts w:ascii="Cambria" w:hAnsi="Cambria"/>
          <w:i/>
          <w:szCs w:val="22"/>
        </w:rPr>
        <w:t xml:space="preserve">Bactericera </w:t>
      </w:r>
      <w:r>
        <w:rPr>
          <w:rFonts w:ascii="Cambria" w:hAnsi="Cambria"/>
          <w:szCs w:val="22"/>
        </w:rPr>
        <w:t>(</w:t>
      </w:r>
      <w:r>
        <w:rPr>
          <w:rFonts w:ascii="Cambria" w:hAnsi="Cambria"/>
          <w:i/>
          <w:szCs w:val="22"/>
        </w:rPr>
        <w:t>B. nigricornis</w:t>
      </w:r>
      <w:r>
        <w:rPr>
          <w:rFonts w:ascii="Cambria" w:hAnsi="Cambria"/>
          <w:szCs w:val="22"/>
        </w:rPr>
        <w:t xml:space="preserve">, </w:t>
      </w:r>
      <w:r>
        <w:rPr>
          <w:rFonts w:ascii="Cambria" w:hAnsi="Cambria"/>
          <w:i/>
          <w:szCs w:val="22"/>
        </w:rPr>
        <w:t xml:space="preserve">B. tremblayi </w:t>
      </w:r>
      <w:r>
        <w:rPr>
          <w:rFonts w:ascii="Cambria" w:hAnsi="Cambria"/>
          <w:szCs w:val="22"/>
        </w:rPr>
        <w:t>and</w:t>
      </w:r>
      <w:r>
        <w:rPr>
          <w:rFonts w:ascii="Cambria" w:hAnsi="Cambria"/>
          <w:i/>
          <w:szCs w:val="22"/>
        </w:rPr>
        <w:t xml:space="preserve"> B. trigonica</w:t>
      </w:r>
      <w:r>
        <w:rPr>
          <w:rFonts w:ascii="Cambria" w:hAnsi="Cambria"/>
          <w:szCs w:val="22"/>
        </w:rPr>
        <w:t xml:space="preserve">) and </w:t>
      </w:r>
      <w:r>
        <w:rPr>
          <w:rFonts w:ascii="Cambria" w:hAnsi="Cambria"/>
          <w:i/>
          <w:szCs w:val="22"/>
        </w:rPr>
        <w:t>T. apicalis</w:t>
      </w:r>
      <w:r>
        <w:rPr>
          <w:rFonts w:ascii="Cambria" w:hAnsi="Cambria"/>
          <w:szCs w:val="22"/>
        </w:rPr>
        <w:t xml:space="preserve">. However, only </w:t>
      </w:r>
      <w:r>
        <w:rPr>
          <w:rFonts w:ascii="Cambria" w:hAnsi="Cambria"/>
          <w:i/>
          <w:szCs w:val="22"/>
        </w:rPr>
        <w:t>B. trigonica</w:t>
      </w:r>
      <w:r>
        <w:rPr>
          <w:rFonts w:ascii="Cambria" w:hAnsi="Cambria"/>
          <w:szCs w:val="22"/>
        </w:rPr>
        <w:t xml:space="preserve"> and </w:t>
      </w:r>
      <w:r>
        <w:rPr>
          <w:rFonts w:ascii="Cambria" w:hAnsi="Cambria"/>
          <w:i/>
          <w:szCs w:val="22"/>
        </w:rPr>
        <w:t>T. apicalis</w:t>
      </w:r>
      <w:r>
        <w:rPr>
          <w:rFonts w:ascii="Cambria" w:hAnsi="Cambria"/>
          <w:szCs w:val="22"/>
        </w:rPr>
        <w:t xml:space="preserve"> are known to transmit ‘</w:t>
      </w:r>
      <w:r>
        <w:rPr>
          <w:rFonts w:ascii="Cambria" w:hAnsi="Cambria"/>
          <w:i/>
          <w:szCs w:val="22"/>
        </w:rPr>
        <w:t>Ca</w:t>
      </w:r>
      <w:r>
        <w:rPr>
          <w:rFonts w:ascii="Cambria" w:hAnsi="Cambria"/>
          <w:szCs w:val="22"/>
        </w:rPr>
        <w:t>. L. solanacearum’ naturally (Haapalainen 2014). This vector specificity suggests it is unlikely that Australian native psyllids would be able to transmit ‘</w:t>
      </w:r>
      <w:r>
        <w:rPr>
          <w:rFonts w:ascii="Cambria" w:hAnsi="Cambria"/>
          <w:i/>
          <w:szCs w:val="22"/>
        </w:rPr>
        <w:t>Ca</w:t>
      </w:r>
      <w:r>
        <w:rPr>
          <w:rFonts w:ascii="Cambria" w:hAnsi="Cambria"/>
          <w:szCs w:val="22"/>
        </w:rPr>
        <w:t>. L. solanacearum’.</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lastRenderedPageBreak/>
        <w:t>Since ‘</w:t>
      </w:r>
      <w:r>
        <w:rPr>
          <w:rFonts w:ascii="Cambria" w:hAnsi="Cambria"/>
          <w:i/>
          <w:szCs w:val="22"/>
        </w:rPr>
        <w:t>Ca</w:t>
      </w:r>
      <w:r>
        <w:rPr>
          <w:rFonts w:ascii="Cambria" w:hAnsi="Cambria"/>
          <w:szCs w:val="22"/>
        </w:rPr>
        <w:t>. L. solanacearum’ requires a vector, it is highly likely that an infected plant, which develops in an isolated area where the psyllid vector is not known to occur, will represent an isolated infection.</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In carrot plants, the infection may be maintained as long as new carrot seeds are being produced from the line originating from the infected imported carrot seeds. In the absence of a suitable vector, it is likely that these cases will not lead to long term establishment, but they could lead to transient ‘</w:t>
      </w:r>
      <w:r>
        <w:rPr>
          <w:rFonts w:ascii="Cambria" w:hAnsi="Cambria"/>
          <w:i/>
          <w:szCs w:val="22"/>
        </w:rPr>
        <w:t>Ca</w:t>
      </w:r>
      <w:r>
        <w:rPr>
          <w:rFonts w:ascii="Cambria" w:hAnsi="Cambria"/>
          <w:szCs w:val="22"/>
        </w:rPr>
        <w:t>. L. solanacearum’ populations.</w:t>
      </w:r>
    </w:p>
    <w:p w:rsidR="00AE7868" w:rsidRDefault="00FF2B57">
      <w:pPr>
        <w:pStyle w:val="Heading4"/>
        <w:spacing w:before="200"/>
        <w:rPr>
          <w:rFonts w:asciiTheme="minorHAnsi" w:hAnsiTheme="minorHAnsi"/>
          <w:sz w:val="24"/>
          <w:szCs w:val="24"/>
        </w:rPr>
      </w:pPr>
      <w:r>
        <w:rPr>
          <w:rFonts w:asciiTheme="minorHAnsi" w:hAnsiTheme="minorHAnsi"/>
          <w:sz w:val="24"/>
          <w:szCs w:val="24"/>
        </w:rPr>
        <w:t>Pathway two: Tissue cultures (carrot, celery and parsnip)</w:t>
      </w:r>
    </w:p>
    <w:p w:rsidR="00AE7868" w:rsidRDefault="00FF2B57">
      <w:pPr>
        <w:pStyle w:val="AQISNum"/>
        <w:spacing w:before="200" w:line="276" w:lineRule="auto"/>
        <w:rPr>
          <w:rFonts w:ascii="Cambria" w:hAnsi="Cambria"/>
          <w:szCs w:val="22"/>
        </w:rPr>
      </w:pPr>
      <w:r>
        <w:rPr>
          <w:rFonts w:ascii="Cambria" w:hAnsi="Cambria"/>
          <w:szCs w:val="22"/>
        </w:rPr>
        <w:t>‘</w:t>
      </w:r>
      <w:r>
        <w:rPr>
          <w:rFonts w:ascii="Cambria" w:hAnsi="Cambria"/>
          <w:i/>
          <w:szCs w:val="22"/>
        </w:rPr>
        <w:t>Candidatus</w:t>
      </w:r>
      <w:r>
        <w:rPr>
          <w:rFonts w:ascii="Cambria" w:hAnsi="Cambria"/>
          <w:szCs w:val="22"/>
        </w:rPr>
        <w:t xml:space="preserve"> Liberibacter’ species infect phloem; therefore, once a plant has become infected, the bacterium can move throughout the plant. Consequently, carrot, celery and parsnip tissue cultures provide a pathway for ‘</w:t>
      </w:r>
      <w:r>
        <w:rPr>
          <w:rFonts w:ascii="Cambria" w:hAnsi="Cambria"/>
          <w:i/>
          <w:szCs w:val="22"/>
        </w:rPr>
        <w:t>Ca</w:t>
      </w:r>
      <w:r>
        <w:rPr>
          <w:rFonts w:ascii="Cambria" w:hAnsi="Cambria"/>
          <w:szCs w:val="22"/>
        </w:rPr>
        <w:t>. L. solanacearum’.</w:t>
      </w:r>
    </w:p>
    <w:p w:rsidR="00AE7868" w:rsidRDefault="00FF2B57">
      <w:pPr>
        <w:pStyle w:val="Heading4"/>
        <w:spacing w:before="200"/>
      </w:pPr>
      <w:r>
        <w:t>Likelihood of importation</w:t>
      </w:r>
    </w:p>
    <w:p w:rsidR="00AE7868" w:rsidRDefault="00FF2B57">
      <w:pPr>
        <w:spacing w:before="200"/>
        <w:rPr>
          <w:rFonts w:ascii="Cambria" w:hAnsi="Cambria"/>
        </w:rPr>
      </w:pPr>
      <w:r>
        <w:rPr>
          <w:rFonts w:ascii="Cambria" w:hAnsi="Cambria"/>
        </w:rPr>
        <w:t>The likelihood that ‘</w:t>
      </w:r>
      <w:r>
        <w:rPr>
          <w:rFonts w:ascii="Cambria" w:hAnsi="Cambria"/>
          <w:i/>
        </w:rPr>
        <w:t>Ca</w:t>
      </w:r>
      <w:r>
        <w:rPr>
          <w:rFonts w:ascii="Cambria" w:hAnsi="Cambria"/>
        </w:rPr>
        <w:t xml:space="preserve">. L. solanacearum’ will arrive in Australia with trade in tissue cultures (carrot, celery and parsnip) for propagation is </w:t>
      </w:r>
      <w:r>
        <w:rPr>
          <w:rFonts w:ascii="Cambria" w:hAnsi="Cambria"/>
          <w:b/>
          <w:bCs/>
        </w:rPr>
        <w:t>HIGH</w:t>
      </w:r>
      <w:r>
        <w:rPr>
          <w:rFonts w:ascii="Cambria" w:hAnsi="Cambria"/>
        </w:rPr>
        <w:t>.</w:t>
      </w:r>
    </w:p>
    <w:p w:rsidR="00AE7868" w:rsidRDefault="00FF2B57">
      <w:pPr>
        <w:pStyle w:val="Heading5"/>
        <w:spacing w:before="120" w:after="120"/>
      </w:pPr>
      <w:r>
        <w:t>Association of the pest with the pathway</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w:t>
      </w:r>
      <w:r>
        <w:rPr>
          <w:rFonts w:ascii="Cambria" w:hAnsi="Cambria"/>
          <w:i/>
          <w:szCs w:val="22"/>
        </w:rPr>
        <w:t>Ca</w:t>
      </w:r>
      <w:r>
        <w:rPr>
          <w:rFonts w:ascii="Cambria" w:hAnsi="Cambria"/>
          <w:szCs w:val="22"/>
        </w:rPr>
        <w:t xml:space="preserve">. L. solanacearum’ is distributed systemically in all parts of the infected plant, and is found in the phloem of leaflets, petioles, stems, </w:t>
      </w:r>
      <w:r>
        <w:rPr>
          <w:rFonts w:ascii="Cambria" w:hAnsi="Cambria"/>
          <w:szCs w:val="22"/>
        </w:rPr>
        <w:lastRenderedPageBreak/>
        <w:t>crowns and roots (Nissinen et al. 2014). Therefore, this bacterium is associated with the tissue culture pathway.</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Since ‘</w:t>
      </w:r>
      <w:r>
        <w:rPr>
          <w:rFonts w:ascii="Cambria" w:hAnsi="Cambria"/>
          <w:i/>
          <w:iCs/>
          <w:szCs w:val="22"/>
        </w:rPr>
        <w:t>Ca</w:t>
      </w:r>
      <w:r>
        <w:rPr>
          <w:rFonts w:ascii="Cambria" w:hAnsi="Cambria"/>
          <w:iCs/>
          <w:szCs w:val="22"/>
        </w:rPr>
        <w:t>.</w:t>
      </w:r>
      <w:r>
        <w:rPr>
          <w:rFonts w:ascii="Cambria" w:hAnsi="Cambria"/>
          <w:i/>
          <w:iCs/>
          <w:szCs w:val="22"/>
        </w:rPr>
        <w:t xml:space="preserve"> </w:t>
      </w:r>
      <w:r>
        <w:rPr>
          <w:rFonts w:ascii="Cambria" w:hAnsi="Cambria"/>
          <w:szCs w:val="22"/>
        </w:rPr>
        <w:t>L.’ species infect phloem, once a plant has become infected the bacterium can move throughout the plant. Global trade and the associated movement of carrot, celery and parsnip tissue cultures across borders may introduce ‘</w:t>
      </w:r>
      <w:r>
        <w:rPr>
          <w:rFonts w:ascii="Cambria" w:hAnsi="Cambria"/>
          <w:i/>
          <w:szCs w:val="22"/>
        </w:rPr>
        <w:t>Ca</w:t>
      </w:r>
      <w:r>
        <w:rPr>
          <w:rFonts w:ascii="Cambria" w:hAnsi="Cambria"/>
          <w:szCs w:val="22"/>
        </w:rPr>
        <w:t xml:space="preserve">. L. solanacearum’ into new areas. </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w:t>
      </w:r>
      <w:r>
        <w:rPr>
          <w:rFonts w:ascii="Cambria" w:hAnsi="Cambria"/>
          <w:i/>
          <w:szCs w:val="22"/>
        </w:rPr>
        <w:t xml:space="preserve">Ca. </w:t>
      </w:r>
      <w:r>
        <w:rPr>
          <w:rFonts w:ascii="Cambria" w:hAnsi="Cambria"/>
          <w:szCs w:val="22"/>
        </w:rPr>
        <w:t>L.’ species survive within the living phloem cells in the vascular system of host plants. The presence of the bacterium in the phloem allows it to avoid the natural defences of the plant, which other pathogens encounter when they infect foliar and intercellular spaces (Kim et al. 2009).</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Carrot and celery plants infected with ‘</w:t>
      </w:r>
      <w:r>
        <w:rPr>
          <w:rFonts w:ascii="Cambria" w:hAnsi="Cambria"/>
          <w:i/>
          <w:szCs w:val="22"/>
        </w:rPr>
        <w:t>Ca</w:t>
      </w:r>
      <w:r>
        <w:rPr>
          <w:rFonts w:ascii="Cambria" w:hAnsi="Cambria"/>
          <w:szCs w:val="22"/>
        </w:rPr>
        <w:t>. L. solanacearum’ may be symptomless (Teresani et al. 2014b), which could also contribute to the introduction and spread of the bacterium in tissue cultures.</w:t>
      </w:r>
    </w:p>
    <w:p w:rsidR="00AE7868" w:rsidRDefault="00FF2B57">
      <w:pPr>
        <w:pStyle w:val="Heading5"/>
        <w:spacing w:before="120" w:after="120"/>
        <w:rPr>
          <w:i w:val="0"/>
        </w:rPr>
      </w:pPr>
      <w:r>
        <w:t>Ability of the pest to survive transport and storage</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iCs/>
          <w:szCs w:val="22"/>
        </w:rPr>
        <w:t>‘</w:t>
      </w:r>
      <w:r>
        <w:rPr>
          <w:rFonts w:ascii="Cambria" w:hAnsi="Cambria"/>
          <w:i/>
          <w:iCs/>
          <w:szCs w:val="22"/>
        </w:rPr>
        <w:t>Ca</w:t>
      </w:r>
      <w:r>
        <w:rPr>
          <w:rFonts w:ascii="Cambria" w:hAnsi="Cambria"/>
          <w:iCs/>
          <w:szCs w:val="22"/>
        </w:rPr>
        <w:t xml:space="preserve">. L. solanacearum’ </w:t>
      </w:r>
      <w:r>
        <w:rPr>
          <w:rFonts w:ascii="Cambria" w:hAnsi="Cambria"/>
          <w:szCs w:val="22"/>
        </w:rPr>
        <w:t>is very likely to survive during transport and storage since the primary conditions for survival are fulfilled by the presence of the live host material (tissue cultures) and associated environmental conditions. Tissue cultures are packaged and shipped to areas conducive to their survival. The handling of tissue cultures is unlikely to be detrimental to the survival of this pathogen.</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iCs/>
          <w:szCs w:val="22"/>
        </w:rPr>
        <w:lastRenderedPageBreak/>
        <w:t xml:space="preserve">The </w:t>
      </w:r>
      <w:r>
        <w:rPr>
          <w:rFonts w:ascii="Cambria" w:hAnsi="Cambria"/>
          <w:szCs w:val="22"/>
        </w:rPr>
        <w:t>transportation</w:t>
      </w:r>
      <w:r>
        <w:rPr>
          <w:rFonts w:ascii="Cambria" w:hAnsi="Cambria"/>
          <w:iCs/>
          <w:szCs w:val="22"/>
        </w:rPr>
        <w:t xml:space="preserve"> of tissue cultures from the country of origin to Australia may require several days. There is no reason to suspect that these conditions would affect the viability of ‘</w:t>
      </w:r>
      <w:r>
        <w:rPr>
          <w:rFonts w:ascii="Cambria" w:hAnsi="Cambria"/>
          <w:i/>
          <w:iCs/>
          <w:szCs w:val="22"/>
        </w:rPr>
        <w:t>Ca</w:t>
      </w:r>
      <w:r>
        <w:rPr>
          <w:rFonts w:ascii="Cambria" w:hAnsi="Cambria"/>
          <w:iCs/>
          <w:szCs w:val="22"/>
        </w:rPr>
        <w:t>. L. solanacearum’ because the bacterium is present within live host tissue cultures.</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Transport and storage of propagative material is done at low temperatures and these conditions are not expected to affect the viability of ‘</w:t>
      </w:r>
      <w:r>
        <w:rPr>
          <w:rFonts w:ascii="Cambria" w:hAnsi="Cambria"/>
          <w:i/>
          <w:szCs w:val="22"/>
        </w:rPr>
        <w:t>Ca</w:t>
      </w:r>
      <w:r>
        <w:rPr>
          <w:rFonts w:ascii="Cambria" w:hAnsi="Cambria"/>
          <w:szCs w:val="22"/>
        </w:rPr>
        <w:t>. L. solanacearum’. Therefore, ‘</w:t>
      </w:r>
      <w:r>
        <w:rPr>
          <w:rFonts w:ascii="Cambria" w:hAnsi="Cambria"/>
          <w:i/>
          <w:szCs w:val="22"/>
        </w:rPr>
        <w:t>Ca</w:t>
      </w:r>
      <w:r>
        <w:rPr>
          <w:rFonts w:ascii="Cambria" w:hAnsi="Cambria"/>
          <w:szCs w:val="22"/>
        </w:rPr>
        <w:t>. L. solanacearum’ is likely to survive transport and storage.</w:t>
      </w:r>
    </w:p>
    <w:p w:rsidR="00AE7868" w:rsidRDefault="00FF2B57">
      <w:pPr>
        <w:pStyle w:val="Heading5"/>
        <w:spacing w:before="120" w:after="120"/>
        <w:rPr>
          <w:i w:val="0"/>
        </w:rPr>
      </w:pPr>
      <w:r>
        <w:t>Ability of the pest to survive existing pest management procedures</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Currently, there are few effective control strategies for the protection of host crops against natural infections of ‘</w:t>
      </w:r>
      <w:r>
        <w:rPr>
          <w:rFonts w:ascii="Cambria" w:hAnsi="Cambria"/>
          <w:i/>
          <w:szCs w:val="22"/>
        </w:rPr>
        <w:t>Ca</w:t>
      </w:r>
      <w:r>
        <w:rPr>
          <w:rFonts w:ascii="Cambria" w:hAnsi="Cambria"/>
          <w:szCs w:val="22"/>
        </w:rPr>
        <w:t xml:space="preserve">. L. solanacearum’. </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w:t>
      </w:r>
      <w:r>
        <w:rPr>
          <w:rFonts w:ascii="Cambria" w:hAnsi="Cambria"/>
          <w:i/>
          <w:iCs/>
          <w:szCs w:val="22"/>
        </w:rPr>
        <w:t xml:space="preserve">Candidatus </w:t>
      </w:r>
      <w:r>
        <w:rPr>
          <w:rFonts w:ascii="Cambria" w:hAnsi="Cambria"/>
          <w:szCs w:val="22"/>
        </w:rPr>
        <w:t>Liberibacter’</w:t>
      </w:r>
      <w:r>
        <w:rPr>
          <w:rFonts w:ascii="Cambria" w:hAnsi="Cambria"/>
          <w:i/>
          <w:szCs w:val="22"/>
        </w:rPr>
        <w:t xml:space="preserve"> </w:t>
      </w:r>
      <w:r>
        <w:rPr>
          <w:rFonts w:ascii="Cambria" w:hAnsi="Cambria"/>
          <w:szCs w:val="22"/>
        </w:rPr>
        <w:t xml:space="preserve">species are typically managed by chemical control of vector populations and the removal of the inoculum source. Crops may also be cultivated under insect-proof facilities to exclude vectors. </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 xml:space="preserve">The use of </w:t>
      </w:r>
      <w:r>
        <w:rPr>
          <w:rFonts w:ascii="Cambria" w:hAnsi="Cambria" w:cs="TimesNewRomanPS-ItalicMT"/>
          <w:iCs/>
          <w:szCs w:val="22"/>
        </w:rPr>
        <w:t>’</w:t>
      </w:r>
      <w:r>
        <w:rPr>
          <w:rFonts w:ascii="Cambria" w:hAnsi="Cambria" w:cs="TimesNewRomanPS-ItalicMT"/>
          <w:i/>
          <w:iCs/>
          <w:szCs w:val="22"/>
        </w:rPr>
        <w:t>Ca</w:t>
      </w:r>
      <w:r>
        <w:rPr>
          <w:rFonts w:ascii="Cambria" w:hAnsi="Cambria" w:cs="TimesNewRomanPS-ItalicMT"/>
          <w:iCs/>
          <w:szCs w:val="22"/>
        </w:rPr>
        <w:t>. L. solanacearum’</w:t>
      </w:r>
      <w:r>
        <w:rPr>
          <w:rFonts w:ascii="Cambria" w:hAnsi="Cambria"/>
          <w:szCs w:val="22"/>
        </w:rPr>
        <w:t>-free tissue cultures and management of psyllid vectors are critical factors in managing ‘</w:t>
      </w:r>
      <w:r>
        <w:rPr>
          <w:rFonts w:ascii="Cambria" w:hAnsi="Cambria"/>
          <w:i/>
          <w:szCs w:val="22"/>
        </w:rPr>
        <w:t>Ca</w:t>
      </w:r>
      <w:r>
        <w:rPr>
          <w:rFonts w:ascii="Cambria" w:hAnsi="Cambria"/>
          <w:szCs w:val="22"/>
        </w:rPr>
        <w:t>. L. solanacearum’ in carrot and celery crops.</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 xml:space="preserve">Plant protection measures are mostly taken against the psyllids. Measures against psyllids have been implemented everywhere that the psyllid and the psyllid/bacterium combination are present, in </w:t>
      </w:r>
      <w:r>
        <w:rPr>
          <w:rFonts w:ascii="Cambria" w:hAnsi="Cambria"/>
          <w:szCs w:val="22"/>
        </w:rPr>
        <w:lastRenderedPageBreak/>
        <w:t xml:space="preserve">order to keep damage under a threshold. Treatments against the insect vectors reduce the incidence of damage but may not completely suppress the bacterium. </w:t>
      </w:r>
      <w:r>
        <w:rPr>
          <w:rFonts w:ascii="Cambria" w:eastAsia="WarnockPro-Regular" w:hAnsi="Cambria" w:cs="WarnockPro-Regular"/>
          <w:szCs w:val="22"/>
        </w:rPr>
        <w:t>In some years in northern Europe, carrots cannot be grown without the application of insecticides. For example, insecticide treatment is an economic necessity in Norway, Sweden, Denmark, Latvia and Switzerland (Láska 2011).</w:t>
      </w:r>
    </w:p>
    <w:p w:rsidR="00AE7868" w:rsidRDefault="00FF2B57">
      <w:pPr>
        <w:pStyle w:val="Heading4"/>
        <w:spacing w:before="200"/>
        <w:rPr>
          <w:rFonts w:asciiTheme="minorHAnsi" w:hAnsiTheme="minorHAnsi"/>
          <w:sz w:val="24"/>
          <w:szCs w:val="24"/>
        </w:rPr>
      </w:pPr>
      <w:r>
        <w:rPr>
          <w:rFonts w:asciiTheme="minorHAnsi" w:hAnsiTheme="minorHAnsi"/>
          <w:sz w:val="24"/>
          <w:szCs w:val="24"/>
        </w:rPr>
        <w:t>Likelihood of distribution (transfer to a susceptible host)</w:t>
      </w:r>
    </w:p>
    <w:p w:rsidR="00AE7868" w:rsidRDefault="00FF2B57">
      <w:pPr>
        <w:pStyle w:val="AQISNum"/>
        <w:spacing w:before="200" w:line="276" w:lineRule="auto"/>
        <w:rPr>
          <w:rFonts w:ascii="Cambria" w:eastAsia="WarnockPro-Regular" w:hAnsi="Cambria" w:cs="WarnockPro-Regular"/>
          <w:szCs w:val="22"/>
        </w:rPr>
      </w:pPr>
      <w:r>
        <w:rPr>
          <w:rFonts w:ascii="Cambria" w:hAnsi="Cambria"/>
          <w:szCs w:val="22"/>
        </w:rPr>
        <w:t>The likelihood that ‘</w:t>
      </w:r>
      <w:r>
        <w:rPr>
          <w:rFonts w:ascii="Cambria" w:hAnsi="Cambria"/>
          <w:i/>
          <w:szCs w:val="22"/>
        </w:rPr>
        <w:t>Ca</w:t>
      </w:r>
      <w:r>
        <w:rPr>
          <w:rFonts w:ascii="Cambria" w:hAnsi="Cambria"/>
          <w:szCs w:val="22"/>
        </w:rPr>
        <w:t>. L. solanacearum’ will be distributed within Australia in a viab</w:t>
      </w:r>
      <w:r>
        <w:rPr>
          <w:rFonts w:ascii="Cambria" w:eastAsia="WarnockPro-Regular" w:hAnsi="Cambria" w:cs="WarnockPro-Regular"/>
          <w:szCs w:val="22"/>
        </w:rPr>
        <w:t xml:space="preserve">le state with imported tissue cultures (carrot, celery and parsnip) for propagation and be transferred from these tissue cultures to a suitable host is </w:t>
      </w:r>
      <w:r>
        <w:rPr>
          <w:rFonts w:ascii="Cambria" w:eastAsia="WarnockPro-Regular" w:hAnsi="Cambria" w:cs="WarnockPro-Regular"/>
          <w:b/>
          <w:szCs w:val="22"/>
        </w:rPr>
        <w:t>LOW</w:t>
      </w:r>
      <w:r>
        <w:rPr>
          <w:rFonts w:ascii="Cambria" w:eastAsia="WarnockPro-Regular" w:hAnsi="Cambria" w:cs="WarnockPro-Regular"/>
          <w:szCs w:val="22"/>
        </w:rPr>
        <w:t>.</w:t>
      </w:r>
    </w:p>
    <w:p w:rsidR="00AE7868" w:rsidRDefault="00FF2B57">
      <w:pPr>
        <w:pStyle w:val="Heading5"/>
        <w:spacing w:before="120" w:after="120"/>
      </w:pPr>
      <w:r>
        <w:t>Ability of the pest to move from the pathway to a suitable host</w:t>
      </w:r>
    </w:p>
    <w:p w:rsidR="00AE7868" w:rsidRDefault="00FF2B57">
      <w:pPr>
        <w:pStyle w:val="AQISNum"/>
        <w:numPr>
          <w:ilvl w:val="0"/>
          <w:numId w:val="33"/>
        </w:numPr>
        <w:tabs>
          <w:tab w:val="clear" w:pos="360"/>
          <w:tab w:val="num" w:pos="284"/>
        </w:tabs>
        <w:spacing w:before="120" w:after="120" w:line="276" w:lineRule="auto"/>
        <w:ind w:left="284" w:hanging="284"/>
        <w:rPr>
          <w:rFonts w:asciiTheme="majorHAnsi" w:hAnsiTheme="majorHAnsi"/>
          <w:szCs w:val="22"/>
        </w:rPr>
      </w:pPr>
      <w:r>
        <w:rPr>
          <w:rFonts w:ascii="Cambria" w:eastAsia="WarnockPro-Regular" w:hAnsi="Cambria" w:cs="WarnockPro-Regular"/>
          <w:iCs/>
          <w:szCs w:val="22"/>
        </w:rPr>
        <w:t>‘</w:t>
      </w:r>
      <w:r>
        <w:rPr>
          <w:rFonts w:ascii="Cambria" w:eastAsia="WarnockPro-Regular" w:hAnsi="Cambria" w:cs="WarnockPro-Regular"/>
          <w:i/>
          <w:iCs/>
          <w:szCs w:val="22"/>
        </w:rPr>
        <w:t>Ca</w:t>
      </w:r>
      <w:r>
        <w:rPr>
          <w:rFonts w:ascii="Cambria" w:eastAsia="WarnockPro-Regular" w:hAnsi="Cambria" w:cs="WarnockPro-Regular"/>
          <w:iCs/>
          <w:szCs w:val="22"/>
        </w:rPr>
        <w:t xml:space="preserve">. L. solanacearum’ </w:t>
      </w:r>
      <w:r>
        <w:rPr>
          <w:rFonts w:ascii="Cambria" w:eastAsia="WarnockPro-Regular" w:hAnsi="Cambria" w:cs="WarnockPro-Regular"/>
          <w:szCs w:val="22"/>
        </w:rPr>
        <w:t xml:space="preserve">arriving in </w:t>
      </w:r>
      <w:r>
        <w:rPr>
          <w:rFonts w:asciiTheme="majorHAnsi" w:hAnsiTheme="majorHAnsi"/>
          <w:szCs w:val="22"/>
        </w:rPr>
        <w:t>Australia with imported infected tissue cultures is already present within a suitable host that will be used for propagation. In the absence of a vector, the bacterium is unlikely to move from infected seedlings to new host plants; infected plants will ultimately senesce and the bacterium may not persist in the environment.</w:t>
      </w:r>
    </w:p>
    <w:p w:rsidR="00AE7868" w:rsidRDefault="00FF2B57">
      <w:pPr>
        <w:pStyle w:val="AQISNum"/>
        <w:numPr>
          <w:ilvl w:val="0"/>
          <w:numId w:val="33"/>
        </w:numPr>
        <w:tabs>
          <w:tab w:val="clear" w:pos="360"/>
          <w:tab w:val="num" w:pos="284"/>
        </w:tabs>
        <w:spacing w:before="120" w:after="120" w:line="276" w:lineRule="auto"/>
        <w:ind w:left="284" w:hanging="284"/>
        <w:rPr>
          <w:rFonts w:asciiTheme="majorHAnsi" w:hAnsiTheme="majorHAnsi"/>
          <w:szCs w:val="22"/>
        </w:rPr>
      </w:pPr>
      <w:r>
        <w:rPr>
          <w:rFonts w:ascii="Cambria" w:eastAsia="WarnockPro-Regular" w:hAnsi="Cambria" w:cs="WarnockPro-Regular"/>
          <w:iCs/>
          <w:szCs w:val="22"/>
        </w:rPr>
        <w:t>Tissue</w:t>
      </w:r>
      <w:r>
        <w:rPr>
          <w:rFonts w:ascii="Cambria" w:eastAsia="WarnockPro-Regular" w:hAnsi="Cambria" w:cs="WarnockPro-Regular"/>
          <w:i/>
          <w:iCs/>
          <w:szCs w:val="22"/>
        </w:rPr>
        <w:t xml:space="preserve"> </w:t>
      </w:r>
      <w:r>
        <w:rPr>
          <w:rFonts w:ascii="Cambria" w:eastAsia="WarnockPro-Regular" w:hAnsi="Cambria" w:cs="WarnockPro-Regular"/>
          <w:iCs/>
          <w:szCs w:val="22"/>
        </w:rPr>
        <w:t>cultures are import</w:t>
      </w:r>
      <w:r>
        <w:rPr>
          <w:rFonts w:ascii="Cambria" w:eastAsia="WarnockPro-Regular" w:hAnsi="Cambria" w:cs="WarnockPro-Regular"/>
          <w:szCs w:val="22"/>
        </w:rPr>
        <w:t>ed specifica</w:t>
      </w:r>
      <w:r>
        <w:rPr>
          <w:rFonts w:asciiTheme="majorHAnsi" w:hAnsiTheme="majorHAnsi"/>
          <w:szCs w:val="22"/>
        </w:rPr>
        <w:t xml:space="preserve">lly for the purpose of propagation and can be a significant investment for importers. Infected tissue cultures are therefore likely to be grown directly into suitable habitats at multiple locations throughout Australia. The distribution </w:t>
      </w:r>
      <w:r>
        <w:rPr>
          <w:rFonts w:asciiTheme="majorHAnsi" w:hAnsiTheme="majorHAnsi"/>
          <w:szCs w:val="22"/>
        </w:rPr>
        <w:lastRenderedPageBreak/>
        <w:t>of infected tissue cultures commercially will assist in the distribution of ‘</w:t>
      </w:r>
      <w:r>
        <w:rPr>
          <w:rFonts w:asciiTheme="majorHAnsi" w:hAnsiTheme="majorHAnsi"/>
          <w:i/>
          <w:szCs w:val="22"/>
        </w:rPr>
        <w:t>Ca</w:t>
      </w:r>
      <w:r>
        <w:rPr>
          <w:rFonts w:asciiTheme="majorHAnsi" w:hAnsiTheme="majorHAnsi"/>
          <w:szCs w:val="22"/>
        </w:rPr>
        <w:t>. L. solanacearum’.</w:t>
      </w:r>
    </w:p>
    <w:p w:rsidR="00AE7868" w:rsidRDefault="00FF2B57">
      <w:pPr>
        <w:pStyle w:val="AQISNum"/>
        <w:numPr>
          <w:ilvl w:val="0"/>
          <w:numId w:val="33"/>
        </w:numPr>
        <w:tabs>
          <w:tab w:val="clear" w:pos="360"/>
          <w:tab w:val="num" w:pos="284"/>
        </w:tabs>
        <w:spacing w:before="120" w:after="120" w:line="276" w:lineRule="auto"/>
        <w:ind w:left="284" w:hanging="284"/>
        <w:rPr>
          <w:rFonts w:asciiTheme="majorHAnsi" w:hAnsiTheme="majorHAnsi"/>
          <w:szCs w:val="22"/>
        </w:rPr>
      </w:pPr>
      <w:r>
        <w:rPr>
          <w:rFonts w:asciiTheme="majorHAnsi" w:hAnsiTheme="majorHAnsi"/>
          <w:iCs/>
          <w:szCs w:val="22"/>
        </w:rPr>
        <w:t>‘</w:t>
      </w:r>
      <w:r>
        <w:rPr>
          <w:rFonts w:asciiTheme="majorHAnsi" w:hAnsiTheme="majorHAnsi"/>
          <w:i/>
          <w:iCs/>
          <w:szCs w:val="22"/>
        </w:rPr>
        <w:t>Ca</w:t>
      </w:r>
      <w:r>
        <w:rPr>
          <w:rFonts w:asciiTheme="majorHAnsi" w:hAnsiTheme="majorHAnsi"/>
          <w:iCs/>
          <w:szCs w:val="22"/>
        </w:rPr>
        <w:t xml:space="preserve">. L. solanacearum’ </w:t>
      </w:r>
      <w:r>
        <w:rPr>
          <w:rFonts w:asciiTheme="majorHAnsi" w:hAnsiTheme="majorHAnsi"/>
          <w:bCs/>
          <w:szCs w:val="22"/>
        </w:rPr>
        <w:t>haplotypes C, D and E</w:t>
      </w:r>
      <w:r>
        <w:rPr>
          <w:rFonts w:asciiTheme="majorHAnsi" w:hAnsiTheme="majorHAnsi"/>
          <w:iCs/>
          <w:szCs w:val="22"/>
        </w:rPr>
        <w:t xml:space="preserve"> are</w:t>
      </w:r>
      <w:r>
        <w:rPr>
          <w:rFonts w:asciiTheme="majorHAnsi" w:hAnsiTheme="majorHAnsi"/>
          <w:szCs w:val="22"/>
        </w:rPr>
        <w:t xml:space="preserve"> host specific to carrot and celery </w:t>
      </w:r>
      <w:r>
        <w:rPr>
          <w:rFonts w:asciiTheme="majorHAnsi" w:eastAsia="Cambria" w:hAnsiTheme="majorHAnsi" w:cs="Arial"/>
          <w:szCs w:val="22"/>
        </w:rPr>
        <w:t>(Munyaneza et al. 2011;</w:t>
      </w:r>
      <w:r>
        <w:rPr>
          <w:rFonts w:asciiTheme="majorHAnsi" w:eastAsia="Cambria" w:hAnsiTheme="majorHAnsi" w:cs="SimonciniGaramond-Bold"/>
          <w:b/>
          <w:bCs/>
          <w:szCs w:val="22"/>
        </w:rPr>
        <w:t xml:space="preserve"> </w:t>
      </w:r>
      <w:r>
        <w:rPr>
          <w:rFonts w:asciiTheme="majorHAnsi" w:eastAsia="Cambria" w:hAnsiTheme="majorHAnsi" w:cs="Arial"/>
          <w:szCs w:val="22"/>
        </w:rPr>
        <w:t xml:space="preserve">Teresani </w:t>
      </w:r>
      <w:r>
        <w:rPr>
          <w:rFonts w:asciiTheme="majorHAnsi" w:eastAsia="Cambria" w:hAnsiTheme="majorHAnsi" w:cs="Arial"/>
          <w:iCs/>
          <w:szCs w:val="22"/>
        </w:rPr>
        <w:t>et al</w:t>
      </w:r>
      <w:r>
        <w:rPr>
          <w:rFonts w:asciiTheme="majorHAnsi" w:eastAsia="Cambria" w:hAnsiTheme="majorHAnsi" w:cs="Arial"/>
          <w:szCs w:val="22"/>
        </w:rPr>
        <w:t>. 2014b</w:t>
      </w:r>
      <w:r>
        <w:rPr>
          <w:rFonts w:asciiTheme="majorHAnsi" w:hAnsiTheme="majorHAnsi"/>
          <w:szCs w:val="22"/>
        </w:rPr>
        <w:t>). These host species are widely distributed throughout Australia with many residential and semi-rural properties in the metropolitan area growing vegetables/food plants in the backyard. However, in the absence of psyllid vectors, the bacterium is unlikely to move to these available hosts.</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w:t>
      </w:r>
      <w:r>
        <w:rPr>
          <w:rFonts w:ascii="Cambria" w:hAnsi="Cambria"/>
          <w:i/>
          <w:szCs w:val="22"/>
        </w:rPr>
        <w:t>Ca</w:t>
      </w:r>
      <w:r>
        <w:rPr>
          <w:rFonts w:ascii="Cambria" w:hAnsi="Cambria"/>
          <w:szCs w:val="22"/>
        </w:rPr>
        <w:t xml:space="preserve">. L. solanacearum’ has been detected in three species of </w:t>
      </w:r>
      <w:r>
        <w:rPr>
          <w:rFonts w:ascii="Cambria" w:hAnsi="Cambria"/>
          <w:i/>
          <w:szCs w:val="22"/>
        </w:rPr>
        <w:t xml:space="preserve">Bactericera </w:t>
      </w:r>
      <w:r>
        <w:rPr>
          <w:rFonts w:ascii="Cambria" w:hAnsi="Cambria"/>
          <w:szCs w:val="22"/>
        </w:rPr>
        <w:t>(</w:t>
      </w:r>
      <w:r>
        <w:rPr>
          <w:rFonts w:ascii="Cambria" w:hAnsi="Cambria"/>
          <w:i/>
          <w:szCs w:val="22"/>
        </w:rPr>
        <w:t>B. nigricornis</w:t>
      </w:r>
      <w:r>
        <w:rPr>
          <w:rFonts w:ascii="Cambria" w:hAnsi="Cambria"/>
          <w:szCs w:val="22"/>
        </w:rPr>
        <w:t xml:space="preserve">, </w:t>
      </w:r>
      <w:r>
        <w:rPr>
          <w:rFonts w:ascii="Cambria" w:hAnsi="Cambria"/>
          <w:i/>
          <w:szCs w:val="22"/>
        </w:rPr>
        <w:t>B. tremblayi</w:t>
      </w:r>
      <w:r>
        <w:rPr>
          <w:rFonts w:ascii="Cambria" w:hAnsi="Cambria"/>
          <w:szCs w:val="22"/>
        </w:rPr>
        <w:t xml:space="preserve"> and</w:t>
      </w:r>
      <w:r>
        <w:rPr>
          <w:rFonts w:ascii="Cambria" w:hAnsi="Cambria"/>
          <w:i/>
          <w:szCs w:val="22"/>
        </w:rPr>
        <w:t xml:space="preserve"> B. trigonica</w:t>
      </w:r>
      <w:r>
        <w:rPr>
          <w:rFonts w:ascii="Cambria" w:hAnsi="Cambria"/>
          <w:szCs w:val="22"/>
        </w:rPr>
        <w:t xml:space="preserve">) and </w:t>
      </w:r>
      <w:r>
        <w:rPr>
          <w:rFonts w:ascii="Cambria" w:hAnsi="Cambria"/>
          <w:i/>
          <w:szCs w:val="22"/>
        </w:rPr>
        <w:t>T. apicalis</w:t>
      </w:r>
      <w:r>
        <w:rPr>
          <w:rFonts w:ascii="Cambria" w:hAnsi="Cambria"/>
          <w:szCs w:val="22"/>
        </w:rPr>
        <w:t xml:space="preserve">. However, only </w:t>
      </w:r>
      <w:r>
        <w:rPr>
          <w:rFonts w:ascii="Cambria" w:hAnsi="Cambria"/>
          <w:i/>
          <w:szCs w:val="22"/>
        </w:rPr>
        <w:t>B. trigonica</w:t>
      </w:r>
      <w:r>
        <w:rPr>
          <w:rFonts w:ascii="Cambria" w:hAnsi="Cambria"/>
          <w:szCs w:val="22"/>
        </w:rPr>
        <w:t xml:space="preserve"> and </w:t>
      </w:r>
      <w:r>
        <w:rPr>
          <w:rFonts w:ascii="Cambria" w:hAnsi="Cambria"/>
          <w:i/>
          <w:szCs w:val="22"/>
        </w:rPr>
        <w:t>T. apicalis</w:t>
      </w:r>
      <w:r>
        <w:rPr>
          <w:rFonts w:ascii="Cambria" w:hAnsi="Cambria"/>
          <w:szCs w:val="22"/>
        </w:rPr>
        <w:t xml:space="preserve"> are known to transmit ‘</w:t>
      </w:r>
      <w:r>
        <w:rPr>
          <w:rFonts w:ascii="Cambria" w:hAnsi="Cambria"/>
          <w:i/>
          <w:szCs w:val="22"/>
        </w:rPr>
        <w:t>Ca</w:t>
      </w:r>
      <w:r>
        <w:rPr>
          <w:rFonts w:ascii="Cambria" w:hAnsi="Cambria"/>
          <w:szCs w:val="22"/>
        </w:rPr>
        <w:t>. L. solanacearum’ naturally (Haapalainen 2014). This vector specificity suggests it is unlikely that Australian native psyllids would be able to transmit ‘</w:t>
      </w:r>
      <w:r>
        <w:rPr>
          <w:rFonts w:ascii="Cambria" w:hAnsi="Cambria"/>
          <w:i/>
          <w:szCs w:val="22"/>
        </w:rPr>
        <w:t>Ca</w:t>
      </w:r>
      <w:r>
        <w:rPr>
          <w:rFonts w:ascii="Cambria" w:hAnsi="Cambria"/>
          <w:szCs w:val="22"/>
        </w:rPr>
        <w:t>. L. solanacearum’.</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In carrot plants, the infection may be maintained as long as new carrot seeds are being produced from the line originating from the infected imported carrot tissue cultures. In the absence of a suitable vector, it is likely that these cases will not lead to long term establishment, but they could lead to transient ‘</w:t>
      </w:r>
      <w:r>
        <w:rPr>
          <w:rFonts w:ascii="Cambria" w:hAnsi="Cambria"/>
          <w:i/>
          <w:szCs w:val="22"/>
        </w:rPr>
        <w:t>Ca</w:t>
      </w:r>
      <w:r>
        <w:rPr>
          <w:rFonts w:ascii="Cambria" w:hAnsi="Cambria"/>
          <w:szCs w:val="22"/>
        </w:rPr>
        <w:t>. L. solanacearum’ populations.</w:t>
      </w:r>
    </w:p>
    <w:p w:rsidR="00AE7868" w:rsidRDefault="00FF2B57">
      <w:pPr>
        <w:pStyle w:val="Heading5"/>
        <w:spacing w:before="120" w:after="120"/>
        <w:rPr>
          <w:i w:val="0"/>
        </w:rPr>
      </w:pPr>
      <w:r>
        <w:lastRenderedPageBreak/>
        <w:t>Distribution of the imported commodity in the PRA area</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 xml:space="preserve">The distribution of tissue cultures for propagation would be for commercial and retail distribution to multiple destinations throughout Australia. Therefore, the bacterium will also be distributed throughout Australia. </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Distribution of infected tissue cultures through nurseries may facilitate the distribution of ‘</w:t>
      </w:r>
      <w:r>
        <w:rPr>
          <w:rFonts w:ascii="Cambria" w:hAnsi="Cambria"/>
          <w:i/>
          <w:szCs w:val="22"/>
        </w:rPr>
        <w:t>Ca</w:t>
      </w:r>
      <w:r>
        <w:rPr>
          <w:rFonts w:ascii="Cambria" w:hAnsi="Cambria"/>
          <w:szCs w:val="22"/>
        </w:rPr>
        <w:t>. L. solanacearum’ throughout Australia. Asymptomatic plants that develop from infected tissue cultures may be overlooked and sold to commercial users and households.</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 xml:space="preserve">Tissue cultures are likely to </w:t>
      </w:r>
      <w:r>
        <w:rPr>
          <w:rFonts w:ascii="Cambria" w:hAnsi="Cambria"/>
          <w:color w:val="000000"/>
          <w:szCs w:val="22"/>
          <w:lang w:val="en-US"/>
        </w:rPr>
        <w:t xml:space="preserve">be </w:t>
      </w:r>
      <w:r>
        <w:rPr>
          <w:rFonts w:ascii="Cambria" w:hAnsi="Cambria"/>
          <w:szCs w:val="22"/>
        </w:rPr>
        <w:t>transported</w:t>
      </w:r>
      <w:r>
        <w:rPr>
          <w:rFonts w:ascii="Cambria" w:hAnsi="Cambria"/>
          <w:color w:val="000000"/>
          <w:szCs w:val="22"/>
          <w:lang w:val="en-US"/>
        </w:rPr>
        <w:t xml:space="preserve">, stored and maintained in appropriate conditions. </w:t>
      </w:r>
      <w:r>
        <w:rPr>
          <w:rFonts w:ascii="Cambria" w:hAnsi="Cambria"/>
          <w:szCs w:val="22"/>
        </w:rPr>
        <w:t>Thus, transport and storage conditions within Australia are unlikely to have any adverse impact on the survival of ‘</w:t>
      </w:r>
      <w:r>
        <w:rPr>
          <w:rFonts w:ascii="Cambria" w:hAnsi="Cambria"/>
          <w:i/>
          <w:szCs w:val="22"/>
        </w:rPr>
        <w:t>Ca</w:t>
      </w:r>
      <w:r>
        <w:rPr>
          <w:rFonts w:ascii="Cambria" w:hAnsi="Cambria"/>
          <w:szCs w:val="22"/>
        </w:rPr>
        <w:t>. L. solanacearum’ in imported tissue cultures.</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Association with carrot and celery tissue cultures provides the opportunity for ‘</w:t>
      </w:r>
      <w:r>
        <w:rPr>
          <w:rFonts w:ascii="Cambria" w:hAnsi="Cambria"/>
          <w:i/>
          <w:szCs w:val="22"/>
        </w:rPr>
        <w:t>Ca</w:t>
      </w:r>
      <w:r>
        <w:rPr>
          <w:rFonts w:ascii="Cambria" w:hAnsi="Cambria"/>
          <w:szCs w:val="22"/>
        </w:rPr>
        <w:t>. L. solanacearum’ to enter Australia. The ability of ‘</w:t>
      </w:r>
      <w:r>
        <w:rPr>
          <w:rFonts w:ascii="Cambria" w:hAnsi="Cambria"/>
          <w:i/>
          <w:szCs w:val="22"/>
        </w:rPr>
        <w:t>Ca</w:t>
      </w:r>
      <w:r>
        <w:rPr>
          <w:rFonts w:ascii="Cambria" w:hAnsi="Cambria"/>
          <w:szCs w:val="22"/>
        </w:rPr>
        <w:t>. L. solanacearum’ to survive within propagative material, acts to ensure its viability on route to and during distribution across Australia.</w:t>
      </w:r>
    </w:p>
    <w:p w:rsidR="00AE7868" w:rsidRDefault="00FF2B57">
      <w:pPr>
        <w:pStyle w:val="Heading5"/>
        <w:spacing w:before="120" w:after="120"/>
        <w:rPr>
          <w:i w:val="0"/>
        </w:rPr>
      </w:pPr>
      <w:r>
        <w:t>Risks from by-products and waste</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 xml:space="preserve">The intended use of tissue cultures is for propagation, and all imported tissue cultures would be grown under ideal conditions. Tissue cultures that do not survive transportation and storage may not </w:t>
      </w:r>
      <w:r>
        <w:rPr>
          <w:rFonts w:ascii="Cambria" w:hAnsi="Cambria"/>
          <w:szCs w:val="22"/>
        </w:rPr>
        <w:lastRenderedPageBreak/>
        <w:t>be used for propagation. Therefore, waste material may be generated. As the bacterium can infect the entire plant (Nissinen et al. 2014), any such material that is discarded may contain the bacterium.</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The transfer of ‘</w:t>
      </w:r>
      <w:r>
        <w:rPr>
          <w:rFonts w:ascii="Cambria" w:hAnsi="Cambria"/>
          <w:i/>
          <w:szCs w:val="22"/>
        </w:rPr>
        <w:t>Ca</w:t>
      </w:r>
      <w:r>
        <w:rPr>
          <w:rFonts w:ascii="Cambria" w:hAnsi="Cambria"/>
          <w:szCs w:val="22"/>
        </w:rPr>
        <w:t>. L. solanacearum’ from a tissue culture plantlet established at a waste depot or in the backyard, to a new host would then require a vector.</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w:t>
      </w:r>
      <w:r>
        <w:rPr>
          <w:rFonts w:ascii="Cambria" w:hAnsi="Cambria"/>
          <w:i/>
          <w:szCs w:val="22"/>
        </w:rPr>
        <w:t>Ca</w:t>
      </w:r>
      <w:r>
        <w:rPr>
          <w:rFonts w:ascii="Cambria" w:hAnsi="Cambria"/>
          <w:szCs w:val="22"/>
        </w:rPr>
        <w:t xml:space="preserve">. L. solanacearum’ has been detected in three species of </w:t>
      </w:r>
      <w:r>
        <w:rPr>
          <w:rFonts w:ascii="Cambria" w:hAnsi="Cambria"/>
          <w:i/>
          <w:szCs w:val="22"/>
        </w:rPr>
        <w:t xml:space="preserve">Bactericera </w:t>
      </w:r>
      <w:r>
        <w:rPr>
          <w:rFonts w:ascii="Cambria" w:hAnsi="Cambria"/>
          <w:szCs w:val="22"/>
        </w:rPr>
        <w:t>(</w:t>
      </w:r>
      <w:r>
        <w:rPr>
          <w:rFonts w:ascii="Cambria" w:hAnsi="Cambria"/>
          <w:i/>
          <w:szCs w:val="22"/>
        </w:rPr>
        <w:t>B. nigricornis</w:t>
      </w:r>
      <w:r>
        <w:rPr>
          <w:rFonts w:ascii="Cambria" w:hAnsi="Cambria"/>
          <w:szCs w:val="22"/>
        </w:rPr>
        <w:t xml:space="preserve">, </w:t>
      </w:r>
      <w:r>
        <w:rPr>
          <w:rFonts w:ascii="Cambria" w:hAnsi="Cambria"/>
          <w:i/>
          <w:szCs w:val="22"/>
        </w:rPr>
        <w:t>B. tremblayi</w:t>
      </w:r>
      <w:r>
        <w:rPr>
          <w:rFonts w:ascii="Cambria" w:hAnsi="Cambria"/>
          <w:szCs w:val="22"/>
        </w:rPr>
        <w:t xml:space="preserve"> and</w:t>
      </w:r>
      <w:r>
        <w:rPr>
          <w:rFonts w:ascii="Cambria" w:hAnsi="Cambria"/>
          <w:i/>
          <w:szCs w:val="22"/>
        </w:rPr>
        <w:t xml:space="preserve"> B. trigonica</w:t>
      </w:r>
      <w:r>
        <w:rPr>
          <w:rFonts w:ascii="Cambria" w:hAnsi="Cambria"/>
          <w:szCs w:val="22"/>
        </w:rPr>
        <w:t xml:space="preserve">) and </w:t>
      </w:r>
      <w:r>
        <w:rPr>
          <w:rFonts w:ascii="Cambria" w:hAnsi="Cambria"/>
          <w:i/>
          <w:szCs w:val="22"/>
        </w:rPr>
        <w:t>T. apicalis</w:t>
      </w:r>
      <w:r>
        <w:rPr>
          <w:rFonts w:ascii="Cambria" w:hAnsi="Cambria"/>
          <w:szCs w:val="22"/>
        </w:rPr>
        <w:t xml:space="preserve">. However, only </w:t>
      </w:r>
      <w:r>
        <w:rPr>
          <w:rFonts w:ascii="Cambria" w:hAnsi="Cambria"/>
          <w:i/>
          <w:szCs w:val="22"/>
        </w:rPr>
        <w:t>B. trigonica</w:t>
      </w:r>
      <w:r>
        <w:rPr>
          <w:rFonts w:ascii="Cambria" w:hAnsi="Cambria"/>
          <w:szCs w:val="22"/>
        </w:rPr>
        <w:t xml:space="preserve"> and </w:t>
      </w:r>
      <w:r>
        <w:rPr>
          <w:rFonts w:ascii="Cambria" w:hAnsi="Cambria"/>
          <w:i/>
          <w:szCs w:val="22"/>
        </w:rPr>
        <w:t>T. apicalis</w:t>
      </w:r>
      <w:r>
        <w:rPr>
          <w:rFonts w:ascii="Cambria" w:hAnsi="Cambria"/>
          <w:szCs w:val="22"/>
        </w:rPr>
        <w:t xml:space="preserve"> are known to transmit ‘</w:t>
      </w:r>
      <w:r>
        <w:rPr>
          <w:rFonts w:ascii="Cambria" w:hAnsi="Cambria"/>
          <w:i/>
          <w:szCs w:val="22"/>
        </w:rPr>
        <w:t>Ca</w:t>
      </w:r>
      <w:r>
        <w:rPr>
          <w:rFonts w:ascii="Cambria" w:hAnsi="Cambria"/>
          <w:szCs w:val="22"/>
        </w:rPr>
        <w:t>. L. solanacearum’ naturally (Haapalainen 2014). This vector specificity suggests it is unlikely that Australian native psyllids would be able to transmit ‘</w:t>
      </w:r>
      <w:r>
        <w:rPr>
          <w:rFonts w:ascii="Cambria" w:hAnsi="Cambria"/>
          <w:i/>
          <w:szCs w:val="22"/>
        </w:rPr>
        <w:t>Ca</w:t>
      </w:r>
      <w:r>
        <w:rPr>
          <w:rFonts w:ascii="Cambria" w:hAnsi="Cambria"/>
          <w:szCs w:val="22"/>
        </w:rPr>
        <w:t xml:space="preserve">. L. solanacearum’. </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Since ‘</w:t>
      </w:r>
      <w:r>
        <w:rPr>
          <w:rFonts w:ascii="Cambria" w:hAnsi="Cambria"/>
          <w:i/>
          <w:szCs w:val="22"/>
        </w:rPr>
        <w:t>Ca</w:t>
      </w:r>
      <w:r>
        <w:rPr>
          <w:rFonts w:ascii="Cambria" w:hAnsi="Cambria"/>
          <w:szCs w:val="22"/>
        </w:rPr>
        <w:t>. L. solanacearum’ requires a vector, it is highly likely that an infected plant, which develops in an isolated area where the psyllid vector is not known to occur, will represent an isolated infection.</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In carrot plants, the infection may be maintained as long as new carrot seeds are being produced from the line originating from the infected imported carrot tissue cultures. In the absence of a suitable vector, it is likely that these cases will not lead to long term establishment, but they could lead to transient ‘</w:t>
      </w:r>
      <w:r>
        <w:rPr>
          <w:rFonts w:ascii="Cambria" w:hAnsi="Cambria"/>
          <w:i/>
          <w:szCs w:val="22"/>
        </w:rPr>
        <w:t>Ca</w:t>
      </w:r>
      <w:r>
        <w:rPr>
          <w:rFonts w:ascii="Cambria" w:hAnsi="Cambria"/>
          <w:szCs w:val="22"/>
        </w:rPr>
        <w:t>. L. solanacearum’ populations.</w:t>
      </w:r>
    </w:p>
    <w:p w:rsidR="00AE7868" w:rsidRDefault="00FF2B57">
      <w:pPr>
        <w:pStyle w:val="Heading4"/>
        <w:spacing w:before="200"/>
      </w:pPr>
      <w:r>
        <w:lastRenderedPageBreak/>
        <w:t>Overall likelihood of entry (importation x distribution)</w:t>
      </w:r>
    </w:p>
    <w:p w:rsidR="00AE7868" w:rsidRDefault="00FF2B57">
      <w:pPr>
        <w:pStyle w:val="AQISNum"/>
        <w:spacing w:before="200" w:line="276" w:lineRule="auto"/>
        <w:rPr>
          <w:rFonts w:ascii="Cambria" w:hAnsi="Cambria"/>
          <w:szCs w:val="22"/>
        </w:rPr>
      </w:pPr>
      <w:r>
        <w:rPr>
          <w:rFonts w:ascii="Cambria" w:hAnsi="Cambria"/>
          <w:szCs w:val="22"/>
        </w:rPr>
        <w:t>The overall likelihood of entry ‘</w:t>
      </w:r>
      <w:r>
        <w:rPr>
          <w:rFonts w:ascii="Cambria" w:hAnsi="Cambria"/>
          <w:i/>
          <w:szCs w:val="22"/>
        </w:rPr>
        <w:t>Ca</w:t>
      </w:r>
      <w:r>
        <w:rPr>
          <w:rFonts w:ascii="Cambria" w:hAnsi="Cambria"/>
          <w:szCs w:val="22"/>
        </w:rPr>
        <w:t>. L. solanacearum’ is determined by combining the likelihood of importation with the likelihood of distribution using the matrix of rules for combining likelihoods (Table 3). The overall likelihood of entry on different pathways being assessed in this PRA is set out in Table 9.</w:t>
      </w:r>
    </w:p>
    <w:p w:rsidR="00AE7868" w:rsidRDefault="00FF2B57">
      <w:pPr>
        <w:pStyle w:val="Caption"/>
        <w:spacing w:before="120"/>
        <w:rPr>
          <w:rFonts w:asciiTheme="majorHAnsi" w:eastAsiaTheme="majorEastAsia" w:hAnsiTheme="majorHAnsi" w:cstheme="majorBidi"/>
          <w:color w:val="595959" w:themeColor="text1" w:themeTint="A6"/>
          <w:sz w:val="20"/>
        </w:rPr>
      </w:pPr>
      <w:bookmarkStart w:id="377" w:name="_Toc418712925"/>
      <w:bookmarkStart w:id="378" w:name="_Toc421786707"/>
      <w:bookmarkStart w:id="379" w:name="_Toc428786325"/>
      <w:bookmarkStart w:id="380" w:name="_Toc429494624"/>
      <w:bookmarkStart w:id="381" w:name="_Toc430256537"/>
      <w:bookmarkStart w:id="382" w:name="_Toc433707335"/>
      <w:bookmarkStart w:id="383" w:name="_Toc433796499"/>
      <w:bookmarkStart w:id="384" w:name="_Toc437355962"/>
      <w:bookmarkStart w:id="385" w:name="_Toc437355994"/>
      <w:r>
        <w:rPr>
          <w:rFonts w:asciiTheme="majorHAnsi" w:eastAsiaTheme="majorEastAsia" w:hAnsiTheme="majorHAnsi" w:cstheme="majorBidi"/>
          <w:color w:val="595959" w:themeColor="text1" w:themeTint="A6"/>
          <w:sz w:val="20"/>
        </w:rPr>
        <w:t xml:space="preserve">Table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9</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w:t>
      </w:r>
      <w:r>
        <w:rPr>
          <w:rFonts w:ascii="Cambria" w:hAnsi="Cambria"/>
          <w:color w:val="595959"/>
          <w:sz w:val="20"/>
        </w:rPr>
        <w:t>Overall</w:t>
      </w:r>
      <w:r>
        <w:rPr>
          <w:rFonts w:eastAsia="Calibri"/>
          <w:sz w:val="20"/>
        </w:rPr>
        <w:t xml:space="preserve"> </w:t>
      </w:r>
      <w:r>
        <w:rPr>
          <w:rFonts w:ascii="Cambria" w:hAnsi="Cambria"/>
          <w:color w:val="595959"/>
          <w:sz w:val="20"/>
        </w:rPr>
        <w:t>likelihood of entry of ‘</w:t>
      </w:r>
      <w:r>
        <w:rPr>
          <w:rFonts w:ascii="Cambria" w:hAnsi="Cambria"/>
          <w:i/>
          <w:color w:val="595959"/>
          <w:sz w:val="20"/>
        </w:rPr>
        <w:t xml:space="preserve">Candidatus </w:t>
      </w:r>
      <w:r>
        <w:rPr>
          <w:rFonts w:ascii="Cambria" w:hAnsi="Cambria"/>
          <w:color w:val="595959"/>
          <w:sz w:val="20"/>
        </w:rPr>
        <w:t>Liberibacter solanacearum’ on different pathways</w:t>
      </w:r>
      <w:bookmarkEnd w:id="377"/>
      <w:bookmarkEnd w:id="378"/>
      <w:bookmarkEnd w:id="379"/>
      <w:bookmarkEnd w:id="380"/>
      <w:bookmarkEnd w:id="381"/>
      <w:bookmarkEnd w:id="382"/>
      <w:bookmarkEnd w:id="383"/>
      <w:bookmarkEnd w:id="384"/>
      <w:bookmarkEnd w:id="385"/>
    </w:p>
    <w:tbl>
      <w:tblPr>
        <w:tblW w:w="4809" w:type="pct"/>
        <w:tblInd w:w="108" w:type="dxa"/>
        <w:tblBorders>
          <w:top w:val="single" w:sz="12" w:space="0" w:color="990000"/>
          <w:bottom w:val="single" w:sz="12" w:space="0" w:color="990000"/>
        </w:tblBorders>
        <w:tblLook w:val="04A0" w:firstRow="1" w:lastRow="0" w:firstColumn="1" w:lastColumn="0" w:noHBand="0" w:noVBand="1"/>
      </w:tblPr>
      <w:tblGrid>
        <w:gridCol w:w="1768"/>
        <w:gridCol w:w="2492"/>
        <w:gridCol w:w="2355"/>
        <w:gridCol w:w="2109"/>
      </w:tblGrid>
      <w:tr w:rsidR="00AE7868">
        <w:tc>
          <w:tcPr>
            <w:tcW w:w="1013" w:type="pct"/>
            <w:tcBorders>
              <w:top w:val="single" w:sz="4" w:space="0" w:color="auto"/>
              <w:bottom w:val="nil"/>
            </w:tcBorders>
          </w:tcPr>
          <w:p w:rsidR="00AE7868" w:rsidRDefault="00FF2B57">
            <w:pPr>
              <w:pStyle w:val="TableHeading"/>
              <w:keepLines/>
              <w:rPr>
                <w:rFonts w:ascii="Cambria" w:hAnsi="Cambria"/>
                <w:sz w:val="16"/>
                <w:szCs w:val="16"/>
              </w:rPr>
            </w:pPr>
            <w:r>
              <w:rPr>
                <w:rFonts w:ascii="Cambria" w:hAnsi="Cambria"/>
                <w:iCs/>
                <w:sz w:val="16"/>
                <w:szCs w:val="16"/>
              </w:rPr>
              <w:t xml:space="preserve">Pathway </w:t>
            </w:r>
          </w:p>
        </w:tc>
        <w:tc>
          <w:tcPr>
            <w:tcW w:w="1428" w:type="pct"/>
            <w:tcBorders>
              <w:top w:val="single" w:sz="4" w:space="0" w:color="auto"/>
              <w:bottom w:val="nil"/>
            </w:tcBorders>
          </w:tcPr>
          <w:p w:rsidR="00AE7868" w:rsidRDefault="00FF2B57">
            <w:pPr>
              <w:pStyle w:val="TableHeading"/>
              <w:keepLines/>
              <w:jc w:val="center"/>
              <w:rPr>
                <w:rFonts w:ascii="Cambria" w:hAnsi="Cambria"/>
                <w:sz w:val="16"/>
                <w:szCs w:val="16"/>
              </w:rPr>
            </w:pPr>
            <w:r>
              <w:rPr>
                <w:rFonts w:ascii="Cambria" w:hAnsi="Cambria"/>
                <w:sz w:val="16"/>
                <w:szCs w:val="16"/>
              </w:rPr>
              <w:t>Likelihood of importation</w:t>
            </w:r>
          </w:p>
        </w:tc>
        <w:tc>
          <w:tcPr>
            <w:tcW w:w="1350" w:type="pct"/>
            <w:tcBorders>
              <w:top w:val="single" w:sz="4" w:space="0" w:color="auto"/>
              <w:bottom w:val="nil"/>
            </w:tcBorders>
          </w:tcPr>
          <w:p w:rsidR="00AE7868" w:rsidRDefault="00FF2B57">
            <w:pPr>
              <w:pStyle w:val="TableHeading"/>
              <w:keepLines/>
              <w:jc w:val="center"/>
              <w:rPr>
                <w:rFonts w:ascii="Cambria" w:hAnsi="Cambria"/>
                <w:sz w:val="16"/>
                <w:szCs w:val="16"/>
              </w:rPr>
            </w:pPr>
            <w:r>
              <w:rPr>
                <w:rFonts w:ascii="Cambria" w:hAnsi="Cambria"/>
                <w:sz w:val="16"/>
                <w:szCs w:val="16"/>
              </w:rPr>
              <w:t>Likelihood of distribution</w:t>
            </w:r>
          </w:p>
        </w:tc>
        <w:tc>
          <w:tcPr>
            <w:tcW w:w="1209" w:type="pct"/>
            <w:tcBorders>
              <w:top w:val="single" w:sz="4" w:space="0" w:color="auto"/>
              <w:bottom w:val="nil"/>
            </w:tcBorders>
          </w:tcPr>
          <w:p w:rsidR="00AE7868" w:rsidRDefault="00FF2B57">
            <w:pPr>
              <w:pStyle w:val="TableHeading"/>
              <w:keepLines/>
              <w:jc w:val="center"/>
              <w:rPr>
                <w:rFonts w:ascii="Cambria" w:hAnsi="Cambria"/>
                <w:sz w:val="16"/>
                <w:szCs w:val="16"/>
              </w:rPr>
            </w:pPr>
            <w:r>
              <w:rPr>
                <w:rFonts w:ascii="Cambria" w:hAnsi="Cambria"/>
                <w:sz w:val="16"/>
                <w:szCs w:val="16"/>
              </w:rPr>
              <w:t>Overall likelihood of entry</w:t>
            </w:r>
          </w:p>
        </w:tc>
      </w:tr>
      <w:tr w:rsidR="00AE7868">
        <w:tc>
          <w:tcPr>
            <w:tcW w:w="1013"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Seeds for sowing</w:t>
            </w:r>
          </w:p>
        </w:tc>
        <w:tc>
          <w:tcPr>
            <w:tcW w:w="1428" w:type="pct"/>
            <w:tcBorders>
              <w:top w:val="nil"/>
              <w:bottom w:val="nil"/>
            </w:tcBorders>
          </w:tcPr>
          <w:p w:rsidR="00AE7868" w:rsidRDefault="00FF2B57">
            <w:pPr>
              <w:keepNext/>
              <w:spacing w:before="20" w:after="20" w:line="240" w:lineRule="atLeast"/>
              <w:jc w:val="center"/>
              <w:rPr>
                <w:rFonts w:ascii="Cambria" w:hAnsi="Cambria"/>
                <w:i/>
                <w:sz w:val="18"/>
                <w:szCs w:val="18"/>
              </w:rPr>
            </w:pPr>
            <w:r>
              <w:rPr>
                <w:rFonts w:ascii="Cambria" w:hAnsi="Cambria"/>
                <w:sz w:val="18"/>
                <w:szCs w:val="18"/>
              </w:rPr>
              <w:t>High</w:t>
            </w:r>
          </w:p>
        </w:tc>
        <w:tc>
          <w:tcPr>
            <w:tcW w:w="1350" w:type="pct"/>
            <w:tcBorders>
              <w:top w:val="nil"/>
              <w:bottom w:val="nil"/>
            </w:tcBorders>
          </w:tcPr>
          <w:p w:rsidR="00AE7868" w:rsidRDefault="00FF2B57">
            <w:pPr>
              <w:keepNext/>
              <w:spacing w:before="20" w:after="20" w:line="240" w:lineRule="atLeast"/>
              <w:jc w:val="center"/>
              <w:rPr>
                <w:rFonts w:ascii="Cambria" w:hAnsi="Cambria"/>
                <w:sz w:val="18"/>
                <w:szCs w:val="18"/>
              </w:rPr>
            </w:pPr>
            <w:r>
              <w:rPr>
                <w:rFonts w:ascii="Cambria" w:hAnsi="Cambria"/>
                <w:sz w:val="18"/>
                <w:szCs w:val="18"/>
              </w:rPr>
              <w:t>Low</w:t>
            </w:r>
          </w:p>
        </w:tc>
        <w:tc>
          <w:tcPr>
            <w:tcW w:w="1209" w:type="pct"/>
            <w:tcBorders>
              <w:top w:val="nil"/>
              <w:bottom w:val="nil"/>
            </w:tcBorders>
          </w:tcPr>
          <w:p w:rsidR="00AE7868" w:rsidRDefault="00FF2B57">
            <w:pPr>
              <w:keepNext/>
              <w:spacing w:before="20" w:after="20" w:line="240" w:lineRule="atLeast"/>
              <w:jc w:val="center"/>
              <w:rPr>
                <w:rFonts w:ascii="Cambria" w:hAnsi="Cambria"/>
                <w:sz w:val="18"/>
                <w:szCs w:val="18"/>
              </w:rPr>
            </w:pPr>
            <w:r>
              <w:rPr>
                <w:rFonts w:ascii="Cambria" w:hAnsi="Cambria"/>
                <w:sz w:val="18"/>
                <w:szCs w:val="18"/>
              </w:rPr>
              <w:t>Low</w:t>
            </w:r>
          </w:p>
        </w:tc>
      </w:tr>
      <w:tr w:rsidR="00AE7868">
        <w:tc>
          <w:tcPr>
            <w:tcW w:w="1013" w:type="pct"/>
            <w:tcBorders>
              <w:top w:val="nil"/>
              <w:bottom w:val="single" w:sz="4" w:space="0" w:color="auto"/>
            </w:tcBorders>
          </w:tcPr>
          <w:p w:rsidR="00AE7868" w:rsidRDefault="00FF2B57">
            <w:pPr>
              <w:spacing w:before="20" w:after="20" w:line="240" w:lineRule="atLeast"/>
              <w:rPr>
                <w:rFonts w:ascii="Cambria" w:hAnsi="Cambria"/>
                <w:iCs/>
                <w:sz w:val="18"/>
                <w:szCs w:val="18"/>
              </w:rPr>
            </w:pPr>
            <w:r>
              <w:rPr>
                <w:rFonts w:ascii="Cambria" w:hAnsi="Cambria"/>
                <w:iCs/>
                <w:sz w:val="18"/>
                <w:szCs w:val="18"/>
              </w:rPr>
              <w:t xml:space="preserve">Tissue cultures </w:t>
            </w:r>
          </w:p>
        </w:tc>
        <w:tc>
          <w:tcPr>
            <w:tcW w:w="1428" w:type="pct"/>
            <w:tcBorders>
              <w:top w:val="nil"/>
              <w:bottom w:val="single" w:sz="4" w:space="0" w:color="auto"/>
            </w:tcBorders>
          </w:tcPr>
          <w:p w:rsidR="00AE7868" w:rsidRDefault="00FF2B57">
            <w:pPr>
              <w:spacing w:before="20" w:after="20" w:line="240" w:lineRule="atLeast"/>
              <w:jc w:val="center"/>
              <w:rPr>
                <w:rFonts w:ascii="Cambria" w:hAnsi="Cambria"/>
                <w:i/>
                <w:sz w:val="18"/>
                <w:szCs w:val="18"/>
              </w:rPr>
            </w:pPr>
            <w:r>
              <w:rPr>
                <w:rFonts w:ascii="Cambria" w:hAnsi="Cambria"/>
                <w:sz w:val="18"/>
                <w:szCs w:val="18"/>
              </w:rPr>
              <w:t>High</w:t>
            </w:r>
          </w:p>
        </w:tc>
        <w:tc>
          <w:tcPr>
            <w:tcW w:w="1350" w:type="pct"/>
            <w:tcBorders>
              <w:top w:val="nil"/>
              <w:bottom w:val="single" w:sz="4" w:space="0" w:color="auto"/>
            </w:tcBorders>
          </w:tcPr>
          <w:p w:rsidR="00AE7868" w:rsidRDefault="00FF2B57">
            <w:pPr>
              <w:spacing w:before="20" w:after="20" w:line="240" w:lineRule="atLeast"/>
              <w:jc w:val="center"/>
              <w:rPr>
                <w:rFonts w:ascii="Cambria" w:hAnsi="Cambria"/>
                <w:sz w:val="18"/>
                <w:szCs w:val="18"/>
              </w:rPr>
            </w:pPr>
            <w:r>
              <w:rPr>
                <w:rFonts w:ascii="Cambria" w:hAnsi="Cambria"/>
                <w:sz w:val="18"/>
                <w:szCs w:val="18"/>
              </w:rPr>
              <w:t>Low</w:t>
            </w:r>
          </w:p>
        </w:tc>
        <w:tc>
          <w:tcPr>
            <w:tcW w:w="1209" w:type="pct"/>
            <w:tcBorders>
              <w:top w:val="nil"/>
              <w:bottom w:val="single" w:sz="4" w:space="0" w:color="auto"/>
            </w:tcBorders>
          </w:tcPr>
          <w:p w:rsidR="00AE7868" w:rsidRDefault="00FF2B57">
            <w:pPr>
              <w:spacing w:before="20" w:after="20" w:line="240" w:lineRule="atLeast"/>
              <w:jc w:val="center"/>
              <w:rPr>
                <w:rFonts w:ascii="Cambria" w:hAnsi="Cambria"/>
                <w:sz w:val="18"/>
                <w:szCs w:val="18"/>
              </w:rPr>
            </w:pPr>
            <w:r>
              <w:rPr>
                <w:rFonts w:ascii="Cambria" w:hAnsi="Cambria"/>
                <w:sz w:val="18"/>
                <w:szCs w:val="18"/>
              </w:rPr>
              <w:t>Low</w:t>
            </w:r>
          </w:p>
        </w:tc>
      </w:tr>
    </w:tbl>
    <w:p w:rsidR="00AE7868" w:rsidRDefault="00FF2B57">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386" w:name="_Toc437356027"/>
      <w:r>
        <w:rPr>
          <w:rFonts w:ascii="Calibri" w:hAnsi="Calibri" w:cstheme="minorBidi"/>
          <w:sz w:val="24"/>
          <w:szCs w:val="22"/>
        </w:rPr>
        <w:t>Likelihood of establishment</w:t>
      </w:r>
      <w:bookmarkEnd w:id="386"/>
    </w:p>
    <w:p w:rsidR="00AE7868" w:rsidRDefault="00FF2B57">
      <w:pPr>
        <w:pStyle w:val="ListBullet"/>
        <w:numPr>
          <w:ilvl w:val="0"/>
          <w:numId w:val="0"/>
        </w:numPr>
        <w:spacing w:before="200" w:after="200"/>
        <w:rPr>
          <w:rFonts w:ascii="Cambria" w:hAnsi="Cambria"/>
        </w:rPr>
      </w:pPr>
      <w:r>
        <w:rPr>
          <w:rFonts w:ascii="Cambria" w:hAnsi="Cambria"/>
        </w:rPr>
        <w:t>The likelihood that ‘</w:t>
      </w:r>
      <w:r>
        <w:rPr>
          <w:rFonts w:ascii="Cambria" w:hAnsi="Cambria"/>
          <w:i/>
        </w:rPr>
        <w:t>Ca</w:t>
      </w:r>
      <w:r>
        <w:rPr>
          <w:rFonts w:ascii="Cambria" w:hAnsi="Cambria"/>
        </w:rPr>
        <w:t xml:space="preserve">. L. solanacearum’, having entered on imported propagative material (seeds and tissue cultures), will establish within Australia based on a comparison of factors in the source and destination areas considered pertinent to its survival and reproduction is </w:t>
      </w:r>
      <w:r>
        <w:rPr>
          <w:rFonts w:ascii="Cambria" w:hAnsi="Cambria"/>
          <w:b/>
          <w:bCs/>
        </w:rPr>
        <w:t>MODERATE</w:t>
      </w:r>
      <w:r>
        <w:rPr>
          <w:rFonts w:ascii="Cambria" w:hAnsi="Cambria"/>
        </w:rPr>
        <w:t>.</w:t>
      </w:r>
    </w:p>
    <w:p w:rsidR="00AE7868" w:rsidRDefault="00FF2B57">
      <w:pPr>
        <w:pStyle w:val="Heading5"/>
        <w:spacing w:before="120" w:after="120"/>
      </w:pPr>
      <w:r>
        <w:lastRenderedPageBreak/>
        <w:t>Availability of suitable hosts, alternative hosts and vectors in the PRA area</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Association with the host propagative material will facilitate the establishment of ‘</w:t>
      </w:r>
      <w:r>
        <w:rPr>
          <w:rFonts w:ascii="Cambria" w:hAnsi="Cambria"/>
          <w:i/>
          <w:szCs w:val="22"/>
        </w:rPr>
        <w:t>Ca</w:t>
      </w:r>
      <w:r>
        <w:rPr>
          <w:rFonts w:ascii="Cambria" w:hAnsi="Cambria"/>
          <w:szCs w:val="22"/>
        </w:rPr>
        <w:t>. L. solanacearum’, as the pathogen is already established within a suitable host. As host plant material is likely to be maintained in places with similar climates to the area of production, climatic conditions are expected to favour the pathogen’s establishment.</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Seeds and tissue cultures are intended for ongoing propagation and are deliberately introduced, distributed and aided to establish. This material will enter and then be maintained in a suitable habitat, potentially in substantial numbers and for an indeterminate period. Therefore, the introduction and establishment of plants from imported seeds and tissue cultures in essence establishes those pathogens associated with the propagative material.</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Studies on carrot seeds have demonstrated that the bacterium is seed-borne and is transmitted from seed to seedling (Bertolini et al. 2014). Therefore, the introduction and establishment of plants from imported seeds allows the establishment of ‘</w:t>
      </w:r>
      <w:r>
        <w:rPr>
          <w:rFonts w:ascii="Cambria" w:hAnsi="Cambria"/>
          <w:i/>
          <w:szCs w:val="22"/>
        </w:rPr>
        <w:t>Ca</w:t>
      </w:r>
      <w:r>
        <w:rPr>
          <w:rFonts w:ascii="Cambria" w:hAnsi="Cambria"/>
          <w:szCs w:val="22"/>
        </w:rPr>
        <w:t>. L. solanacearum’ associated with the propagative material.</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lastRenderedPageBreak/>
        <w:t xml:space="preserve">Carrot, celery and parsnip </w:t>
      </w:r>
      <w:r>
        <w:rPr>
          <w:rFonts w:ascii="Cambria" w:hAnsi="Cambria"/>
          <w:iCs/>
          <w:szCs w:val="22"/>
        </w:rPr>
        <w:t>are widely cultivated throughout Australia,</w:t>
      </w:r>
      <w:r>
        <w:rPr>
          <w:rFonts w:ascii="Cambria" w:hAnsi="Cambria"/>
          <w:szCs w:val="22"/>
        </w:rPr>
        <w:t xml:space="preserve"> with many residential and semi-rural properties in the metropolitan areas growing vegetables—including carrot, celery and parsnip—in the backyard.</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The latent period of infection before visible symptoms appear may result in non-detection of ‘</w:t>
      </w:r>
      <w:r>
        <w:rPr>
          <w:rFonts w:ascii="Cambria" w:hAnsi="Cambria"/>
          <w:i/>
          <w:szCs w:val="22"/>
        </w:rPr>
        <w:t>Ca</w:t>
      </w:r>
      <w:r>
        <w:rPr>
          <w:rFonts w:ascii="Cambria" w:hAnsi="Cambria"/>
          <w:szCs w:val="22"/>
        </w:rPr>
        <w:t>. L. solanacearum’; therefore, ‘</w:t>
      </w:r>
      <w:r>
        <w:rPr>
          <w:rFonts w:ascii="Cambria" w:hAnsi="Cambria"/>
          <w:i/>
          <w:szCs w:val="22"/>
        </w:rPr>
        <w:t>Ca</w:t>
      </w:r>
      <w:r>
        <w:rPr>
          <w:rFonts w:ascii="Cambria" w:hAnsi="Cambria"/>
          <w:szCs w:val="22"/>
        </w:rPr>
        <w:t>. L. solanacearum’ will have ample time to establish in new areas. In seed to seedling transmission studies, visible symptoms may appear after 60 days (Bertolini et al. 2015). In psyllid transmission studies, symptoms become visible on carrots one to two months after psyllid feeding (Haapalainen et al. 2014).</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iCs/>
          <w:szCs w:val="22"/>
        </w:rPr>
      </w:pPr>
      <w:r>
        <w:rPr>
          <w:rFonts w:ascii="Cambria" w:hAnsi="Cambria"/>
          <w:iCs/>
          <w:szCs w:val="22"/>
        </w:rPr>
        <w:t>If ‘</w:t>
      </w:r>
      <w:r>
        <w:rPr>
          <w:rFonts w:ascii="Cambria" w:hAnsi="Cambria"/>
          <w:i/>
          <w:iCs/>
          <w:szCs w:val="22"/>
        </w:rPr>
        <w:t>Ca</w:t>
      </w:r>
      <w:r>
        <w:rPr>
          <w:rFonts w:ascii="Cambria" w:hAnsi="Cambria"/>
          <w:iCs/>
          <w:szCs w:val="22"/>
        </w:rPr>
        <w:t xml:space="preserve">. L. solanacearum’ is introduced through trade in seeds (carrot) or tissue cultures (carrot, celery, parsnip), a small population could establish. </w:t>
      </w:r>
      <w:r>
        <w:rPr>
          <w:rFonts w:ascii="Cambria" w:hAnsi="Cambria"/>
          <w:szCs w:val="22"/>
        </w:rPr>
        <w:t xml:space="preserve">In carrot plants, the infection may be maintained as long as new carrot seeds are being produced from the line originating from the infected imported carrot seeds or tissue cultures. </w:t>
      </w:r>
      <w:r>
        <w:rPr>
          <w:rFonts w:ascii="Cambria" w:hAnsi="Cambria"/>
          <w:iCs/>
          <w:szCs w:val="22"/>
        </w:rPr>
        <w:t xml:space="preserve">However, the bacterium is not likely to persist in the environment in association with commericial annual crops, which are harvested for human consumption prior to setting seed. </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iCs/>
          <w:szCs w:val="22"/>
        </w:rPr>
      </w:pPr>
      <w:r>
        <w:rPr>
          <w:rFonts w:ascii="Cambria" w:hAnsi="Cambria"/>
          <w:szCs w:val="22"/>
        </w:rPr>
        <w:t>In the absence of a suitable vector, only transient ‘</w:t>
      </w:r>
      <w:r>
        <w:rPr>
          <w:rFonts w:ascii="Cambria" w:hAnsi="Cambria"/>
          <w:i/>
          <w:szCs w:val="22"/>
        </w:rPr>
        <w:t>Ca</w:t>
      </w:r>
      <w:r>
        <w:rPr>
          <w:rFonts w:ascii="Cambria" w:hAnsi="Cambria"/>
          <w:szCs w:val="22"/>
        </w:rPr>
        <w:t xml:space="preserve">. L. solanacearum’ populations are likely to arise. </w:t>
      </w:r>
      <w:r>
        <w:rPr>
          <w:rFonts w:ascii="Cambria" w:hAnsi="Cambria"/>
          <w:iCs/>
          <w:szCs w:val="22"/>
        </w:rPr>
        <w:t>Long-term establishment would depend on the presence of a vector colonising hosts of ‘</w:t>
      </w:r>
      <w:r>
        <w:rPr>
          <w:rFonts w:ascii="Cambria" w:hAnsi="Cambria"/>
          <w:i/>
          <w:iCs/>
          <w:szCs w:val="22"/>
        </w:rPr>
        <w:t>Ca</w:t>
      </w:r>
      <w:r>
        <w:rPr>
          <w:rFonts w:ascii="Cambria" w:hAnsi="Cambria"/>
          <w:iCs/>
          <w:szCs w:val="22"/>
        </w:rPr>
        <w:t>. L. solanacearum’, either already present or introduced at the same time.</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lastRenderedPageBreak/>
        <w:t>‘</w:t>
      </w:r>
      <w:r>
        <w:rPr>
          <w:rFonts w:ascii="Cambria" w:hAnsi="Cambria"/>
          <w:i/>
          <w:szCs w:val="22"/>
        </w:rPr>
        <w:t>Ca</w:t>
      </w:r>
      <w:r>
        <w:rPr>
          <w:rFonts w:ascii="Cambria" w:hAnsi="Cambria"/>
          <w:szCs w:val="22"/>
        </w:rPr>
        <w:t>. L. solanacearum’ is systemic in the host plant and is seed-borne in carrot (Bertolini et al. 2015). It can only multiply and move in the phloem of the host plant. For ‘</w:t>
      </w:r>
      <w:r>
        <w:rPr>
          <w:rFonts w:ascii="Cambria" w:hAnsi="Cambria"/>
          <w:i/>
          <w:szCs w:val="22"/>
        </w:rPr>
        <w:t>Ca</w:t>
      </w:r>
      <w:r>
        <w:rPr>
          <w:rFonts w:ascii="Cambria" w:hAnsi="Cambria"/>
          <w:szCs w:val="22"/>
        </w:rPr>
        <w:t xml:space="preserve">. L. solanacearum’ to transfer to a suitable host plant, a vector would have to be present in the PRA, acquire the bacterium by feeding on infested plants resulting from infected seeds or tissue cultures and transmit the bacterium to new host plant. No vectors other than </w:t>
      </w:r>
      <w:r>
        <w:rPr>
          <w:rFonts w:ascii="Cambria" w:hAnsi="Cambria"/>
          <w:i/>
          <w:szCs w:val="22"/>
        </w:rPr>
        <w:t>B. trigonica</w:t>
      </w:r>
      <w:r>
        <w:rPr>
          <w:rFonts w:ascii="Cambria" w:hAnsi="Cambria"/>
          <w:szCs w:val="22"/>
        </w:rPr>
        <w:t xml:space="preserve"> </w:t>
      </w:r>
      <w:r>
        <w:rPr>
          <w:rFonts w:ascii="Cambria" w:eastAsia="Calibri" w:hAnsi="Cambria"/>
          <w:szCs w:val="22"/>
        </w:rPr>
        <w:t>(</w:t>
      </w:r>
      <w:r>
        <w:rPr>
          <w:rFonts w:ascii="Cambria" w:hAnsi="Cambria"/>
          <w:szCs w:val="22"/>
        </w:rPr>
        <w:t>Teresani et al. 2015</w:t>
      </w:r>
      <w:r>
        <w:rPr>
          <w:rFonts w:ascii="Cambria" w:eastAsia="Calibri" w:hAnsi="Cambria"/>
          <w:szCs w:val="22"/>
        </w:rPr>
        <w:t xml:space="preserve">) </w:t>
      </w:r>
      <w:r>
        <w:rPr>
          <w:rFonts w:ascii="Cambria" w:hAnsi="Cambria"/>
          <w:szCs w:val="22"/>
        </w:rPr>
        <w:t xml:space="preserve">and </w:t>
      </w:r>
      <w:r>
        <w:rPr>
          <w:rFonts w:ascii="Cambria" w:hAnsi="Cambria"/>
          <w:i/>
          <w:szCs w:val="22"/>
        </w:rPr>
        <w:t>T. apicalis</w:t>
      </w:r>
      <w:r>
        <w:rPr>
          <w:rFonts w:ascii="Cambria" w:hAnsi="Cambria"/>
          <w:szCs w:val="22"/>
        </w:rPr>
        <w:t xml:space="preserve"> (Munyaneza et al. 2010b) are currently known on apiaceous crops, and these species do not occur in Australia. It is uncertain whether other psyllids in Australia could act as vectors for ‘</w:t>
      </w:r>
      <w:r>
        <w:rPr>
          <w:rFonts w:ascii="Cambria" w:hAnsi="Cambria"/>
          <w:i/>
          <w:szCs w:val="22"/>
        </w:rPr>
        <w:t>Ca</w:t>
      </w:r>
      <w:r>
        <w:rPr>
          <w:rFonts w:ascii="Cambria" w:hAnsi="Cambria"/>
          <w:szCs w:val="22"/>
        </w:rPr>
        <w:t xml:space="preserve">. L. solanacearum’ in apiaceous crops. </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w:t>
      </w:r>
      <w:r>
        <w:rPr>
          <w:rFonts w:ascii="Cambria" w:hAnsi="Cambria"/>
          <w:i/>
          <w:szCs w:val="22"/>
        </w:rPr>
        <w:t>Ca</w:t>
      </w:r>
      <w:r>
        <w:rPr>
          <w:rFonts w:ascii="Cambria" w:hAnsi="Cambria"/>
          <w:szCs w:val="22"/>
        </w:rPr>
        <w:t xml:space="preserve">. L. solanacearum’ is likely to require psyllid insect vectors in order to be transmitted to new host plants. This pathogen is transmitted to new host plants by </w:t>
      </w:r>
      <w:r>
        <w:rPr>
          <w:rFonts w:ascii="Cambria" w:hAnsi="Cambria"/>
          <w:i/>
          <w:szCs w:val="22"/>
        </w:rPr>
        <w:t>B. trigonica</w:t>
      </w:r>
      <w:r>
        <w:rPr>
          <w:rFonts w:ascii="Cambria" w:hAnsi="Cambria"/>
          <w:szCs w:val="22"/>
        </w:rPr>
        <w:t xml:space="preserve"> and </w:t>
      </w:r>
      <w:r>
        <w:rPr>
          <w:rFonts w:ascii="Cambria" w:hAnsi="Cambria"/>
          <w:i/>
          <w:szCs w:val="22"/>
        </w:rPr>
        <w:t>T. apicalis</w:t>
      </w:r>
      <w:r>
        <w:rPr>
          <w:rFonts w:ascii="Cambria" w:hAnsi="Cambria"/>
          <w:szCs w:val="22"/>
        </w:rPr>
        <w:t xml:space="preserve"> (Munyaneza et al. 2010b; Teresani et al. 2015). </w:t>
      </w:r>
      <w:r>
        <w:rPr>
          <w:rFonts w:ascii="Cambria" w:eastAsia="Calibri" w:hAnsi="Cambria"/>
          <w:szCs w:val="22"/>
        </w:rPr>
        <w:t>‘</w:t>
      </w:r>
      <w:r>
        <w:rPr>
          <w:rFonts w:ascii="Cambria" w:eastAsia="Calibri" w:hAnsi="Cambria"/>
          <w:i/>
          <w:szCs w:val="22"/>
        </w:rPr>
        <w:t>Ca</w:t>
      </w:r>
      <w:r>
        <w:rPr>
          <w:rFonts w:ascii="Cambria" w:eastAsia="Calibri" w:hAnsi="Cambria"/>
          <w:szCs w:val="22"/>
        </w:rPr>
        <w:t xml:space="preserve">. L. solanacearum’ </w:t>
      </w:r>
      <w:r>
        <w:rPr>
          <w:rFonts w:ascii="Cambria" w:eastAsia="Cambria" w:hAnsi="Cambria" w:cs="MinionPro-It"/>
          <w:iCs/>
          <w:szCs w:val="22"/>
        </w:rPr>
        <w:t xml:space="preserve">is vectored by </w:t>
      </w:r>
      <w:r>
        <w:rPr>
          <w:rFonts w:ascii="Cambria" w:eastAsia="Cambria" w:hAnsi="Cambria" w:cs="MinionPro-It"/>
          <w:i/>
          <w:iCs/>
          <w:szCs w:val="22"/>
        </w:rPr>
        <w:t xml:space="preserve">Trioza apicalis </w:t>
      </w:r>
      <w:r>
        <w:rPr>
          <w:rFonts w:ascii="Cambria" w:eastAsia="Calibri" w:hAnsi="Cambria"/>
          <w:szCs w:val="22"/>
        </w:rPr>
        <w:t xml:space="preserve">in Scandinavian area and parts of Europe, whereas </w:t>
      </w:r>
      <w:r>
        <w:rPr>
          <w:rFonts w:ascii="Cambria" w:eastAsia="Cambria" w:hAnsi="Cambria" w:cs="MinionPro-It"/>
          <w:i/>
          <w:iCs/>
          <w:szCs w:val="22"/>
        </w:rPr>
        <w:t xml:space="preserve">Bactericera trigonica </w:t>
      </w:r>
      <w:r>
        <w:rPr>
          <w:rFonts w:ascii="Cambria" w:eastAsia="Cambria" w:hAnsi="Cambria" w:cs="MinionPro-It"/>
          <w:iCs/>
          <w:szCs w:val="22"/>
        </w:rPr>
        <w:t xml:space="preserve">vectors this bacterium in Spain. </w:t>
      </w:r>
      <w:r>
        <w:rPr>
          <w:rFonts w:ascii="Cambria" w:hAnsi="Cambria"/>
          <w:szCs w:val="22"/>
        </w:rPr>
        <w:t xml:space="preserve">The bacterium has been detected in </w:t>
      </w:r>
      <w:r>
        <w:rPr>
          <w:rFonts w:ascii="Cambria" w:hAnsi="Cambria"/>
          <w:i/>
          <w:szCs w:val="22"/>
        </w:rPr>
        <w:t>B. tremblayi</w:t>
      </w:r>
      <w:r>
        <w:rPr>
          <w:rFonts w:ascii="Cambria" w:hAnsi="Cambria"/>
          <w:szCs w:val="22"/>
        </w:rPr>
        <w:t xml:space="preserve"> and </w:t>
      </w:r>
      <w:r>
        <w:rPr>
          <w:rFonts w:ascii="Cambria" w:hAnsi="Cambria"/>
          <w:i/>
          <w:szCs w:val="22"/>
        </w:rPr>
        <w:t>B. nigricornis</w:t>
      </w:r>
      <w:r>
        <w:rPr>
          <w:rFonts w:ascii="Cambria" w:hAnsi="Cambria"/>
          <w:szCs w:val="22"/>
        </w:rPr>
        <w:t xml:space="preserve"> collected from carrot and celery fields in Spain (Teresani et al. 2015). However, these vectors are not present in Australia.</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lastRenderedPageBreak/>
        <w:t xml:space="preserve">There are no records of any </w:t>
      </w:r>
      <w:r>
        <w:rPr>
          <w:rFonts w:ascii="Cambria" w:hAnsi="Cambria"/>
          <w:i/>
          <w:szCs w:val="22"/>
        </w:rPr>
        <w:t>Bactericera</w:t>
      </w:r>
      <w:r>
        <w:rPr>
          <w:rFonts w:ascii="Cambria" w:hAnsi="Cambria"/>
          <w:szCs w:val="22"/>
        </w:rPr>
        <w:t xml:space="preserve"> species in mainland Australia except in Norfolk Island</w:t>
      </w:r>
      <w:r>
        <w:rPr>
          <w:rStyle w:val="FootnoteReference"/>
          <w:rFonts w:ascii="Cambria" w:hAnsi="Cambria"/>
          <w:szCs w:val="22"/>
        </w:rPr>
        <w:footnoteReference w:id="2"/>
      </w:r>
      <w:r>
        <w:rPr>
          <w:rFonts w:ascii="Cambria" w:hAnsi="Cambria"/>
          <w:szCs w:val="22"/>
        </w:rPr>
        <w:t xml:space="preserve"> (NIQS 2014). </w:t>
      </w:r>
      <w:r>
        <w:rPr>
          <w:rFonts w:ascii="Cambria" w:hAnsi="Cambria"/>
          <w:i/>
          <w:szCs w:val="22"/>
        </w:rPr>
        <w:t xml:space="preserve">Trioza apicalis </w:t>
      </w:r>
      <w:r>
        <w:rPr>
          <w:rFonts w:ascii="Cambria" w:hAnsi="Cambria"/>
          <w:szCs w:val="22"/>
        </w:rPr>
        <w:t>is an efficient vector of ‘</w:t>
      </w:r>
      <w:r>
        <w:rPr>
          <w:rFonts w:ascii="Cambria" w:hAnsi="Cambria"/>
          <w:i/>
          <w:szCs w:val="22"/>
        </w:rPr>
        <w:t>Ca</w:t>
      </w:r>
      <w:r>
        <w:rPr>
          <w:rFonts w:ascii="Cambria" w:hAnsi="Cambria"/>
          <w:szCs w:val="22"/>
        </w:rPr>
        <w:t>. L. solanacearum’ (</w:t>
      </w:r>
      <w:r>
        <w:rPr>
          <w:rFonts w:ascii="Cambria" w:eastAsia="Cambria" w:hAnsi="Cambria" w:cs="TimesNewRomanPSMT"/>
        </w:rPr>
        <w:t xml:space="preserve">Alfaro-Fernández </w:t>
      </w:r>
      <w:r>
        <w:rPr>
          <w:rFonts w:ascii="Cambria" w:eastAsia="Cambria" w:hAnsi="Cambria" w:cs="TimesNewRomanPS-ItalicMT"/>
          <w:iCs/>
        </w:rPr>
        <w:t>et al</w:t>
      </w:r>
      <w:r>
        <w:rPr>
          <w:rFonts w:ascii="Cambria" w:eastAsia="Cambria" w:hAnsi="Cambria" w:cs="TimesNewRomanPSMT"/>
        </w:rPr>
        <w:t>. 2012b</w:t>
      </w:r>
      <w:r>
        <w:rPr>
          <w:rFonts w:ascii="Cambria" w:hAnsi="Cambria"/>
          <w:szCs w:val="22"/>
        </w:rPr>
        <w:t xml:space="preserve">). There are several species of </w:t>
      </w:r>
      <w:r>
        <w:rPr>
          <w:rFonts w:ascii="Cambria" w:hAnsi="Cambria"/>
          <w:i/>
          <w:szCs w:val="22"/>
        </w:rPr>
        <w:t xml:space="preserve">Trioza </w:t>
      </w:r>
      <w:r>
        <w:rPr>
          <w:rFonts w:ascii="Cambria" w:hAnsi="Cambria"/>
          <w:iCs/>
          <w:szCs w:val="22"/>
        </w:rPr>
        <w:t xml:space="preserve">in Australia (DEWHA 2009), however, there are no published records of Australian </w:t>
      </w:r>
      <w:r>
        <w:rPr>
          <w:rFonts w:ascii="Cambria" w:hAnsi="Cambria"/>
          <w:i/>
          <w:iCs/>
          <w:szCs w:val="22"/>
        </w:rPr>
        <w:t xml:space="preserve">Trioza </w:t>
      </w:r>
      <w:r>
        <w:rPr>
          <w:rFonts w:ascii="Cambria" w:hAnsi="Cambria"/>
          <w:iCs/>
          <w:szCs w:val="22"/>
        </w:rPr>
        <w:t>species feeding on apiaceous crops.</w:t>
      </w:r>
    </w:p>
    <w:p w:rsidR="00AE7868" w:rsidRDefault="00FF2B57">
      <w:pPr>
        <w:pStyle w:val="AQISNum"/>
        <w:numPr>
          <w:ilvl w:val="1"/>
          <w:numId w:val="33"/>
        </w:numPr>
        <w:tabs>
          <w:tab w:val="clear" w:pos="1440"/>
          <w:tab w:val="num" w:pos="567"/>
        </w:tabs>
        <w:spacing w:before="120" w:after="120" w:line="276" w:lineRule="auto"/>
        <w:ind w:left="567" w:hanging="283"/>
        <w:rPr>
          <w:rFonts w:asciiTheme="majorHAnsi" w:eastAsia="Calibri" w:hAnsiTheme="majorHAnsi"/>
          <w:iCs/>
          <w:szCs w:val="22"/>
        </w:rPr>
      </w:pPr>
      <w:r>
        <w:rPr>
          <w:rFonts w:asciiTheme="majorHAnsi" w:eastAsia="Calibri" w:hAnsiTheme="majorHAnsi"/>
          <w:bCs/>
          <w:iCs/>
          <w:szCs w:val="22"/>
        </w:rPr>
        <w:t xml:space="preserve">Australian </w:t>
      </w:r>
      <w:r>
        <w:rPr>
          <w:rFonts w:asciiTheme="majorHAnsi" w:eastAsia="Calibri" w:hAnsiTheme="majorHAnsi"/>
          <w:bCs/>
          <w:i/>
          <w:iCs/>
          <w:szCs w:val="22"/>
        </w:rPr>
        <w:t xml:space="preserve">Trioza </w:t>
      </w:r>
      <w:r>
        <w:rPr>
          <w:rFonts w:asciiTheme="majorHAnsi" w:hAnsiTheme="majorHAnsi"/>
          <w:bCs/>
          <w:iCs/>
          <w:szCs w:val="22"/>
        </w:rPr>
        <w:t xml:space="preserve">species feed on non-apiaceous hosts including </w:t>
      </w:r>
      <w:r>
        <w:rPr>
          <w:rFonts w:asciiTheme="majorHAnsi" w:eastAsia="Calibri" w:hAnsiTheme="majorHAnsi"/>
          <w:szCs w:val="22"/>
        </w:rPr>
        <w:t>Myrtaceae</w:t>
      </w:r>
      <w:r>
        <w:rPr>
          <w:rFonts w:asciiTheme="majorHAnsi" w:hAnsiTheme="majorHAnsi"/>
          <w:szCs w:val="22"/>
        </w:rPr>
        <w:t xml:space="preserve">, </w:t>
      </w:r>
      <w:r>
        <w:rPr>
          <w:rFonts w:asciiTheme="majorHAnsi" w:eastAsia="Calibri" w:hAnsiTheme="majorHAnsi"/>
          <w:szCs w:val="22"/>
        </w:rPr>
        <w:t>Euphorbiaceae</w:t>
      </w:r>
      <w:r>
        <w:rPr>
          <w:rFonts w:asciiTheme="majorHAnsi" w:hAnsiTheme="majorHAnsi"/>
          <w:szCs w:val="22"/>
        </w:rPr>
        <w:t xml:space="preserve"> and </w:t>
      </w:r>
      <w:r>
        <w:rPr>
          <w:rFonts w:asciiTheme="majorHAnsi" w:eastAsia="Calibri" w:hAnsiTheme="majorHAnsi"/>
          <w:szCs w:val="22"/>
        </w:rPr>
        <w:t>Asteraceae (DEWHA 2009).</w:t>
      </w:r>
      <w:r>
        <w:rPr>
          <w:rFonts w:asciiTheme="majorHAnsi" w:hAnsiTheme="majorHAnsi"/>
          <w:szCs w:val="22"/>
        </w:rPr>
        <w:t xml:space="preserve"> </w:t>
      </w:r>
      <w:r>
        <w:rPr>
          <w:rStyle w:val="Emphasis"/>
          <w:rFonts w:ascii="Cambria" w:hAnsi="Cambria"/>
        </w:rPr>
        <w:t>Trioza banksiae</w:t>
      </w:r>
      <w:r>
        <w:rPr>
          <w:rFonts w:ascii="Cambria" w:hAnsi="Cambria"/>
        </w:rPr>
        <w:t xml:space="preserve">, </w:t>
      </w:r>
      <w:r>
        <w:rPr>
          <w:rStyle w:val="Emphasis"/>
          <w:rFonts w:ascii="Cambria" w:hAnsi="Cambria"/>
        </w:rPr>
        <w:t>Trioza barrettae</w:t>
      </w:r>
      <w:r>
        <w:rPr>
          <w:rStyle w:val="Emphasis"/>
          <w:rFonts w:ascii="Cambria" w:hAnsi="Cambria"/>
          <w:i w:val="0"/>
        </w:rPr>
        <w:t>,</w:t>
      </w:r>
      <w:r>
        <w:rPr>
          <w:rFonts w:ascii="Cambria" w:hAnsi="Cambria"/>
        </w:rPr>
        <w:t xml:space="preserve"> </w:t>
      </w:r>
      <w:r>
        <w:rPr>
          <w:rFonts w:asciiTheme="majorHAnsi" w:eastAsia="Calibri" w:hAnsiTheme="majorHAnsi"/>
          <w:i/>
          <w:iCs/>
          <w:szCs w:val="22"/>
        </w:rPr>
        <w:t xml:space="preserve">Trioza euginae, </w:t>
      </w:r>
      <w:r>
        <w:rPr>
          <w:rStyle w:val="Emphasis"/>
          <w:rFonts w:ascii="Cambria" w:hAnsi="Cambria"/>
        </w:rPr>
        <w:t>Trioza kentae</w:t>
      </w:r>
      <w:r>
        <w:rPr>
          <w:rStyle w:val="Emphasis"/>
          <w:rFonts w:ascii="Cambria" w:hAnsi="Cambria"/>
          <w:i w:val="0"/>
        </w:rPr>
        <w:t>,</w:t>
      </w:r>
      <w:r>
        <w:rPr>
          <w:rFonts w:asciiTheme="majorHAnsi" w:eastAsia="Calibri" w:hAnsiTheme="majorHAnsi"/>
          <w:i/>
          <w:iCs/>
          <w:szCs w:val="22"/>
        </w:rPr>
        <w:t xml:space="preserve"> T. malloticola, </w:t>
      </w:r>
      <w:r>
        <w:rPr>
          <w:rStyle w:val="Emphasis"/>
          <w:rFonts w:ascii="Cambria" w:hAnsi="Cambria"/>
        </w:rPr>
        <w:t>Trioza oleariae</w:t>
      </w:r>
      <w:r>
        <w:rPr>
          <w:rStyle w:val="Emphasis"/>
          <w:rFonts w:ascii="Cambria" w:hAnsi="Cambria"/>
          <w:i w:val="0"/>
        </w:rPr>
        <w:t>,</w:t>
      </w:r>
      <w:r>
        <w:rPr>
          <w:rFonts w:asciiTheme="majorHAnsi" w:eastAsia="Calibri" w:hAnsiTheme="majorHAnsi"/>
          <w:i/>
          <w:iCs/>
          <w:szCs w:val="22"/>
        </w:rPr>
        <w:t xml:space="preserve"> T. pallida</w:t>
      </w:r>
      <w:r>
        <w:rPr>
          <w:rFonts w:asciiTheme="majorHAnsi" w:eastAsia="Calibri" w:hAnsiTheme="majorHAnsi"/>
          <w:iCs/>
          <w:szCs w:val="22"/>
        </w:rPr>
        <w:t xml:space="preserve"> </w:t>
      </w:r>
      <w:r>
        <w:rPr>
          <w:rStyle w:val="Emphasis"/>
          <w:rFonts w:ascii="Cambria" w:hAnsi="Cambria"/>
        </w:rPr>
        <w:t>Trioza percyae</w:t>
      </w:r>
      <w:r>
        <w:rPr>
          <w:rStyle w:val="Emphasis"/>
          <w:rFonts w:ascii="Cambria" w:hAnsi="Cambria"/>
          <w:i w:val="0"/>
        </w:rPr>
        <w:t xml:space="preserve">, </w:t>
      </w:r>
      <w:r>
        <w:rPr>
          <w:rStyle w:val="Emphasis"/>
          <w:rFonts w:ascii="Cambria" w:hAnsi="Cambria"/>
        </w:rPr>
        <w:t>Trioza tricornuta</w:t>
      </w:r>
      <w:r>
        <w:rPr>
          <w:rFonts w:asciiTheme="majorHAnsi" w:eastAsia="Calibri" w:hAnsiTheme="majorHAnsi"/>
          <w:iCs/>
          <w:szCs w:val="22"/>
        </w:rPr>
        <w:t xml:space="preserve"> and</w:t>
      </w:r>
      <w:r>
        <w:rPr>
          <w:rFonts w:asciiTheme="majorHAnsi" w:eastAsia="Calibri" w:hAnsiTheme="majorHAnsi"/>
          <w:i/>
          <w:iCs/>
          <w:szCs w:val="22"/>
        </w:rPr>
        <w:t xml:space="preserve"> T. tristaniae</w:t>
      </w:r>
      <w:r>
        <w:rPr>
          <w:rFonts w:asciiTheme="majorHAnsi" w:eastAsia="Calibri" w:hAnsiTheme="majorHAnsi"/>
          <w:iCs/>
          <w:szCs w:val="22"/>
        </w:rPr>
        <w:t xml:space="preserve"> have pit-gall creating nymphs that feed on plant sap. </w:t>
      </w:r>
      <w:r>
        <w:rPr>
          <w:rFonts w:asciiTheme="majorHAnsi" w:eastAsia="Calibri" w:hAnsiTheme="majorHAnsi"/>
          <w:szCs w:val="22"/>
        </w:rPr>
        <w:t xml:space="preserve">However, this damage is not similar to the symptoms caused by </w:t>
      </w:r>
      <w:r>
        <w:rPr>
          <w:rFonts w:asciiTheme="majorHAnsi" w:eastAsia="Calibri" w:hAnsiTheme="majorHAnsi"/>
          <w:i/>
          <w:szCs w:val="22"/>
        </w:rPr>
        <w:t>‘Ca.</w:t>
      </w:r>
      <w:r>
        <w:rPr>
          <w:rFonts w:asciiTheme="majorHAnsi" w:eastAsia="Calibri" w:hAnsiTheme="majorHAnsi"/>
          <w:szCs w:val="22"/>
        </w:rPr>
        <w:t xml:space="preserve"> L.’ species.</w:t>
      </w:r>
      <w:r>
        <w:rPr>
          <w:rFonts w:asciiTheme="majorHAnsi" w:eastAsia="Calibri" w:hAnsiTheme="majorHAnsi"/>
          <w:i/>
          <w:iCs/>
          <w:szCs w:val="22"/>
        </w:rPr>
        <w:t xml:space="preserve"> Trioza oleari</w:t>
      </w:r>
      <w:r>
        <w:rPr>
          <w:rFonts w:asciiTheme="majorHAnsi" w:eastAsia="Calibri" w:hAnsiTheme="majorHAnsi"/>
          <w:iCs/>
          <w:szCs w:val="22"/>
        </w:rPr>
        <w:t xml:space="preserve"> also feeds on plant sap; however, it is different to the other species of psyllid in that it has free-living nymphs.</w:t>
      </w:r>
    </w:p>
    <w:p w:rsidR="00AE7868" w:rsidRDefault="00FF2B57">
      <w:pPr>
        <w:pStyle w:val="AQISNum"/>
        <w:numPr>
          <w:ilvl w:val="0"/>
          <w:numId w:val="33"/>
        </w:numPr>
        <w:tabs>
          <w:tab w:val="clear" w:pos="360"/>
          <w:tab w:val="num" w:pos="284"/>
        </w:tabs>
        <w:spacing w:before="120" w:after="120" w:line="276" w:lineRule="auto"/>
        <w:ind w:left="284" w:hanging="284"/>
        <w:rPr>
          <w:rFonts w:asciiTheme="majorHAnsi" w:hAnsiTheme="majorHAnsi"/>
          <w:color w:val="000000"/>
          <w:szCs w:val="22"/>
          <w:lang w:val="en-GB"/>
        </w:rPr>
      </w:pPr>
      <w:r>
        <w:rPr>
          <w:rFonts w:asciiTheme="majorHAnsi" w:eastAsia="Calibri" w:hAnsiTheme="majorHAnsi"/>
          <w:szCs w:val="22"/>
        </w:rPr>
        <w:t xml:space="preserve">Species of psyllids (other than </w:t>
      </w:r>
      <w:r>
        <w:rPr>
          <w:rFonts w:asciiTheme="majorHAnsi" w:hAnsiTheme="majorHAnsi"/>
          <w:i/>
          <w:szCs w:val="22"/>
        </w:rPr>
        <w:t xml:space="preserve">B. trigonica </w:t>
      </w:r>
      <w:r>
        <w:rPr>
          <w:rFonts w:asciiTheme="majorHAnsi" w:hAnsiTheme="majorHAnsi"/>
          <w:szCs w:val="22"/>
        </w:rPr>
        <w:t xml:space="preserve">and </w:t>
      </w:r>
      <w:r>
        <w:rPr>
          <w:rFonts w:asciiTheme="majorHAnsi" w:hAnsiTheme="majorHAnsi"/>
          <w:i/>
          <w:szCs w:val="22"/>
        </w:rPr>
        <w:t>T. apicalis</w:t>
      </w:r>
      <w:r>
        <w:rPr>
          <w:rFonts w:asciiTheme="majorHAnsi" w:hAnsiTheme="majorHAnsi"/>
          <w:szCs w:val="22"/>
        </w:rPr>
        <w:t>) collected from carrot, celery and potato crops in areas of Spain where ‘</w:t>
      </w:r>
      <w:r>
        <w:rPr>
          <w:rFonts w:asciiTheme="majorHAnsi" w:hAnsiTheme="majorHAnsi"/>
          <w:i/>
          <w:szCs w:val="22"/>
        </w:rPr>
        <w:t>Ca</w:t>
      </w:r>
      <w:r>
        <w:rPr>
          <w:rFonts w:asciiTheme="majorHAnsi" w:hAnsiTheme="majorHAnsi"/>
          <w:szCs w:val="22"/>
        </w:rPr>
        <w:t xml:space="preserve">. L. solanacearum’ is present include </w:t>
      </w:r>
      <w:r>
        <w:rPr>
          <w:rFonts w:asciiTheme="majorHAnsi" w:hAnsiTheme="majorHAnsi"/>
          <w:i/>
          <w:szCs w:val="22"/>
        </w:rPr>
        <w:t>Trioza urticae, Ctenarytaina</w:t>
      </w:r>
      <w:r>
        <w:rPr>
          <w:rFonts w:asciiTheme="majorHAnsi" w:hAnsiTheme="majorHAnsi"/>
          <w:szCs w:val="22"/>
        </w:rPr>
        <w:t xml:space="preserve"> species, </w:t>
      </w:r>
      <w:r>
        <w:rPr>
          <w:rFonts w:asciiTheme="majorHAnsi" w:hAnsiTheme="majorHAnsi"/>
          <w:i/>
          <w:szCs w:val="22"/>
        </w:rPr>
        <w:t>Cacopsylla</w:t>
      </w:r>
      <w:r>
        <w:rPr>
          <w:rFonts w:asciiTheme="majorHAnsi" w:hAnsiTheme="majorHAnsi"/>
          <w:szCs w:val="22"/>
        </w:rPr>
        <w:t xml:space="preserve"> species and </w:t>
      </w:r>
      <w:r>
        <w:rPr>
          <w:rFonts w:asciiTheme="majorHAnsi" w:hAnsiTheme="majorHAnsi"/>
          <w:i/>
          <w:szCs w:val="22"/>
        </w:rPr>
        <w:t>Psylla</w:t>
      </w:r>
      <w:r>
        <w:rPr>
          <w:rFonts w:asciiTheme="majorHAnsi" w:hAnsiTheme="majorHAnsi"/>
          <w:szCs w:val="22"/>
        </w:rPr>
        <w:t xml:space="preserve"> species (Teresani et al</w:t>
      </w:r>
      <w:r>
        <w:rPr>
          <w:rFonts w:asciiTheme="majorHAnsi" w:hAnsiTheme="majorHAnsi"/>
          <w:i/>
          <w:szCs w:val="22"/>
        </w:rPr>
        <w:t xml:space="preserve">. </w:t>
      </w:r>
      <w:r>
        <w:rPr>
          <w:rFonts w:asciiTheme="majorHAnsi" w:hAnsiTheme="majorHAnsi"/>
          <w:szCs w:val="22"/>
        </w:rPr>
        <w:t>2015). ‘</w:t>
      </w:r>
      <w:r>
        <w:rPr>
          <w:rFonts w:asciiTheme="majorHAnsi" w:hAnsiTheme="majorHAnsi"/>
          <w:i/>
          <w:szCs w:val="22"/>
        </w:rPr>
        <w:t>Ca</w:t>
      </w:r>
      <w:r>
        <w:rPr>
          <w:rFonts w:asciiTheme="majorHAnsi" w:hAnsiTheme="majorHAnsi"/>
          <w:szCs w:val="22"/>
        </w:rPr>
        <w:t xml:space="preserve">. </w:t>
      </w:r>
      <w:r>
        <w:rPr>
          <w:rFonts w:asciiTheme="majorHAnsi" w:hAnsiTheme="majorHAnsi"/>
          <w:szCs w:val="22"/>
        </w:rPr>
        <w:lastRenderedPageBreak/>
        <w:t>L. solanacearum’ has not been detected in these psyllid species (Teresani et al</w:t>
      </w:r>
      <w:r>
        <w:rPr>
          <w:rFonts w:asciiTheme="majorHAnsi" w:hAnsiTheme="majorHAnsi"/>
          <w:i/>
          <w:szCs w:val="22"/>
        </w:rPr>
        <w:t xml:space="preserve">. </w:t>
      </w:r>
      <w:r>
        <w:rPr>
          <w:rFonts w:asciiTheme="majorHAnsi" w:hAnsiTheme="majorHAnsi"/>
          <w:szCs w:val="22"/>
        </w:rPr>
        <w:t xml:space="preserve">2015). </w:t>
      </w:r>
    </w:p>
    <w:p w:rsidR="00AE7868" w:rsidRDefault="00FF2B57">
      <w:pPr>
        <w:pStyle w:val="AQISNum"/>
        <w:numPr>
          <w:ilvl w:val="0"/>
          <w:numId w:val="33"/>
        </w:numPr>
        <w:tabs>
          <w:tab w:val="clear" w:pos="360"/>
          <w:tab w:val="num" w:pos="284"/>
        </w:tabs>
        <w:spacing w:before="120" w:after="120" w:line="276" w:lineRule="auto"/>
        <w:ind w:left="284" w:hanging="284"/>
        <w:rPr>
          <w:rFonts w:asciiTheme="majorHAnsi" w:hAnsiTheme="majorHAnsi"/>
          <w:color w:val="000000"/>
          <w:szCs w:val="22"/>
          <w:lang w:val="en-GB"/>
        </w:rPr>
      </w:pPr>
      <w:r>
        <w:rPr>
          <w:rFonts w:asciiTheme="majorHAnsi" w:eastAsia="Calibri" w:hAnsiTheme="majorHAnsi"/>
          <w:szCs w:val="22"/>
        </w:rPr>
        <w:t xml:space="preserve">In the absence of a vector, the bacterium is unlikely to move from infected plants (resulting from imported seeds or tissue cultures) to new host plants. </w:t>
      </w:r>
      <w:r>
        <w:rPr>
          <w:rFonts w:asciiTheme="majorHAnsi" w:hAnsiTheme="majorHAnsi"/>
          <w:color w:val="000000"/>
          <w:szCs w:val="22"/>
          <w:lang w:val="en-GB"/>
        </w:rPr>
        <w:t>The bacterium is likely to survive as long as its host plant is present. In case of annual crops, it is likely to depend on a vector to transfer it to alternative hosts to survive the cropless period.</w:t>
      </w:r>
    </w:p>
    <w:p w:rsidR="00AE7868" w:rsidRDefault="00FF2B57">
      <w:pPr>
        <w:pStyle w:val="Heading5"/>
        <w:spacing w:before="120" w:after="120"/>
      </w:pPr>
      <w:r>
        <w:t>Suitability of the environment</w:t>
      </w:r>
    </w:p>
    <w:p w:rsidR="00AE7868" w:rsidRDefault="00FF2B57">
      <w:pPr>
        <w:pStyle w:val="AQISNum"/>
        <w:numPr>
          <w:ilvl w:val="0"/>
          <w:numId w:val="33"/>
        </w:numPr>
        <w:tabs>
          <w:tab w:val="clear" w:pos="360"/>
          <w:tab w:val="num" w:pos="284"/>
        </w:tabs>
        <w:spacing w:before="120" w:after="120" w:line="276" w:lineRule="auto"/>
        <w:ind w:left="284" w:hanging="284"/>
        <w:rPr>
          <w:rFonts w:asciiTheme="majorHAnsi" w:hAnsiTheme="majorHAnsi"/>
          <w:szCs w:val="22"/>
        </w:rPr>
      </w:pPr>
      <w:r>
        <w:rPr>
          <w:rFonts w:asciiTheme="majorHAnsi" w:hAnsiTheme="majorHAnsi"/>
          <w:szCs w:val="22"/>
        </w:rPr>
        <w:t>The origin of ‘</w:t>
      </w:r>
      <w:r>
        <w:rPr>
          <w:rFonts w:asciiTheme="majorHAnsi" w:hAnsiTheme="majorHAnsi"/>
          <w:i/>
          <w:szCs w:val="22"/>
        </w:rPr>
        <w:t>Ca</w:t>
      </w:r>
      <w:r>
        <w:rPr>
          <w:rFonts w:asciiTheme="majorHAnsi" w:hAnsiTheme="majorHAnsi"/>
          <w:szCs w:val="22"/>
        </w:rPr>
        <w:t>. L. solanacearum’ associated with apiaceous crops</w:t>
      </w:r>
      <w:r>
        <w:rPr>
          <w:rFonts w:asciiTheme="majorHAnsi" w:hAnsiTheme="majorHAnsi"/>
          <w:iCs/>
          <w:szCs w:val="22"/>
        </w:rPr>
        <w:t xml:space="preserve"> </w:t>
      </w:r>
      <w:r>
        <w:rPr>
          <w:rFonts w:asciiTheme="majorHAnsi" w:hAnsiTheme="majorHAnsi"/>
          <w:szCs w:val="22"/>
        </w:rPr>
        <w:t>is not kn</w:t>
      </w:r>
      <w:r>
        <w:rPr>
          <w:rFonts w:asciiTheme="majorHAnsi" w:eastAsia="Calibri" w:hAnsiTheme="majorHAnsi"/>
          <w:szCs w:val="22"/>
        </w:rPr>
        <w:t>own and is difficult to determine; however, this bacterium has now established in Austria, Germany, France, Morocco, Scand</w:t>
      </w:r>
      <w:r>
        <w:rPr>
          <w:rFonts w:asciiTheme="majorHAnsi" w:hAnsiTheme="majorHAnsi"/>
          <w:color w:val="000000"/>
          <w:szCs w:val="22"/>
          <w:lang w:val="en-GB"/>
        </w:rPr>
        <w:t xml:space="preserve">inavian countries and Spain (Haapalainen 2014; </w:t>
      </w:r>
      <w:r>
        <w:rPr>
          <w:rFonts w:asciiTheme="majorHAnsi" w:eastAsia="Cambria" w:hAnsiTheme="majorHAnsi" w:cs="Arial"/>
          <w:color w:val="000000"/>
          <w:szCs w:val="22"/>
          <w:lang w:val="en-GB"/>
        </w:rPr>
        <w:t xml:space="preserve">Munyaneza </w:t>
      </w:r>
      <w:r>
        <w:rPr>
          <w:rFonts w:asciiTheme="majorHAnsi" w:eastAsia="Cambria" w:hAnsiTheme="majorHAnsi" w:cs="Arial"/>
          <w:iCs/>
          <w:color w:val="000000"/>
          <w:szCs w:val="22"/>
          <w:lang w:val="en-GB"/>
        </w:rPr>
        <w:t>et al.</w:t>
      </w:r>
      <w:r>
        <w:rPr>
          <w:rFonts w:asciiTheme="majorHAnsi" w:eastAsia="Cambria" w:hAnsiTheme="majorHAnsi" w:cs="Arial"/>
          <w:i/>
          <w:iCs/>
          <w:color w:val="000000"/>
          <w:szCs w:val="22"/>
          <w:lang w:val="en-GB"/>
        </w:rPr>
        <w:t xml:space="preserve"> </w:t>
      </w:r>
      <w:r>
        <w:rPr>
          <w:rFonts w:asciiTheme="majorHAnsi" w:eastAsia="Cambria" w:hAnsiTheme="majorHAnsi" w:cs="Arial"/>
          <w:color w:val="000000"/>
          <w:szCs w:val="22"/>
          <w:lang w:val="en-GB"/>
        </w:rPr>
        <w:t>2015</w:t>
      </w:r>
      <w:r>
        <w:rPr>
          <w:rFonts w:asciiTheme="majorHAnsi" w:hAnsiTheme="majorHAnsi"/>
          <w:color w:val="000000"/>
          <w:szCs w:val="22"/>
          <w:lang w:val="en-GB"/>
        </w:rPr>
        <w:t xml:space="preserve">). The climatic regions across this range are diverse and there are similar climatic regions in parts of </w:t>
      </w:r>
      <w:r>
        <w:rPr>
          <w:rFonts w:asciiTheme="majorHAnsi" w:hAnsiTheme="majorHAnsi"/>
          <w:szCs w:val="22"/>
        </w:rPr>
        <w:t>Australia that would be suitable for the establishment of ‘</w:t>
      </w:r>
      <w:r>
        <w:rPr>
          <w:rFonts w:asciiTheme="majorHAnsi" w:hAnsiTheme="majorHAnsi"/>
          <w:i/>
          <w:szCs w:val="22"/>
        </w:rPr>
        <w:t>Ca</w:t>
      </w:r>
      <w:r>
        <w:rPr>
          <w:rFonts w:asciiTheme="majorHAnsi" w:hAnsiTheme="majorHAnsi"/>
          <w:szCs w:val="22"/>
        </w:rPr>
        <w:t>. L. solanacearum’.</w:t>
      </w:r>
    </w:p>
    <w:p w:rsidR="00AE7868" w:rsidRDefault="00FF2B57">
      <w:pPr>
        <w:pStyle w:val="AQISNum"/>
        <w:numPr>
          <w:ilvl w:val="0"/>
          <w:numId w:val="33"/>
        </w:numPr>
        <w:tabs>
          <w:tab w:val="clear" w:pos="360"/>
          <w:tab w:val="num" w:pos="284"/>
        </w:tabs>
        <w:spacing w:before="120" w:after="120" w:line="276" w:lineRule="auto"/>
        <w:ind w:left="284" w:hanging="284"/>
        <w:rPr>
          <w:rFonts w:asciiTheme="majorHAnsi" w:hAnsiTheme="majorHAnsi"/>
          <w:szCs w:val="22"/>
        </w:rPr>
      </w:pPr>
      <w:r>
        <w:rPr>
          <w:rFonts w:asciiTheme="majorHAnsi" w:eastAsia="Cambria" w:hAnsiTheme="majorHAnsi" w:cs="Arial"/>
          <w:szCs w:val="22"/>
        </w:rPr>
        <w:t>The exten</w:t>
      </w:r>
      <w:r>
        <w:rPr>
          <w:rFonts w:asciiTheme="majorHAnsi" w:eastAsia="Cambria" w:hAnsiTheme="majorHAnsi" w:cs="Arial"/>
          <w:iCs/>
          <w:szCs w:val="22"/>
        </w:rPr>
        <w:t>sive oc</w:t>
      </w:r>
      <w:r>
        <w:rPr>
          <w:rFonts w:asciiTheme="majorHAnsi" w:eastAsia="Cambria" w:hAnsiTheme="majorHAnsi" w:cs="Arial"/>
          <w:szCs w:val="22"/>
        </w:rPr>
        <w:t>curr</w:t>
      </w:r>
      <w:r>
        <w:rPr>
          <w:rFonts w:asciiTheme="majorHAnsi" w:hAnsiTheme="majorHAnsi"/>
          <w:szCs w:val="22"/>
        </w:rPr>
        <w:t>ence of ‘</w:t>
      </w:r>
      <w:r>
        <w:rPr>
          <w:rFonts w:asciiTheme="majorHAnsi" w:hAnsiTheme="majorHAnsi"/>
          <w:i/>
          <w:szCs w:val="22"/>
        </w:rPr>
        <w:t>Ca</w:t>
      </w:r>
      <w:r>
        <w:rPr>
          <w:rFonts w:asciiTheme="majorHAnsi" w:hAnsiTheme="majorHAnsi"/>
          <w:szCs w:val="22"/>
        </w:rPr>
        <w:t xml:space="preserve">. L. solanacearum’ in various Scandinavian and Mediterranean countries (Haapalainen 2014; </w:t>
      </w:r>
      <w:r>
        <w:rPr>
          <w:rFonts w:asciiTheme="majorHAnsi" w:eastAsia="Cambria" w:hAnsiTheme="majorHAnsi" w:cs="Arial"/>
          <w:szCs w:val="22"/>
        </w:rPr>
        <w:t xml:space="preserve">Munyaneza </w:t>
      </w:r>
      <w:r>
        <w:rPr>
          <w:rFonts w:asciiTheme="majorHAnsi" w:eastAsia="Cambria" w:hAnsiTheme="majorHAnsi" w:cs="Arial"/>
          <w:iCs/>
          <w:szCs w:val="22"/>
        </w:rPr>
        <w:t>et al</w:t>
      </w:r>
      <w:r>
        <w:rPr>
          <w:rFonts w:asciiTheme="majorHAnsi" w:eastAsia="Cambria" w:hAnsiTheme="majorHAnsi" w:cs="Arial"/>
          <w:i/>
          <w:iCs/>
          <w:szCs w:val="22"/>
        </w:rPr>
        <w:t xml:space="preserve">. </w:t>
      </w:r>
      <w:r>
        <w:rPr>
          <w:rFonts w:asciiTheme="majorHAnsi" w:eastAsia="Cambria" w:hAnsiTheme="majorHAnsi" w:cs="Arial"/>
          <w:szCs w:val="22"/>
        </w:rPr>
        <w:t>2015</w:t>
      </w:r>
      <w:r>
        <w:rPr>
          <w:rFonts w:asciiTheme="majorHAnsi" w:hAnsiTheme="majorHAnsi"/>
          <w:szCs w:val="22"/>
        </w:rPr>
        <w:t>) indicates that climatic conditions would be suitable for establishment in Australia. However, without a vector ‘</w:t>
      </w:r>
      <w:r>
        <w:rPr>
          <w:rFonts w:asciiTheme="majorHAnsi" w:hAnsiTheme="majorHAnsi"/>
          <w:i/>
          <w:szCs w:val="22"/>
        </w:rPr>
        <w:t>Ca</w:t>
      </w:r>
      <w:r>
        <w:rPr>
          <w:rFonts w:asciiTheme="majorHAnsi" w:hAnsiTheme="majorHAnsi"/>
          <w:szCs w:val="22"/>
        </w:rPr>
        <w:t xml:space="preserve">. L. solanacearum’ is unlikely to persist in the environment because the pathogen would be unlikely to be transmitted to new hosts. </w:t>
      </w:r>
    </w:p>
    <w:p w:rsidR="00AE7868" w:rsidRDefault="00FF2B57">
      <w:pPr>
        <w:pStyle w:val="AQISNum"/>
        <w:numPr>
          <w:ilvl w:val="0"/>
          <w:numId w:val="33"/>
        </w:numPr>
        <w:tabs>
          <w:tab w:val="clear" w:pos="360"/>
          <w:tab w:val="num" w:pos="284"/>
        </w:tabs>
        <w:spacing w:before="120" w:after="120" w:line="276" w:lineRule="auto"/>
        <w:ind w:left="284" w:hanging="284"/>
        <w:rPr>
          <w:rFonts w:asciiTheme="majorHAnsi" w:eastAsia="Cambria" w:hAnsiTheme="majorHAnsi" w:cs="Arial"/>
          <w:szCs w:val="22"/>
        </w:rPr>
      </w:pPr>
      <w:r>
        <w:rPr>
          <w:rFonts w:asciiTheme="majorHAnsi" w:hAnsiTheme="majorHAnsi"/>
          <w:szCs w:val="22"/>
        </w:rPr>
        <w:lastRenderedPageBreak/>
        <w:t>‘</w:t>
      </w:r>
      <w:r>
        <w:rPr>
          <w:rFonts w:asciiTheme="majorHAnsi" w:hAnsiTheme="majorHAnsi"/>
          <w:i/>
          <w:szCs w:val="22"/>
        </w:rPr>
        <w:t>Ca.</w:t>
      </w:r>
      <w:r>
        <w:rPr>
          <w:rFonts w:asciiTheme="majorHAnsi" w:hAnsiTheme="majorHAnsi"/>
          <w:szCs w:val="22"/>
        </w:rPr>
        <w:t xml:space="preserve"> L. solanacearum’ is heat sensitive (</w:t>
      </w:r>
      <w:r>
        <w:rPr>
          <w:rFonts w:asciiTheme="majorHAnsi" w:eastAsia="Cambria" w:hAnsiTheme="majorHAnsi" w:cs="Arial"/>
          <w:szCs w:val="22"/>
        </w:rPr>
        <w:t>Munyaneza 2012</w:t>
      </w:r>
      <w:r>
        <w:rPr>
          <w:rFonts w:asciiTheme="majorHAnsi" w:hAnsiTheme="majorHAnsi"/>
          <w:szCs w:val="22"/>
        </w:rPr>
        <w:t>); therefore, its establis</w:t>
      </w:r>
      <w:r>
        <w:rPr>
          <w:rFonts w:asciiTheme="majorHAnsi" w:hAnsiTheme="majorHAnsi"/>
          <w:iCs/>
          <w:szCs w:val="22"/>
        </w:rPr>
        <w:t>h</w:t>
      </w:r>
      <w:r>
        <w:rPr>
          <w:rFonts w:asciiTheme="majorHAnsi" w:hAnsiTheme="majorHAnsi"/>
          <w:szCs w:val="22"/>
        </w:rPr>
        <w:t>ment is likely to be restricted to the temperate southern regions of Australia and it is less likely to establish in the tropical northern regions of Australia.</w:t>
      </w:r>
    </w:p>
    <w:p w:rsidR="00AE7868" w:rsidRDefault="00FF2B57">
      <w:pPr>
        <w:pStyle w:val="AQISNum"/>
        <w:numPr>
          <w:ilvl w:val="0"/>
          <w:numId w:val="33"/>
        </w:numPr>
        <w:tabs>
          <w:tab w:val="clear" w:pos="360"/>
          <w:tab w:val="num" w:pos="284"/>
        </w:tabs>
        <w:spacing w:before="120" w:after="120" w:line="276" w:lineRule="auto"/>
        <w:ind w:left="284" w:hanging="284"/>
        <w:rPr>
          <w:rFonts w:asciiTheme="majorHAnsi" w:hAnsiTheme="majorHAnsi"/>
          <w:szCs w:val="22"/>
          <w:lang w:val="en-GB"/>
        </w:rPr>
      </w:pPr>
      <w:r>
        <w:rPr>
          <w:rFonts w:asciiTheme="majorHAnsi" w:hAnsiTheme="majorHAnsi"/>
          <w:szCs w:val="22"/>
          <w:lang w:val="en-GB"/>
        </w:rPr>
        <w:t>‘</w:t>
      </w:r>
      <w:r>
        <w:rPr>
          <w:rFonts w:asciiTheme="majorHAnsi" w:hAnsiTheme="majorHAnsi"/>
          <w:i/>
          <w:szCs w:val="22"/>
          <w:lang w:val="en-GB"/>
        </w:rPr>
        <w:t>Ca</w:t>
      </w:r>
      <w:r>
        <w:rPr>
          <w:rFonts w:asciiTheme="majorHAnsi" w:hAnsiTheme="majorHAnsi"/>
          <w:szCs w:val="22"/>
          <w:lang w:val="en-GB"/>
        </w:rPr>
        <w:t>. L. solanacearum’ in apiaceous crops was first identified in 2010, but had presumably been associated with some diseases of carrot since at least the 1990s (Font et al. 1999). ‘</w:t>
      </w:r>
      <w:r>
        <w:rPr>
          <w:rFonts w:asciiTheme="majorHAnsi" w:hAnsiTheme="majorHAnsi"/>
          <w:i/>
          <w:szCs w:val="22"/>
          <w:lang w:val="en-GB"/>
        </w:rPr>
        <w:t>Candidatus</w:t>
      </w:r>
      <w:r>
        <w:rPr>
          <w:rFonts w:asciiTheme="majorHAnsi" w:hAnsiTheme="majorHAnsi"/>
          <w:szCs w:val="22"/>
          <w:lang w:val="en-GB"/>
        </w:rPr>
        <w:t xml:space="preserve"> Liberibacter solanacearum’ has since been detected in celery and parsnip in Spain and in different psyllid vectors (Cambra et al. 2015; Teresani et al. 2015). The bacterium may be present in more host species because psyllid vectors feed on several plants.</w:t>
      </w:r>
    </w:p>
    <w:p w:rsidR="00AE7868" w:rsidRDefault="00FF2B57">
      <w:pPr>
        <w:pStyle w:val="AQISNum"/>
        <w:numPr>
          <w:ilvl w:val="0"/>
          <w:numId w:val="33"/>
        </w:numPr>
        <w:tabs>
          <w:tab w:val="clear" w:pos="360"/>
          <w:tab w:val="num" w:pos="284"/>
        </w:tabs>
        <w:spacing w:before="120" w:after="120" w:line="276" w:lineRule="auto"/>
        <w:ind w:left="284" w:hanging="284"/>
        <w:rPr>
          <w:rFonts w:asciiTheme="majorHAnsi" w:hAnsiTheme="majorHAnsi"/>
          <w:szCs w:val="22"/>
          <w:lang w:val="en-GB"/>
        </w:rPr>
      </w:pPr>
      <w:r>
        <w:rPr>
          <w:rFonts w:asciiTheme="majorHAnsi" w:hAnsiTheme="majorHAnsi"/>
          <w:szCs w:val="22"/>
          <w:lang w:val="en-GB"/>
        </w:rPr>
        <w:t>Five haplotypes of ‘</w:t>
      </w:r>
      <w:r>
        <w:rPr>
          <w:rFonts w:asciiTheme="majorHAnsi" w:hAnsiTheme="majorHAnsi"/>
          <w:i/>
          <w:szCs w:val="22"/>
          <w:lang w:val="en-GB"/>
        </w:rPr>
        <w:t>Ca</w:t>
      </w:r>
      <w:r>
        <w:rPr>
          <w:rFonts w:asciiTheme="majorHAnsi" w:hAnsiTheme="majorHAnsi"/>
          <w:szCs w:val="22"/>
          <w:lang w:val="en-GB"/>
        </w:rPr>
        <w:t xml:space="preserve">. L. solanacearum’ have been identified to date (Nelson et al. 2012; Teresani et al. 2014b). The first two haplotypes associated with solanaceous crops are distributed in Central America, North America and New Zealand (Munyaneza et al. 2007; Secor et al. 2009), while the other haplotypes are associated with carrot and celery crops in Europe (Munyaneza 2010; Alfaro-Fernandez et al. 2012a, b) and Morocco (Tahzima et al. 2014). </w:t>
      </w:r>
    </w:p>
    <w:p w:rsidR="00AE7868" w:rsidRDefault="00FF2B57">
      <w:pPr>
        <w:pStyle w:val="Heading5"/>
        <w:spacing w:before="120" w:after="120"/>
      </w:pPr>
      <w:r>
        <w:t>The reproductive strategy and survival of the pest</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w:t>
      </w:r>
      <w:r>
        <w:rPr>
          <w:rFonts w:ascii="Cambria" w:hAnsi="Cambria"/>
          <w:i/>
          <w:szCs w:val="22"/>
        </w:rPr>
        <w:t>Ca.</w:t>
      </w:r>
      <w:r>
        <w:rPr>
          <w:rFonts w:ascii="Cambria" w:hAnsi="Cambria"/>
          <w:szCs w:val="22"/>
        </w:rPr>
        <w:t xml:space="preserve"> L.’ species are obligate parasites of plants and psyllids (Haapalainen 2014).</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lastRenderedPageBreak/>
        <w:t>‘</w:t>
      </w:r>
      <w:r>
        <w:rPr>
          <w:rFonts w:ascii="Cambria" w:hAnsi="Cambria"/>
          <w:i/>
          <w:szCs w:val="22"/>
        </w:rPr>
        <w:t>Ca</w:t>
      </w:r>
      <w:r>
        <w:rPr>
          <w:rFonts w:ascii="Cambria" w:hAnsi="Cambria"/>
          <w:szCs w:val="22"/>
        </w:rPr>
        <w:t xml:space="preserve">. L. solanacearum’ multiplies and survives in the phloem of infected host plants and in its psyllid vectors, including </w:t>
      </w:r>
      <w:r>
        <w:rPr>
          <w:rFonts w:ascii="Cambria" w:hAnsi="Cambria"/>
          <w:i/>
          <w:szCs w:val="22"/>
        </w:rPr>
        <w:t>B. trigonica</w:t>
      </w:r>
      <w:r>
        <w:rPr>
          <w:rFonts w:ascii="Cambria" w:hAnsi="Cambria"/>
          <w:szCs w:val="22"/>
        </w:rPr>
        <w:t xml:space="preserve"> (Teresani et al. 2015) and </w:t>
      </w:r>
      <w:r>
        <w:rPr>
          <w:rFonts w:ascii="Cambria" w:hAnsi="Cambria"/>
          <w:i/>
          <w:szCs w:val="22"/>
        </w:rPr>
        <w:t xml:space="preserve">T. apicalis </w:t>
      </w:r>
      <w:r>
        <w:rPr>
          <w:rFonts w:ascii="Cambria" w:hAnsi="Cambria"/>
          <w:szCs w:val="22"/>
        </w:rPr>
        <w:t>(Munyaneza et al. 2010b). ‘</w:t>
      </w:r>
      <w:r>
        <w:rPr>
          <w:rFonts w:ascii="Cambria" w:hAnsi="Cambria"/>
          <w:i/>
          <w:szCs w:val="22"/>
        </w:rPr>
        <w:t xml:space="preserve">Candidatus </w:t>
      </w:r>
      <w:r>
        <w:rPr>
          <w:rFonts w:ascii="Cambria" w:hAnsi="Cambria"/>
          <w:szCs w:val="22"/>
        </w:rPr>
        <w:t>Liberibacter solanacearum’ is reliant on infected host plants for survival and is likely to survive as long as the infected plant material survives.</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The survival and multiplication of this bacterium within its host is influenced by temperature. ‘</w:t>
      </w:r>
      <w:r>
        <w:rPr>
          <w:rFonts w:ascii="Cambria" w:hAnsi="Cambria"/>
          <w:i/>
          <w:szCs w:val="22"/>
        </w:rPr>
        <w:t>Ca</w:t>
      </w:r>
      <w:r>
        <w:rPr>
          <w:rFonts w:ascii="Cambria" w:hAnsi="Cambria"/>
          <w:szCs w:val="22"/>
        </w:rPr>
        <w:t>. L. solanacearum’ is heat sensitive, but has established across a wide range of climates (</w:t>
      </w:r>
      <w:r>
        <w:rPr>
          <w:rFonts w:ascii="Cambria" w:eastAsia="Cambria" w:hAnsi="Cambria" w:cs="Arial"/>
          <w:szCs w:val="22"/>
        </w:rPr>
        <w:t>Munyaneza 2012</w:t>
      </w:r>
      <w:r>
        <w:rPr>
          <w:rFonts w:ascii="Cambria" w:hAnsi="Cambria"/>
          <w:szCs w:val="22"/>
        </w:rPr>
        <w:t>).</w:t>
      </w:r>
    </w:p>
    <w:p w:rsidR="00AE7868" w:rsidRDefault="00FF2B57">
      <w:pPr>
        <w:pStyle w:val="AQISNum"/>
        <w:numPr>
          <w:ilvl w:val="0"/>
          <w:numId w:val="33"/>
        </w:numPr>
        <w:tabs>
          <w:tab w:val="clear" w:pos="360"/>
          <w:tab w:val="num" w:pos="284"/>
        </w:tabs>
        <w:spacing w:before="120" w:after="120" w:line="276" w:lineRule="auto"/>
        <w:ind w:left="284" w:hanging="284"/>
      </w:pPr>
      <w:r>
        <w:rPr>
          <w:rFonts w:ascii="Cambria" w:eastAsia="Calibri" w:hAnsi="Cambria"/>
          <w:szCs w:val="22"/>
        </w:rPr>
        <w:t>Outside of a host plant, ‘</w:t>
      </w:r>
      <w:r>
        <w:rPr>
          <w:rFonts w:ascii="Cambria" w:eastAsia="Calibri" w:hAnsi="Cambria"/>
          <w:i/>
          <w:szCs w:val="22"/>
        </w:rPr>
        <w:t>Ca</w:t>
      </w:r>
      <w:r>
        <w:rPr>
          <w:rFonts w:ascii="Cambria" w:eastAsia="Calibri" w:hAnsi="Cambria"/>
          <w:szCs w:val="22"/>
        </w:rPr>
        <w:t xml:space="preserve">. L. solanacearum’ is able to survive in the insect vector for a considerable period of time. The life cycle of </w:t>
      </w:r>
      <w:r>
        <w:rPr>
          <w:rFonts w:ascii="Cambria" w:eastAsia="Calibri" w:hAnsi="Cambria"/>
          <w:i/>
          <w:szCs w:val="22"/>
        </w:rPr>
        <w:t>T. apicalis</w:t>
      </w:r>
      <w:r>
        <w:rPr>
          <w:rFonts w:ascii="Cambria" w:eastAsia="Calibri" w:hAnsi="Cambria"/>
          <w:szCs w:val="22"/>
        </w:rPr>
        <w:t xml:space="preserve"> from egg to adult is up to 54 days, depending upon the food supply and ambient temperature (Láska 1974). In addition, </w:t>
      </w:r>
      <w:r>
        <w:rPr>
          <w:rFonts w:ascii="Cambria" w:eastAsia="Calibri" w:hAnsi="Cambria"/>
          <w:i/>
          <w:szCs w:val="22"/>
        </w:rPr>
        <w:t xml:space="preserve">T. apicalis </w:t>
      </w:r>
      <w:r>
        <w:rPr>
          <w:rFonts w:ascii="Cambria" w:eastAsia="Calibri" w:hAnsi="Cambria"/>
          <w:szCs w:val="22"/>
        </w:rPr>
        <w:t>adults are known to survive seven months when they overwinter on suitable hosts (Valterov</w:t>
      </w:r>
      <w:r>
        <w:rPr>
          <w:rFonts w:ascii="Times New Roman" w:eastAsia="Calibri" w:hAnsi="Times New Roman" w:cs="Times New Roman"/>
          <w:szCs w:val="22"/>
        </w:rPr>
        <w:t>á</w:t>
      </w:r>
      <w:r>
        <w:rPr>
          <w:rFonts w:ascii="Cambria" w:eastAsia="Calibri" w:hAnsi="Cambria"/>
          <w:szCs w:val="22"/>
        </w:rPr>
        <w:t xml:space="preserve"> et al. 1997).</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On carrot plants, the infection may be maintained as long as new carrot seeds are being produced from the line originating from the infected imported carrot seeds and tissue cultures. In the absence of a suitable vector, it is likely that these cases will not lead to long term establishment, but they could lead to transient ‘</w:t>
      </w:r>
      <w:r>
        <w:rPr>
          <w:rFonts w:ascii="Cambria" w:hAnsi="Cambria"/>
          <w:i/>
          <w:szCs w:val="22"/>
        </w:rPr>
        <w:t>Ca</w:t>
      </w:r>
      <w:r>
        <w:rPr>
          <w:rFonts w:ascii="Cambria" w:hAnsi="Cambria"/>
          <w:szCs w:val="22"/>
        </w:rPr>
        <w:t>. L. solanacearum’ populations.</w:t>
      </w:r>
    </w:p>
    <w:p w:rsidR="00AE7868" w:rsidRDefault="00FF2B57">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387" w:name="_Toc437356028"/>
      <w:r>
        <w:rPr>
          <w:rFonts w:ascii="Calibri" w:hAnsi="Calibri" w:cstheme="minorBidi"/>
          <w:sz w:val="24"/>
          <w:szCs w:val="22"/>
        </w:rPr>
        <w:lastRenderedPageBreak/>
        <w:t>Likelihood of spread</w:t>
      </w:r>
      <w:bookmarkEnd w:id="387"/>
    </w:p>
    <w:p w:rsidR="00AE7868" w:rsidRDefault="00FF2B57">
      <w:pPr>
        <w:pStyle w:val="AQISNum"/>
        <w:spacing w:before="200" w:line="276" w:lineRule="auto"/>
        <w:rPr>
          <w:rFonts w:asciiTheme="majorHAnsi" w:hAnsiTheme="majorHAnsi"/>
          <w:szCs w:val="22"/>
        </w:rPr>
      </w:pPr>
      <w:r>
        <w:rPr>
          <w:rFonts w:asciiTheme="majorHAnsi" w:hAnsiTheme="majorHAnsi"/>
          <w:szCs w:val="22"/>
        </w:rPr>
        <w:t>The likelihood that ‘</w:t>
      </w:r>
      <w:r>
        <w:rPr>
          <w:rFonts w:asciiTheme="majorHAnsi" w:hAnsiTheme="majorHAnsi"/>
          <w:i/>
          <w:szCs w:val="22"/>
        </w:rPr>
        <w:t>Ca</w:t>
      </w:r>
      <w:r>
        <w:rPr>
          <w:rFonts w:asciiTheme="majorHAnsi" w:hAnsiTheme="majorHAnsi"/>
          <w:szCs w:val="22"/>
        </w:rPr>
        <w:t xml:space="preserve">. L. solanacearum’, having entered on propagative material (seeds and tissue cultures) and established, will spread in Australia, based on a comparison of factors, in the source and destination areas, considered pertinent to the expansion of the geographic distribution of the pest is </w:t>
      </w:r>
      <w:r>
        <w:rPr>
          <w:rFonts w:asciiTheme="majorHAnsi" w:eastAsia="Calibri" w:hAnsiTheme="majorHAnsi"/>
          <w:b/>
          <w:szCs w:val="22"/>
        </w:rPr>
        <w:t xml:space="preserve">HIGH </w:t>
      </w:r>
      <w:r>
        <w:rPr>
          <w:rFonts w:asciiTheme="majorHAnsi" w:eastAsia="Calibri" w:hAnsiTheme="majorHAnsi"/>
          <w:szCs w:val="22"/>
        </w:rPr>
        <w:t>(if suitable psyllid vectors are present)</w:t>
      </w:r>
      <w:r>
        <w:rPr>
          <w:rFonts w:asciiTheme="majorHAnsi" w:eastAsia="Calibri" w:hAnsiTheme="majorHAnsi"/>
          <w:b/>
          <w:szCs w:val="22"/>
        </w:rPr>
        <w:t xml:space="preserve"> </w:t>
      </w:r>
      <w:r>
        <w:rPr>
          <w:rFonts w:asciiTheme="majorHAnsi" w:eastAsia="Calibri" w:hAnsiTheme="majorHAnsi"/>
          <w:szCs w:val="22"/>
        </w:rPr>
        <w:t xml:space="preserve">or </w:t>
      </w:r>
      <w:r>
        <w:rPr>
          <w:rFonts w:asciiTheme="majorHAnsi" w:eastAsia="Calibri" w:hAnsiTheme="majorHAnsi"/>
          <w:b/>
          <w:szCs w:val="22"/>
        </w:rPr>
        <w:t>VERY LOW</w:t>
      </w:r>
      <w:r>
        <w:rPr>
          <w:rFonts w:asciiTheme="majorHAnsi" w:eastAsia="Calibri" w:hAnsiTheme="majorHAnsi"/>
          <w:szCs w:val="22"/>
        </w:rPr>
        <w:t xml:space="preserve"> (in the absence of suitable psyllid vectors).</w:t>
      </w:r>
    </w:p>
    <w:p w:rsidR="00AE7868" w:rsidRDefault="00FF2B57">
      <w:pPr>
        <w:pStyle w:val="Heading5"/>
        <w:spacing w:before="120" w:after="120"/>
      </w:pPr>
      <w:r>
        <w:t>The suitability of the natural or managed environment for natural spread</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lang w:val="en-GB"/>
        </w:rPr>
      </w:pPr>
      <w:r>
        <w:rPr>
          <w:rFonts w:ascii="Cambria" w:hAnsi="Cambria"/>
          <w:szCs w:val="22"/>
          <w:lang w:val="en-GB"/>
        </w:rPr>
        <w:t>The origin of ‘</w:t>
      </w:r>
      <w:r>
        <w:rPr>
          <w:rFonts w:ascii="Cambria" w:hAnsi="Cambria"/>
          <w:i/>
          <w:szCs w:val="22"/>
          <w:lang w:val="en-GB"/>
        </w:rPr>
        <w:t>Ca</w:t>
      </w:r>
      <w:r>
        <w:rPr>
          <w:rFonts w:ascii="Cambria" w:hAnsi="Cambria"/>
          <w:szCs w:val="22"/>
          <w:lang w:val="en-GB"/>
        </w:rPr>
        <w:t>. L. solanacearum’ associated with apiaceous crops is not known. However, detection of this bacterium in geographically distant areas with different vectors, triggers questions on the real distribution and pathways for spread of the bacterium. The origin of ‘</w:t>
      </w:r>
      <w:r>
        <w:rPr>
          <w:rFonts w:ascii="Cambria" w:hAnsi="Cambria"/>
          <w:i/>
          <w:szCs w:val="22"/>
          <w:lang w:val="en-GB"/>
        </w:rPr>
        <w:t>Ca</w:t>
      </w:r>
      <w:r>
        <w:rPr>
          <w:rFonts w:ascii="Cambria" w:hAnsi="Cambria"/>
          <w:szCs w:val="22"/>
          <w:lang w:val="en-GB"/>
        </w:rPr>
        <w:t>. L. solanacearum’ in Finland is uncertain but symptoms similar to those caused by ‘</w:t>
      </w:r>
      <w:r>
        <w:rPr>
          <w:rFonts w:ascii="Cambria" w:hAnsi="Cambria"/>
          <w:i/>
          <w:szCs w:val="22"/>
          <w:lang w:val="en-GB"/>
        </w:rPr>
        <w:t>Ca</w:t>
      </w:r>
      <w:r>
        <w:rPr>
          <w:rFonts w:ascii="Cambria" w:hAnsi="Cambria"/>
          <w:szCs w:val="22"/>
          <w:lang w:val="en-GB"/>
        </w:rPr>
        <w:t>. L. solanacearum’ have previously been reported in Finland (</w:t>
      </w:r>
      <w:r>
        <w:rPr>
          <w:rFonts w:ascii="Cambria" w:eastAsia="Cambria" w:hAnsi="Cambria" w:cs="SimonciniGaramond"/>
          <w:szCs w:val="22"/>
        </w:rPr>
        <w:t>Markkula et al. 1976; Nehlin et al. 1994). Similarly, o</w:t>
      </w:r>
      <w:r>
        <w:rPr>
          <w:rFonts w:ascii="Cambria" w:eastAsia="Cambria" w:hAnsi="Cambria" w:cs="MeridienLTStd-Roman"/>
          <w:szCs w:val="22"/>
        </w:rPr>
        <w:t xml:space="preserve">utbreaks of yellows disease have previously been observed in different regions of Spain, including the Canary Islands (Font et al. 1999), prior to the detection of the bacterium in carrot. Carrot fields in the Canary Islands were heavily infested with the psyllid </w:t>
      </w:r>
      <w:r>
        <w:rPr>
          <w:rFonts w:ascii="Cambria" w:eastAsia="Cambria" w:hAnsi="Cambria" w:cs="MeridienLTStd-Roman"/>
          <w:i/>
          <w:szCs w:val="22"/>
        </w:rPr>
        <w:t xml:space="preserve">B. trigonica </w:t>
      </w:r>
      <w:r>
        <w:rPr>
          <w:rFonts w:ascii="Cambria" w:eastAsia="Cambria" w:hAnsi="Cambria" w:cs="MeridienLTStd-Roman"/>
          <w:szCs w:val="22"/>
        </w:rPr>
        <w:t>at the same time (Font et al. 1999).</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iCs/>
          <w:szCs w:val="22"/>
        </w:rPr>
        <w:lastRenderedPageBreak/>
        <w:t>‘</w:t>
      </w:r>
      <w:r>
        <w:rPr>
          <w:rFonts w:ascii="Cambria" w:hAnsi="Cambria"/>
          <w:i/>
          <w:iCs/>
          <w:szCs w:val="22"/>
        </w:rPr>
        <w:t>Ca</w:t>
      </w:r>
      <w:r>
        <w:rPr>
          <w:rFonts w:ascii="Cambria" w:hAnsi="Cambria"/>
          <w:iCs/>
          <w:szCs w:val="22"/>
        </w:rPr>
        <w:t xml:space="preserve">. L. solanacearum’ </w:t>
      </w:r>
      <w:r>
        <w:rPr>
          <w:rFonts w:ascii="Cambria" w:hAnsi="Cambria"/>
          <w:szCs w:val="22"/>
        </w:rPr>
        <w:t>was first discovered in a carrot crop in Finland (Munyaneza et al. 2010a) and since then has been detected in Norway (</w:t>
      </w:r>
      <w:r>
        <w:rPr>
          <w:rFonts w:ascii="Cambria" w:eastAsia="Cambria" w:hAnsi="Cambria" w:cs="Arial"/>
          <w:szCs w:val="22"/>
        </w:rPr>
        <w:t>Munyaneza 2012a)</w:t>
      </w:r>
      <w:r>
        <w:rPr>
          <w:rFonts w:ascii="Cambria" w:hAnsi="Cambria"/>
          <w:szCs w:val="22"/>
        </w:rPr>
        <w:t>, Sweden (</w:t>
      </w:r>
      <w:r>
        <w:rPr>
          <w:rFonts w:ascii="Cambria" w:eastAsia="Cambria" w:hAnsi="Cambria" w:cs="Arial"/>
          <w:szCs w:val="22"/>
        </w:rPr>
        <w:t xml:space="preserve">Munyaneza </w:t>
      </w:r>
      <w:r>
        <w:rPr>
          <w:rFonts w:ascii="Cambria" w:eastAsia="Cambria" w:hAnsi="Cambria" w:cs="Arial"/>
          <w:iCs/>
          <w:szCs w:val="22"/>
        </w:rPr>
        <w:t>et al</w:t>
      </w:r>
      <w:r>
        <w:rPr>
          <w:rFonts w:ascii="Cambria" w:eastAsia="Cambria" w:hAnsi="Cambria" w:cs="Arial"/>
          <w:i/>
          <w:iCs/>
          <w:szCs w:val="22"/>
        </w:rPr>
        <w:t xml:space="preserve">. </w:t>
      </w:r>
      <w:r>
        <w:rPr>
          <w:rFonts w:ascii="Cambria" w:eastAsia="Cambria" w:hAnsi="Cambria" w:cs="Arial"/>
          <w:szCs w:val="22"/>
        </w:rPr>
        <w:t>2012b</w:t>
      </w:r>
      <w:r>
        <w:rPr>
          <w:rFonts w:ascii="Cambria" w:hAnsi="Cambria"/>
          <w:szCs w:val="22"/>
        </w:rPr>
        <w:t>), Spain (</w:t>
      </w:r>
      <w:r>
        <w:rPr>
          <w:rFonts w:ascii="Cambria" w:eastAsia="Cambria" w:hAnsi="Cambria" w:cs="Arial"/>
          <w:szCs w:val="22"/>
        </w:rPr>
        <w:t xml:space="preserve">Alfaro-Fernández </w:t>
      </w:r>
      <w:r>
        <w:rPr>
          <w:rFonts w:ascii="Cambria" w:eastAsia="Cambria" w:hAnsi="Cambria" w:cs="Arial"/>
          <w:iCs/>
          <w:szCs w:val="22"/>
        </w:rPr>
        <w:t>et al</w:t>
      </w:r>
      <w:r>
        <w:rPr>
          <w:rFonts w:ascii="Cambria" w:eastAsia="Cambria" w:hAnsi="Cambria" w:cs="Arial"/>
          <w:i/>
          <w:iCs/>
          <w:szCs w:val="22"/>
        </w:rPr>
        <w:t xml:space="preserve">. </w:t>
      </w:r>
      <w:r>
        <w:rPr>
          <w:rFonts w:ascii="Cambria" w:eastAsia="Cambria" w:hAnsi="Cambria" w:cs="Arial"/>
          <w:szCs w:val="22"/>
        </w:rPr>
        <w:t>2012a), France (</w:t>
      </w:r>
      <w:r>
        <w:rPr>
          <w:rFonts w:ascii="Cambria" w:hAnsi="Cambria"/>
          <w:szCs w:val="22"/>
        </w:rPr>
        <w:t>Loiseau et al. 2014</w:t>
      </w:r>
      <w:r>
        <w:rPr>
          <w:rFonts w:ascii="Cambria" w:eastAsia="Cambria" w:hAnsi="Cambria" w:cs="Arial"/>
          <w:szCs w:val="22"/>
        </w:rPr>
        <w:t>), Morocco (</w:t>
      </w:r>
      <w:r>
        <w:rPr>
          <w:rFonts w:ascii="Cambria" w:hAnsi="Cambria" w:cs="Arial"/>
          <w:szCs w:val="22"/>
        </w:rPr>
        <w:t>Tahzima et al. 2014), Austria (EPPO Reporting Service 2015) and Germany (</w:t>
      </w:r>
      <w:r>
        <w:rPr>
          <w:rFonts w:ascii="Cambria" w:eastAsia="Cambria" w:hAnsi="Cambria" w:cs="Arial"/>
          <w:szCs w:val="22"/>
        </w:rPr>
        <w:t xml:space="preserve">Munyaneza </w:t>
      </w:r>
      <w:r>
        <w:rPr>
          <w:rFonts w:ascii="Cambria" w:eastAsia="Cambria" w:hAnsi="Cambria" w:cs="Arial"/>
          <w:iCs/>
          <w:szCs w:val="22"/>
        </w:rPr>
        <w:t>et al</w:t>
      </w:r>
      <w:r>
        <w:rPr>
          <w:rFonts w:ascii="Cambria" w:eastAsia="Cambria" w:hAnsi="Cambria" w:cs="Arial"/>
          <w:i/>
          <w:iCs/>
          <w:szCs w:val="22"/>
        </w:rPr>
        <w:t xml:space="preserve">. </w:t>
      </w:r>
      <w:r>
        <w:rPr>
          <w:rFonts w:ascii="Cambria" w:eastAsia="Cambria" w:hAnsi="Cambria" w:cs="Arial"/>
          <w:szCs w:val="22"/>
        </w:rPr>
        <w:t>2015),</w:t>
      </w:r>
      <w:r>
        <w:rPr>
          <w:rFonts w:ascii="Cambria" w:hAnsi="Cambria" w:cs="Arial"/>
          <w:szCs w:val="22"/>
        </w:rPr>
        <w:t xml:space="preserve"> </w:t>
      </w:r>
      <w:r>
        <w:rPr>
          <w:rFonts w:ascii="Cambria" w:hAnsi="Cambria"/>
          <w:szCs w:val="22"/>
        </w:rPr>
        <w:t>indicating that the pathogen is able to spread naturally in seed trade over these long distance. The current distribution suggests that the bacterium may be more widely distributed than previously reported (Loiseau et al. 2014).</w:t>
      </w:r>
      <w:r>
        <w:rPr>
          <w:rFonts w:ascii="Cambria" w:hAnsi="Cambria"/>
          <w:szCs w:val="22"/>
          <w:lang w:val="en-GB"/>
        </w:rPr>
        <w:t xml:space="preserve"> However, it is not present everywhere the vector is present (Teulon </w:t>
      </w:r>
      <w:r>
        <w:rPr>
          <w:rFonts w:ascii="Cambria" w:hAnsi="Cambria"/>
          <w:iCs/>
          <w:szCs w:val="22"/>
          <w:lang w:val="en-GB"/>
        </w:rPr>
        <w:t>et al.</w:t>
      </w:r>
      <w:r>
        <w:rPr>
          <w:rFonts w:ascii="Cambria" w:hAnsi="Cambria"/>
          <w:szCs w:val="22"/>
          <w:lang w:val="en-GB"/>
        </w:rPr>
        <w:t xml:space="preserve"> 2009). </w:t>
      </w:r>
      <w:r>
        <w:rPr>
          <w:rFonts w:ascii="Cambria" w:hAnsi="Cambria"/>
          <w:szCs w:val="22"/>
        </w:rPr>
        <w:t>There are similarities in the natural and urban environments of these areas with those in Australia, which suggests that ‘</w:t>
      </w:r>
      <w:r>
        <w:rPr>
          <w:rFonts w:ascii="Cambria" w:hAnsi="Cambria"/>
          <w:i/>
          <w:szCs w:val="22"/>
        </w:rPr>
        <w:t>Ca</w:t>
      </w:r>
      <w:r>
        <w:rPr>
          <w:rFonts w:ascii="Cambria" w:hAnsi="Cambria"/>
          <w:szCs w:val="22"/>
        </w:rPr>
        <w:t>. L. solanacearum’ could spread in Australia.</w:t>
      </w:r>
    </w:p>
    <w:p w:rsidR="00AE7868" w:rsidRDefault="00FF2B57">
      <w:pPr>
        <w:pStyle w:val="AQISNum"/>
        <w:numPr>
          <w:ilvl w:val="0"/>
          <w:numId w:val="33"/>
        </w:numPr>
        <w:tabs>
          <w:tab w:val="clear" w:pos="360"/>
          <w:tab w:val="num" w:pos="284"/>
        </w:tabs>
        <w:spacing w:before="120" w:after="120" w:line="276" w:lineRule="auto"/>
        <w:ind w:left="284" w:hanging="284"/>
        <w:rPr>
          <w:rFonts w:ascii="Cambria" w:eastAsia="Calibri" w:hAnsi="Cambria"/>
          <w:szCs w:val="22"/>
        </w:rPr>
      </w:pPr>
      <w:r>
        <w:rPr>
          <w:rFonts w:ascii="Cambria" w:eastAsia="Calibri" w:hAnsi="Cambria"/>
          <w:szCs w:val="22"/>
        </w:rPr>
        <w:t>‘</w:t>
      </w:r>
      <w:r>
        <w:rPr>
          <w:rFonts w:ascii="Cambria" w:eastAsia="Calibri" w:hAnsi="Cambria"/>
          <w:i/>
          <w:szCs w:val="22"/>
        </w:rPr>
        <w:t>Ca</w:t>
      </w:r>
      <w:r>
        <w:rPr>
          <w:rFonts w:ascii="Cambria" w:eastAsia="Calibri" w:hAnsi="Cambria"/>
          <w:szCs w:val="22"/>
        </w:rPr>
        <w:t>. L. solanacearum’ is known to be heat-sensitive and is inactivated by temperatures above 32 °C (</w:t>
      </w:r>
      <w:r>
        <w:rPr>
          <w:rFonts w:ascii="Cambria" w:eastAsia="Cambria" w:hAnsi="Cambria" w:cs="Arial"/>
          <w:szCs w:val="22"/>
        </w:rPr>
        <w:t>Munyaneza 2012</w:t>
      </w:r>
      <w:r>
        <w:rPr>
          <w:rFonts w:ascii="Cambria" w:eastAsia="Calibri" w:hAnsi="Cambria"/>
          <w:szCs w:val="22"/>
        </w:rPr>
        <w:t>). This indicates that ‘</w:t>
      </w:r>
      <w:r>
        <w:rPr>
          <w:rFonts w:ascii="Cambria" w:eastAsia="Calibri" w:hAnsi="Cambria"/>
          <w:i/>
          <w:szCs w:val="22"/>
        </w:rPr>
        <w:t>Ca</w:t>
      </w:r>
      <w:r>
        <w:rPr>
          <w:rFonts w:ascii="Cambria" w:eastAsia="Calibri" w:hAnsi="Cambria"/>
          <w:szCs w:val="22"/>
        </w:rPr>
        <w:t>.</w:t>
      </w:r>
      <w:r>
        <w:rPr>
          <w:rFonts w:ascii="Cambria" w:eastAsia="Calibri" w:hAnsi="Cambria"/>
          <w:i/>
          <w:szCs w:val="22"/>
        </w:rPr>
        <w:t xml:space="preserve"> </w:t>
      </w:r>
      <w:r>
        <w:rPr>
          <w:rFonts w:ascii="Cambria" w:eastAsia="Calibri" w:hAnsi="Cambria"/>
          <w:szCs w:val="22"/>
        </w:rPr>
        <w:t>L. solanacearum’</w:t>
      </w:r>
      <w:r>
        <w:rPr>
          <w:rFonts w:ascii="Cambria" w:eastAsia="Calibri" w:hAnsi="Cambria"/>
          <w:i/>
          <w:szCs w:val="22"/>
        </w:rPr>
        <w:t xml:space="preserve"> </w:t>
      </w:r>
      <w:r>
        <w:rPr>
          <w:rFonts w:ascii="Cambria" w:eastAsia="Calibri" w:hAnsi="Cambria"/>
          <w:szCs w:val="22"/>
        </w:rPr>
        <w:t>is vulnerable to hot dry conditions (</w:t>
      </w:r>
      <w:r>
        <w:rPr>
          <w:rFonts w:ascii="Cambria" w:eastAsia="Cambria" w:hAnsi="Cambria" w:cs="Arial"/>
          <w:szCs w:val="22"/>
        </w:rPr>
        <w:t>Munyaneza 2012</w:t>
      </w:r>
      <w:r>
        <w:rPr>
          <w:rFonts w:ascii="Cambria" w:eastAsia="Calibri" w:hAnsi="Cambria"/>
          <w:szCs w:val="22"/>
        </w:rPr>
        <w:t>) and would be likely to be restricted in range to the cooler regions of Australia.</w:t>
      </w:r>
    </w:p>
    <w:p w:rsidR="00AE7868" w:rsidRDefault="00FF2B57">
      <w:pPr>
        <w:pStyle w:val="AQISNum"/>
        <w:numPr>
          <w:ilvl w:val="0"/>
          <w:numId w:val="33"/>
        </w:numPr>
        <w:tabs>
          <w:tab w:val="clear" w:pos="360"/>
          <w:tab w:val="num" w:pos="284"/>
        </w:tabs>
        <w:spacing w:before="120" w:after="120" w:line="276" w:lineRule="auto"/>
        <w:ind w:left="284" w:hanging="284"/>
        <w:rPr>
          <w:rFonts w:ascii="Cambria" w:eastAsia="Calibri" w:hAnsi="Cambria"/>
          <w:szCs w:val="22"/>
        </w:rPr>
      </w:pPr>
      <w:r>
        <w:rPr>
          <w:rFonts w:ascii="Cambria" w:eastAsia="Calibri" w:hAnsi="Cambria"/>
          <w:szCs w:val="22"/>
        </w:rPr>
        <w:t>Studies indicate that temperatures at or below 17 °C may significantly slow, but not prevent, ‘</w:t>
      </w:r>
      <w:r>
        <w:rPr>
          <w:rFonts w:ascii="Cambria" w:eastAsia="Calibri" w:hAnsi="Cambria"/>
          <w:i/>
          <w:szCs w:val="22"/>
        </w:rPr>
        <w:t>Ca</w:t>
      </w:r>
      <w:r>
        <w:rPr>
          <w:rFonts w:ascii="Cambria" w:eastAsia="Calibri" w:hAnsi="Cambria"/>
          <w:szCs w:val="22"/>
        </w:rPr>
        <w:t>. L. solanacearum’ development in potato (Munyaneza et al. 2012a). The optimum development of ‘</w:t>
      </w:r>
      <w:r>
        <w:rPr>
          <w:rFonts w:ascii="Cambria" w:eastAsia="Calibri" w:hAnsi="Cambria"/>
          <w:i/>
          <w:szCs w:val="22"/>
        </w:rPr>
        <w:t>Ca</w:t>
      </w:r>
      <w:r>
        <w:rPr>
          <w:rFonts w:ascii="Cambria" w:eastAsia="Calibri" w:hAnsi="Cambria"/>
          <w:szCs w:val="22"/>
        </w:rPr>
        <w:t xml:space="preserve">. L. solanacearum’ and Zebra chip symptoms in potato plants was observed at a daily temperature regime of 27 °C to 32 °C. At the higher </w:t>
      </w:r>
      <w:r>
        <w:rPr>
          <w:rFonts w:ascii="Cambria" w:eastAsia="Calibri" w:hAnsi="Cambria"/>
          <w:szCs w:val="22"/>
        </w:rPr>
        <w:lastRenderedPageBreak/>
        <w:t>daily temperature regimes of 32 °C to 35 °C and 35 °C to 40 °C, no ‘</w:t>
      </w:r>
      <w:r>
        <w:rPr>
          <w:rFonts w:ascii="Cambria" w:eastAsia="Calibri" w:hAnsi="Cambria"/>
          <w:i/>
          <w:szCs w:val="22"/>
        </w:rPr>
        <w:t>Ca</w:t>
      </w:r>
      <w:r>
        <w:rPr>
          <w:rFonts w:ascii="Cambria" w:eastAsia="Calibri" w:hAnsi="Cambria"/>
          <w:szCs w:val="22"/>
        </w:rPr>
        <w:t>. L. solanacearum’ was detected in potato plants inoculated with the bacterium using insects and no Zebra chip symptom development occurred (Munyaneza et al. 2012a).</w:t>
      </w:r>
    </w:p>
    <w:p w:rsidR="00AE7868" w:rsidRDefault="00FF2B57">
      <w:pPr>
        <w:pStyle w:val="AQISNum"/>
        <w:numPr>
          <w:ilvl w:val="0"/>
          <w:numId w:val="33"/>
        </w:numPr>
        <w:tabs>
          <w:tab w:val="clear" w:pos="360"/>
          <w:tab w:val="num" w:pos="284"/>
        </w:tabs>
        <w:spacing w:before="120" w:after="120" w:line="276" w:lineRule="auto"/>
        <w:ind w:left="284" w:hanging="284"/>
        <w:rPr>
          <w:rFonts w:asciiTheme="majorHAnsi" w:eastAsia="Calibri" w:hAnsiTheme="majorHAnsi"/>
          <w:szCs w:val="22"/>
        </w:rPr>
      </w:pPr>
      <w:r>
        <w:rPr>
          <w:rFonts w:asciiTheme="majorHAnsi" w:eastAsia="Calibri" w:hAnsiTheme="majorHAnsi"/>
          <w:szCs w:val="22"/>
        </w:rPr>
        <w:t>Natural spread of ‘</w:t>
      </w:r>
      <w:r>
        <w:rPr>
          <w:rFonts w:asciiTheme="majorHAnsi" w:eastAsia="Calibri" w:hAnsiTheme="majorHAnsi"/>
          <w:i/>
          <w:szCs w:val="22"/>
        </w:rPr>
        <w:t>Ca</w:t>
      </w:r>
      <w:r>
        <w:rPr>
          <w:rFonts w:asciiTheme="majorHAnsi" w:eastAsia="Calibri" w:hAnsiTheme="majorHAnsi"/>
          <w:szCs w:val="22"/>
        </w:rPr>
        <w:t>. L. solanacearum’ is dependent on the transmission of the bacterium by seeds (Bertolini et al. 2015) and its psyllid vectors (</w:t>
      </w:r>
      <w:r>
        <w:rPr>
          <w:rFonts w:asciiTheme="majorHAnsi" w:eastAsia="Cambria" w:hAnsiTheme="majorHAnsi" w:cs="TimesNewRomanPS-ItalicMT"/>
          <w:iCs/>
          <w:szCs w:val="22"/>
        </w:rPr>
        <w:t xml:space="preserve">Bertolini et al. </w:t>
      </w:r>
      <w:r>
        <w:rPr>
          <w:rFonts w:asciiTheme="majorHAnsi" w:eastAsia="Cambria" w:hAnsiTheme="majorHAnsi" w:cs="TimesNewRomanPSMT"/>
          <w:szCs w:val="22"/>
        </w:rPr>
        <w:t>2015</w:t>
      </w:r>
      <w:r>
        <w:rPr>
          <w:rFonts w:asciiTheme="majorHAnsi" w:eastAsia="Calibri" w:hAnsiTheme="majorHAnsi"/>
          <w:szCs w:val="22"/>
        </w:rPr>
        <w:t>). In the absence of psyllid vectors, natural spread of ‘</w:t>
      </w:r>
      <w:r>
        <w:rPr>
          <w:rFonts w:asciiTheme="majorHAnsi" w:eastAsia="Calibri" w:hAnsiTheme="majorHAnsi"/>
          <w:i/>
          <w:szCs w:val="22"/>
        </w:rPr>
        <w:t xml:space="preserve">Ca. </w:t>
      </w:r>
      <w:r>
        <w:rPr>
          <w:rFonts w:asciiTheme="majorHAnsi" w:eastAsia="Calibri" w:hAnsiTheme="majorHAnsi"/>
          <w:szCs w:val="22"/>
        </w:rPr>
        <w:t>L.’ species is likely to be limited or absent. Natural spread may be achieved though seeds, as this bacterium is seed-borne and seed transmissible in carrot (Bertolini et al. 2015).</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On carrot seeds, the infection may be maintained as long as new carrot seeds are being produced from the line originating from the infected imported carrot seeds. It is likely that these cases will not lead to long distance spread, but rather transient and localised ‘</w:t>
      </w:r>
      <w:r>
        <w:rPr>
          <w:rFonts w:ascii="Cambria" w:hAnsi="Cambria"/>
          <w:i/>
          <w:szCs w:val="22"/>
        </w:rPr>
        <w:t>Ca</w:t>
      </w:r>
      <w:r>
        <w:rPr>
          <w:rFonts w:ascii="Cambria" w:hAnsi="Cambria"/>
          <w:szCs w:val="22"/>
        </w:rPr>
        <w:t xml:space="preserve">. L. solanacearum’ populations only. </w:t>
      </w:r>
    </w:p>
    <w:p w:rsidR="00AE7868" w:rsidRDefault="00FF2B57">
      <w:pPr>
        <w:pStyle w:val="AQISNum"/>
        <w:numPr>
          <w:ilvl w:val="0"/>
          <w:numId w:val="33"/>
        </w:numPr>
        <w:tabs>
          <w:tab w:val="clear" w:pos="360"/>
          <w:tab w:val="num" w:pos="284"/>
        </w:tabs>
        <w:spacing w:before="120" w:after="120" w:line="276" w:lineRule="auto"/>
        <w:ind w:left="284" w:hanging="284"/>
        <w:rPr>
          <w:rFonts w:asciiTheme="majorHAnsi" w:eastAsia="Cambria" w:hAnsiTheme="majorHAnsi" w:cs="MeridienLTStd-Roman"/>
          <w:szCs w:val="22"/>
        </w:rPr>
      </w:pPr>
      <w:r>
        <w:rPr>
          <w:rFonts w:asciiTheme="majorHAnsi" w:eastAsia="Cambria" w:hAnsiTheme="majorHAnsi" w:cs="MeridienLTStd-Roman"/>
          <w:szCs w:val="22"/>
        </w:rPr>
        <w:t>‘</w:t>
      </w:r>
      <w:r>
        <w:rPr>
          <w:rFonts w:asciiTheme="majorHAnsi" w:eastAsia="Cambria" w:hAnsiTheme="majorHAnsi" w:cs="MeridienLTStd-Roman"/>
          <w:i/>
          <w:szCs w:val="22"/>
        </w:rPr>
        <w:t>Ca</w:t>
      </w:r>
      <w:r>
        <w:rPr>
          <w:rFonts w:asciiTheme="majorHAnsi" w:eastAsia="Cambria" w:hAnsiTheme="majorHAnsi" w:cs="MeridienLTStd-Roman"/>
          <w:szCs w:val="22"/>
        </w:rPr>
        <w:t>. L. solanacearum’ thrives in two very different environments; plant phloem and insect vectors (Nachappa et al. 2014). Therefore, the natural or managed environment is suitable for the natural spread of this bacterium.</w:t>
      </w:r>
    </w:p>
    <w:p w:rsidR="00AE7868" w:rsidRDefault="00FF2B57">
      <w:pPr>
        <w:pStyle w:val="AQISNum"/>
        <w:numPr>
          <w:ilvl w:val="0"/>
          <w:numId w:val="33"/>
        </w:numPr>
        <w:tabs>
          <w:tab w:val="clear" w:pos="360"/>
          <w:tab w:val="num" w:pos="284"/>
        </w:tabs>
        <w:spacing w:before="120" w:after="120" w:line="276" w:lineRule="auto"/>
        <w:ind w:left="284" w:hanging="284"/>
        <w:rPr>
          <w:rFonts w:asciiTheme="majorHAnsi" w:eastAsia="Calibri" w:hAnsiTheme="majorHAnsi"/>
          <w:szCs w:val="22"/>
        </w:rPr>
      </w:pPr>
      <w:r>
        <w:rPr>
          <w:rFonts w:asciiTheme="majorHAnsi" w:hAnsiTheme="majorHAnsi"/>
          <w:szCs w:val="22"/>
        </w:rPr>
        <w:t>‘</w:t>
      </w:r>
      <w:r>
        <w:rPr>
          <w:rFonts w:asciiTheme="majorHAnsi" w:hAnsiTheme="majorHAnsi"/>
          <w:i/>
          <w:szCs w:val="22"/>
        </w:rPr>
        <w:t>Ca</w:t>
      </w:r>
      <w:r>
        <w:rPr>
          <w:rFonts w:asciiTheme="majorHAnsi" w:hAnsiTheme="majorHAnsi"/>
          <w:szCs w:val="22"/>
        </w:rPr>
        <w:t xml:space="preserve">. L. solanacearum’ has been detected in three species of </w:t>
      </w:r>
      <w:r>
        <w:rPr>
          <w:rFonts w:asciiTheme="majorHAnsi" w:hAnsiTheme="majorHAnsi"/>
          <w:i/>
          <w:szCs w:val="22"/>
        </w:rPr>
        <w:t xml:space="preserve">Bactericera </w:t>
      </w:r>
      <w:r>
        <w:rPr>
          <w:rFonts w:asciiTheme="majorHAnsi" w:hAnsiTheme="majorHAnsi"/>
          <w:szCs w:val="22"/>
        </w:rPr>
        <w:t>(</w:t>
      </w:r>
      <w:r>
        <w:rPr>
          <w:rFonts w:asciiTheme="majorHAnsi" w:hAnsiTheme="majorHAnsi"/>
          <w:i/>
          <w:szCs w:val="22"/>
        </w:rPr>
        <w:t>B. nigricornis</w:t>
      </w:r>
      <w:r>
        <w:rPr>
          <w:rFonts w:asciiTheme="majorHAnsi" w:hAnsiTheme="majorHAnsi"/>
          <w:szCs w:val="22"/>
        </w:rPr>
        <w:t xml:space="preserve">, </w:t>
      </w:r>
      <w:r>
        <w:rPr>
          <w:rFonts w:asciiTheme="majorHAnsi" w:hAnsiTheme="majorHAnsi"/>
          <w:i/>
          <w:szCs w:val="22"/>
        </w:rPr>
        <w:t>B. tremblayi</w:t>
      </w:r>
      <w:r>
        <w:rPr>
          <w:rFonts w:asciiTheme="majorHAnsi" w:hAnsiTheme="majorHAnsi"/>
          <w:szCs w:val="22"/>
        </w:rPr>
        <w:t xml:space="preserve"> and</w:t>
      </w:r>
      <w:r>
        <w:rPr>
          <w:rFonts w:asciiTheme="majorHAnsi" w:hAnsiTheme="majorHAnsi"/>
          <w:i/>
          <w:szCs w:val="22"/>
        </w:rPr>
        <w:t xml:space="preserve"> B. trigonica</w:t>
      </w:r>
      <w:r>
        <w:rPr>
          <w:rFonts w:asciiTheme="majorHAnsi" w:hAnsiTheme="majorHAnsi"/>
          <w:szCs w:val="22"/>
        </w:rPr>
        <w:t xml:space="preserve">) and </w:t>
      </w:r>
      <w:r>
        <w:rPr>
          <w:rFonts w:asciiTheme="majorHAnsi" w:hAnsiTheme="majorHAnsi"/>
          <w:i/>
          <w:szCs w:val="22"/>
        </w:rPr>
        <w:t>T. apicalis</w:t>
      </w:r>
      <w:r>
        <w:rPr>
          <w:rFonts w:asciiTheme="majorHAnsi" w:hAnsiTheme="majorHAnsi"/>
          <w:szCs w:val="22"/>
        </w:rPr>
        <w:t xml:space="preserve">. However, only </w:t>
      </w:r>
      <w:r>
        <w:rPr>
          <w:rFonts w:asciiTheme="majorHAnsi" w:hAnsiTheme="majorHAnsi"/>
          <w:i/>
          <w:szCs w:val="22"/>
        </w:rPr>
        <w:t>B. trigonica</w:t>
      </w:r>
      <w:r>
        <w:rPr>
          <w:rFonts w:asciiTheme="majorHAnsi" w:hAnsiTheme="majorHAnsi"/>
          <w:szCs w:val="22"/>
        </w:rPr>
        <w:t xml:space="preserve"> and </w:t>
      </w:r>
      <w:r>
        <w:rPr>
          <w:rFonts w:asciiTheme="majorHAnsi" w:hAnsiTheme="majorHAnsi"/>
          <w:i/>
          <w:szCs w:val="22"/>
        </w:rPr>
        <w:t>T. apicalis</w:t>
      </w:r>
      <w:r>
        <w:rPr>
          <w:rFonts w:asciiTheme="majorHAnsi" w:hAnsiTheme="majorHAnsi"/>
          <w:szCs w:val="22"/>
        </w:rPr>
        <w:t xml:space="preserve"> are known to transmit ‘</w:t>
      </w:r>
      <w:r>
        <w:rPr>
          <w:rFonts w:asciiTheme="majorHAnsi" w:hAnsiTheme="majorHAnsi"/>
          <w:i/>
          <w:szCs w:val="22"/>
        </w:rPr>
        <w:t>Ca</w:t>
      </w:r>
      <w:r>
        <w:rPr>
          <w:rFonts w:asciiTheme="majorHAnsi" w:hAnsiTheme="majorHAnsi"/>
          <w:szCs w:val="22"/>
        </w:rPr>
        <w:t xml:space="preserve">. </w:t>
      </w:r>
      <w:r>
        <w:rPr>
          <w:rFonts w:asciiTheme="majorHAnsi" w:hAnsiTheme="majorHAnsi"/>
          <w:szCs w:val="22"/>
        </w:rPr>
        <w:lastRenderedPageBreak/>
        <w:t>L. solanacearum’ naturally (Haapalainen 2014). This vector specificity suggests it is unlikely that Australian native psyllids would be able to transmit ‘</w:t>
      </w:r>
      <w:r>
        <w:rPr>
          <w:rFonts w:asciiTheme="majorHAnsi" w:hAnsiTheme="majorHAnsi"/>
          <w:i/>
          <w:szCs w:val="22"/>
        </w:rPr>
        <w:t>Ca</w:t>
      </w:r>
      <w:r>
        <w:rPr>
          <w:rFonts w:asciiTheme="majorHAnsi" w:hAnsiTheme="majorHAnsi"/>
          <w:szCs w:val="22"/>
        </w:rPr>
        <w:t xml:space="preserve">. L. solanacearum’. </w:t>
      </w:r>
      <w:r>
        <w:rPr>
          <w:rFonts w:asciiTheme="majorHAnsi" w:eastAsia="Calibri" w:hAnsiTheme="majorHAnsi"/>
          <w:szCs w:val="22"/>
        </w:rPr>
        <w:t>In the absence of psyllid vectors, long distance spread of ‘</w:t>
      </w:r>
      <w:r>
        <w:rPr>
          <w:rFonts w:asciiTheme="majorHAnsi" w:eastAsia="Calibri" w:hAnsiTheme="majorHAnsi"/>
          <w:i/>
          <w:szCs w:val="22"/>
        </w:rPr>
        <w:t>Ca.</w:t>
      </w:r>
      <w:r>
        <w:rPr>
          <w:rFonts w:asciiTheme="majorHAnsi" w:eastAsia="Calibri" w:hAnsiTheme="majorHAnsi"/>
          <w:szCs w:val="22"/>
        </w:rPr>
        <w:t xml:space="preserve"> L.’ species would rely on human-mediated spread of infected propagative material.</w:t>
      </w:r>
    </w:p>
    <w:p w:rsidR="00AE7868" w:rsidRDefault="00FF2B57">
      <w:pPr>
        <w:pStyle w:val="Heading5"/>
        <w:spacing w:before="120" w:after="120"/>
        <w:rPr>
          <w:i w:val="0"/>
        </w:rPr>
      </w:pPr>
      <w:r>
        <w:t>Presence of natural barriers</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 xml:space="preserve">From its initial detection in Finland (Munyaneza et al. 2010a), the bacterium has moved over long distances to Austria, France, Germany, Morocco, Norway, Spain and Sweden (Haapalainen 2014; </w:t>
      </w:r>
      <w:r>
        <w:rPr>
          <w:rFonts w:ascii="Cambria" w:eastAsia="Cambria" w:hAnsi="Cambria" w:cs="Arial"/>
          <w:szCs w:val="22"/>
        </w:rPr>
        <w:t xml:space="preserve">Munyaneza </w:t>
      </w:r>
      <w:r>
        <w:rPr>
          <w:rFonts w:ascii="Cambria" w:eastAsia="Cambria" w:hAnsi="Cambria" w:cs="Arial"/>
          <w:iCs/>
          <w:szCs w:val="22"/>
        </w:rPr>
        <w:t>et al</w:t>
      </w:r>
      <w:r>
        <w:rPr>
          <w:rFonts w:ascii="Cambria" w:eastAsia="Cambria" w:hAnsi="Cambria" w:cs="Arial"/>
          <w:i/>
          <w:iCs/>
          <w:szCs w:val="22"/>
        </w:rPr>
        <w:t xml:space="preserve">. </w:t>
      </w:r>
      <w:r>
        <w:rPr>
          <w:rFonts w:ascii="Cambria" w:eastAsia="Cambria" w:hAnsi="Cambria" w:cs="Arial"/>
          <w:szCs w:val="22"/>
        </w:rPr>
        <w:t>2015</w:t>
      </w:r>
      <w:r>
        <w:rPr>
          <w:rFonts w:ascii="Cambria" w:hAnsi="Cambria"/>
          <w:szCs w:val="22"/>
        </w:rPr>
        <w:t xml:space="preserve">). </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Hosts of ‘</w:t>
      </w:r>
      <w:r>
        <w:rPr>
          <w:rFonts w:ascii="Cambria" w:hAnsi="Cambria"/>
          <w:i/>
          <w:szCs w:val="22"/>
        </w:rPr>
        <w:t>Ca</w:t>
      </w:r>
      <w:r>
        <w:rPr>
          <w:rFonts w:ascii="Cambria" w:hAnsi="Cambria"/>
          <w:szCs w:val="22"/>
        </w:rPr>
        <w:t>. L. solanacearum’</w:t>
      </w:r>
      <w:r>
        <w:rPr>
          <w:rFonts w:ascii="Cambria" w:hAnsi="Cambria"/>
          <w:i/>
          <w:szCs w:val="22"/>
        </w:rPr>
        <w:t xml:space="preserve"> </w:t>
      </w:r>
      <w:r>
        <w:rPr>
          <w:rFonts w:ascii="Cambria" w:hAnsi="Cambria"/>
          <w:szCs w:val="22"/>
        </w:rPr>
        <w:t xml:space="preserve">are present in many parts of Australia. Natural barriers, such as arid areas, mountain ranges, climatic </w:t>
      </w:r>
      <w:r>
        <w:rPr>
          <w:rFonts w:ascii="Cambria" w:eastAsia="Calibri" w:hAnsi="Cambria"/>
          <w:szCs w:val="22"/>
        </w:rPr>
        <w:t>differentials</w:t>
      </w:r>
      <w:r>
        <w:rPr>
          <w:rFonts w:ascii="Cambria" w:hAnsi="Cambria"/>
          <w:szCs w:val="22"/>
        </w:rPr>
        <w:t xml:space="preserve"> and the potentially long distances between suitable hosts may prevent the long-distance natural spread of this bacterium.</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Carrot, celery and parsnip crops are grown across Australia in isolated regions with long distances often separating commercial production fields. This will aid in the containment and eradication of the vector and/or pathogen if establishment occurs in an isolated growing region.</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w:t>
      </w:r>
      <w:r>
        <w:rPr>
          <w:rFonts w:ascii="Cambria" w:hAnsi="Cambria"/>
          <w:i/>
          <w:szCs w:val="22"/>
        </w:rPr>
        <w:t>Ca</w:t>
      </w:r>
      <w:r>
        <w:rPr>
          <w:rFonts w:ascii="Cambria" w:hAnsi="Cambria"/>
          <w:szCs w:val="22"/>
        </w:rPr>
        <w:t>. L. solanacearum’ is heat sensitive (</w:t>
      </w:r>
      <w:r>
        <w:rPr>
          <w:rFonts w:ascii="Cambria" w:eastAsia="Calibri" w:hAnsi="Cambria"/>
          <w:szCs w:val="22"/>
        </w:rPr>
        <w:t>Munyaneza et al. 2012a</w:t>
      </w:r>
      <w:r>
        <w:rPr>
          <w:rFonts w:ascii="Cambria" w:hAnsi="Cambria"/>
          <w:szCs w:val="22"/>
        </w:rPr>
        <w:t xml:space="preserve">) and arid regions surrounding many production areas in Australia may prove to be natural barriers to the spread of this bacterium. This </w:t>
      </w:r>
      <w:r>
        <w:rPr>
          <w:rFonts w:ascii="Cambria" w:hAnsi="Cambria"/>
          <w:szCs w:val="22"/>
        </w:rPr>
        <w:lastRenderedPageBreak/>
        <w:t>suggests that the bacterium is also less likely to spread into the warmer arid and tropical regions of Australia.</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A significant natural barrier to spread of ‘</w:t>
      </w:r>
      <w:r>
        <w:rPr>
          <w:rFonts w:ascii="Cambria" w:hAnsi="Cambria"/>
          <w:i/>
          <w:szCs w:val="22"/>
        </w:rPr>
        <w:t xml:space="preserve">Ca. </w:t>
      </w:r>
      <w:r>
        <w:rPr>
          <w:rFonts w:ascii="Cambria" w:hAnsi="Cambria"/>
          <w:szCs w:val="22"/>
        </w:rPr>
        <w:t>L. solanacearum’ is the absence of suitable known insect vectors of the bacterium in Australia. The natural spread of ‘</w:t>
      </w:r>
      <w:r>
        <w:rPr>
          <w:rFonts w:ascii="Cambria" w:hAnsi="Cambria"/>
          <w:i/>
          <w:szCs w:val="22"/>
        </w:rPr>
        <w:t>Ca</w:t>
      </w:r>
      <w:r>
        <w:rPr>
          <w:rFonts w:ascii="Cambria" w:hAnsi="Cambria"/>
          <w:szCs w:val="22"/>
        </w:rPr>
        <w:t xml:space="preserve">. L. solanacearum’ associated with apiaceous crops is achieved by </w:t>
      </w:r>
      <w:r>
        <w:rPr>
          <w:rFonts w:ascii="Cambria" w:hAnsi="Cambria"/>
          <w:i/>
          <w:szCs w:val="22"/>
        </w:rPr>
        <w:t xml:space="preserve">B. trigonica </w:t>
      </w:r>
      <w:r>
        <w:rPr>
          <w:rFonts w:ascii="Cambria" w:hAnsi="Cambria"/>
          <w:szCs w:val="22"/>
        </w:rPr>
        <w:t>(</w:t>
      </w:r>
      <w:r>
        <w:rPr>
          <w:rFonts w:ascii="Cambria" w:eastAsia="Cambria" w:hAnsi="Cambria" w:cs="TimesNewRomanPS-ItalicMT"/>
          <w:iCs/>
          <w:szCs w:val="22"/>
        </w:rPr>
        <w:t xml:space="preserve">Bertolini et al. </w:t>
      </w:r>
      <w:r>
        <w:rPr>
          <w:rFonts w:ascii="Cambria" w:eastAsia="Cambria" w:hAnsi="Cambria" w:cs="TimesNewRomanPSMT"/>
          <w:szCs w:val="22"/>
        </w:rPr>
        <w:t>2015</w:t>
      </w:r>
      <w:r>
        <w:rPr>
          <w:rFonts w:ascii="Cambria" w:hAnsi="Cambria"/>
          <w:szCs w:val="22"/>
        </w:rPr>
        <w:t xml:space="preserve">) and </w:t>
      </w:r>
      <w:r>
        <w:rPr>
          <w:rFonts w:ascii="Cambria" w:eastAsia="Cambria" w:hAnsi="Cambria" w:cs="SimonciniGaramond-Italic"/>
          <w:i/>
          <w:iCs/>
          <w:szCs w:val="22"/>
        </w:rPr>
        <w:t>T. apicalis</w:t>
      </w:r>
      <w:r>
        <w:rPr>
          <w:rFonts w:ascii="Cambria" w:eastAsia="Cambria" w:hAnsi="Cambria" w:cs="SimonciniGaramond"/>
          <w:szCs w:val="22"/>
        </w:rPr>
        <w:t xml:space="preserve"> (</w:t>
      </w:r>
      <w:r>
        <w:rPr>
          <w:rFonts w:ascii="Cambria" w:hAnsi="Cambria"/>
          <w:szCs w:val="22"/>
        </w:rPr>
        <w:t xml:space="preserve">Munyaneza et al. 2010b), which are not present in Australia. </w:t>
      </w:r>
    </w:p>
    <w:p w:rsidR="00AE7868" w:rsidRDefault="00FF2B57">
      <w:pPr>
        <w:pStyle w:val="Heading5"/>
        <w:spacing w:before="120" w:after="120"/>
      </w:pPr>
      <w:r>
        <w:t xml:space="preserve">Potential for movement with commodities </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Human-mediated movement of plants and plant products is considered the primary mode for the introduction of plant pathogens into new areas. As visual symptoms may not be present, infected propagative material could easily be moved into new areas. The introduction of infected plant material establishes the pathogen in new areas and unregulated movement may accelerate the spread of ‘</w:t>
      </w:r>
      <w:r>
        <w:rPr>
          <w:rFonts w:ascii="Cambria" w:hAnsi="Cambria"/>
          <w:i/>
          <w:szCs w:val="22"/>
        </w:rPr>
        <w:t>Ca</w:t>
      </w:r>
      <w:r>
        <w:rPr>
          <w:rFonts w:ascii="Cambria" w:hAnsi="Cambria"/>
          <w:szCs w:val="22"/>
        </w:rPr>
        <w:t>. L. solanacearum’.</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iCs/>
          <w:szCs w:val="22"/>
        </w:rPr>
        <w:t>‘</w:t>
      </w:r>
      <w:r>
        <w:rPr>
          <w:rFonts w:ascii="Cambria" w:hAnsi="Cambria"/>
          <w:i/>
          <w:iCs/>
          <w:szCs w:val="22"/>
        </w:rPr>
        <w:t>Ca</w:t>
      </w:r>
      <w:r>
        <w:rPr>
          <w:rFonts w:ascii="Cambria" w:hAnsi="Cambria"/>
          <w:iCs/>
          <w:szCs w:val="22"/>
        </w:rPr>
        <w:t xml:space="preserve">. L. solanacearum’ </w:t>
      </w:r>
      <w:r>
        <w:rPr>
          <w:rFonts w:ascii="Cambria" w:hAnsi="Cambria"/>
          <w:szCs w:val="22"/>
        </w:rPr>
        <w:t>has the potential to spread from its point of introduction to new areas within Australia by human mediated activities (via trade in propagative material). Carrot, celery and parsnip are grown in various regions of Australia. If imported infected propagative material is distributed throughout production areas, this will help spread ‘</w:t>
      </w:r>
      <w:r>
        <w:rPr>
          <w:rFonts w:ascii="Cambria" w:hAnsi="Cambria"/>
          <w:i/>
          <w:szCs w:val="22"/>
        </w:rPr>
        <w:t>Ca</w:t>
      </w:r>
      <w:r>
        <w:rPr>
          <w:rFonts w:ascii="Cambria" w:hAnsi="Cambria"/>
          <w:szCs w:val="22"/>
        </w:rPr>
        <w:t>. L. solanacearum’ throughout Australia.</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lastRenderedPageBreak/>
        <w:t xml:space="preserve">The increased trade of propagative material between (and within) countries has led to new opportunities for plant pathogens to spread to new areas (Dehnen-Schmutz </w:t>
      </w:r>
      <w:r>
        <w:rPr>
          <w:rFonts w:ascii="Cambria" w:hAnsi="Cambria"/>
          <w:iCs/>
          <w:szCs w:val="22"/>
        </w:rPr>
        <w:t>et al</w:t>
      </w:r>
      <w:r>
        <w:rPr>
          <w:rFonts w:ascii="Cambria" w:hAnsi="Cambria"/>
          <w:szCs w:val="22"/>
        </w:rPr>
        <w:t xml:space="preserve">. 2010; Wingfield </w:t>
      </w:r>
      <w:r>
        <w:rPr>
          <w:rFonts w:ascii="Cambria" w:hAnsi="Cambria"/>
          <w:iCs/>
          <w:szCs w:val="22"/>
        </w:rPr>
        <w:t>et al</w:t>
      </w:r>
      <w:r>
        <w:rPr>
          <w:rFonts w:ascii="Cambria" w:hAnsi="Cambria"/>
          <w:szCs w:val="22"/>
        </w:rPr>
        <w:t xml:space="preserve">. 2010; Stenlid </w:t>
      </w:r>
      <w:r>
        <w:rPr>
          <w:rFonts w:ascii="Cambria" w:hAnsi="Cambria"/>
          <w:iCs/>
          <w:szCs w:val="22"/>
        </w:rPr>
        <w:t>et al</w:t>
      </w:r>
      <w:r>
        <w:rPr>
          <w:rFonts w:ascii="Cambria" w:hAnsi="Cambria"/>
          <w:szCs w:val="22"/>
        </w:rPr>
        <w:t>. 2011). Infection of carrots with ‘</w:t>
      </w:r>
      <w:r>
        <w:rPr>
          <w:rFonts w:ascii="Cambria" w:hAnsi="Cambria"/>
          <w:i/>
          <w:szCs w:val="22"/>
        </w:rPr>
        <w:t>Ca</w:t>
      </w:r>
      <w:r>
        <w:rPr>
          <w:rFonts w:ascii="Cambria" w:hAnsi="Cambria"/>
          <w:szCs w:val="22"/>
        </w:rPr>
        <w:t xml:space="preserve">. L. solanacearum’ in different geographically distant areas, such as Austria, Finland, France, Germany, Morocco, Spain and Sweden (EPPO 2013; Haapalainen 2014; </w:t>
      </w:r>
      <w:r>
        <w:rPr>
          <w:rFonts w:ascii="Cambria" w:eastAsia="Cambria" w:hAnsi="Cambria" w:cs="Arial"/>
          <w:szCs w:val="22"/>
        </w:rPr>
        <w:t xml:space="preserve">Munyaneza </w:t>
      </w:r>
      <w:r>
        <w:rPr>
          <w:rFonts w:ascii="Cambria" w:eastAsia="Cambria" w:hAnsi="Cambria" w:cs="Arial"/>
          <w:iCs/>
          <w:szCs w:val="22"/>
        </w:rPr>
        <w:t>et al.</w:t>
      </w:r>
      <w:r>
        <w:rPr>
          <w:rFonts w:ascii="Cambria" w:eastAsia="Cambria" w:hAnsi="Cambria" w:cs="Arial"/>
          <w:i/>
          <w:iCs/>
          <w:szCs w:val="22"/>
        </w:rPr>
        <w:t xml:space="preserve"> </w:t>
      </w:r>
      <w:r>
        <w:rPr>
          <w:rFonts w:ascii="Cambria" w:eastAsia="Cambria" w:hAnsi="Cambria" w:cs="Arial"/>
          <w:szCs w:val="22"/>
        </w:rPr>
        <w:t>2015</w:t>
      </w:r>
      <w:r>
        <w:rPr>
          <w:rFonts w:ascii="Cambria" w:hAnsi="Cambria"/>
          <w:szCs w:val="22"/>
        </w:rPr>
        <w:t>), suggests that the movement of carrot seeds might be responsible for the introduction of this bacterium into these countries. Therefore, there is potential for the spread of the bacterium through the distribution of infected seeds between carrot growing areas of Australia.</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Plants infected with ‘</w:t>
      </w:r>
      <w:r>
        <w:rPr>
          <w:rFonts w:ascii="Cambria" w:hAnsi="Cambria"/>
          <w:i/>
          <w:szCs w:val="22"/>
        </w:rPr>
        <w:t>Ca</w:t>
      </w:r>
      <w:r>
        <w:rPr>
          <w:rFonts w:ascii="Cambria" w:hAnsi="Cambria"/>
          <w:szCs w:val="22"/>
        </w:rPr>
        <w:t xml:space="preserve">. L. solanacearum’ may be symptomless and could also contribute to the introduction of the bacterium into new areas through nursery stock (Teresani et al. 2014b). </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The bacterium could be spread with the movement and trade of infected host plant material, including seeds and tissue cultures. However, spread of the bacterium by movement of infected planting material will be likely to result in an isolated infection if a vector is not present in the areas where the material is moved.</w:t>
      </w:r>
    </w:p>
    <w:p w:rsidR="00AE7868" w:rsidRDefault="00FF2B57">
      <w:pPr>
        <w:pStyle w:val="AQISNum"/>
        <w:numPr>
          <w:ilvl w:val="0"/>
          <w:numId w:val="33"/>
        </w:numPr>
        <w:tabs>
          <w:tab w:val="clear" w:pos="360"/>
          <w:tab w:val="num" w:pos="284"/>
        </w:tabs>
        <w:spacing w:before="120" w:after="120" w:line="276" w:lineRule="auto"/>
        <w:ind w:left="284" w:hanging="284"/>
        <w:rPr>
          <w:rFonts w:ascii="Cambria" w:hAnsi="Cambria"/>
          <w:szCs w:val="22"/>
        </w:rPr>
      </w:pPr>
      <w:r>
        <w:rPr>
          <w:rFonts w:ascii="Cambria" w:hAnsi="Cambria"/>
          <w:szCs w:val="22"/>
        </w:rPr>
        <w:t>In the absence of statutory control, it is likely that ‘</w:t>
      </w:r>
      <w:r>
        <w:rPr>
          <w:rFonts w:ascii="Cambria" w:hAnsi="Cambria"/>
          <w:i/>
          <w:szCs w:val="22"/>
        </w:rPr>
        <w:t>Ca</w:t>
      </w:r>
      <w:r>
        <w:rPr>
          <w:rFonts w:ascii="Cambria" w:hAnsi="Cambria"/>
          <w:szCs w:val="22"/>
        </w:rPr>
        <w:t xml:space="preserve">. L. solanacearum’ will spread within Australia through the trade of seeds (carrot) and tissue cultures (carrot, celery and parsnip) for propagation. Planting of infected seeds and tissue cultures in production fields is </w:t>
      </w:r>
      <w:r>
        <w:rPr>
          <w:rFonts w:ascii="Cambria" w:hAnsi="Cambria"/>
          <w:szCs w:val="22"/>
        </w:rPr>
        <w:lastRenderedPageBreak/>
        <w:t>likely to introduce ‘</w:t>
      </w:r>
      <w:r>
        <w:rPr>
          <w:rFonts w:ascii="Cambria" w:hAnsi="Cambria"/>
          <w:i/>
          <w:szCs w:val="22"/>
        </w:rPr>
        <w:t>Ca</w:t>
      </w:r>
      <w:r>
        <w:rPr>
          <w:rFonts w:ascii="Cambria" w:hAnsi="Cambria"/>
          <w:szCs w:val="22"/>
        </w:rPr>
        <w:t>. L. solanacearum’ into the environment. Climatic conditions in propagation houses and the environment is likely to be sufficient for its survival and spread to new hosts.</w:t>
      </w:r>
    </w:p>
    <w:p w:rsidR="00AE7868" w:rsidRDefault="00FF2B57">
      <w:pPr>
        <w:pStyle w:val="Heading5"/>
        <w:spacing w:before="120" w:after="120"/>
      </w:pPr>
      <w:r>
        <w:t>Potential natural enemies</w:t>
      </w:r>
    </w:p>
    <w:p w:rsidR="00AE7868" w:rsidRDefault="00FF2B57">
      <w:pPr>
        <w:pStyle w:val="AQISNum"/>
        <w:numPr>
          <w:ilvl w:val="0"/>
          <w:numId w:val="33"/>
        </w:numPr>
        <w:tabs>
          <w:tab w:val="clear" w:pos="360"/>
          <w:tab w:val="num" w:pos="284"/>
        </w:tabs>
        <w:spacing w:before="120" w:after="120" w:line="276" w:lineRule="auto"/>
        <w:ind w:left="284" w:hanging="284"/>
        <w:rPr>
          <w:rFonts w:ascii="Cambria" w:eastAsia="Calibri" w:hAnsi="Cambria"/>
          <w:szCs w:val="22"/>
        </w:rPr>
      </w:pPr>
      <w:r>
        <w:rPr>
          <w:rFonts w:ascii="Cambria" w:eastAsia="Calibri" w:hAnsi="Cambria"/>
          <w:szCs w:val="22"/>
        </w:rPr>
        <w:t>‘</w:t>
      </w:r>
      <w:r>
        <w:rPr>
          <w:rFonts w:ascii="Cambria" w:eastAsia="Calibri" w:hAnsi="Cambria"/>
          <w:i/>
          <w:szCs w:val="22"/>
        </w:rPr>
        <w:t>Ca</w:t>
      </w:r>
      <w:r>
        <w:rPr>
          <w:rFonts w:ascii="Cambria" w:eastAsia="Calibri" w:hAnsi="Cambria"/>
          <w:szCs w:val="22"/>
        </w:rPr>
        <w:t xml:space="preserve"> L.’ species are not known to have any natural enemies that could hamper their spread. However, certain entomophagous and predatory insects can drastically reduce psyllid populations and thus indirectly prevent an increase of the pathogen population and associated spread (Aubert 1987).</w:t>
      </w:r>
    </w:p>
    <w:p w:rsidR="00AE7868" w:rsidRDefault="00FF2B57">
      <w:pPr>
        <w:pStyle w:val="Heading5"/>
        <w:spacing w:before="120" w:after="120"/>
        <w:rPr>
          <w:i w:val="0"/>
        </w:rPr>
      </w:pPr>
      <w:r>
        <w:rPr>
          <w:i w:val="0"/>
        </w:rPr>
        <w:t>Spread potential if known vectors establish in Australia</w:t>
      </w:r>
    </w:p>
    <w:p w:rsidR="00AE7868" w:rsidRDefault="00FF2B57">
      <w:pPr>
        <w:pStyle w:val="dot0"/>
        <w:numPr>
          <w:ilvl w:val="0"/>
          <w:numId w:val="0"/>
        </w:numPr>
        <w:spacing w:before="200"/>
        <w:rPr>
          <w:rFonts w:ascii="Cambria" w:eastAsia="Calibri" w:hAnsi="Cambria"/>
        </w:rPr>
      </w:pPr>
      <w:r>
        <w:rPr>
          <w:rFonts w:ascii="Cambria" w:eastAsia="Calibri" w:hAnsi="Cambria"/>
        </w:rPr>
        <w:t>The information presented under this heading is only applicable to the assessment of the probability of spread of ‘</w:t>
      </w:r>
      <w:r>
        <w:rPr>
          <w:rFonts w:ascii="Cambria" w:eastAsia="Calibri" w:hAnsi="Cambria"/>
          <w:i/>
        </w:rPr>
        <w:t>Ca</w:t>
      </w:r>
      <w:r>
        <w:rPr>
          <w:rFonts w:ascii="Cambria" w:eastAsia="Calibri" w:hAnsi="Cambria"/>
        </w:rPr>
        <w:t>. L. solanacearum’ in the presence of known vectors.</w:t>
      </w:r>
    </w:p>
    <w:p w:rsidR="00AE7868" w:rsidRDefault="00FF2B57">
      <w:pPr>
        <w:pStyle w:val="dot0"/>
        <w:numPr>
          <w:ilvl w:val="0"/>
          <w:numId w:val="33"/>
        </w:numPr>
        <w:tabs>
          <w:tab w:val="clear" w:pos="360"/>
          <w:tab w:val="num" w:pos="284"/>
        </w:tabs>
        <w:spacing w:before="120" w:after="120"/>
        <w:ind w:left="284" w:hanging="284"/>
        <w:rPr>
          <w:rFonts w:ascii="Cambria" w:eastAsia="Calibri" w:hAnsi="Cambria"/>
        </w:rPr>
      </w:pPr>
      <w:r>
        <w:rPr>
          <w:rFonts w:ascii="Cambria" w:eastAsia="Calibri" w:hAnsi="Cambria"/>
        </w:rPr>
        <w:t>Vector-transmitted pathogens rely on complex interactions between the host, the vector and the pathogen for their spread. In plant pathosystems, the spread of a pathogen is highly dependent on the movement and mobility of the vector (Martini et al. 2015).</w:t>
      </w:r>
    </w:p>
    <w:p w:rsidR="00AE7868" w:rsidRDefault="00FF2B57">
      <w:pPr>
        <w:pStyle w:val="dot0"/>
        <w:numPr>
          <w:ilvl w:val="0"/>
          <w:numId w:val="33"/>
        </w:numPr>
        <w:tabs>
          <w:tab w:val="clear" w:pos="360"/>
          <w:tab w:val="num" w:pos="284"/>
        </w:tabs>
        <w:spacing w:before="120" w:after="120"/>
        <w:ind w:left="284" w:hanging="284"/>
        <w:rPr>
          <w:rFonts w:ascii="Cambria" w:eastAsia="Cambria" w:hAnsi="Cambria" w:cs="TimesNewRomanPSMT"/>
        </w:rPr>
      </w:pPr>
      <w:r>
        <w:rPr>
          <w:rFonts w:ascii="Cambria" w:eastAsia="Calibri" w:hAnsi="Cambria"/>
        </w:rPr>
        <w:t>‘</w:t>
      </w:r>
      <w:r>
        <w:rPr>
          <w:rFonts w:ascii="Cambria" w:eastAsia="Calibri" w:hAnsi="Cambria"/>
          <w:i/>
        </w:rPr>
        <w:t>Ca</w:t>
      </w:r>
      <w:r>
        <w:rPr>
          <w:rFonts w:ascii="Cambria" w:eastAsia="Calibri" w:hAnsi="Cambria"/>
        </w:rPr>
        <w:t xml:space="preserve">. L. solanacearum’ associated with apiaceous crops is vectored by </w:t>
      </w:r>
      <w:r>
        <w:rPr>
          <w:rFonts w:ascii="Cambria" w:hAnsi="Cambria"/>
          <w:i/>
        </w:rPr>
        <w:t>B. trigonica</w:t>
      </w:r>
      <w:r>
        <w:rPr>
          <w:rFonts w:ascii="Cambria" w:hAnsi="Cambria"/>
        </w:rPr>
        <w:t xml:space="preserve"> and </w:t>
      </w:r>
      <w:r>
        <w:rPr>
          <w:rFonts w:ascii="Cambria" w:eastAsia="Calibri" w:hAnsi="Cambria"/>
          <w:i/>
        </w:rPr>
        <w:t>T. apicalis</w:t>
      </w:r>
      <w:r>
        <w:rPr>
          <w:rFonts w:ascii="Cambria" w:eastAsia="Calibri" w:hAnsi="Cambria"/>
        </w:rPr>
        <w:t xml:space="preserve"> (</w:t>
      </w:r>
      <w:r>
        <w:rPr>
          <w:rFonts w:ascii="Cambria" w:hAnsi="Cambria"/>
          <w:iCs/>
        </w:rPr>
        <w:t>Munyaneza et al. 2010a, b; Alfaro-Fernández et al. 2012b</w:t>
      </w:r>
      <w:r>
        <w:rPr>
          <w:rFonts w:ascii="Cambria" w:eastAsia="Calibri" w:hAnsi="Cambria"/>
        </w:rPr>
        <w:t>). ‘</w:t>
      </w:r>
      <w:r>
        <w:rPr>
          <w:rFonts w:ascii="Cambria" w:eastAsia="Calibri" w:hAnsi="Cambria"/>
          <w:i/>
        </w:rPr>
        <w:t>Ca</w:t>
      </w:r>
      <w:r>
        <w:rPr>
          <w:rFonts w:ascii="Cambria" w:eastAsia="Calibri" w:hAnsi="Cambria"/>
        </w:rPr>
        <w:t xml:space="preserve">. L. solanacearum’ has also been detected in </w:t>
      </w:r>
      <w:r>
        <w:rPr>
          <w:rFonts w:ascii="Cambria" w:eastAsia="Cambria" w:hAnsi="Cambria" w:cs="TimesNewRomanPS-ItalicMT"/>
          <w:i/>
          <w:iCs/>
        </w:rPr>
        <w:t>B. nigricornis</w:t>
      </w:r>
      <w:r>
        <w:rPr>
          <w:rFonts w:ascii="Cambria" w:eastAsia="Cambria" w:hAnsi="Cambria" w:cs="TimesNewRomanPS-ItalicMT"/>
          <w:iCs/>
        </w:rPr>
        <w:t xml:space="preserve"> and </w:t>
      </w:r>
      <w:r>
        <w:rPr>
          <w:rFonts w:ascii="Cambria" w:eastAsia="Cambria" w:hAnsi="Cambria" w:cs="TimesNewRomanPS-ItalicMT"/>
          <w:i/>
          <w:iCs/>
        </w:rPr>
        <w:t>B. tremblayi</w:t>
      </w:r>
      <w:r>
        <w:rPr>
          <w:rFonts w:ascii="Cambria" w:eastAsia="Cambria" w:hAnsi="Cambria" w:cs="TimesNewRomanPSMT"/>
        </w:rPr>
        <w:t xml:space="preserve"> collected from carrot and celery fields </w:t>
      </w:r>
      <w:r>
        <w:rPr>
          <w:rFonts w:ascii="Cambria" w:eastAsia="Cambria" w:hAnsi="Cambria" w:cs="TimesNewRomanPSMT"/>
        </w:rPr>
        <w:lastRenderedPageBreak/>
        <w:t xml:space="preserve">where the bacterium is present </w:t>
      </w:r>
      <w:r>
        <w:rPr>
          <w:rFonts w:ascii="Cambria" w:eastAsia="Cambria" w:hAnsi="Cambria" w:cs="TimesNewRomanPS-ItalicMT"/>
          <w:iCs/>
        </w:rPr>
        <w:t xml:space="preserve">(Teresani et al. </w:t>
      </w:r>
      <w:r>
        <w:rPr>
          <w:rFonts w:ascii="Cambria" w:eastAsia="Cambria" w:hAnsi="Cambria" w:cs="TimesNewRomanPSMT"/>
        </w:rPr>
        <w:t>2015</w:t>
      </w:r>
      <w:r>
        <w:rPr>
          <w:rFonts w:ascii="Cambria" w:eastAsia="Cambria" w:hAnsi="Cambria" w:cs="TimesNewRomanPS-ItalicMT"/>
          <w:iCs/>
        </w:rPr>
        <w:t xml:space="preserve">). </w:t>
      </w:r>
      <w:r>
        <w:rPr>
          <w:rFonts w:ascii="Cambria" w:eastAsia="Cambria" w:hAnsi="Cambria" w:cs="TimesNewRomanPSMT"/>
        </w:rPr>
        <w:t>These findings on the association of ‘</w:t>
      </w:r>
      <w:r>
        <w:rPr>
          <w:rFonts w:ascii="Cambria" w:eastAsia="Cambria" w:hAnsi="Cambria" w:cs="TimesNewRomanPSMT"/>
          <w:i/>
        </w:rPr>
        <w:t>Ca</w:t>
      </w:r>
      <w:r>
        <w:rPr>
          <w:rFonts w:ascii="Cambria" w:eastAsia="Cambria" w:hAnsi="Cambria" w:cs="TimesNewRomanPSMT"/>
        </w:rPr>
        <w:t xml:space="preserve">. L. solanacearum’ with other psyllids suggest that this bacterium is likely to have more insect vectors than currently known. However, it is most likely that potential vectors are in the closely related </w:t>
      </w:r>
      <w:r>
        <w:rPr>
          <w:rFonts w:ascii="Cambria" w:eastAsia="Cambria" w:hAnsi="Cambria" w:cs="TimesNewRomanPSMT"/>
          <w:i/>
        </w:rPr>
        <w:t xml:space="preserve">Bactericera </w:t>
      </w:r>
      <w:r>
        <w:rPr>
          <w:rFonts w:ascii="Cambria" w:eastAsia="Cambria" w:hAnsi="Cambria" w:cs="TimesNewRomanPSMT"/>
        </w:rPr>
        <w:t xml:space="preserve">and </w:t>
      </w:r>
      <w:r>
        <w:rPr>
          <w:rFonts w:ascii="Cambria" w:eastAsia="Cambria" w:hAnsi="Cambria" w:cs="TimesNewRomanPSMT"/>
          <w:i/>
        </w:rPr>
        <w:t xml:space="preserve">Trioza </w:t>
      </w:r>
      <w:r>
        <w:rPr>
          <w:rFonts w:ascii="Cambria" w:eastAsia="Cambria" w:hAnsi="Cambria" w:cs="TimesNewRomanPSMT"/>
        </w:rPr>
        <w:t>genera.</w:t>
      </w:r>
    </w:p>
    <w:p w:rsidR="00AE7868" w:rsidRDefault="00FF2B57">
      <w:pPr>
        <w:pStyle w:val="dot0"/>
        <w:numPr>
          <w:ilvl w:val="0"/>
          <w:numId w:val="33"/>
        </w:numPr>
        <w:tabs>
          <w:tab w:val="clear" w:pos="360"/>
          <w:tab w:val="num" w:pos="284"/>
        </w:tabs>
        <w:spacing w:before="120" w:after="120"/>
        <w:ind w:left="284" w:hanging="284"/>
        <w:rPr>
          <w:rFonts w:ascii="Cambria" w:eastAsia="Calibri" w:hAnsi="Cambria"/>
        </w:rPr>
      </w:pPr>
      <w:r>
        <w:rPr>
          <w:rFonts w:ascii="Cambria" w:eastAsia="Calibri" w:hAnsi="Cambria"/>
        </w:rPr>
        <w:t xml:space="preserve">Host selection by insects is based on various stimuli released by the host plant, and consists of a sequence of behavioural responses (Visser 1986; Stadler 1992). Different types of compounds released from carrots have been identified (Buttery et al. 1968; Simon et al. 1980). Host selection in </w:t>
      </w:r>
      <w:r>
        <w:rPr>
          <w:rFonts w:ascii="Cambria" w:eastAsia="Calibri" w:hAnsi="Cambria"/>
          <w:i/>
        </w:rPr>
        <w:t>T. apicalis</w:t>
      </w:r>
      <w:r>
        <w:rPr>
          <w:rFonts w:ascii="Cambria" w:eastAsia="Calibri" w:hAnsi="Cambria"/>
        </w:rPr>
        <w:t xml:space="preserve"> seems to be connected to the high release of sabinene and apinene by host plants (Nehlin et al. 1996)</w:t>
      </w:r>
    </w:p>
    <w:p w:rsidR="00AE7868" w:rsidRDefault="00FF2B57">
      <w:pPr>
        <w:pStyle w:val="dot0"/>
        <w:numPr>
          <w:ilvl w:val="0"/>
          <w:numId w:val="33"/>
        </w:numPr>
        <w:tabs>
          <w:tab w:val="clear" w:pos="360"/>
          <w:tab w:val="num" w:pos="284"/>
        </w:tabs>
        <w:spacing w:before="120" w:after="120"/>
        <w:ind w:left="284" w:hanging="284"/>
        <w:rPr>
          <w:rFonts w:ascii="Cambria" w:eastAsia="Cambria" w:hAnsi="Cambria" w:cs="TimesNewRomanPSMT"/>
        </w:rPr>
      </w:pPr>
      <w:r>
        <w:rPr>
          <w:rFonts w:ascii="Cambria" w:eastAsia="Calibri" w:hAnsi="Cambria"/>
        </w:rPr>
        <w:t>‘</w:t>
      </w:r>
      <w:r>
        <w:rPr>
          <w:rFonts w:ascii="Cambria" w:eastAsia="Calibri" w:hAnsi="Cambria"/>
          <w:i/>
        </w:rPr>
        <w:t>Ca</w:t>
      </w:r>
      <w:r>
        <w:rPr>
          <w:rFonts w:ascii="Cambria" w:eastAsia="Calibri" w:hAnsi="Cambria"/>
        </w:rPr>
        <w:t xml:space="preserve">. L. solanacearum’ </w:t>
      </w:r>
      <w:r>
        <w:rPr>
          <w:rFonts w:ascii="Cambria" w:eastAsia="Cambria" w:hAnsi="Cambria" w:cs="TimesNewRomanPSMT"/>
        </w:rPr>
        <w:t xml:space="preserve">may initially be introduced to new areas by carrot seeds (Bertolini et al. 2015) and may afterwards be transmitted by different psyllid species in a persistent manner </w:t>
      </w:r>
      <w:r>
        <w:rPr>
          <w:rFonts w:ascii="Cambria" w:eastAsia="Cambria" w:hAnsi="Cambria" w:cs="TimesNewRomanPS-ItalicMT"/>
          <w:iCs/>
        </w:rPr>
        <w:t xml:space="preserve">(Teresani et al. </w:t>
      </w:r>
      <w:r>
        <w:rPr>
          <w:rFonts w:ascii="Cambria" w:eastAsia="Cambria" w:hAnsi="Cambria" w:cs="TimesNewRomanPSMT"/>
        </w:rPr>
        <w:t>2015</w:t>
      </w:r>
      <w:r>
        <w:rPr>
          <w:rFonts w:ascii="Cambria" w:eastAsia="Cambria" w:hAnsi="Cambria" w:cs="TimesNewRomanPS-ItalicMT"/>
          <w:iCs/>
        </w:rPr>
        <w:t>)</w:t>
      </w:r>
      <w:r>
        <w:rPr>
          <w:rFonts w:ascii="Cambria" w:eastAsia="Cambria" w:hAnsi="Cambria" w:cs="TimesNewRomanPSMT"/>
        </w:rPr>
        <w:t>.</w:t>
      </w:r>
    </w:p>
    <w:p w:rsidR="00AE7868" w:rsidRDefault="00FF2B57">
      <w:pPr>
        <w:pStyle w:val="dot0"/>
        <w:numPr>
          <w:ilvl w:val="0"/>
          <w:numId w:val="33"/>
        </w:numPr>
        <w:tabs>
          <w:tab w:val="clear" w:pos="360"/>
          <w:tab w:val="num" w:pos="284"/>
        </w:tabs>
        <w:spacing w:before="120" w:after="120"/>
        <w:ind w:left="284" w:hanging="284"/>
        <w:rPr>
          <w:rFonts w:ascii="Cambria" w:eastAsia="Calibri" w:hAnsi="Cambria"/>
        </w:rPr>
      </w:pPr>
      <w:r>
        <w:rPr>
          <w:rFonts w:ascii="Cambria" w:eastAsia="Calibri" w:hAnsi="Cambria"/>
        </w:rPr>
        <w:t>Psyllids acquire the bacterium</w:t>
      </w:r>
      <w:r>
        <w:rPr>
          <w:rFonts w:ascii="Cambria" w:eastAsia="Calibri" w:hAnsi="Cambria"/>
          <w:i/>
          <w:iCs/>
        </w:rPr>
        <w:t xml:space="preserve"> </w:t>
      </w:r>
      <w:r>
        <w:rPr>
          <w:rFonts w:ascii="Cambria" w:eastAsia="Calibri" w:hAnsi="Cambria"/>
        </w:rPr>
        <w:t>while feeding on infected plants (Haapalainen et al. 2014). Once the psyllid has acquired the bacterium from infected hosts, the vector is likely to maintain the ability to spread the bacterium in a persistent manner (Teresani et al. 2015).</w:t>
      </w:r>
    </w:p>
    <w:p w:rsidR="00AE7868" w:rsidRDefault="00FF2B57">
      <w:pPr>
        <w:pStyle w:val="dot0"/>
        <w:numPr>
          <w:ilvl w:val="0"/>
          <w:numId w:val="33"/>
        </w:numPr>
        <w:tabs>
          <w:tab w:val="clear" w:pos="360"/>
          <w:tab w:val="num" w:pos="284"/>
        </w:tabs>
        <w:spacing w:before="120" w:after="120"/>
        <w:ind w:left="284" w:hanging="284"/>
        <w:rPr>
          <w:rFonts w:ascii="Cambria" w:eastAsia="Calibri" w:hAnsi="Cambria"/>
        </w:rPr>
      </w:pPr>
      <w:r>
        <w:rPr>
          <w:rFonts w:ascii="Cambria" w:eastAsia="Calibri" w:hAnsi="Cambria"/>
        </w:rPr>
        <w:lastRenderedPageBreak/>
        <w:t xml:space="preserve">The presence of psyllid vectors, including </w:t>
      </w:r>
      <w:r>
        <w:rPr>
          <w:rFonts w:ascii="Cambria" w:eastAsia="Calibri" w:hAnsi="Cambria"/>
          <w:i/>
        </w:rPr>
        <w:t>B. trigonica</w:t>
      </w:r>
      <w:r>
        <w:rPr>
          <w:rFonts w:ascii="Cambria" w:eastAsia="Calibri" w:hAnsi="Cambria"/>
        </w:rPr>
        <w:t>, can increase the presence of ‘</w:t>
      </w:r>
      <w:r>
        <w:rPr>
          <w:rFonts w:ascii="Cambria" w:eastAsia="Calibri" w:hAnsi="Cambria"/>
          <w:i/>
        </w:rPr>
        <w:t xml:space="preserve">Ca. </w:t>
      </w:r>
      <w:r>
        <w:rPr>
          <w:rFonts w:ascii="Cambria" w:eastAsia="Calibri" w:hAnsi="Cambria"/>
        </w:rPr>
        <w:t>L. solanacearum’ in carrot fields from two percent to close to 100 percent after six months of cultivation (Bertolini et al. 2015).</w:t>
      </w:r>
    </w:p>
    <w:p w:rsidR="00AE7868" w:rsidRDefault="00FF2B57">
      <w:pPr>
        <w:pStyle w:val="dot0"/>
        <w:numPr>
          <w:ilvl w:val="0"/>
          <w:numId w:val="33"/>
        </w:numPr>
        <w:tabs>
          <w:tab w:val="clear" w:pos="360"/>
          <w:tab w:val="num" w:pos="284"/>
        </w:tabs>
        <w:spacing w:before="120" w:after="120"/>
        <w:ind w:left="284" w:hanging="284"/>
        <w:rPr>
          <w:rFonts w:ascii="Cambria" w:eastAsia="Calibri" w:hAnsi="Cambria"/>
        </w:rPr>
      </w:pPr>
      <w:r>
        <w:rPr>
          <w:rFonts w:ascii="Cambria" w:eastAsia="Calibri" w:hAnsi="Cambria"/>
        </w:rPr>
        <w:t>‘</w:t>
      </w:r>
      <w:r>
        <w:rPr>
          <w:rFonts w:ascii="Cambria" w:eastAsia="Calibri" w:hAnsi="Cambria"/>
          <w:i/>
        </w:rPr>
        <w:t>Ca</w:t>
      </w:r>
      <w:r>
        <w:rPr>
          <w:rFonts w:ascii="Cambria" w:eastAsia="Calibri" w:hAnsi="Cambria"/>
        </w:rPr>
        <w:t>. L. solanacearum’ associated with apiaceous crops and its vectors (</w:t>
      </w:r>
      <w:r>
        <w:rPr>
          <w:rFonts w:ascii="Cambria" w:hAnsi="Cambria"/>
          <w:i/>
        </w:rPr>
        <w:t>B. trigonica</w:t>
      </w:r>
      <w:r>
        <w:rPr>
          <w:rFonts w:ascii="Cambria" w:hAnsi="Cambria"/>
        </w:rPr>
        <w:t xml:space="preserve"> and</w:t>
      </w:r>
      <w:r>
        <w:rPr>
          <w:rFonts w:ascii="Cambria" w:hAnsi="Cambria"/>
          <w:i/>
        </w:rPr>
        <w:t xml:space="preserve"> T. apicalis</w:t>
      </w:r>
      <w:r>
        <w:rPr>
          <w:rFonts w:ascii="Cambria" w:hAnsi="Cambria"/>
        </w:rPr>
        <w:t xml:space="preserve">) </w:t>
      </w:r>
      <w:r>
        <w:rPr>
          <w:rFonts w:ascii="Cambria" w:eastAsia="Calibri" w:hAnsi="Cambria"/>
        </w:rPr>
        <w:t>are heat-sensitive (</w:t>
      </w:r>
      <w:r>
        <w:rPr>
          <w:rFonts w:ascii="Cambria" w:hAnsi="Cambria"/>
          <w:iCs/>
        </w:rPr>
        <w:t>Munyaneza 2012</w:t>
      </w:r>
      <w:r>
        <w:rPr>
          <w:rFonts w:ascii="Cambria" w:eastAsia="Calibri" w:hAnsi="Cambria"/>
        </w:rPr>
        <w:t>) and distributed in the Mediterranean region, and Northern and Central Europe (Haapalainen et al. 2014).</w:t>
      </w:r>
    </w:p>
    <w:p w:rsidR="00AE7868" w:rsidRDefault="00FF2B57">
      <w:pPr>
        <w:pStyle w:val="dot0"/>
        <w:numPr>
          <w:ilvl w:val="0"/>
          <w:numId w:val="33"/>
        </w:numPr>
        <w:tabs>
          <w:tab w:val="clear" w:pos="360"/>
          <w:tab w:val="num" w:pos="284"/>
        </w:tabs>
        <w:spacing w:before="120" w:after="120"/>
        <w:ind w:left="284" w:hanging="284"/>
        <w:rPr>
          <w:rFonts w:ascii="Cambria" w:hAnsi="Cambria"/>
        </w:rPr>
      </w:pPr>
      <w:r>
        <w:rPr>
          <w:rFonts w:ascii="Cambria" w:hAnsi="Cambria"/>
        </w:rPr>
        <w:t>Both ‘</w:t>
      </w:r>
      <w:r>
        <w:rPr>
          <w:rFonts w:ascii="Cambria" w:hAnsi="Cambria"/>
          <w:i/>
        </w:rPr>
        <w:t>Ca</w:t>
      </w:r>
      <w:r>
        <w:rPr>
          <w:rFonts w:ascii="Cambria" w:hAnsi="Cambria"/>
        </w:rPr>
        <w:t>. L. solanacearum’ and its vectors are less likely to spread to arid or semi-arid climates with low rainfall and high temperatures. Therefore, the spread of the pathogen and the psyllid is likely to be limited to the temperate southern regions and not to the subtropical and tropical northern regions, or arid central regions, of Australia.</w:t>
      </w:r>
    </w:p>
    <w:p w:rsidR="00AE7868" w:rsidRDefault="00FF2B57">
      <w:pPr>
        <w:pStyle w:val="dot0"/>
        <w:numPr>
          <w:ilvl w:val="0"/>
          <w:numId w:val="33"/>
        </w:numPr>
        <w:tabs>
          <w:tab w:val="clear" w:pos="360"/>
          <w:tab w:val="num" w:pos="284"/>
        </w:tabs>
        <w:spacing w:before="120" w:after="120"/>
        <w:ind w:left="284" w:hanging="284"/>
        <w:rPr>
          <w:rFonts w:ascii="Cambria" w:hAnsi="Cambria"/>
        </w:rPr>
      </w:pPr>
      <w:r>
        <w:rPr>
          <w:rFonts w:ascii="Cambria" w:hAnsi="Cambria"/>
        </w:rPr>
        <w:t>Psyllid vectors feeding on infected host plants are likely to acquire and maintain the bacterium (</w:t>
      </w:r>
      <w:r>
        <w:rPr>
          <w:rFonts w:ascii="Cambria" w:eastAsia="Calibri" w:hAnsi="Cambria"/>
        </w:rPr>
        <w:t>Haapalainen et al. 2014</w:t>
      </w:r>
      <w:r>
        <w:rPr>
          <w:rFonts w:ascii="Cambria" w:hAnsi="Cambria"/>
        </w:rPr>
        <w:t>). The natural spread of</w:t>
      </w:r>
      <w:r>
        <w:rPr>
          <w:rFonts w:ascii="Cambria" w:hAnsi="Cambria"/>
          <w:i/>
        </w:rPr>
        <w:t xml:space="preserve"> ‘Ca.</w:t>
      </w:r>
      <w:r>
        <w:rPr>
          <w:rFonts w:ascii="Cambria" w:hAnsi="Cambria"/>
        </w:rPr>
        <w:t xml:space="preserve"> L. solanacearum</w:t>
      </w:r>
      <w:r>
        <w:rPr>
          <w:rFonts w:ascii="Cambria" w:hAnsi="Cambria"/>
          <w:i/>
        </w:rPr>
        <w:t xml:space="preserve">’ </w:t>
      </w:r>
      <w:r>
        <w:rPr>
          <w:rFonts w:ascii="Cambria" w:hAnsi="Cambria"/>
        </w:rPr>
        <w:t>by its psyllid vectors will depend on the acquisition period, the latency period of the pathogen in the psyllid prior to transmission and the transmission efficiency.</w:t>
      </w:r>
    </w:p>
    <w:p w:rsidR="00AE7868" w:rsidRDefault="00FF2B57">
      <w:pPr>
        <w:pStyle w:val="dot0"/>
        <w:numPr>
          <w:ilvl w:val="1"/>
          <w:numId w:val="33"/>
        </w:numPr>
        <w:tabs>
          <w:tab w:val="clear" w:pos="1440"/>
          <w:tab w:val="num" w:pos="567"/>
        </w:tabs>
        <w:spacing w:before="120" w:after="120"/>
        <w:ind w:left="568" w:hanging="284"/>
        <w:rPr>
          <w:rFonts w:ascii="Cambria" w:eastAsia="Calibri" w:hAnsi="Cambria"/>
        </w:rPr>
      </w:pPr>
      <w:r>
        <w:rPr>
          <w:rFonts w:ascii="Cambria" w:hAnsi="Cambria"/>
          <w:lang w:val="en-GB"/>
        </w:rPr>
        <w:t xml:space="preserve">Psyllids acquire the bacterium within two hours of colonising the plant (Munyaneza 2010). The bacterium multiplies in the psyllid and </w:t>
      </w:r>
      <w:r>
        <w:rPr>
          <w:rFonts w:ascii="Cambria" w:eastAsia="Cambria" w:hAnsi="Cambria" w:cs="MeridienLTStd-Roman"/>
        </w:rPr>
        <w:t xml:space="preserve">transmission occurs within three days (Nissinen et al. 2014). The symptoms of leaf discolouration in carrot become visible within 1–1.5 months </w:t>
      </w:r>
      <w:r>
        <w:rPr>
          <w:rFonts w:ascii="Cambria" w:eastAsia="Cambria" w:hAnsi="Cambria" w:cs="AdvPSSAB-R"/>
        </w:rPr>
        <w:t xml:space="preserve">(Nissinen </w:t>
      </w:r>
      <w:r>
        <w:rPr>
          <w:rFonts w:ascii="Cambria" w:eastAsia="Cambria" w:hAnsi="Cambria" w:cs="AdvPSSAB-I"/>
        </w:rPr>
        <w:t>et al.</w:t>
      </w:r>
      <w:r>
        <w:rPr>
          <w:rFonts w:ascii="Cambria" w:eastAsia="Cambria" w:hAnsi="Cambria" w:cs="AdvPSSAB-R"/>
        </w:rPr>
        <w:t xml:space="preserve"> 2007; 2012).</w:t>
      </w:r>
    </w:p>
    <w:p w:rsidR="00AE7868" w:rsidRDefault="00FF2B57">
      <w:pPr>
        <w:pStyle w:val="dot0"/>
        <w:numPr>
          <w:ilvl w:val="1"/>
          <w:numId w:val="33"/>
        </w:numPr>
        <w:tabs>
          <w:tab w:val="clear" w:pos="1440"/>
          <w:tab w:val="num" w:pos="567"/>
        </w:tabs>
        <w:spacing w:before="120" w:after="120"/>
        <w:ind w:left="568" w:hanging="284"/>
        <w:rPr>
          <w:rFonts w:ascii="Cambria" w:hAnsi="Cambria"/>
        </w:rPr>
      </w:pPr>
      <w:r>
        <w:rPr>
          <w:rFonts w:ascii="Cambria" w:eastAsia="Cambria" w:hAnsi="Cambria" w:cs="MeridienLTStd-Roman"/>
        </w:rPr>
        <w:lastRenderedPageBreak/>
        <w:t>‘</w:t>
      </w:r>
      <w:r>
        <w:rPr>
          <w:rFonts w:ascii="Cambria" w:eastAsia="Cambria" w:hAnsi="Cambria" w:cs="MeridienLTStd-Roman"/>
          <w:i/>
        </w:rPr>
        <w:t>Ca</w:t>
      </w:r>
      <w:r>
        <w:rPr>
          <w:rFonts w:ascii="Cambria" w:eastAsia="Cambria" w:hAnsi="Cambria" w:cs="MeridienLTStd-Roman"/>
        </w:rPr>
        <w:t>. L. solanacearum’ titre in the exposed carrot crops correlates with the ‘</w:t>
      </w:r>
      <w:r>
        <w:rPr>
          <w:rFonts w:ascii="Cambria" w:eastAsia="Cambria" w:hAnsi="Cambria" w:cs="MeridienLTStd-Roman"/>
          <w:i/>
        </w:rPr>
        <w:t>Ca</w:t>
      </w:r>
      <w:r>
        <w:rPr>
          <w:rFonts w:ascii="Cambria" w:eastAsia="Cambria" w:hAnsi="Cambria" w:cs="MeridienLTStd-Roman"/>
        </w:rPr>
        <w:t>. L. solanacearum’ titre in the psyllids. A high ‘</w:t>
      </w:r>
      <w:r>
        <w:rPr>
          <w:rFonts w:ascii="Cambria" w:eastAsia="Cambria" w:hAnsi="Cambria" w:cs="MeridienLTStd-Roman"/>
          <w:i/>
        </w:rPr>
        <w:t>Ca</w:t>
      </w:r>
      <w:r>
        <w:rPr>
          <w:rFonts w:ascii="Cambria" w:eastAsia="Cambria" w:hAnsi="Cambria" w:cs="MeridienLTStd-Roman"/>
        </w:rPr>
        <w:t>. L. solanacearum’ titre in the plants significantly reduced the root weight, while not affecting the number of curled leaves. This suggests that the leaf-curling symptom is caused by the psyllid feeding alone, and that the subsequent leaf discolouration symptom is caused by the multiplication of the bacteria (Nissinen et al. 2014).</w:t>
      </w:r>
    </w:p>
    <w:p w:rsidR="00AE7868" w:rsidRDefault="00FF2B57">
      <w:pPr>
        <w:pStyle w:val="dot0"/>
        <w:numPr>
          <w:ilvl w:val="0"/>
          <w:numId w:val="33"/>
        </w:numPr>
        <w:tabs>
          <w:tab w:val="clear" w:pos="360"/>
          <w:tab w:val="num" w:pos="284"/>
        </w:tabs>
        <w:spacing w:before="120" w:after="120"/>
        <w:ind w:left="284" w:hanging="284"/>
        <w:rPr>
          <w:rFonts w:ascii="Cambria" w:eastAsia="Cambria" w:hAnsi="Cambria" w:cs="MeridienLTStd-Roman"/>
        </w:rPr>
      </w:pPr>
      <w:r>
        <w:rPr>
          <w:rFonts w:ascii="Cambria" w:eastAsia="Cambria" w:hAnsi="Cambria" w:cs="Trebuchet MS"/>
          <w:i/>
        </w:rPr>
        <w:t xml:space="preserve">Trioza apicalis </w:t>
      </w:r>
      <w:r>
        <w:rPr>
          <w:rFonts w:ascii="Cambria" w:eastAsia="Cambria" w:hAnsi="Cambria" w:cs="Trebuchet MS"/>
        </w:rPr>
        <w:t xml:space="preserve">has a strong preference for its summer host and chooses carrots over other host plants (Rygg 1977; Nehlin et al. 1996). </w:t>
      </w:r>
      <w:r>
        <w:rPr>
          <w:rFonts w:ascii="Cambria" w:eastAsia="Calibri" w:hAnsi="Cambria"/>
          <w:i/>
        </w:rPr>
        <w:t xml:space="preserve">Trioza apicalis </w:t>
      </w:r>
      <w:r>
        <w:rPr>
          <w:rFonts w:ascii="Cambria" w:eastAsia="Calibri" w:hAnsi="Cambria"/>
        </w:rPr>
        <w:t>has one generation per year and overwinters as an adult on conifers, favouring Norway spruce (</w:t>
      </w:r>
      <w:r>
        <w:rPr>
          <w:rFonts w:ascii="Cambria" w:eastAsia="Calibri" w:hAnsi="Cambria"/>
          <w:i/>
        </w:rPr>
        <w:t>Picea abies</w:t>
      </w:r>
      <w:r>
        <w:rPr>
          <w:rFonts w:ascii="Cambria" w:eastAsia="Calibri" w:hAnsi="Cambria"/>
        </w:rPr>
        <w:t>)</w:t>
      </w:r>
      <w:r>
        <w:rPr>
          <w:rFonts w:ascii="Cambria" w:eastAsia="Calibri" w:hAnsi="Cambria"/>
          <w:i/>
        </w:rPr>
        <w:t xml:space="preserve"> </w:t>
      </w:r>
      <w:r>
        <w:rPr>
          <w:rFonts w:ascii="Cambria" w:eastAsia="Calibri" w:hAnsi="Cambria"/>
        </w:rPr>
        <w:t xml:space="preserve">as the winter host (Kristoffersen &amp; Anderbrant 2007). </w:t>
      </w:r>
      <w:r>
        <w:rPr>
          <w:rFonts w:ascii="Cambria" w:eastAsia="Cambria" w:hAnsi="Cambria" w:cs="MeridienLTStd-Roman"/>
        </w:rPr>
        <w:t xml:space="preserve">Overwintering adult </w:t>
      </w:r>
      <w:r>
        <w:rPr>
          <w:rFonts w:ascii="Cambria" w:eastAsia="Cambria" w:hAnsi="Cambria" w:cs="MeridienLTStd-Roman"/>
          <w:i/>
        </w:rPr>
        <w:t>T. apicalis</w:t>
      </w:r>
      <w:r>
        <w:rPr>
          <w:rFonts w:ascii="Cambria" w:eastAsia="Cambria" w:hAnsi="Cambria" w:cs="MeridienLTStd-Roman"/>
        </w:rPr>
        <w:t xml:space="preserve"> usually start migrating to carrot fields during early summer. They feed and lay eggs on carrot plants during summer </w:t>
      </w:r>
      <w:r>
        <w:rPr>
          <w:rFonts w:ascii="Cambria" w:eastAsia="Calibri" w:hAnsi="Cambria"/>
        </w:rPr>
        <w:t>(Kristoffersen &amp; Anderbrant 2007). Both the summer and winter hosts of this psyllid are present in Australia.</w:t>
      </w:r>
    </w:p>
    <w:p w:rsidR="00AE7868" w:rsidRDefault="00FF2B57">
      <w:pPr>
        <w:pStyle w:val="dot0"/>
        <w:numPr>
          <w:ilvl w:val="0"/>
          <w:numId w:val="33"/>
        </w:numPr>
        <w:tabs>
          <w:tab w:val="clear" w:pos="360"/>
          <w:tab w:val="num" w:pos="284"/>
        </w:tabs>
        <w:spacing w:before="120" w:after="120"/>
        <w:ind w:left="284" w:hanging="284"/>
        <w:rPr>
          <w:rFonts w:ascii="Cambria" w:eastAsia="Calibri" w:hAnsi="Cambria"/>
        </w:rPr>
      </w:pPr>
      <w:r>
        <w:rPr>
          <w:rFonts w:ascii="Cambria" w:eastAsia="Calibri" w:hAnsi="Cambria"/>
        </w:rPr>
        <w:t>The factors triggering the carrot psyllid migration from overwintering hosts to carrots are not known. Terpenes produced in spruce needles may play a role in migration (Schönwitz et al. 1990). Out of the terpenes, limonene was the most effective repellent of psyllids in carrot fields (Nehlin et al. 1996).</w:t>
      </w:r>
      <w:r>
        <w:rPr>
          <w:rFonts w:ascii="Cambria" w:eastAsia="Cambria" w:hAnsi="Cambria" w:cs="MeridienLTStd-Roman"/>
        </w:rPr>
        <w:t xml:space="preserve"> Therefore, it has been suggested that that changes in the concentration of secondary metabolites in the winter host plant (i.e. Norway spruce) could affect the migration of the carrot psyllid (Nissinen et al. 2008).</w:t>
      </w:r>
    </w:p>
    <w:p w:rsidR="00AE7868" w:rsidRDefault="00FF2B57">
      <w:pPr>
        <w:pStyle w:val="dot0"/>
        <w:numPr>
          <w:ilvl w:val="0"/>
          <w:numId w:val="33"/>
        </w:numPr>
        <w:tabs>
          <w:tab w:val="clear" w:pos="360"/>
          <w:tab w:val="num" w:pos="284"/>
        </w:tabs>
        <w:spacing w:before="120" w:after="120"/>
        <w:ind w:left="284" w:hanging="284"/>
        <w:rPr>
          <w:rFonts w:ascii="Cambria" w:eastAsia="Calibri" w:hAnsi="Cambria"/>
        </w:rPr>
      </w:pPr>
      <w:r>
        <w:rPr>
          <w:rFonts w:ascii="Cambria" w:eastAsia="Cambria" w:hAnsi="Cambria" w:cs="MeridienLTStd-Roman"/>
        </w:rPr>
        <w:lastRenderedPageBreak/>
        <w:t xml:space="preserve">The total number of eggs laid by a mated female psyllid is between one hundred and one thousand (Hodkinson 2009); thus, psyllid populations can grow very rapidly. </w:t>
      </w:r>
      <w:r>
        <w:rPr>
          <w:rFonts w:ascii="Cambria" w:eastAsia="Calibri" w:hAnsi="Cambria"/>
          <w:i/>
        </w:rPr>
        <w:t xml:space="preserve">Trioza apicalis </w:t>
      </w:r>
      <w:r>
        <w:rPr>
          <w:rFonts w:ascii="Cambria" w:eastAsia="Calibri" w:hAnsi="Cambria"/>
        </w:rPr>
        <w:t>females are able to lay up to 900 eggs during their lifespan (Láska 1964 cited in Nissinen et al. 2014) and they need a high amount of nutrients to produce such a high number of eggs. This is likely to increase the time females spend feeding and increase the time during which the females can transmit the ‘</w:t>
      </w:r>
      <w:r>
        <w:rPr>
          <w:rFonts w:ascii="Cambria" w:eastAsia="Calibri" w:hAnsi="Cambria"/>
          <w:i/>
        </w:rPr>
        <w:t>Ca</w:t>
      </w:r>
      <w:r>
        <w:rPr>
          <w:rFonts w:ascii="Cambria" w:eastAsia="Calibri" w:hAnsi="Cambria"/>
        </w:rPr>
        <w:t>. L. solanacearum’ bacteria into the plant phloem.</w:t>
      </w:r>
    </w:p>
    <w:p w:rsidR="00AE7868" w:rsidRDefault="00FF2B57">
      <w:pPr>
        <w:pStyle w:val="dot0"/>
        <w:numPr>
          <w:ilvl w:val="0"/>
          <w:numId w:val="33"/>
        </w:numPr>
        <w:tabs>
          <w:tab w:val="clear" w:pos="360"/>
          <w:tab w:val="num" w:pos="284"/>
        </w:tabs>
        <w:spacing w:before="120" w:after="120"/>
        <w:ind w:left="284" w:hanging="284"/>
        <w:rPr>
          <w:rFonts w:ascii="Cambria" w:eastAsia="Cambria" w:hAnsi="Cambria" w:cs="TimesNewRomanPS-ItalicMT"/>
          <w:iCs/>
        </w:rPr>
      </w:pPr>
      <w:r>
        <w:rPr>
          <w:rFonts w:ascii="Cambria" w:eastAsia="Cambria" w:hAnsi="Cambria" w:cs="TimesNewRomanPSMT"/>
        </w:rPr>
        <w:t>Psyllids are highly</w:t>
      </w:r>
      <w:r>
        <w:rPr>
          <w:rFonts w:ascii="AdvP497E2" w:eastAsia="AdvP497E2" w:hAnsi="Cambria" w:cs="AdvP497E2"/>
        </w:rPr>
        <w:t xml:space="preserve"> </w:t>
      </w:r>
      <w:r>
        <w:rPr>
          <w:rFonts w:ascii="Cambria" w:eastAsia="Cambria" w:hAnsi="Cambria" w:cs="TimesNewRomanPSMT"/>
        </w:rPr>
        <w:t xml:space="preserve">effective dispersers over both short and long distances, although in almost all cases dispersal is wind assisted. </w:t>
      </w:r>
      <w:r>
        <w:rPr>
          <w:rFonts w:ascii="Cambria" w:eastAsia="Cambria" w:hAnsi="Cambria" w:cs="MeridienLTStd-Roman"/>
        </w:rPr>
        <w:t xml:space="preserve">The maximum distance that the carrot psyllid can fly is not known (Kristoffersen &amp; Anderbrant 2007). However, </w:t>
      </w:r>
      <w:r>
        <w:rPr>
          <w:rFonts w:ascii="Cambria" w:eastAsia="Cambria" w:hAnsi="Cambria" w:cs="TimesNewRomanPSMT"/>
          <w:i/>
        </w:rPr>
        <w:t>Trioza apicalis</w:t>
      </w:r>
      <w:r>
        <w:rPr>
          <w:rFonts w:ascii="Cambria" w:eastAsia="Cambria" w:hAnsi="Cambria" w:cs="TimesNewRomanPSMT"/>
        </w:rPr>
        <w:t xml:space="preserve"> is known to move up to one kilometre to shelter plants to overwinter (Kristoffersen &amp; Anderbrant 2007). </w:t>
      </w:r>
    </w:p>
    <w:p w:rsidR="00AE7868" w:rsidRDefault="00FF2B57">
      <w:pPr>
        <w:pStyle w:val="dot0"/>
        <w:numPr>
          <w:ilvl w:val="0"/>
          <w:numId w:val="33"/>
        </w:numPr>
        <w:tabs>
          <w:tab w:val="clear" w:pos="360"/>
          <w:tab w:val="num" w:pos="284"/>
        </w:tabs>
        <w:spacing w:before="120" w:after="120"/>
        <w:ind w:left="284" w:hanging="284"/>
        <w:rPr>
          <w:rFonts w:ascii="Cambria" w:eastAsia="Cambria" w:hAnsi="Cambria" w:cs="TimesNewRomanPSMT"/>
        </w:rPr>
      </w:pPr>
      <w:r>
        <w:rPr>
          <w:rFonts w:ascii="Cambria" w:eastAsia="Cambria" w:hAnsi="Cambria" w:cs="TimesNewRomanPS-ItalicMT"/>
          <w:iCs/>
        </w:rPr>
        <w:t xml:space="preserve">The </w:t>
      </w:r>
      <w:r>
        <w:rPr>
          <w:rFonts w:ascii="Cambria" w:eastAsia="Cambria" w:hAnsi="Cambria" w:cs="TimesNewRomanPS-ItalicMT"/>
          <w:i/>
          <w:iCs/>
        </w:rPr>
        <w:t xml:space="preserve">‘B. nigricornis </w:t>
      </w:r>
      <w:r>
        <w:rPr>
          <w:rFonts w:ascii="Cambria" w:eastAsia="Cambria" w:hAnsi="Cambria" w:cs="TimesNewRomanPS-ItalicMT"/>
          <w:iCs/>
        </w:rPr>
        <w:t>group’</w:t>
      </w:r>
      <w:r>
        <w:rPr>
          <w:rFonts w:ascii="Cambria" w:eastAsia="Cambria" w:hAnsi="Cambria" w:cs="TimesNewRomanPSMT"/>
          <w:iCs/>
        </w:rPr>
        <w:t xml:space="preserve"> </w:t>
      </w:r>
      <w:r>
        <w:rPr>
          <w:rFonts w:ascii="Cambria" w:eastAsia="Cambria" w:hAnsi="Cambria" w:cs="TimesNewRomanPSMT"/>
        </w:rPr>
        <w:t xml:space="preserve">(Hodkinson 1981) has polyphagous habits and overlapping areas of distribution and is widely distributed in the Mediterranean region (Ouvrard 2015). The </w:t>
      </w:r>
      <w:r>
        <w:rPr>
          <w:rFonts w:ascii="Cambria" w:eastAsia="Cambria" w:hAnsi="Cambria" w:cs="TimesNewRomanPS-ItalicMT"/>
          <w:i/>
          <w:iCs/>
        </w:rPr>
        <w:t>‘B. nigricornis</w:t>
      </w:r>
      <w:r>
        <w:rPr>
          <w:rFonts w:ascii="Cambria" w:eastAsia="Cambria" w:hAnsi="Cambria" w:cs="TimesNewRomanPSMT"/>
          <w:i/>
          <w:iCs/>
        </w:rPr>
        <w:t xml:space="preserve"> </w:t>
      </w:r>
      <w:r>
        <w:rPr>
          <w:rFonts w:ascii="Cambria" w:eastAsia="Cambria" w:hAnsi="Cambria" w:cs="TimesNewRomanPSMT"/>
        </w:rPr>
        <w:t>group’ feeds on a variety of herbaceous plants, including beet, cabbage, carrot, onion, parsley, potato (Burckhardt &amp; Lauterer 1997) and celery (Alfaro-Fernández</w:t>
      </w:r>
      <w:r>
        <w:rPr>
          <w:rFonts w:ascii="Cambria" w:eastAsia="Cambria" w:hAnsi="Cambria" w:cs="TimesNewRomanPS-ItalicMT"/>
          <w:iCs/>
        </w:rPr>
        <w:t xml:space="preserve"> et a</w:t>
      </w:r>
      <w:r>
        <w:rPr>
          <w:rFonts w:ascii="Cambria" w:eastAsia="Cambria" w:hAnsi="Cambria" w:cs="TimesNewRomanPSMT"/>
          <w:iCs/>
        </w:rPr>
        <w:t>l</w:t>
      </w:r>
      <w:r>
        <w:rPr>
          <w:rFonts w:ascii="Cambria" w:eastAsia="Cambria" w:hAnsi="Cambria" w:cs="TimesNewRomanPSMT"/>
        </w:rPr>
        <w:t>. 2012a; Bertolini et al. 2015).</w:t>
      </w:r>
    </w:p>
    <w:p w:rsidR="00AE7868" w:rsidRDefault="00FF2B57">
      <w:pPr>
        <w:pStyle w:val="dot0"/>
        <w:numPr>
          <w:ilvl w:val="0"/>
          <w:numId w:val="33"/>
        </w:numPr>
        <w:tabs>
          <w:tab w:val="clear" w:pos="360"/>
          <w:tab w:val="num" w:pos="284"/>
        </w:tabs>
        <w:spacing w:before="120" w:after="120"/>
        <w:ind w:left="284" w:hanging="284"/>
        <w:rPr>
          <w:rFonts w:ascii="Cambria" w:hAnsi="Cambria"/>
          <w:lang w:val="en-GB"/>
        </w:rPr>
      </w:pPr>
      <w:r>
        <w:rPr>
          <w:rFonts w:ascii="Cambria" w:eastAsia="Cambria" w:hAnsi="Cambria" w:cs="TimesNewRomanPSMT"/>
        </w:rPr>
        <w:t>The</w:t>
      </w:r>
      <w:r>
        <w:rPr>
          <w:rFonts w:ascii="Cambria" w:eastAsia="Cambria" w:hAnsi="Cambria" w:cs="TimesNewRomanPSMT"/>
          <w:i/>
        </w:rPr>
        <w:t xml:space="preserve"> ‘B. nigricornis</w:t>
      </w:r>
      <w:r>
        <w:rPr>
          <w:rFonts w:ascii="Cambria" w:eastAsia="Cambria" w:hAnsi="Cambria" w:cs="TimesNewRomanPSMT"/>
        </w:rPr>
        <w:t xml:space="preserve"> group’ is composed of multivoltine species, having two or three generations per year, which feed on carrots and other herbaceous crops (Hodkinson 2009). Eggs are laid on the host foliage and the entire duration of the lifecycle is four to five weeks; but </w:t>
      </w:r>
      <w:r>
        <w:rPr>
          <w:rFonts w:ascii="Cambria" w:eastAsia="Cambria" w:hAnsi="Cambria" w:cs="TimesNewRomanPSMT"/>
        </w:rPr>
        <w:lastRenderedPageBreak/>
        <w:t xml:space="preserve">this varies considerably depending on the hosts and temperatures. The adults overwinter in evergreen shrubs (Hodkinson 2009). </w:t>
      </w:r>
      <w:r>
        <w:rPr>
          <w:rFonts w:ascii="Cambria" w:hAnsi="Cambria"/>
          <w:lang w:val="en-GB"/>
        </w:rPr>
        <w:t xml:space="preserve">Short development times and high rates of oviposition allow populations to increase explosively under optimal conditions (Liu &amp; Trumble 2004). </w:t>
      </w:r>
    </w:p>
    <w:p w:rsidR="00AE7868" w:rsidRDefault="00FF2B57">
      <w:pPr>
        <w:pStyle w:val="dot0"/>
        <w:numPr>
          <w:ilvl w:val="0"/>
          <w:numId w:val="33"/>
        </w:numPr>
        <w:tabs>
          <w:tab w:val="clear" w:pos="360"/>
          <w:tab w:val="num" w:pos="284"/>
        </w:tabs>
        <w:spacing w:before="120" w:after="120"/>
        <w:ind w:left="284" w:hanging="284"/>
        <w:rPr>
          <w:rFonts w:ascii="Cambria" w:eastAsia="Cambria" w:hAnsi="Cambria" w:cs="TimesNewRomanPSMT"/>
        </w:rPr>
      </w:pPr>
      <w:r>
        <w:rPr>
          <w:rFonts w:ascii="Cambria" w:eastAsia="Cambria" w:hAnsi="Cambria" w:cs="TimesNewRomanPS-ItalicMT"/>
          <w:i/>
          <w:iCs/>
        </w:rPr>
        <w:t xml:space="preserve">Bactericera tremblayi </w:t>
      </w:r>
      <w:r>
        <w:rPr>
          <w:rFonts w:ascii="Cambria" w:eastAsia="Cambria" w:hAnsi="Cambria" w:cs="TimesNewRomanPSMT"/>
        </w:rPr>
        <w:t xml:space="preserve">is associated with Mediterranean climates; however, </w:t>
      </w:r>
      <w:r>
        <w:rPr>
          <w:rFonts w:ascii="Cambria" w:eastAsia="Cambria" w:hAnsi="Cambria" w:cs="TimesNewRomanPS-ItalicMT"/>
          <w:i/>
          <w:iCs/>
        </w:rPr>
        <w:t xml:space="preserve">B. nigricornis </w:t>
      </w:r>
      <w:r>
        <w:rPr>
          <w:rFonts w:ascii="Cambria" w:eastAsia="Cambria" w:hAnsi="Cambria" w:cs="TimesNewRomanPS-ItalicMT"/>
          <w:iCs/>
        </w:rPr>
        <w:t xml:space="preserve">and </w:t>
      </w:r>
      <w:r>
        <w:rPr>
          <w:rFonts w:ascii="Cambria" w:eastAsia="Cambria" w:hAnsi="Cambria" w:cs="TimesNewRomanPS-ItalicMT"/>
          <w:i/>
          <w:iCs/>
        </w:rPr>
        <w:t>B. trigonica</w:t>
      </w:r>
      <w:r>
        <w:rPr>
          <w:rFonts w:ascii="Cambria" w:eastAsia="Cambria" w:hAnsi="Cambria" w:cs="TimesNewRomanPSMT"/>
        </w:rPr>
        <w:t xml:space="preserve">, which are also found in these regions, are associated with more temperate climates </w:t>
      </w:r>
      <w:r>
        <w:rPr>
          <w:rFonts w:ascii="Cambria" w:hAnsi="Cambria"/>
        </w:rPr>
        <w:t>(Teresani et al. 2015). Suitable climates are present in parts of Australia, which is likely to assist in the spread of these vectors.</w:t>
      </w:r>
    </w:p>
    <w:p w:rsidR="00AE7868" w:rsidRDefault="00FF2B57">
      <w:pPr>
        <w:pStyle w:val="dot0"/>
        <w:numPr>
          <w:ilvl w:val="0"/>
          <w:numId w:val="33"/>
        </w:numPr>
        <w:tabs>
          <w:tab w:val="clear" w:pos="360"/>
          <w:tab w:val="num" w:pos="284"/>
        </w:tabs>
        <w:spacing w:before="120" w:after="120"/>
        <w:ind w:left="284" w:hanging="284"/>
        <w:rPr>
          <w:rFonts w:ascii="Cambria" w:eastAsia="Calibri" w:hAnsi="Cambria"/>
        </w:rPr>
      </w:pPr>
      <w:r>
        <w:rPr>
          <w:rFonts w:ascii="Cambria" w:eastAsia="Calibri" w:hAnsi="Cambria"/>
        </w:rPr>
        <w:t xml:space="preserve">The spread of the bacterium in the presence of the vector can be dramatic. For example, in the presence of </w:t>
      </w:r>
      <w:r>
        <w:rPr>
          <w:rFonts w:ascii="Cambria" w:eastAsia="Calibri" w:hAnsi="Cambria"/>
          <w:i/>
        </w:rPr>
        <w:t>B. trigonica</w:t>
      </w:r>
      <w:r>
        <w:rPr>
          <w:rFonts w:ascii="Cambria" w:eastAsia="Calibri" w:hAnsi="Cambria"/>
        </w:rPr>
        <w:t>, ‘</w:t>
      </w:r>
      <w:r>
        <w:rPr>
          <w:rFonts w:ascii="Cambria" w:eastAsia="Calibri" w:hAnsi="Cambria"/>
          <w:i/>
        </w:rPr>
        <w:t>Ca</w:t>
      </w:r>
      <w:r>
        <w:rPr>
          <w:rFonts w:ascii="Cambria" w:eastAsia="Calibri" w:hAnsi="Cambria"/>
        </w:rPr>
        <w:t>. L. solanacearum’ spread across an entire carrot field to infect 100 percent of the crop (Bertolini et al. 2015). Therefore, the presence of the vector, the bacterium can spread locally very quickly.</w:t>
      </w:r>
    </w:p>
    <w:p w:rsidR="00AE7868" w:rsidRDefault="00FF2B57">
      <w:pPr>
        <w:pStyle w:val="dot0"/>
        <w:numPr>
          <w:ilvl w:val="0"/>
          <w:numId w:val="33"/>
        </w:numPr>
        <w:tabs>
          <w:tab w:val="clear" w:pos="360"/>
          <w:tab w:val="num" w:pos="284"/>
        </w:tabs>
        <w:spacing w:before="120" w:after="120"/>
        <w:ind w:left="284" w:hanging="284"/>
        <w:rPr>
          <w:rFonts w:ascii="Cambria" w:eastAsia="Calibri" w:hAnsi="Cambria"/>
        </w:rPr>
      </w:pPr>
      <w:r>
        <w:rPr>
          <w:rFonts w:ascii="Cambria" w:eastAsia="Calibri" w:hAnsi="Cambria"/>
        </w:rPr>
        <w:t xml:space="preserve">The presence of natural barriers such as arid areas, mountain ranges, climatic differentials and possible long distances between suitable hosts, may limit the ability of </w:t>
      </w:r>
      <w:r>
        <w:rPr>
          <w:rFonts w:ascii="Cambria" w:eastAsia="Calibri" w:hAnsi="Cambria"/>
          <w:i/>
        </w:rPr>
        <w:t>B</w:t>
      </w:r>
      <w:r>
        <w:rPr>
          <w:rFonts w:ascii="Cambria" w:eastAsia="Cambria" w:hAnsi="Cambria" w:cs="TimesNewRomanPS-ItalicMT"/>
          <w:i/>
          <w:iCs/>
        </w:rPr>
        <w:t>actericera</w:t>
      </w:r>
      <w:r>
        <w:rPr>
          <w:rFonts w:ascii="Cambria" w:eastAsia="Calibri" w:hAnsi="Cambria"/>
          <w:i/>
        </w:rPr>
        <w:t xml:space="preserve"> </w:t>
      </w:r>
      <w:r>
        <w:rPr>
          <w:rFonts w:ascii="Cambria" w:eastAsia="Calibri" w:hAnsi="Cambria"/>
        </w:rPr>
        <w:t xml:space="preserve">species and </w:t>
      </w:r>
      <w:r>
        <w:rPr>
          <w:rFonts w:ascii="Cambria" w:eastAsia="Calibri" w:hAnsi="Cambria"/>
          <w:i/>
        </w:rPr>
        <w:t xml:space="preserve">T. apicalis </w:t>
      </w:r>
      <w:r>
        <w:rPr>
          <w:rFonts w:ascii="Cambria" w:eastAsia="Calibri" w:hAnsi="Cambria"/>
          <w:iCs/>
        </w:rPr>
        <w:t>to spread</w:t>
      </w:r>
      <w:r>
        <w:rPr>
          <w:rFonts w:ascii="Cambria" w:eastAsia="Calibri" w:hAnsi="Cambria"/>
        </w:rPr>
        <w:t xml:space="preserve"> ‘</w:t>
      </w:r>
      <w:r>
        <w:rPr>
          <w:rFonts w:ascii="Cambria" w:eastAsia="Calibri" w:hAnsi="Cambria"/>
          <w:i/>
        </w:rPr>
        <w:t>Ca</w:t>
      </w:r>
      <w:r>
        <w:rPr>
          <w:rFonts w:ascii="Cambria" w:eastAsia="Calibri" w:hAnsi="Cambria"/>
        </w:rPr>
        <w:t>. L. solanacearum’ to new areas within Australia. However, passive movement of the psyllid, for instance by wind, indicates that infected psyllids could overcome the natural barriers in Australia and spread the bacterium in suitable environments.</w:t>
      </w:r>
    </w:p>
    <w:p w:rsidR="00AE7868" w:rsidRDefault="00FF2B57">
      <w:pPr>
        <w:pStyle w:val="dot0"/>
        <w:numPr>
          <w:ilvl w:val="0"/>
          <w:numId w:val="33"/>
        </w:numPr>
        <w:tabs>
          <w:tab w:val="num" w:pos="284"/>
        </w:tabs>
        <w:spacing w:before="120" w:after="120"/>
        <w:ind w:left="284"/>
        <w:rPr>
          <w:rFonts w:ascii="Cambria" w:eastAsia="Calibri" w:hAnsi="Cambria"/>
        </w:rPr>
      </w:pPr>
      <w:r>
        <w:rPr>
          <w:rFonts w:ascii="Cambria" w:eastAsia="Calibri" w:hAnsi="Cambria"/>
          <w:i/>
        </w:rPr>
        <w:lastRenderedPageBreak/>
        <w:t xml:space="preserve">Bactericera </w:t>
      </w:r>
      <w:r>
        <w:rPr>
          <w:rFonts w:ascii="Cambria" w:eastAsia="Calibri" w:hAnsi="Cambria"/>
        </w:rPr>
        <w:t xml:space="preserve">species feed and reproduce on a wide variety of hosts including carrot, celery and potato, whereas </w:t>
      </w:r>
      <w:r>
        <w:rPr>
          <w:rFonts w:ascii="Cambria" w:eastAsia="Calibri" w:hAnsi="Cambria"/>
          <w:i/>
        </w:rPr>
        <w:t xml:space="preserve">T. apicalis </w:t>
      </w:r>
      <w:r>
        <w:rPr>
          <w:rFonts w:ascii="Cambria" w:eastAsia="Calibri" w:hAnsi="Cambria"/>
        </w:rPr>
        <w:t>preferably feed and breed on carrot, coriander and caraway (Valterov</w:t>
      </w:r>
      <w:r>
        <w:rPr>
          <w:rFonts w:ascii="Times New Roman" w:eastAsia="Calibri" w:hAnsi="Times New Roman" w:cs="Times New Roman"/>
        </w:rPr>
        <w:t>á</w:t>
      </w:r>
      <w:r>
        <w:rPr>
          <w:rFonts w:ascii="Cambria" w:eastAsia="Calibri" w:hAnsi="Cambria"/>
        </w:rPr>
        <w:t xml:space="preserve"> et al. 1997). These hosts are widespread in commercial, natural and urban environments of Australia. This makes it increasingly likely that the vectors would spread ‘</w:t>
      </w:r>
      <w:r>
        <w:rPr>
          <w:rFonts w:ascii="Cambria" w:eastAsia="Calibri" w:hAnsi="Cambria"/>
          <w:i/>
        </w:rPr>
        <w:t>Ca</w:t>
      </w:r>
      <w:r>
        <w:rPr>
          <w:rFonts w:ascii="Cambria" w:eastAsia="Calibri" w:hAnsi="Cambria"/>
        </w:rPr>
        <w:t>. L. solanacearum’ to suitable hosts, if introduced to Australia.</w:t>
      </w:r>
    </w:p>
    <w:p w:rsidR="00AE7868" w:rsidRDefault="00FF2B57">
      <w:pPr>
        <w:pStyle w:val="dot0"/>
        <w:numPr>
          <w:ilvl w:val="0"/>
          <w:numId w:val="33"/>
        </w:numPr>
        <w:tabs>
          <w:tab w:val="clear" w:pos="360"/>
          <w:tab w:val="num" w:pos="284"/>
        </w:tabs>
        <w:spacing w:before="120" w:after="120"/>
        <w:ind w:left="284" w:hanging="284"/>
        <w:rPr>
          <w:rFonts w:ascii="Cambria" w:eastAsia="Calibri" w:hAnsi="Cambria"/>
        </w:rPr>
      </w:pPr>
      <w:r>
        <w:rPr>
          <w:rFonts w:ascii="Cambria" w:eastAsia="Calibri" w:hAnsi="Cambria"/>
        </w:rPr>
        <w:t xml:space="preserve">Temperature and humidity may affect both the absolute distribution and the relative breeding success of a psyllid species across its range (Hodkinson 2009). Overlapping host ranges would provide ample opportunity for </w:t>
      </w:r>
      <w:r>
        <w:rPr>
          <w:rFonts w:ascii="Cambria" w:eastAsia="Calibri" w:hAnsi="Cambria"/>
          <w:i/>
        </w:rPr>
        <w:t>B. nigricornis</w:t>
      </w:r>
      <w:r>
        <w:rPr>
          <w:rFonts w:ascii="Cambria" w:eastAsia="Calibri" w:hAnsi="Cambria"/>
        </w:rPr>
        <w:t xml:space="preserve"> (which can feed on carrot and celery) to acquire ‘</w:t>
      </w:r>
      <w:r>
        <w:rPr>
          <w:rFonts w:ascii="Cambria" w:eastAsia="Calibri" w:hAnsi="Cambria"/>
          <w:i/>
        </w:rPr>
        <w:t>Ca</w:t>
      </w:r>
      <w:r>
        <w:rPr>
          <w:rFonts w:ascii="Cambria" w:eastAsia="Calibri" w:hAnsi="Cambria"/>
        </w:rPr>
        <w:t xml:space="preserve">. L. solanacearum’ and spread it to healthy hosts. </w:t>
      </w:r>
    </w:p>
    <w:p w:rsidR="00AE7868" w:rsidRDefault="00FF2B57">
      <w:pPr>
        <w:pStyle w:val="Heading5"/>
        <w:spacing w:before="120" w:after="120"/>
        <w:rPr>
          <w:i w:val="0"/>
        </w:rPr>
      </w:pPr>
      <w:r>
        <w:rPr>
          <w:i w:val="0"/>
        </w:rPr>
        <w:t>Spread potential in the absence of known vector</w:t>
      </w:r>
    </w:p>
    <w:p w:rsidR="00AE7868" w:rsidRDefault="00FF2B57">
      <w:pPr>
        <w:pStyle w:val="dot0"/>
        <w:numPr>
          <w:ilvl w:val="0"/>
          <w:numId w:val="33"/>
        </w:numPr>
        <w:tabs>
          <w:tab w:val="clear" w:pos="360"/>
          <w:tab w:val="num" w:pos="284"/>
        </w:tabs>
        <w:spacing w:before="120" w:after="120"/>
        <w:ind w:left="284" w:hanging="284"/>
        <w:rPr>
          <w:rFonts w:ascii="Cambria" w:eastAsia="Calibri" w:hAnsi="Cambria"/>
        </w:rPr>
      </w:pPr>
      <w:r>
        <w:rPr>
          <w:rFonts w:ascii="Cambria" w:eastAsia="Calibri" w:hAnsi="Cambria"/>
        </w:rPr>
        <w:t>In the absence of known vectors, the most likely means of spread of ‘</w:t>
      </w:r>
      <w:r>
        <w:rPr>
          <w:rFonts w:ascii="Cambria" w:eastAsia="Calibri" w:hAnsi="Cambria"/>
          <w:i/>
        </w:rPr>
        <w:t>Ca.</w:t>
      </w:r>
      <w:r>
        <w:rPr>
          <w:rFonts w:ascii="Cambria" w:eastAsia="Calibri" w:hAnsi="Cambria"/>
        </w:rPr>
        <w:t xml:space="preserve"> L. solanacearum’ would be through the movement of infected planting material (seeds and tissue cultures). If infected planting material is used it will help spread the bacterium to non-infested areas within Australia.</w:t>
      </w:r>
    </w:p>
    <w:p w:rsidR="00AE7868" w:rsidRDefault="00FF2B57">
      <w:pPr>
        <w:pStyle w:val="ListParagraph"/>
        <w:numPr>
          <w:ilvl w:val="0"/>
          <w:numId w:val="33"/>
        </w:numPr>
        <w:tabs>
          <w:tab w:val="clear" w:pos="360"/>
          <w:tab w:val="num" w:pos="284"/>
        </w:tabs>
        <w:spacing w:before="120" w:after="120"/>
        <w:ind w:left="284" w:hanging="284"/>
        <w:rPr>
          <w:rFonts w:ascii="Cambria" w:eastAsia="Cambria" w:hAnsi="Cambria"/>
          <w:color w:val="000000"/>
          <w:szCs w:val="22"/>
        </w:rPr>
      </w:pPr>
      <w:r>
        <w:rPr>
          <w:rFonts w:ascii="Cambria" w:eastAsia="Cambria" w:hAnsi="Cambria"/>
          <w:color w:val="000000"/>
          <w:szCs w:val="22"/>
        </w:rPr>
        <w:t>It is unlikely that any of the endemic species of psyllid in Australia would be able to vector the bacterium. ‘</w:t>
      </w:r>
      <w:r>
        <w:rPr>
          <w:rFonts w:ascii="Cambria" w:eastAsia="Cambria" w:hAnsi="Cambria"/>
          <w:i/>
          <w:color w:val="000000"/>
          <w:szCs w:val="22"/>
        </w:rPr>
        <w:t>Ca</w:t>
      </w:r>
      <w:r>
        <w:rPr>
          <w:rFonts w:ascii="Cambria" w:eastAsia="Cambria" w:hAnsi="Cambria"/>
          <w:color w:val="000000"/>
          <w:szCs w:val="22"/>
        </w:rPr>
        <w:t xml:space="preserve"> L. solanacearum’ associated with apiaceous crops as it is only known to be vectored by the ‘</w:t>
      </w:r>
      <w:r>
        <w:rPr>
          <w:rFonts w:ascii="Cambria" w:eastAsia="Cambria" w:hAnsi="Cambria"/>
          <w:i/>
          <w:color w:val="000000"/>
          <w:szCs w:val="22"/>
        </w:rPr>
        <w:t>B. nigricornis</w:t>
      </w:r>
      <w:r>
        <w:rPr>
          <w:rFonts w:ascii="Cambria" w:eastAsia="Cambria" w:hAnsi="Cambria"/>
          <w:color w:val="000000"/>
          <w:szCs w:val="22"/>
        </w:rPr>
        <w:t xml:space="preserve"> group’ (</w:t>
      </w:r>
      <w:r>
        <w:rPr>
          <w:rFonts w:ascii="Cambria" w:eastAsia="Cambria" w:hAnsi="Cambria"/>
          <w:i/>
          <w:color w:val="000000"/>
          <w:szCs w:val="22"/>
        </w:rPr>
        <w:t>B. tremblayi,</w:t>
      </w:r>
      <w:r>
        <w:rPr>
          <w:rFonts w:ascii="Cambria" w:eastAsia="Cambria" w:hAnsi="Cambria"/>
          <w:color w:val="000000"/>
          <w:szCs w:val="22"/>
        </w:rPr>
        <w:t xml:space="preserve"> </w:t>
      </w:r>
      <w:r>
        <w:rPr>
          <w:rFonts w:ascii="Cambria" w:eastAsia="Cambria" w:hAnsi="Cambria"/>
          <w:i/>
          <w:color w:val="000000"/>
          <w:szCs w:val="22"/>
        </w:rPr>
        <w:t xml:space="preserve">B. nigricornis </w:t>
      </w:r>
      <w:r>
        <w:rPr>
          <w:rFonts w:ascii="Cambria" w:eastAsia="Cambria" w:hAnsi="Cambria"/>
          <w:color w:val="000000"/>
          <w:szCs w:val="22"/>
        </w:rPr>
        <w:t xml:space="preserve">and </w:t>
      </w:r>
      <w:r>
        <w:rPr>
          <w:rFonts w:ascii="Cambria" w:eastAsia="Cambria" w:hAnsi="Cambria"/>
          <w:i/>
          <w:color w:val="000000"/>
          <w:szCs w:val="22"/>
        </w:rPr>
        <w:t>B. trigonica</w:t>
      </w:r>
      <w:r>
        <w:rPr>
          <w:rFonts w:ascii="Cambria" w:eastAsia="Cambria" w:hAnsi="Cambria"/>
          <w:color w:val="000000"/>
          <w:szCs w:val="22"/>
        </w:rPr>
        <w:t xml:space="preserve">) and </w:t>
      </w:r>
      <w:r>
        <w:rPr>
          <w:rFonts w:ascii="Cambria" w:eastAsia="Cambria" w:hAnsi="Cambria"/>
          <w:i/>
          <w:color w:val="000000"/>
          <w:szCs w:val="22"/>
        </w:rPr>
        <w:lastRenderedPageBreak/>
        <w:t>T. apicalis</w:t>
      </w:r>
      <w:r>
        <w:rPr>
          <w:rFonts w:ascii="Cambria" w:eastAsia="Cambria" w:hAnsi="Cambria"/>
          <w:color w:val="000000"/>
          <w:szCs w:val="22"/>
        </w:rPr>
        <w:t xml:space="preserve"> (</w:t>
      </w:r>
      <w:r>
        <w:rPr>
          <w:rFonts w:asciiTheme="majorHAnsi" w:eastAsia="Cambria" w:hAnsiTheme="majorHAnsi" w:cs="TimesNewRomanPSMT"/>
          <w:szCs w:val="22"/>
        </w:rPr>
        <w:t xml:space="preserve">Alfaro-Fernández </w:t>
      </w:r>
      <w:r>
        <w:rPr>
          <w:rFonts w:asciiTheme="majorHAnsi" w:eastAsia="Cambria" w:hAnsiTheme="majorHAnsi" w:cs="TimesNewRomanPS-ItalicMT"/>
          <w:iCs/>
          <w:szCs w:val="22"/>
        </w:rPr>
        <w:t>et al</w:t>
      </w:r>
      <w:r>
        <w:rPr>
          <w:rFonts w:asciiTheme="majorHAnsi" w:eastAsia="Cambria" w:hAnsiTheme="majorHAnsi" w:cs="TimesNewRomanPSMT"/>
          <w:szCs w:val="22"/>
        </w:rPr>
        <w:t xml:space="preserve">. 2012b; Nelson </w:t>
      </w:r>
      <w:r>
        <w:rPr>
          <w:rFonts w:asciiTheme="majorHAnsi" w:eastAsia="Cambria" w:hAnsiTheme="majorHAnsi" w:cs="TimesNewRomanPS-ItalicMT"/>
          <w:iCs/>
          <w:szCs w:val="22"/>
        </w:rPr>
        <w:t>et al</w:t>
      </w:r>
      <w:r>
        <w:rPr>
          <w:rFonts w:asciiTheme="majorHAnsi" w:eastAsia="Cambria" w:hAnsiTheme="majorHAnsi" w:cs="TimesNewRomanPSMT"/>
          <w:szCs w:val="22"/>
        </w:rPr>
        <w:t xml:space="preserve">. 2012; Teresani </w:t>
      </w:r>
      <w:r>
        <w:rPr>
          <w:rFonts w:asciiTheme="majorHAnsi" w:eastAsia="Cambria" w:hAnsiTheme="majorHAnsi" w:cs="TimesNewRomanPS-ItalicMT"/>
          <w:iCs/>
          <w:szCs w:val="22"/>
        </w:rPr>
        <w:t>et al</w:t>
      </w:r>
      <w:r>
        <w:rPr>
          <w:rFonts w:asciiTheme="majorHAnsi" w:eastAsia="Cambria" w:hAnsiTheme="majorHAnsi" w:cs="TimesNewRomanPSMT"/>
          <w:szCs w:val="22"/>
        </w:rPr>
        <w:t>. 2014a</w:t>
      </w:r>
      <w:r>
        <w:rPr>
          <w:rFonts w:ascii="Cambria" w:eastAsia="Cambria" w:hAnsi="Cambria"/>
          <w:color w:val="000000"/>
          <w:szCs w:val="22"/>
        </w:rPr>
        <w:t xml:space="preserve">). </w:t>
      </w:r>
    </w:p>
    <w:p w:rsidR="00AE7868" w:rsidRDefault="00FF2B57">
      <w:pPr>
        <w:pStyle w:val="dot0"/>
        <w:numPr>
          <w:ilvl w:val="0"/>
          <w:numId w:val="33"/>
        </w:numPr>
        <w:tabs>
          <w:tab w:val="clear" w:pos="360"/>
          <w:tab w:val="num" w:pos="284"/>
        </w:tabs>
        <w:spacing w:before="120" w:after="120"/>
        <w:ind w:left="284" w:hanging="284"/>
        <w:rPr>
          <w:rFonts w:ascii="Cambria" w:eastAsia="Calibri" w:hAnsi="Cambria"/>
        </w:rPr>
      </w:pPr>
      <w:r>
        <w:rPr>
          <w:rFonts w:ascii="Cambria" w:eastAsia="Calibri" w:hAnsi="Cambria"/>
        </w:rPr>
        <w:t>If ‘</w:t>
      </w:r>
      <w:r>
        <w:rPr>
          <w:rFonts w:ascii="Cambria" w:eastAsia="Calibri" w:hAnsi="Cambria"/>
          <w:i/>
        </w:rPr>
        <w:t>Ca</w:t>
      </w:r>
      <w:r>
        <w:rPr>
          <w:rFonts w:ascii="Cambria" w:eastAsia="Calibri" w:hAnsi="Cambria"/>
        </w:rPr>
        <w:t>.</w:t>
      </w:r>
      <w:r>
        <w:rPr>
          <w:rFonts w:ascii="Cambria" w:eastAsia="Calibri" w:hAnsi="Cambria"/>
          <w:i/>
        </w:rPr>
        <w:t xml:space="preserve"> </w:t>
      </w:r>
      <w:r>
        <w:rPr>
          <w:rFonts w:ascii="Cambria" w:eastAsia="Calibri" w:hAnsi="Cambria"/>
        </w:rPr>
        <w:t>L. solanacearum’ was to establish in Australia, in the absence of vectors, it would be unlikely to lead to the establishment of this bacterium at multiple locations. However, the knowledge of insect populations visiting carrot or celery crops from infected propagative material is required for the identification of putative vector species in Australia. In Spain, ‘</w:t>
      </w:r>
      <w:r>
        <w:rPr>
          <w:rFonts w:ascii="Cambria" w:eastAsia="Calibri" w:hAnsi="Cambria"/>
          <w:i/>
        </w:rPr>
        <w:t>Ca</w:t>
      </w:r>
      <w:r>
        <w:rPr>
          <w:rFonts w:ascii="Cambria" w:eastAsia="Calibri" w:hAnsi="Cambria"/>
        </w:rPr>
        <w:t>.</w:t>
      </w:r>
      <w:r>
        <w:rPr>
          <w:rFonts w:ascii="Cambria" w:eastAsia="Calibri" w:hAnsi="Cambria"/>
          <w:i/>
        </w:rPr>
        <w:t xml:space="preserve"> </w:t>
      </w:r>
      <w:r>
        <w:rPr>
          <w:rFonts w:ascii="Cambria" w:eastAsia="Calibri" w:hAnsi="Cambria"/>
        </w:rPr>
        <w:t xml:space="preserve">L. solanacearum’ has been detected in </w:t>
      </w:r>
      <w:r>
        <w:rPr>
          <w:rFonts w:ascii="Cambria" w:eastAsia="Calibri" w:hAnsi="Cambria"/>
          <w:i/>
        </w:rPr>
        <w:t>B. tremblayi</w:t>
      </w:r>
      <w:r>
        <w:rPr>
          <w:rFonts w:ascii="Cambria" w:eastAsia="Calibri" w:hAnsi="Cambria"/>
        </w:rPr>
        <w:t xml:space="preserve"> and </w:t>
      </w:r>
      <w:r>
        <w:rPr>
          <w:rFonts w:ascii="Cambria" w:eastAsia="Calibri" w:hAnsi="Cambria"/>
          <w:i/>
        </w:rPr>
        <w:t>B. nigricornis</w:t>
      </w:r>
      <w:r>
        <w:rPr>
          <w:rFonts w:ascii="Cambria" w:eastAsia="Calibri" w:hAnsi="Cambria"/>
        </w:rPr>
        <w:t>.</w:t>
      </w:r>
    </w:p>
    <w:p w:rsidR="00AE7868" w:rsidRDefault="00FF2B57">
      <w:pPr>
        <w:pStyle w:val="dot0"/>
        <w:numPr>
          <w:ilvl w:val="0"/>
          <w:numId w:val="33"/>
        </w:numPr>
        <w:tabs>
          <w:tab w:val="clear" w:pos="360"/>
          <w:tab w:val="num" w:pos="284"/>
        </w:tabs>
        <w:spacing w:before="120" w:after="120"/>
        <w:ind w:left="284" w:hanging="284"/>
        <w:rPr>
          <w:rFonts w:ascii="Cambria" w:eastAsia="Calibri" w:hAnsi="Cambria"/>
        </w:rPr>
      </w:pPr>
      <w:r>
        <w:rPr>
          <w:rFonts w:ascii="Cambria" w:eastAsia="Calibri" w:hAnsi="Cambria"/>
        </w:rPr>
        <w:t>Species of psyllid other than the ‘</w:t>
      </w:r>
      <w:r>
        <w:rPr>
          <w:rFonts w:ascii="Cambria" w:eastAsia="Cambria" w:hAnsi="Cambria"/>
          <w:i/>
        </w:rPr>
        <w:t>B. nigricornis</w:t>
      </w:r>
      <w:r>
        <w:rPr>
          <w:rFonts w:ascii="Cambria" w:eastAsia="Cambria" w:hAnsi="Cambria"/>
        </w:rPr>
        <w:t xml:space="preserve"> group’ (</w:t>
      </w:r>
      <w:r>
        <w:rPr>
          <w:rFonts w:ascii="Cambria" w:eastAsia="Cambria" w:hAnsi="Cambria"/>
          <w:i/>
        </w:rPr>
        <w:t>B. trigonica</w:t>
      </w:r>
      <w:r>
        <w:rPr>
          <w:rFonts w:ascii="Cambria" w:eastAsia="Cambria" w:hAnsi="Cambria"/>
        </w:rPr>
        <w:t xml:space="preserve">, </w:t>
      </w:r>
      <w:r>
        <w:rPr>
          <w:rFonts w:ascii="Cambria" w:eastAsia="Cambria" w:hAnsi="Cambria"/>
          <w:i/>
        </w:rPr>
        <w:t>B. tremblayi</w:t>
      </w:r>
      <w:r>
        <w:rPr>
          <w:rFonts w:ascii="Cambria" w:eastAsia="Cambria" w:hAnsi="Cambria"/>
        </w:rPr>
        <w:t xml:space="preserve"> and </w:t>
      </w:r>
      <w:r>
        <w:rPr>
          <w:rFonts w:ascii="Cambria" w:eastAsia="Cambria" w:hAnsi="Cambria"/>
          <w:i/>
        </w:rPr>
        <w:t>B. nigricornis</w:t>
      </w:r>
      <w:r>
        <w:rPr>
          <w:rFonts w:ascii="Cambria" w:eastAsia="Cambria" w:hAnsi="Cambria"/>
        </w:rPr>
        <w:t xml:space="preserve">) and </w:t>
      </w:r>
      <w:r>
        <w:rPr>
          <w:rFonts w:ascii="Cambria" w:eastAsia="Cambria" w:hAnsi="Cambria"/>
          <w:i/>
        </w:rPr>
        <w:t>T. apicalis</w:t>
      </w:r>
      <w:r>
        <w:rPr>
          <w:rFonts w:ascii="Cambria" w:eastAsia="Cambria" w:hAnsi="Cambria"/>
        </w:rPr>
        <w:t xml:space="preserve">, such as </w:t>
      </w:r>
      <w:r>
        <w:rPr>
          <w:rFonts w:ascii="Cambria" w:hAnsi="Cambria" w:cs="TimesNewRomanPS-ItalicMT"/>
          <w:i/>
          <w:iCs/>
        </w:rPr>
        <w:t xml:space="preserve">Trioza urticae, Ctenarytaina </w:t>
      </w:r>
      <w:r>
        <w:rPr>
          <w:rFonts w:ascii="Cambria" w:hAnsi="Cambria"/>
        </w:rPr>
        <w:t xml:space="preserve">species, </w:t>
      </w:r>
      <w:r>
        <w:rPr>
          <w:rFonts w:ascii="Cambria" w:hAnsi="Cambria" w:cs="TimesNewRomanPS-ItalicMT"/>
          <w:i/>
          <w:iCs/>
        </w:rPr>
        <w:t xml:space="preserve">Cacopsylla </w:t>
      </w:r>
      <w:r>
        <w:rPr>
          <w:rFonts w:ascii="Cambria" w:hAnsi="Cambria"/>
        </w:rPr>
        <w:t xml:space="preserve">species and </w:t>
      </w:r>
      <w:r>
        <w:rPr>
          <w:rFonts w:ascii="Cambria" w:hAnsi="Cambria" w:cs="TimesNewRomanPS-ItalicMT"/>
          <w:i/>
          <w:iCs/>
        </w:rPr>
        <w:t xml:space="preserve">Psylla </w:t>
      </w:r>
      <w:r>
        <w:rPr>
          <w:rFonts w:ascii="Cambria" w:hAnsi="Cambria"/>
        </w:rPr>
        <w:t>species have been reported on carrot and celery crops in Spain where ‘</w:t>
      </w:r>
      <w:r>
        <w:rPr>
          <w:rFonts w:ascii="Cambria" w:hAnsi="Cambria"/>
          <w:i/>
        </w:rPr>
        <w:t>Ca</w:t>
      </w:r>
      <w:r>
        <w:rPr>
          <w:rFonts w:ascii="Cambria" w:hAnsi="Cambria"/>
        </w:rPr>
        <w:t>. L. solanacearum’ is known to occur (Teresani et al. 2015). However, ‘</w:t>
      </w:r>
      <w:r>
        <w:rPr>
          <w:rFonts w:ascii="Cambria" w:hAnsi="Cambria"/>
          <w:i/>
        </w:rPr>
        <w:t>Ca</w:t>
      </w:r>
      <w:r>
        <w:rPr>
          <w:rFonts w:ascii="Cambria" w:hAnsi="Cambria"/>
        </w:rPr>
        <w:t xml:space="preserve">. L. solanacearum’ was not detected in these psyllid species (Teresani et al. 2015). </w:t>
      </w:r>
    </w:p>
    <w:p w:rsidR="00AE7868" w:rsidRDefault="00FF2B57">
      <w:pPr>
        <w:pStyle w:val="ListBullet"/>
        <w:numPr>
          <w:ilvl w:val="0"/>
          <w:numId w:val="36"/>
        </w:numPr>
        <w:ind w:left="567" w:hanging="283"/>
        <w:rPr>
          <w:rFonts w:ascii="Cambria" w:hAnsi="Cambria"/>
        </w:rPr>
      </w:pPr>
      <w:r>
        <w:rPr>
          <w:rFonts w:ascii="Cambria" w:hAnsi="Cambria"/>
        </w:rPr>
        <w:t xml:space="preserve">One </w:t>
      </w:r>
      <w:r>
        <w:rPr>
          <w:rFonts w:ascii="Cambria" w:eastAsia="Calibri" w:hAnsi="Cambria"/>
        </w:rPr>
        <w:t xml:space="preserve">unnamed species of </w:t>
      </w:r>
      <w:r>
        <w:rPr>
          <w:rFonts w:ascii="Cambria" w:eastAsia="Calibri" w:hAnsi="Cambria"/>
          <w:i/>
        </w:rPr>
        <w:t xml:space="preserve">Cacopsylla </w:t>
      </w:r>
      <w:r>
        <w:rPr>
          <w:rFonts w:ascii="Cambria" w:eastAsia="Calibri" w:hAnsi="Cambria"/>
        </w:rPr>
        <w:t xml:space="preserve">and six species of </w:t>
      </w:r>
      <w:r>
        <w:rPr>
          <w:rFonts w:ascii="Cambria" w:eastAsia="Calibri" w:hAnsi="Cambria"/>
          <w:i/>
          <w:iCs/>
        </w:rPr>
        <w:t>Ctenarytaina</w:t>
      </w:r>
      <w:r>
        <w:rPr>
          <w:rFonts w:ascii="Cambria" w:eastAsia="Calibri" w:hAnsi="Cambria"/>
          <w:iCs/>
        </w:rPr>
        <w:t xml:space="preserve"> have been detected in Australia, feeding on species other than apiaceous crops </w:t>
      </w:r>
      <w:r>
        <w:rPr>
          <w:rFonts w:ascii="Cambria" w:eastAsia="Calibri" w:hAnsi="Cambria"/>
        </w:rPr>
        <w:t>(DEWHA 2009). Additionally, s</w:t>
      </w:r>
      <w:r>
        <w:rPr>
          <w:rFonts w:ascii="Cambria" w:hAnsi="Cambria"/>
        </w:rPr>
        <w:t xml:space="preserve">everal species of </w:t>
      </w:r>
      <w:r>
        <w:rPr>
          <w:rFonts w:ascii="Cambria" w:hAnsi="Cambria"/>
          <w:i/>
        </w:rPr>
        <w:t xml:space="preserve">Trioza </w:t>
      </w:r>
      <w:r>
        <w:rPr>
          <w:rFonts w:ascii="Cambria" w:hAnsi="Cambria"/>
        </w:rPr>
        <w:t xml:space="preserve">including </w:t>
      </w:r>
      <w:r>
        <w:rPr>
          <w:rStyle w:val="Emphasis"/>
          <w:rFonts w:ascii="Cambria" w:hAnsi="Cambria"/>
        </w:rPr>
        <w:t>Trioza banksiae</w:t>
      </w:r>
      <w:r>
        <w:rPr>
          <w:rFonts w:ascii="Cambria" w:hAnsi="Cambria"/>
        </w:rPr>
        <w:t xml:space="preserve">, </w:t>
      </w:r>
      <w:r>
        <w:rPr>
          <w:rStyle w:val="Emphasis"/>
          <w:rFonts w:ascii="Cambria" w:hAnsi="Cambria"/>
        </w:rPr>
        <w:t>Trioza barrettae</w:t>
      </w:r>
      <w:r>
        <w:rPr>
          <w:rStyle w:val="Emphasis"/>
          <w:rFonts w:ascii="Cambria" w:hAnsi="Cambria"/>
          <w:i w:val="0"/>
        </w:rPr>
        <w:t>,</w:t>
      </w:r>
      <w:r>
        <w:rPr>
          <w:rFonts w:ascii="Cambria" w:hAnsi="Cambria"/>
        </w:rPr>
        <w:t xml:space="preserve"> </w:t>
      </w:r>
      <w:r>
        <w:rPr>
          <w:rFonts w:asciiTheme="majorHAnsi" w:eastAsia="Calibri" w:hAnsiTheme="majorHAnsi"/>
          <w:i/>
          <w:iCs/>
        </w:rPr>
        <w:t xml:space="preserve">Trioza euginae, </w:t>
      </w:r>
      <w:r>
        <w:rPr>
          <w:rStyle w:val="Emphasis"/>
          <w:rFonts w:ascii="Cambria" w:hAnsi="Cambria"/>
        </w:rPr>
        <w:t>Trioza kentae</w:t>
      </w:r>
      <w:r>
        <w:rPr>
          <w:rStyle w:val="Emphasis"/>
          <w:rFonts w:ascii="Cambria" w:hAnsi="Cambria"/>
          <w:i w:val="0"/>
        </w:rPr>
        <w:t>,</w:t>
      </w:r>
      <w:r>
        <w:rPr>
          <w:rFonts w:asciiTheme="majorHAnsi" w:eastAsia="Calibri" w:hAnsiTheme="majorHAnsi"/>
          <w:i/>
          <w:iCs/>
        </w:rPr>
        <w:t xml:space="preserve"> T. malloticola, </w:t>
      </w:r>
      <w:r>
        <w:rPr>
          <w:rStyle w:val="Emphasis"/>
          <w:rFonts w:ascii="Cambria" w:hAnsi="Cambria"/>
        </w:rPr>
        <w:t>Trioza oleariae</w:t>
      </w:r>
      <w:r>
        <w:rPr>
          <w:rStyle w:val="Emphasis"/>
          <w:rFonts w:ascii="Cambria" w:hAnsi="Cambria"/>
          <w:i w:val="0"/>
        </w:rPr>
        <w:t>,</w:t>
      </w:r>
      <w:r>
        <w:rPr>
          <w:rFonts w:asciiTheme="majorHAnsi" w:eastAsia="Calibri" w:hAnsiTheme="majorHAnsi"/>
          <w:i/>
          <w:iCs/>
        </w:rPr>
        <w:t xml:space="preserve"> T. pallida</w:t>
      </w:r>
      <w:r>
        <w:rPr>
          <w:rFonts w:asciiTheme="majorHAnsi" w:eastAsia="Calibri" w:hAnsiTheme="majorHAnsi"/>
          <w:iCs/>
        </w:rPr>
        <w:t xml:space="preserve"> </w:t>
      </w:r>
      <w:r>
        <w:rPr>
          <w:rStyle w:val="Emphasis"/>
          <w:rFonts w:ascii="Cambria" w:hAnsi="Cambria"/>
        </w:rPr>
        <w:t>Trioza percyae</w:t>
      </w:r>
      <w:r>
        <w:rPr>
          <w:rStyle w:val="Emphasis"/>
          <w:rFonts w:ascii="Cambria" w:hAnsi="Cambria"/>
          <w:i w:val="0"/>
        </w:rPr>
        <w:t xml:space="preserve">, </w:t>
      </w:r>
      <w:r>
        <w:rPr>
          <w:rStyle w:val="Emphasis"/>
          <w:rFonts w:ascii="Cambria" w:hAnsi="Cambria"/>
        </w:rPr>
        <w:t>Trioza tricornuta</w:t>
      </w:r>
      <w:r>
        <w:rPr>
          <w:rFonts w:asciiTheme="majorHAnsi" w:eastAsia="Calibri" w:hAnsiTheme="majorHAnsi"/>
          <w:iCs/>
        </w:rPr>
        <w:t xml:space="preserve"> and</w:t>
      </w:r>
      <w:r>
        <w:rPr>
          <w:rFonts w:asciiTheme="majorHAnsi" w:eastAsia="Calibri" w:hAnsiTheme="majorHAnsi"/>
          <w:i/>
          <w:iCs/>
        </w:rPr>
        <w:t xml:space="preserve"> T. tristaniae</w:t>
      </w:r>
      <w:r>
        <w:rPr>
          <w:rFonts w:asciiTheme="majorHAnsi" w:eastAsia="Calibri" w:hAnsiTheme="majorHAnsi"/>
          <w:iCs/>
        </w:rPr>
        <w:t xml:space="preserve"> have been recorded on non-apiaceous hosts. </w:t>
      </w:r>
      <w:r>
        <w:rPr>
          <w:rFonts w:ascii="Cambria" w:eastAsia="Calibri" w:hAnsi="Cambria"/>
        </w:rPr>
        <w:t>Therefore, these psyllids are unlikely to transmit this bacterium to apiaceous crops in Australia.</w:t>
      </w:r>
    </w:p>
    <w:p w:rsidR="00AE7868" w:rsidRDefault="00FF2B57">
      <w:pPr>
        <w:pStyle w:val="Heading3"/>
        <w:keepLines/>
        <w:numPr>
          <w:ilvl w:val="2"/>
          <w:numId w:val="21"/>
        </w:numPr>
        <w:tabs>
          <w:tab w:val="clear" w:pos="720"/>
        </w:tabs>
        <w:spacing w:before="200" w:after="200"/>
        <w:ind w:left="357" w:hanging="357"/>
        <w:rPr>
          <w:sz w:val="24"/>
        </w:rPr>
      </w:pPr>
      <w:bookmarkStart w:id="388" w:name="_Toc437356029"/>
      <w:r>
        <w:rPr>
          <w:rFonts w:ascii="Calibri" w:hAnsi="Calibri" w:cstheme="minorBidi"/>
          <w:sz w:val="24"/>
          <w:szCs w:val="22"/>
        </w:rPr>
        <w:lastRenderedPageBreak/>
        <w:t>Overall likelihood of entry, establishment and spread</w:t>
      </w:r>
      <w:bookmarkEnd w:id="388"/>
    </w:p>
    <w:p w:rsidR="00AE7868" w:rsidRDefault="00FF2B57">
      <w:pPr>
        <w:spacing w:before="120" w:after="120"/>
        <w:rPr>
          <w:rFonts w:ascii="Cambria" w:hAnsi="Cambria"/>
        </w:rPr>
      </w:pPr>
      <w:r>
        <w:rPr>
          <w:rFonts w:ascii="Cambria" w:hAnsi="Cambria"/>
        </w:rPr>
        <w:t>The overall likelihood of entry, establishment and spread is determined by combining the likelihoods of entry, establishment and spread using the matrix of ‘rules’ for combining likelihoods shown in Table 2.</w:t>
      </w:r>
    </w:p>
    <w:p w:rsidR="00AE7868" w:rsidRDefault="00FF2B57">
      <w:pPr>
        <w:pStyle w:val="ListBullet"/>
        <w:tabs>
          <w:tab w:val="clear" w:pos="360"/>
          <w:tab w:val="num" w:pos="284"/>
        </w:tabs>
        <w:ind w:left="284" w:hanging="284"/>
        <w:rPr>
          <w:rFonts w:ascii="Cambria" w:hAnsi="Cambria"/>
          <w:b/>
        </w:rPr>
      </w:pPr>
      <w:r>
        <w:rPr>
          <w:rFonts w:ascii="Cambria" w:hAnsi="Cambria"/>
          <w:color w:val="000000"/>
        </w:rPr>
        <w:t xml:space="preserve">The overall likelihood that </w:t>
      </w:r>
      <w:r>
        <w:rPr>
          <w:rFonts w:ascii="Cambria" w:hAnsi="Cambria"/>
        </w:rPr>
        <w:t>‘</w:t>
      </w:r>
      <w:r>
        <w:rPr>
          <w:rFonts w:ascii="Cambria" w:hAnsi="Cambria"/>
          <w:i/>
          <w:color w:val="000000"/>
        </w:rPr>
        <w:t>Ca.</w:t>
      </w:r>
      <w:r>
        <w:rPr>
          <w:rFonts w:ascii="Cambria" w:hAnsi="Cambria"/>
          <w:color w:val="000000"/>
        </w:rPr>
        <w:t xml:space="preserve"> L. solanacearum’ will enter Australia </w:t>
      </w:r>
      <w:r>
        <w:rPr>
          <w:rFonts w:ascii="Cambria" w:hAnsi="Cambria"/>
        </w:rPr>
        <w:t xml:space="preserve">on seed (carrot) and </w:t>
      </w:r>
      <w:r>
        <w:rPr>
          <w:rFonts w:ascii="Cambria" w:eastAsia="WarnockPro-Regular" w:hAnsi="Cambria" w:cs="WarnockPro-Regular"/>
        </w:rPr>
        <w:t>tissue cultures (carrot, celery and parsnip)</w:t>
      </w:r>
      <w:r>
        <w:rPr>
          <w:rFonts w:ascii="Cambria" w:hAnsi="Cambria"/>
        </w:rPr>
        <w:t>, be distributed in a viable state to susceptible hosts, establish in that area and subsequently spread within Australia</w:t>
      </w:r>
      <w:r>
        <w:rPr>
          <w:rFonts w:ascii="Cambria" w:hAnsi="Cambria"/>
          <w:color w:val="000000"/>
        </w:rPr>
        <w:t xml:space="preserve"> is set out in Table 10.</w:t>
      </w:r>
    </w:p>
    <w:p w:rsidR="00AE7868" w:rsidRDefault="00FF2B57">
      <w:pPr>
        <w:pStyle w:val="Caption"/>
        <w:keepNext w:val="0"/>
        <w:rPr>
          <w:rFonts w:asciiTheme="majorHAnsi" w:eastAsiaTheme="majorEastAsia" w:hAnsiTheme="majorHAnsi" w:cstheme="majorBidi"/>
          <w:color w:val="595959" w:themeColor="text1" w:themeTint="A6"/>
          <w:sz w:val="20"/>
        </w:rPr>
      </w:pPr>
      <w:bookmarkStart w:id="389" w:name="_Toc418712926"/>
      <w:bookmarkStart w:id="390" w:name="_Toc421786708"/>
      <w:bookmarkStart w:id="391" w:name="_Toc428786326"/>
      <w:bookmarkStart w:id="392" w:name="_Toc429494625"/>
      <w:bookmarkStart w:id="393" w:name="_Toc430256538"/>
      <w:bookmarkStart w:id="394" w:name="_Toc433707336"/>
      <w:bookmarkStart w:id="395" w:name="_Toc433796500"/>
      <w:bookmarkStart w:id="396" w:name="_Toc437355963"/>
      <w:bookmarkStart w:id="397" w:name="_Toc437355995"/>
      <w:r>
        <w:rPr>
          <w:rFonts w:asciiTheme="majorHAnsi" w:eastAsiaTheme="majorEastAsia" w:hAnsiTheme="majorHAnsi" w:cstheme="majorBidi"/>
          <w:color w:val="595959" w:themeColor="text1" w:themeTint="A6"/>
          <w:sz w:val="20"/>
        </w:rPr>
        <w:t xml:space="preserve">Table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10</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w:t>
      </w:r>
      <w:r>
        <w:rPr>
          <w:rFonts w:ascii="Cambria" w:hAnsi="Cambria"/>
          <w:color w:val="595959"/>
          <w:sz w:val="20"/>
        </w:rPr>
        <w:t>Overall</w:t>
      </w:r>
      <w:r>
        <w:rPr>
          <w:rFonts w:eastAsia="Calibri"/>
          <w:sz w:val="20"/>
        </w:rPr>
        <w:t xml:space="preserve"> </w:t>
      </w:r>
      <w:r>
        <w:rPr>
          <w:rFonts w:ascii="Cambria" w:hAnsi="Cambria"/>
          <w:color w:val="595959"/>
          <w:sz w:val="20"/>
        </w:rPr>
        <w:t>likelihood of entry, establishment and spread of ‘</w:t>
      </w:r>
      <w:r>
        <w:rPr>
          <w:rFonts w:ascii="Cambria" w:hAnsi="Cambria"/>
          <w:i/>
          <w:color w:val="595959"/>
          <w:sz w:val="20"/>
        </w:rPr>
        <w:t>Candidatus</w:t>
      </w:r>
      <w:r>
        <w:rPr>
          <w:rFonts w:ascii="Cambria" w:hAnsi="Cambria"/>
          <w:color w:val="595959"/>
          <w:sz w:val="20"/>
        </w:rPr>
        <w:t xml:space="preserve"> Liberibacter </w:t>
      </w:r>
      <w:r>
        <w:rPr>
          <w:rFonts w:asciiTheme="majorHAnsi" w:eastAsiaTheme="majorEastAsia" w:hAnsiTheme="majorHAnsi" w:cstheme="majorBidi"/>
          <w:color w:val="595959" w:themeColor="text1" w:themeTint="A6"/>
          <w:sz w:val="20"/>
        </w:rPr>
        <w:t>solanacearum</w:t>
      </w:r>
      <w:r>
        <w:rPr>
          <w:rFonts w:ascii="Cambria" w:hAnsi="Cambria"/>
          <w:color w:val="595959"/>
          <w:sz w:val="20"/>
        </w:rPr>
        <w:t>’ on different pathways</w:t>
      </w:r>
      <w:bookmarkEnd w:id="389"/>
      <w:bookmarkEnd w:id="390"/>
      <w:bookmarkEnd w:id="391"/>
      <w:bookmarkEnd w:id="392"/>
      <w:bookmarkEnd w:id="393"/>
      <w:bookmarkEnd w:id="394"/>
      <w:bookmarkEnd w:id="395"/>
      <w:bookmarkEnd w:id="396"/>
      <w:bookmarkEnd w:id="397"/>
    </w:p>
    <w:tbl>
      <w:tblPr>
        <w:tblW w:w="8820" w:type="dxa"/>
        <w:tblInd w:w="108" w:type="dxa"/>
        <w:tblLayout w:type="fixed"/>
        <w:tblLook w:val="01E0" w:firstRow="1" w:lastRow="1" w:firstColumn="1" w:lastColumn="1" w:noHBand="0" w:noVBand="0"/>
      </w:tblPr>
      <w:tblGrid>
        <w:gridCol w:w="1701"/>
        <w:gridCol w:w="1276"/>
        <w:gridCol w:w="1418"/>
        <w:gridCol w:w="1559"/>
        <w:gridCol w:w="2866"/>
      </w:tblGrid>
      <w:tr w:rsidR="00AE7868">
        <w:trPr>
          <w:tblHeader/>
        </w:trPr>
        <w:tc>
          <w:tcPr>
            <w:tcW w:w="1701" w:type="dxa"/>
            <w:vMerge w:val="restart"/>
            <w:tcBorders>
              <w:top w:val="single" w:sz="4" w:space="0" w:color="auto"/>
            </w:tcBorders>
            <w:shd w:val="clear" w:color="auto" w:fill="FFFFFF" w:themeFill="background1"/>
          </w:tcPr>
          <w:p w:rsidR="00AE7868" w:rsidRDefault="00FF2B57">
            <w:pPr>
              <w:spacing w:before="40" w:after="40" w:line="240" w:lineRule="atLeast"/>
              <w:rPr>
                <w:rFonts w:ascii="Cambria" w:hAnsi="Cambria" w:cs="Arial"/>
                <w:b/>
                <w:sz w:val="18"/>
                <w:szCs w:val="18"/>
              </w:rPr>
            </w:pPr>
            <w:r>
              <w:rPr>
                <w:rFonts w:ascii="Cambria" w:hAnsi="Cambria" w:cs="Arial"/>
                <w:b/>
                <w:sz w:val="18"/>
                <w:szCs w:val="18"/>
              </w:rPr>
              <w:t>Pathway</w:t>
            </w:r>
          </w:p>
        </w:tc>
        <w:tc>
          <w:tcPr>
            <w:tcW w:w="4253" w:type="dxa"/>
            <w:gridSpan w:val="3"/>
            <w:tcBorders>
              <w:top w:val="single" w:sz="4" w:space="0" w:color="auto"/>
              <w:bottom w:val="single" w:sz="4" w:space="0" w:color="auto"/>
            </w:tcBorders>
            <w:shd w:val="clear" w:color="auto" w:fill="FFFFFF" w:themeFill="background1"/>
          </w:tcPr>
          <w:p w:rsidR="00AE7868" w:rsidRDefault="00FF2B57">
            <w:pPr>
              <w:keepNext/>
              <w:spacing w:before="60"/>
              <w:jc w:val="center"/>
              <w:rPr>
                <w:rFonts w:ascii="Cambria" w:hAnsi="Cambria" w:cs="Arial"/>
                <w:b/>
                <w:sz w:val="18"/>
                <w:szCs w:val="18"/>
              </w:rPr>
            </w:pPr>
            <w:r>
              <w:rPr>
                <w:rFonts w:ascii="Cambria" w:hAnsi="Cambria" w:cs="Arial"/>
                <w:b/>
                <w:sz w:val="18"/>
                <w:szCs w:val="18"/>
              </w:rPr>
              <w:t xml:space="preserve">Likelihood of </w:t>
            </w:r>
          </w:p>
        </w:tc>
        <w:tc>
          <w:tcPr>
            <w:tcW w:w="2866" w:type="dxa"/>
            <w:vMerge w:val="restart"/>
            <w:tcBorders>
              <w:top w:val="single" w:sz="4" w:space="0" w:color="auto"/>
            </w:tcBorders>
            <w:shd w:val="clear" w:color="auto" w:fill="FFFFFF" w:themeFill="background1"/>
          </w:tcPr>
          <w:p w:rsidR="00AE7868" w:rsidRDefault="00FF2B57">
            <w:pPr>
              <w:keepNext/>
              <w:spacing w:before="60"/>
              <w:jc w:val="center"/>
              <w:rPr>
                <w:rFonts w:ascii="Cambria" w:hAnsi="Cambria" w:cs="Arial"/>
                <w:b/>
                <w:sz w:val="18"/>
                <w:szCs w:val="18"/>
              </w:rPr>
            </w:pPr>
            <w:r>
              <w:rPr>
                <w:rFonts w:ascii="Cambria" w:hAnsi="Cambria" w:cs="Arial"/>
                <w:b/>
                <w:sz w:val="18"/>
                <w:szCs w:val="18"/>
              </w:rPr>
              <w:t>Overall likelihood of entry, establishment and spread</w:t>
            </w:r>
          </w:p>
        </w:tc>
      </w:tr>
      <w:tr w:rsidR="00AE7868">
        <w:trPr>
          <w:tblHeader/>
        </w:trPr>
        <w:tc>
          <w:tcPr>
            <w:tcW w:w="1701" w:type="dxa"/>
            <w:vMerge/>
            <w:tcBorders>
              <w:bottom w:val="single" w:sz="4" w:space="0" w:color="auto"/>
            </w:tcBorders>
            <w:shd w:val="clear" w:color="auto" w:fill="E0E0E0"/>
          </w:tcPr>
          <w:p w:rsidR="00AE7868" w:rsidRDefault="00AE7868">
            <w:pPr>
              <w:keepNext/>
              <w:spacing w:before="60"/>
              <w:rPr>
                <w:rFonts w:ascii="Cambria" w:hAnsi="Cambria" w:cs="Arial"/>
                <w:b/>
                <w:sz w:val="18"/>
                <w:szCs w:val="18"/>
              </w:rPr>
            </w:pPr>
          </w:p>
        </w:tc>
        <w:tc>
          <w:tcPr>
            <w:tcW w:w="1276" w:type="dxa"/>
            <w:tcBorders>
              <w:top w:val="single" w:sz="4" w:space="0" w:color="auto"/>
              <w:bottom w:val="single" w:sz="4" w:space="0" w:color="auto"/>
            </w:tcBorders>
            <w:shd w:val="clear" w:color="auto" w:fill="FFFFFF" w:themeFill="background1"/>
          </w:tcPr>
          <w:p w:rsidR="00AE7868" w:rsidRDefault="00FF2B57">
            <w:pPr>
              <w:keepNext/>
              <w:spacing w:before="60"/>
              <w:jc w:val="center"/>
              <w:rPr>
                <w:rFonts w:ascii="Cambria" w:hAnsi="Cambria" w:cs="Arial"/>
                <w:b/>
                <w:sz w:val="18"/>
                <w:szCs w:val="18"/>
              </w:rPr>
            </w:pPr>
            <w:r>
              <w:rPr>
                <w:rFonts w:ascii="Cambria" w:hAnsi="Cambria" w:cs="Arial"/>
                <w:b/>
                <w:sz w:val="18"/>
                <w:szCs w:val="18"/>
              </w:rPr>
              <w:t>Entry</w:t>
            </w:r>
          </w:p>
        </w:tc>
        <w:tc>
          <w:tcPr>
            <w:tcW w:w="1418" w:type="dxa"/>
            <w:tcBorders>
              <w:top w:val="single" w:sz="4" w:space="0" w:color="auto"/>
              <w:bottom w:val="single" w:sz="4" w:space="0" w:color="auto"/>
            </w:tcBorders>
            <w:shd w:val="clear" w:color="auto" w:fill="FFFFFF" w:themeFill="background1"/>
          </w:tcPr>
          <w:p w:rsidR="00AE7868" w:rsidRDefault="00FF2B57">
            <w:pPr>
              <w:keepNext/>
              <w:spacing w:before="60"/>
              <w:jc w:val="center"/>
              <w:rPr>
                <w:rFonts w:ascii="Cambria" w:hAnsi="Cambria" w:cs="Arial"/>
                <w:b/>
                <w:sz w:val="18"/>
                <w:szCs w:val="18"/>
              </w:rPr>
            </w:pPr>
            <w:r>
              <w:rPr>
                <w:rFonts w:ascii="Cambria" w:hAnsi="Cambria" w:cs="Arial"/>
                <w:b/>
                <w:sz w:val="18"/>
                <w:szCs w:val="18"/>
              </w:rPr>
              <w:t>Establishment</w:t>
            </w:r>
          </w:p>
        </w:tc>
        <w:tc>
          <w:tcPr>
            <w:tcW w:w="1559" w:type="dxa"/>
            <w:tcBorders>
              <w:top w:val="single" w:sz="4" w:space="0" w:color="auto"/>
              <w:bottom w:val="single" w:sz="4" w:space="0" w:color="auto"/>
            </w:tcBorders>
            <w:shd w:val="clear" w:color="auto" w:fill="FFFFFF" w:themeFill="background1"/>
          </w:tcPr>
          <w:p w:rsidR="00AE7868" w:rsidRDefault="00FF2B57">
            <w:pPr>
              <w:keepNext/>
              <w:spacing w:before="60"/>
              <w:jc w:val="center"/>
              <w:rPr>
                <w:rFonts w:ascii="Cambria" w:hAnsi="Cambria" w:cs="Arial"/>
                <w:b/>
                <w:sz w:val="18"/>
                <w:szCs w:val="18"/>
              </w:rPr>
            </w:pPr>
            <w:r>
              <w:rPr>
                <w:rFonts w:ascii="Cambria" w:hAnsi="Cambria" w:cs="Arial"/>
                <w:b/>
                <w:sz w:val="18"/>
                <w:szCs w:val="18"/>
              </w:rPr>
              <w:t>Spread</w:t>
            </w:r>
          </w:p>
        </w:tc>
        <w:tc>
          <w:tcPr>
            <w:tcW w:w="2866" w:type="dxa"/>
            <w:vMerge/>
            <w:tcBorders>
              <w:bottom w:val="single" w:sz="4" w:space="0" w:color="auto"/>
            </w:tcBorders>
            <w:shd w:val="clear" w:color="auto" w:fill="E0E0E0"/>
          </w:tcPr>
          <w:p w:rsidR="00AE7868" w:rsidRDefault="00AE7868">
            <w:pPr>
              <w:keepNext/>
              <w:spacing w:before="60"/>
              <w:jc w:val="center"/>
              <w:rPr>
                <w:rFonts w:ascii="Cambria" w:hAnsi="Cambria" w:cs="Arial"/>
                <w:b/>
                <w:sz w:val="18"/>
                <w:szCs w:val="18"/>
              </w:rPr>
            </w:pPr>
          </w:p>
        </w:tc>
      </w:tr>
      <w:tr w:rsidR="00AE7868">
        <w:tc>
          <w:tcPr>
            <w:tcW w:w="1701" w:type="dxa"/>
            <w:tcBorders>
              <w:top w:val="single" w:sz="4" w:space="0" w:color="auto"/>
            </w:tcBorders>
            <w:shd w:val="clear" w:color="auto" w:fill="auto"/>
          </w:tcPr>
          <w:p w:rsidR="00AE7868" w:rsidRDefault="00FF2B57">
            <w:pPr>
              <w:spacing w:before="40" w:after="40" w:line="240" w:lineRule="atLeast"/>
              <w:rPr>
                <w:rFonts w:ascii="Cambria" w:hAnsi="Cambria" w:cs="Arial"/>
                <w:sz w:val="18"/>
                <w:szCs w:val="18"/>
              </w:rPr>
            </w:pPr>
            <w:r>
              <w:rPr>
                <w:rFonts w:ascii="Cambria" w:hAnsi="Cambria" w:cs="Arial"/>
                <w:sz w:val="18"/>
                <w:szCs w:val="18"/>
              </w:rPr>
              <w:t>Seeds for sowing</w:t>
            </w:r>
          </w:p>
        </w:tc>
        <w:tc>
          <w:tcPr>
            <w:tcW w:w="1276" w:type="dxa"/>
            <w:tcBorders>
              <w:top w:val="single" w:sz="4" w:space="0" w:color="auto"/>
            </w:tcBorders>
            <w:shd w:val="clear" w:color="auto" w:fill="auto"/>
          </w:tcPr>
          <w:p w:rsidR="00AE7868" w:rsidRDefault="00FF2B57">
            <w:pPr>
              <w:keepNext/>
              <w:spacing w:before="40" w:after="40" w:line="240" w:lineRule="atLeast"/>
              <w:jc w:val="center"/>
              <w:rPr>
                <w:rFonts w:ascii="Cambria" w:hAnsi="Cambria" w:cs="Arial"/>
                <w:sz w:val="18"/>
                <w:szCs w:val="18"/>
              </w:rPr>
            </w:pPr>
            <w:r>
              <w:rPr>
                <w:rFonts w:ascii="Cambria" w:hAnsi="Cambria" w:cs="Arial"/>
                <w:sz w:val="18"/>
                <w:szCs w:val="18"/>
              </w:rPr>
              <w:t>Low</w:t>
            </w:r>
          </w:p>
        </w:tc>
        <w:tc>
          <w:tcPr>
            <w:tcW w:w="1418" w:type="dxa"/>
            <w:tcBorders>
              <w:top w:val="single" w:sz="4" w:space="0" w:color="auto"/>
            </w:tcBorders>
            <w:shd w:val="clear" w:color="auto" w:fill="auto"/>
          </w:tcPr>
          <w:p w:rsidR="00AE7868" w:rsidRDefault="00FF2B57">
            <w:pPr>
              <w:keepNext/>
              <w:spacing w:before="40" w:after="40" w:line="240" w:lineRule="atLeast"/>
              <w:jc w:val="center"/>
              <w:rPr>
                <w:rFonts w:ascii="Cambria" w:hAnsi="Cambria" w:cs="Arial"/>
                <w:sz w:val="18"/>
                <w:szCs w:val="18"/>
              </w:rPr>
            </w:pPr>
            <w:r>
              <w:rPr>
                <w:rFonts w:ascii="Cambria" w:hAnsi="Cambria" w:cs="Arial"/>
                <w:sz w:val="18"/>
                <w:szCs w:val="18"/>
              </w:rPr>
              <w:t>Moderate</w:t>
            </w:r>
          </w:p>
        </w:tc>
        <w:tc>
          <w:tcPr>
            <w:tcW w:w="1559" w:type="dxa"/>
            <w:tcBorders>
              <w:top w:val="single" w:sz="4" w:space="0" w:color="auto"/>
            </w:tcBorders>
          </w:tcPr>
          <w:p w:rsidR="00AE7868" w:rsidRDefault="00FF2B57">
            <w:pPr>
              <w:keepNext/>
              <w:spacing w:before="40" w:after="40" w:line="240" w:lineRule="atLeast"/>
              <w:jc w:val="center"/>
              <w:rPr>
                <w:rFonts w:ascii="Cambria" w:hAnsi="Cambria" w:cs="Arial"/>
                <w:sz w:val="18"/>
                <w:szCs w:val="18"/>
              </w:rPr>
            </w:pPr>
            <w:r>
              <w:rPr>
                <w:rFonts w:ascii="Cambria" w:hAnsi="Cambria" w:cs="Arial"/>
                <w:sz w:val="18"/>
                <w:szCs w:val="18"/>
              </w:rPr>
              <w:t>High (very low)*</w:t>
            </w:r>
          </w:p>
        </w:tc>
        <w:tc>
          <w:tcPr>
            <w:tcW w:w="2866" w:type="dxa"/>
            <w:tcBorders>
              <w:top w:val="single" w:sz="4" w:space="0" w:color="auto"/>
            </w:tcBorders>
            <w:shd w:val="clear" w:color="auto" w:fill="auto"/>
          </w:tcPr>
          <w:p w:rsidR="00AE7868" w:rsidRDefault="00FF2B57">
            <w:pPr>
              <w:keepNext/>
              <w:spacing w:before="40" w:after="40" w:line="240" w:lineRule="atLeast"/>
              <w:jc w:val="center"/>
              <w:rPr>
                <w:rFonts w:ascii="Cambria" w:hAnsi="Cambria" w:cs="Arial"/>
                <w:sz w:val="18"/>
                <w:szCs w:val="18"/>
              </w:rPr>
            </w:pPr>
            <w:r>
              <w:rPr>
                <w:rFonts w:ascii="Cambria" w:hAnsi="Cambria" w:cs="Arial"/>
                <w:sz w:val="18"/>
                <w:szCs w:val="18"/>
              </w:rPr>
              <w:t>Low</w:t>
            </w:r>
          </w:p>
          <w:p w:rsidR="00AE7868" w:rsidRDefault="00FF2B57">
            <w:pPr>
              <w:keepNext/>
              <w:spacing w:before="40" w:after="40" w:line="240" w:lineRule="atLeast"/>
              <w:jc w:val="center"/>
              <w:rPr>
                <w:rFonts w:ascii="Cambria" w:hAnsi="Cambria" w:cs="Arial"/>
                <w:sz w:val="18"/>
                <w:szCs w:val="18"/>
              </w:rPr>
            </w:pPr>
            <w:r>
              <w:rPr>
                <w:rFonts w:ascii="Cambria" w:hAnsi="Cambria" w:cs="Arial"/>
                <w:sz w:val="18"/>
                <w:szCs w:val="18"/>
              </w:rPr>
              <w:t>(very low)</w:t>
            </w:r>
          </w:p>
        </w:tc>
      </w:tr>
      <w:tr w:rsidR="00AE7868">
        <w:tc>
          <w:tcPr>
            <w:tcW w:w="1701" w:type="dxa"/>
            <w:tcBorders>
              <w:bottom w:val="single" w:sz="4" w:space="0" w:color="auto"/>
            </w:tcBorders>
            <w:shd w:val="clear" w:color="auto" w:fill="auto"/>
          </w:tcPr>
          <w:p w:rsidR="00AE7868" w:rsidRDefault="00FF2B57">
            <w:pPr>
              <w:spacing w:before="40" w:after="40" w:line="240" w:lineRule="atLeast"/>
              <w:rPr>
                <w:rFonts w:ascii="Cambria" w:hAnsi="Cambria" w:cs="Arial"/>
                <w:sz w:val="18"/>
                <w:szCs w:val="18"/>
              </w:rPr>
            </w:pPr>
            <w:r>
              <w:rPr>
                <w:rFonts w:ascii="Cambria" w:hAnsi="Cambria" w:cs="Arial"/>
                <w:sz w:val="18"/>
                <w:szCs w:val="18"/>
              </w:rPr>
              <w:t xml:space="preserve">Tissue cultures </w:t>
            </w:r>
          </w:p>
        </w:tc>
        <w:tc>
          <w:tcPr>
            <w:tcW w:w="1276" w:type="dxa"/>
            <w:tcBorders>
              <w:bottom w:val="single" w:sz="4" w:space="0" w:color="auto"/>
            </w:tcBorders>
            <w:shd w:val="clear" w:color="auto" w:fill="auto"/>
          </w:tcPr>
          <w:p w:rsidR="00AE7868" w:rsidRDefault="00FF2B57">
            <w:pPr>
              <w:spacing w:before="40" w:after="40" w:line="240" w:lineRule="atLeast"/>
              <w:jc w:val="center"/>
              <w:rPr>
                <w:rFonts w:ascii="Cambria" w:hAnsi="Cambria" w:cs="Arial"/>
                <w:sz w:val="18"/>
                <w:szCs w:val="18"/>
              </w:rPr>
            </w:pPr>
            <w:r>
              <w:rPr>
                <w:rFonts w:ascii="Cambria" w:hAnsi="Cambria" w:cs="Arial"/>
                <w:sz w:val="18"/>
                <w:szCs w:val="18"/>
              </w:rPr>
              <w:t>Low</w:t>
            </w:r>
          </w:p>
        </w:tc>
        <w:tc>
          <w:tcPr>
            <w:tcW w:w="1418" w:type="dxa"/>
            <w:tcBorders>
              <w:bottom w:val="single" w:sz="4" w:space="0" w:color="auto"/>
            </w:tcBorders>
            <w:shd w:val="clear" w:color="auto" w:fill="auto"/>
          </w:tcPr>
          <w:p w:rsidR="00AE7868" w:rsidRDefault="00FF2B57">
            <w:pPr>
              <w:spacing w:before="40" w:after="40" w:line="240" w:lineRule="atLeast"/>
              <w:jc w:val="center"/>
              <w:rPr>
                <w:rFonts w:ascii="Cambria" w:hAnsi="Cambria" w:cs="Arial"/>
                <w:sz w:val="18"/>
                <w:szCs w:val="18"/>
              </w:rPr>
            </w:pPr>
            <w:r>
              <w:rPr>
                <w:rFonts w:ascii="Cambria" w:hAnsi="Cambria" w:cs="Arial"/>
                <w:sz w:val="18"/>
                <w:szCs w:val="18"/>
              </w:rPr>
              <w:t>Moderate</w:t>
            </w:r>
          </w:p>
        </w:tc>
        <w:tc>
          <w:tcPr>
            <w:tcW w:w="1559" w:type="dxa"/>
            <w:tcBorders>
              <w:bottom w:val="single" w:sz="4" w:space="0" w:color="auto"/>
            </w:tcBorders>
          </w:tcPr>
          <w:p w:rsidR="00AE7868" w:rsidRDefault="00FF2B57">
            <w:pPr>
              <w:spacing w:before="40" w:after="40" w:line="240" w:lineRule="atLeast"/>
              <w:jc w:val="center"/>
              <w:rPr>
                <w:rFonts w:ascii="Cambria" w:hAnsi="Cambria" w:cs="Arial"/>
                <w:sz w:val="18"/>
                <w:szCs w:val="18"/>
              </w:rPr>
            </w:pPr>
            <w:r>
              <w:rPr>
                <w:rFonts w:ascii="Cambria" w:hAnsi="Cambria" w:cs="Arial"/>
                <w:sz w:val="18"/>
                <w:szCs w:val="18"/>
              </w:rPr>
              <w:t>High (very low)*</w:t>
            </w:r>
          </w:p>
        </w:tc>
        <w:tc>
          <w:tcPr>
            <w:tcW w:w="2866" w:type="dxa"/>
            <w:tcBorders>
              <w:bottom w:val="single" w:sz="4" w:space="0" w:color="auto"/>
            </w:tcBorders>
            <w:shd w:val="clear" w:color="auto" w:fill="auto"/>
          </w:tcPr>
          <w:p w:rsidR="00AE7868" w:rsidRDefault="00FF2B57">
            <w:pPr>
              <w:keepNext/>
              <w:spacing w:before="40" w:after="40" w:line="240" w:lineRule="atLeast"/>
              <w:jc w:val="center"/>
              <w:rPr>
                <w:rFonts w:ascii="Cambria" w:hAnsi="Cambria" w:cs="Arial"/>
                <w:sz w:val="18"/>
                <w:szCs w:val="18"/>
              </w:rPr>
            </w:pPr>
            <w:r>
              <w:rPr>
                <w:rFonts w:ascii="Cambria" w:hAnsi="Cambria" w:cs="Arial"/>
                <w:sz w:val="18"/>
                <w:szCs w:val="18"/>
              </w:rPr>
              <w:t xml:space="preserve">Low </w:t>
            </w:r>
          </w:p>
          <w:p w:rsidR="00AE7868" w:rsidRDefault="00FF2B57">
            <w:pPr>
              <w:keepNext/>
              <w:spacing w:before="40" w:after="40" w:line="240" w:lineRule="atLeast"/>
              <w:jc w:val="center"/>
              <w:rPr>
                <w:rFonts w:ascii="Cambria" w:hAnsi="Cambria" w:cs="Arial"/>
                <w:sz w:val="18"/>
                <w:szCs w:val="18"/>
              </w:rPr>
            </w:pPr>
            <w:r>
              <w:rPr>
                <w:rFonts w:ascii="Cambria" w:hAnsi="Cambria" w:cs="Arial"/>
                <w:sz w:val="18"/>
                <w:szCs w:val="18"/>
              </w:rPr>
              <w:t>(very low)</w:t>
            </w:r>
          </w:p>
        </w:tc>
      </w:tr>
    </w:tbl>
    <w:p w:rsidR="00AE7868" w:rsidRDefault="00FF2B57">
      <w:pPr>
        <w:pStyle w:val="dot0"/>
        <w:numPr>
          <w:ilvl w:val="0"/>
          <w:numId w:val="0"/>
        </w:numPr>
        <w:spacing w:before="60" w:line="280" w:lineRule="atLeast"/>
        <w:rPr>
          <w:rFonts w:ascii="Cambria" w:hAnsi="Cambria" w:cs="Arial"/>
          <w:sz w:val="18"/>
          <w:szCs w:val="18"/>
        </w:rPr>
      </w:pPr>
      <w:r>
        <w:rPr>
          <w:rFonts w:ascii="Cambria" w:hAnsi="Cambria" w:cs="Arial"/>
          <w:sz w:val="18"/>
          <w:szCs w:val="18"/>
        </w:rPr>
        <w:t>* Ratings in parenthesis are in the absence of known vectors in Australia</w:t>
      </w:r>
    </w:p>
    <w:p w:rsidR="00AE7868" w:rsidRDefault="00FF2B57">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398" w:name="_Toc437356030"/>
      <w:r>
        <w:rPr>
          <w:rFonts w:ascii="Calibri" w:hAnsi="Calibri" w:cstheme="minorBidi"/>
          <w:sz w:val="24"/>
          <w:szCs w:val="22"/>
        </w:rPr>
        <w:t>Consequences</w:t>
      </w:r>
      <w:bookmarkEnd w:id="398"/>
    </w:p>
    <w:p w:rsidR="00AE7868" w:rsidRDefault="00FF2B57">
      <w:pPr>
        <w:spacing w:before="200"/>
        <w:rPr>
          <w:rFonts w:ascii="Cambria" w:hAnsi="Cambria"/>
        </w:rPr>
      </w:pPr>
      <w:r>
        <w:rPr>
          <w:rFonts w:ascii="Cambria" w:hAnsi="Cambria"/>
        </w:rPr>
        <w:t>The potential consequences of the introduction and spread of ‘</w:t>
      </w:r>
      <w:r>
        <w:rPr>
          <w:rFonts w:ascii="Cambria" w:hAnsi="Cambria"/>
          <w:i/>
        </w:rPr>
        <w:t>Ca</w:t>
      </w:r>
      <w:r>
        <w:rPr>
          <w:rFonts w:ascii="Cambria" w:hAnsi="Cambria"/>
        </w:rPr>
        <w:t xml:space="preserve">. L. solanacearum’ associated with apiaceous crops in Australia have been estimated according to the methods described in Table 4. In assessing </w:t>
      </w:r>
      <w:r>
        <w:rPr>
          <w:rFonts w:ascii="Cambria" w:hAnsi="Cambria"/>
        </w:rPr>
        <w:lastRenderedPageBreak/>
        <w:t>the potential impact of ‘</w:t>
      </w:r>
      <w:r>
        <w:rPr>
          <w:rFonts w:ascii="Cambria" w:hAnsi="Cambria"/>
          <w:i/>
        </w:rPr>
        <w:t>Ca</w:t>
      </w:r>
      <w:r>
        <w:rPr>
          <w:rFonts w:ascii="Cambria" w:hAnsi="Cambria"/>
        </w:rPr>
        <w:t>. L. solanacearum’ in Australia, the economic losses caused by this pathogen in Europe were considered.</w:t>
      </w:r>
    </w:p>
    <w:p w:rsidR="00AE7868" w:rsidRDefault="00FF2B57">
      <w:pPr>
        <w:spacing w:before="200"/>
        <w:rPr>
          <w:rFonts w:ascii="Cambria" w:hAnsi="Cambria"/>
        </w:rPr>
      </w:pPr>
      <w:r>
        <w:rPr>
          <w:rFonts w:ascii="Cambria" w:hAnsi="Cambria"/>
        </w:rPr>
        <w:t>Reasoning for these ratings is provided below:</w:t>
      </w:r>
    </w:p>
    <w:tbl>
      <w:tblPr>
        <w:tblW w:w="4806" w:type="pct"/>
        <w:tblInd w:w="108" w:type="dxa"/>
        <w:tblBorders>
          <w:top w:val="single" w:sz="4" w:space="0" w:color="auto"/>
          <w:bottom w:val="single" w:sz="4" w:space="0" w:color="auto"/>
        </w:tblBorders>
        <w:tblLook w:val="04A0" w:firstRow="1" w:lastRow="0" w:firstColumn="1" w:lastColumn="0" w:noHBand="0" w:noVBand="1"/>
      </w:tblPr>
      <w:tblGrid>
        <w:gridCol w:w="1662"/>
        <w:gridCol w:w="7056"/>
      </w:tblGrid>
      <w:tr w:rsidR="00AE7868">
        <w:trPr>
          <w:tblHeader/>
        </w:trPr>
        <w:tc>
          <w:tcPr>
            <w:tcW w:w="953" w:type="pct"/>
          </w:tcPr>
          <w:p w:rsidR="00AE7868" w:rsidRDefault="00FF2B57">
            <w:pPr>
              <w:pStyle w:val="TableHeading"/>
              <w:keepLines/>
              <w:rPr>
                <w:rFonts w:ascii="Cambria" w:hAnsi="Cambria"/>
              </w:rPr>
            </w:pPr>
            <w:r>
              <w:rPr>
                <w:rFonts w:ascii="Cambria" w:hAnsi="Cambria"/>
              </w:rPr>
              <w:t>Criterion</w:t>
            </w:r>
          </w:p>
        </w:tc>
        <w:tc>
          <w:tcPr>
            <w:tcW w:w="4047" w:type="pct"/>
          </w:tcPr>
          <w:p w:rsidR="00AE7868" w:rsidRDefault="00FF2B57">
            <w:pPr>
              <w:pStyle w:val="TableHeading"/>
              <w:keepLines/>
              <w:rPr>
                <w:rFonts w:ascii="Cambria" w:hAnsi="Cambria"/>
              </w:rPr>
            </w:pPr>
            <w:r>
              <w:rPr>
                <w:rFonts w:ascii="Cambria" w:hAnsi="Cambria"/>
              </w:rPr>
              <w:t>Estimate and rationale</w:t>
            </w:r>
          </w:p>
        </w:tc>
      </w:tr>
      <w:tr w:rsidR="00AE7868">
        <w:tc>
          <w:tcPr>
            <w:tcW w:w="5000" w:type="pct"/>
            <w:gridSpan w:val="2"/>
          </w:tcPr>
          <w:p w:rsidR="00AE7868" w:rsidRDefault="00FF2B57">
            <w:pPr>
              <w:pStyle w:val="TableText"/>
              <w:keepNext/>
              <w:keepLines/>
              <w:outlineLvl w:val="0"/>
              <w:rPr>
                <w:rFonts w:ascii="Cambria" w:hAnsi="Cambria"/>
                <w:b/>
              </w:rPr>
            </w:pPr>
            <w:r>
              <w:rPr>
                <w:rFonts w:ascii="Cambria" w:hAnsi="Cambria"/>
                <w:b/>
              </w:rPr>
              <w:t>Direct</w:t>
            </w:r>
          </w:p>
        </w:tc>
      </w:tr>
      <w:tr w:rsidR="00AE7868">
        <w:tc>
          <w:tcPr>
            <w:tcW w:w="953" w:type="pct"/>
          </w:tcPr>
          <w:p w:rsidR="00AE7868" w:rsidRDefault="00FF2B57">
            <w:pPr>
              <w:pStyle w:val="TableText"/>
              <w:rPr>
                <w:rFonts w:ascii="Cambria" w:hAnsi="Cambria" w:cs="Helvetica"/>
                <w:iCs/>
                <w:szCs w:val="18"/>
              </w:rPr>
            </w:pPr>
            <w:r>
              <w:rPr>
                <w:rFonts w:ascii="Cambria" w:hAnsi="Cambria" w:cs="Helvetica"/>
                <w:iCs/>
                <w:szCs w:val="18"/>
              </w:rPr>
              <w:t>Plant life or health</w:t>
            </w:r>
          </w:p>
        </w:tc>
        <w:tc>
          <w:tcPr>
            <w:tcW w:w="4047" w:type="pct"/>
          </w:tcPr>
          <w:p w:rsidR="00AE7868" w:rsidRDefault="00FF2B57">
            <w:pPr>
              <w:pStyle w:val="TableText"/>
              <w:rPr>
                <w:rFonts w:ascii="Cambria" w:hAnsi="Cambria"/>
              </w:rPr>
            </w:pPr>
            <w:r>
              <w:rPr>
                <w:rFonts w:ascii="Cambria" w:hAnsi="Cambria"/>
              </w:rPr>
              <w:t>F—Major significance at the regional level</w:t>
            </w:r>
          </w:p>
          <w:p w:rsidR="00AE7868" w:rsidRDefault="00FF2B57">
            <w:pPr>
              <w:pStyle w:val="TableText"/>
              <w:rPr>
                <w:rFonts w:ascii="Cambria" w:hAnsi="Cambria" w:cs="Helvetica"/>
                <w:szCs w:val="18"/>
              </w:rPr>
            </w:pPr>
            <w:r>
              <w:rPr>
                <w:rFonts w:ascii="Cambria" w:hAnsi="Cambria" w:cs="Helvetica"/>
                <w:i/>
                <w:iCs/>
                <w:szCs w:val="18"/>
              </w:rPr>
              <w:t>‘Ca</w:t>
            </w:r>
            <w:r>
              <w:rPr>
                <w:rFonts w:ascii="Cambria" w:hAnsi="Cambria" w:cs="Helvetica"/>
                <w:iCs/>
                <w:szCs w:val="18"/>
              </w:rPr>
              <w:t>. L. solanacearum’ associated with apiaceous crops (carrot, celery and parsnip) have a significant effect on plant health, life and yield.</w:t>
            </w:r>
            <w:r>
              <w:rPr>
                <w:rFonts w:ascii="Cambria" w:hAnsi="Cambria" w:cs="Helvetica"/>
                <w:szCs w:val="18"/>
              </w:rPr>
              <w:t xml:space="preserve"> This bacterium causes yellows decline and vegetative disorders in carrots (Munyaneza et al. 2010a, b) and vegetative disorders in celery (Teresani et al. 2014b). </w:t>
            </w:r>
            <w:r>
              <w:rPr>
                <w:rFonts w:ascii="Cambria" w:hAnsi="Cambria"/>
              </w:rPr>
              <w:t>The bacterium/vector complex has caused serious damage to the carrot and celery industry in Europe (EPPO 2013). In Europe, damage to carrots by ‘</w:t>
            </w:r>
            <w:r>
              <w:rPr>
                <w:rFonts w:ascii="Cambria" w:hAnsi="Cambria"/>
                <w:i/>
              </w:rPr>
              <w:t xml:space="preserve">Candidatus </w:t>
            </w:r>
            <w:r>
              <w:rPr>
                <w:rFonts w:ascii="Cambria" w:hAnsi="Cambria"/>
              </w:rPr>
              <w:t>Liberibacter’-infected carrot psyllids can cause up to 100 percent crop loss (EPPO 2013) without management.</w:t>
            </w:r>
          </w:p>
          <w:p w:rsidR="00AE7868" w:rsidRDefault="00FF2B57">
            <w:pPr>
              <w:pStyle w:val="TableBullet"/>
              <w:ind w:left="284" w:hanging="284"/>
              <w:rPr>
                <w:rFonts w:ascii="Cambria" w:hAnsi="Cambria" w:cs="Helvetica"/>
                <w:szCs w:val="18"/>
              </w:rPr>
            </w:pPr>
            <w:r>
              <w:rPr>
                <w:rFonts w:ascii="Cambria" w:hAnsi="Cambria"/>
              </w:rPr>
              <w:t>Symptoms caused by ‘</w:t>
            </w:r>
            <w:r>
              <w:rPr>
                <w:rFonts w:ascii="Cambria" w:hAnsi="Cambria"/>
                <w:i/>
              </w:rPr>
              <w:t>Ca</w:t>
            </w:r>
            <w:r>
              <w:rPr>
                <w:rFonts w:ascii="Cambria" w:hAnsi="Cambria"/>
              </w:rPr>
              <w:t>. L. solanacearum’ in carrot plants include leaf yellowing, bronze or red leaf discolouration, reduced size of the main root and lateral root proliferation (Munyaneza et al. 2011). Other symptoms include stunting, proliferation of dwarfed shoots with bushy tops and a dense hairy growth of secondary roots (Loiseau et al. 2014).</w:t>
            </w:r>
          </w:p>
          <w:p w:rsidR="00AE7868" w:rsidRDefault="00FF2B57">
            <w:pPr>
              <w:pStyle w:val="TableBullet"/>
              <w:ind w:left="284" w:hanging="284"/>
              <w:rPr>
                <w:rFonts w:ascii="Cambria" w:hAnsi="Cambria"/>
              </w:rPr>
            </w:pPr>
            <w:r>
              <w:rPr>
                <w:rFonts w:ascii="Cambria" w:eastAsia="Cambria" w:hAnsi="Cambria" w:cs="Times-Roman"/>
              </w:rPr>
              <w:t>Symptoms caused by ‘</w:t>
            </w:r>
            <w:r>
              <w:rPr>
                <w:rFonts w:ascii="Cambria" w:eastAsia="Cambria" w:hAnsi="Cambria" w:cs="Times-Roman"/>
                <w:i/>
              </w:rPr>
              <w:t>Ca</w:t>
            </w:r>
            <w:r>
              <w:rPr>
                <w:rFonts w:ascii="Cambria" w:eastAsia="Cambria" w:hAnsi="Cambria" w:cs="Times-Roman"/>
              </w:rPr>
              <w:t xml:space="preserve">. L. solanacearum’ in celery include an abnormal amount of shoots, curling of stems and yellowing (Teresani et al. 2014b). </w:t>
            </w:r>
          </w:p>
          <w:p w:rsidR="00AE7868" w:rsidRDefault="00FF2B57">
            <w:pPr>
              <w:pStyle w:val="TableBullet"/>
              <w:ind w:left="284" w:hanging="284"/>
              <w:rPr>
                <w:rFonts w:ascii="Cambria" w:hAnsi="Cambria"/>
              </w:rPr>
            </w:pPr>
            <w:r>
              <w:rPr>
                <w:rFonts w:ascii="Cambria" w:hAnsi="Cambria" w:cs="Helvetica"/>
                <w:szCs w:val="18"/>
              </w:rPr>
              <w:t>The economic impact on plant life or health may depend on the extent of symptom expression on carrot and celery. In addition to the yield, the quality of the crop is also affected, with a reduced amount of sugars and increased amounts of phenolic compounds in the root resulting in a bitter taste (Nissinen et al. 2012; Seljåsen et al. 2013).</w:t>
            </w:r>
          </w:p>
          <w:p w:rsidR="00AE7868" w:rsidRDefault="00FF2B57">
            <w:pPr>
              <w:pStyle w:val="TableBullet"/>
              <w:ind w:left="284" w:hanging="284"/>
              <w:rPr>
                <w:rFonts w:ascii="Cambria" w:hAnsi="Cambria" w:cs="Helvetica"/>
                <w:szCs w:val="18"/>
              </w:rPr>
            </w:pPr>
            <w:r>
              <w:rPr>
                <w:rFonts w:ascii="Cambria" w:hAnsi="Cambria"/>
              </w:rPr>
              <w:t>Vegetative disorders associated with ‘</w:t>
            </w:r>
            <w:r>
              <w:rPr>
                <w:rFonts w:ascii="Cambria" w:hAnsi="Cambria"/>
                <w:i/>
              </w:rPr>
              <w:t>Ca</w:t>
            </w:r>
            <w:r>
              <w:rPr>
                <w:rFonts w:ascii="Cambria" w:hAnsi="Cambria"/>
              </w:rPr>
              <w:t>. L. solanacearum’ in carrot producing areas in Spain have caused economic losses in carrot production for the fresh market (Bertolini et al. 2015).</w:t>
            </w:r>
          </w:p>
        </w:tc>
      </w:tr>
      <w:tr w:rsidR="00AE7868">
        <w:tc>
          <w:tcPr>
            <w:tcW w:w="953" w:type="pct"/>
          </w:tcPr>
          <w:p w:rsidR="00AE7868" w:rsidRDefault="00FF2B57">
            <w:pPr>
              <w:pStyle w:val="TableText"/>
              <w:rPr>
                <w:rFonts w:ascii="Cambria" w:hAnsi="Cambria"/>
              </w:rPr>
            </w:pPr>
            <w:r>
              <w:rPr>
                <w:rFonts w:ascii="Cambria" w:hAnsi="Cambria"/>
              </w:rPr>
              <w:t>Other aspects of the environment</w:t>
            </w:r>
          </w:p>
        </w:tc>
        <w:tc>
          <w:tcPr>
            <w:tcW w:w="4047" w:type="pct"/>
          </w:tcPr>
          <w:p w:rsidR="00AE7868" w:rsidRDefault="00FF2B57">
            <w:pPr>
              <w:pStyle w:val="TableText"/>
              <w:rPr>
                <w:rFonts w:ascii="Cambria" w:hAnsi="Cambria"/>
              </w:rPr>
            </w:pPr>
            <w:r>
              <w:rPr>
                <w:rFonts w:ascii="Cambria" w:hAnsi="Cambria"/>
              </w:rPr>
              <w:t>B—Minor significance at the local level</w:t>
            </w:r>
          </w:p>
          <w:p w:rsidR="00AE7868" w:rsidRDefault="00FF2B57">
            <w:pPr>
              <w:pStyle w:val="TableText"/>
              <w:rPr>
                <w:rFonts w:ascii="Cambria" w:hAnsi="Cambria" w:cs="Helvetica"/>
                <w:szCs w:val="18"/>
              </w:rPr>
            </w:pPr>
            <w:r>
              <w:rPr>
                <w:rFonts w:ascii="Cambria" w:hAnsi="Cambria" w:cs="Helvetica"/>
                <w:szCs w:val="18"/>
              </w:rPr>
              <w:t>There may be some impact on insect or animal species that feed on host plants due to the reduced availability or vigour of these host plants.</w:t>
            </w:r>
          </w:p>
          <w:p w:rsidR="00AE7868" w:rsidRDefault="00FF2B57">
            <w:pPr>
              <w:pStyle w:val="TableBullet"/>
              <w:ind w:left="284" w:hanging="284"/>
              <w:rPr>
                <w:rFonts w:ascii="Cambria" w:eastAsia="Cambria" w:hAnsi="Cambria" w:cs="Times-Roman"/>
              </w:rPr>
            </w:pPr>
            <w:r>
              <w:rPr>
                <w:rFonts w:ascii="Cambria" w:eastAsia="Cambria" w:hAnsi="Cambria" w:cs="Times-Roman"/>
              </w:rPr>
              <w:t xml:space="preserve">In general, newly established species may affect the environment in a number of ways. Introduced species may reduce biodiversity, disrupt ecosystem function, </w:t>
            </w:r>
            <w:r>
              <w:rPr>
                <w:rFonts w:ascii="Cambria" w:eastAsia="Cambria" w:hAnsi="Cambria" w:cs="Times-Roman"/>
              </w:rPr>
              <w:lastRenderedPageBreak/>
              <w:t xml:space="preserve">jeopardize endangered or threatened plants, degrade critical habitat or stimulate the use of chemicals or biological controls. There may be some impact on insect or animal species that feed on host plants due to the reduced availability or vigour of these host plants. </w:t>
            </w:r>
          </w:p>
          <w:p w:rsidR="00AE7868" w:rsidRDefault="00FF2B57">
            <w:pPr>
              <w:pStyle w:val="TableBullet"/>
              <w:numPr>
                <w:ilvl w:val="1"/>
                <w:numId w:val="37"/>
              </w:numPr>
              <w:ind w:left="601" w:hanging="283"/>
              <w:rPr>
                <w:rFonts w:ascii="Cambria" w:eastAsia="Cambria" w:hAnsi="Cambria" w:cs="Times-Roman"/>
              </w:rPr>
            </w:pPr>
            <w:r>
              <w:rPr>
                <w:rFonts w:ascii="Cambria" w:eastAsia="Cambria" w:hAnsi="Cambria" w:cs="Times-Roman"/>
              </w:rPr>
              <w:t>‘</w:t>
            </w:r>
            <w:r>
              <w:rPr>
                <w:rFonts w:ascii="Cambria" w:eastAsia="Cambria" w:hAnsi="Cambria" w:cs="Times-Roman"/>
                <w:i/>
              </w:rPr>
              <w:t>Ca</w:t>
            </w:r>
            <w:r>
              <w:rPr>
                <w:rFonts w:ascii="Cambria" w:eastAsia="Cambria" w:hAnsi="Cambria" w:cs="Times-Roman"/>
              </w:rPr>
              <w:t>. L. solanacearum’ haplotypes associated with apiaceous crops are unlikely to affect the environment in these ways, as the bacterium is only reported to infect and multiply in carrot, celery, parsnip and their psyllid vectors. The psyllid vectors of this bacterium are not known to occur in Australia.</w:t>
            </w:r>
          </w:p>
        </w:tc>
      </w:tr>
      <w:tr w:rsidR="00AE7868">
        <w:tc>
          <w:tcPr>
            <w:tcW w:w="5000" w:type="pct"/>
            <w:gridSpan w:val="2"/>
          </w:tcPr>
          <w:p w:rsidR="00AE7868" w:rsidRDefault="00FF2B57">
            <w:pPr>
              <w:pStyle w:val="TableHeading"/>
              <w:rPr>
                <w:rFonts w:ascii="Cambria" w:hAnsi="Cambria"/>
              </w:rPr>
            </w:pPr>
            <w:r>
              <w:rPr>
                <w:rFonts w:ascii="Cambria" w:hAnsi="Cambria"/>
              </w:rPr>
              <w:lastRenderedPageBreak/>
              <w:t>Indirect</w:t>
            </w:r>
          </w:p>
        </w:tc>
      </w:tr>
      <w:tr w:rsidR="00AE7868">
        <w:tc>
          <w:tcPr>
            <w:tcW w:w="953" w:type="pct"/>
          </w:tcPr>
          <w:p w:rsidR="00AE7868" w:rsidRDefault="00FF2B57">
            <w:pPr>
              <w:pStyle w:val="TableText"/>
              <w:rPr>
                <w:rFonts w:ascii="Cambria" w:hAnsi="Cambria"/>
              </w:rPr>
            </w:pPr>
            <w:r>
              <w:rPr>
                <w:rFonts w:ascii="Cambria" w:hAnsi="Cambria"/>
              </w:rPr>
              <w:t>Eradication, control, etc.</w:t>
            </w:r>
          </w:p>
        </w:tc>
        <w:tc>
          <w:tcPr>
            <w:tcW w:w="4047" w:type="pct"/>
          </w:tcPr>
          <w:p w:rsidR="00AE7868" w:rsidRDefault="00FF2B57">
            <w:pPr>
              <w:pStyle w:val="TableText"/>
              <w:rPr>
                <w:rFonts w:ascii="Cambria" w:hAnsi="Cambria"/>
              </w:rPr>
            </w:pPr>
            <w:r>
              <w:rPr>
                <w:rFonts w:ascii="Cambria" w:hAnsi="Cambria"/>
              </w:rPr>
              <w:t>E—Significant at the regional level</w:t>
            </w:r>
          </w:p>
          <w:p w:rsidR="00AE7868" w:rsidRDefault="00FF2B57">
            <w:pPr>
              <w:pStyle w:val="TableText"/>
              <w:rPr>
                <w:rFonts w:ascii="Cambria" w:hAnsi="Cambria" w:cs="Helvetica"/>
                <w:szCs w:val="18"/>
              </w:rPr>
            </w:pPr>
            <w:r>
              <w:rPr>
                <w:rFonts w:ascii="Cambria" w:hAnsi="Cambria" w:cs="Helvetica"/>
                <w:szCs w:val="18"/>
              </w:rPr>
              <w:t>The combination of human induced introductions (Bertolini et al. 2015) and potential human-mediated spread (trade in infected seeds and tissue cultures) makes this a difficult pathogen to eradicate. All known ‘</w:t>
            </w:r>
            <w:r>
              <w:rPr>
                <w:rFonts w:ascii="Cambria" w:hAnsi="Cambria" w:cs="Helvetica"/>
                <w:i/>
                <w:szCs w:val="18"/>
              </w:rPr>
              <w:t xml:space="preserve">Candidatus </w:t>
            </w:r>
            <w:r>
              <w:rPr>
                <w:rFonts w:ascii="Cambria" w:hAnsi="Cambria" w:cs="Helvetica"/>
                <w:szCs w:val="18"/>
              </w:rPr>
              <w:t>Liberibacter’ species are not known to occur in Australia and consequently post-border measures are not currently in place. Outside of Australia, there are few effective control strategies for plant protection against natural ‘</w:t>
            </w:r>
            <w:r>
              <w:rPr>
                <w:rFonts w:ascii="Cambria" w:hAnsi="Cambria" w:cs="Helvetica"/>
                <w:i/>
                <w:szCs w:val="18"/>
              </w:rPr>
              <w:t>Ca</w:t>
            </w:r>
            <w:r>
              <w:rPr>
                <w:rFonts w:ascii="Cambria" w:hAnsi="Cambria" w:cs="Helvetica"/>
                <w:szCs w:val="18"/>
              </w:rPr>
              <w:t>. Liberibacter’ species infection.</w:t>
            </w:r>
          </w:p>
          <w:p w:rsidR="00AE7868" w:rsidRDefault="00FF2B57">
            <w:pPr>
              <w:pStyle w:val="TableBullet"/>
              <w:ind w:left="284" w:hanging="284"/>
              <w:rPr>
                <w:rFonts w:ascii="Cambria" w:hAnsi="Cambria" w:cs="Helvetica"/>
                <w:szCs w:val="18"/>
              </w:rPr>
            </w:pPr>
            <w:r>
              <w:rPr>
                <w:rFonts w:ascii="Cambria" w:hAnsi="Cambria" w:cs="Helvetica"/>
                <w:szCs w:val="18"/>
              </w:rPr>
              <w:t>There are no agri-chemicals available for control of ‘</w:t>
            </w:r>
            <w:r>
              <w:rPr>
                <w:rFonts w:ascii="Cambria" w:hAnsi="Cambria" w:cs="Helvetica"/>
                <w:i/>
                <w:szCs w:val="18"/>
              </w:rPr>
              <w:t>Ca.</w:t>
            </w:r>
            <w:r>
              <w:rPr>
                <w:rFonts w:ascii="Cambria" w:hAnsi="Cambria" w:cs="Helvetica"/>
                <w:szCs w:val="18"/>
              </w:rPr>
              <w:t xml:space="preserve"> L. solanacearum’ in host crops. </w:t>
            </w:r>
          </w:p>
          <w:p w:rsidR="00AE7868" w:rsidRDefault="00FF2B57">
            <w:pPr>
              <w:pStyle w:val="TableBullet"/>
              <w:ind w:left="284" w:hanging="284"/>
              <w:rPr>
                <w:rFonts w:ascii="Cambria" w:hAnsi="Cambria" w:cs="Helvetica"/>
                <w:szCs w:val="18"/>
              </w:rPr>
            </w:pPr>
            <w:r>
              <w:rPr>
                <w:rFonts w:ascii="Cambria" w:hAnsi="Cambria" w:cs="Helvetica"/>
                <w:szCs w:val="18"/>
              </w:rPr>
              <w:t>Control of the psyllid vector is the key to limiting the spread impact of pathogen.</w:t>
            </w:r>
          </w:p>
          <w:p w:rsidR="00AE7868" w:rsidRDefault="00FF2B57">
            <w:pPr>
              <w:pStyle w:val="TableBullet"/>
              <w:ind w:left="284" w:hanging="284"/>
              <w:rPr>
                <w:rFonts w:ascii="Cambria" w:hAnsi="Cambria" w:cs="Helvetica"/>
                <w:szCs w:val="18"/>
              </w:rPr>
            </w:pPr>
            <w:r>
              <w:rPr>
                <w:rFonts w:ascii="Cambria" w:hAnsi="Cambria" w:cs="Helvetica"/>
                <w:szCs w:val="18"/>
              </w:rPr>
              <w:t>The use of ‘</w:t>
            </w:r>
            <w:r>
              <w:rPr>
                <w:rFonts w:ascii="Cambria" w:hAnsi="Cambria" w:cs="Helvetica"/>
                <w:i/>
                <w:szCs w:val="18"/>
              </w:rPr>
              <w:t>Ca</w:t>
            </w:r>
            <w:r>
              <w:rPr>
                <w:rFonts w:ascii="Cambria" w:hAnsi="Cambria" w:cs="Helvetica"/>
                <w:szCs w:val="18"/>
              </w:rPr>
              <w:t>. L. solanacearum’-free carrot seeds for sowing complemented with psyllid control to prevent transmission of the bacterium may be feasible to control the bacterium.</w:t>
            </w:r>
          </w:p>
          <w:p w:rsidR="00AE7868" w:rsidRDefault="00FF2B57">
            <w:pPr>
              <w:pStyle w:val="TableBullet"/>
              <w:ind w:left="284" w:hanging="284"/>
              <w:rPr>
                <w:rFonts w:ascii="Cambria" w:hAnsi="Cambria" w:cs="Helvetica"/>
                <w:szCs w:val="18"/>
              </w:rPr>
            </w:pPr>
            <w:r>
              <w:rPr>
                <w:rFonts w:ascii="Cambria" w:hAnsi="Cambria" w:cs="Helvetica"/>
                <w:szCs w:val="18"/>
              </w:rPr>
              <w:t>The reduction of the psyllid population is critical, as even vectors with poor transmission efficiency may play a role in spreading the bacterium. For example, high abundance of the vector may compensate for poor transmission efficiency. Insecticidal sprays will be required to manage psyllid populations (Láska 1974; Fischer &amp; Terettaz 2002), which will increase production costs.</w:t>
            </w:r>
          </w:p>
          <w:p w:rsidR="00AE7868" w:rsidRDefault="00FF2B57">
            <w:pPr>
              <w:pStyle w:val="TableBullet"/>
              <w:ind w:left="284" w:hanging="284"/>
              <w:rPr>
                <w:rFonts w:ascii="Cambria" w:hAnsi="Cambria" w:cs="Helvetica"/>
                <w:szCs w:val="18"/>
              </w:rPr>
            </w:pPr>
            <w:r>
              <w:rPr>
                <w:rFonts w:ascii="Cambria" w:hAnsi="Cambria" w:cs="Helvetica"/>
                <w:szCs w:val="18"/>
              </w:rPr>
              <w:t>Growth of host crops in insect-proof facilities could potentially protect crops from this bacterium.</w:t>
            </w:r>
          </w:p>
        </w:tc>
      </w:tr>
      <w:tr w:rsidR="00AE7868">
        <w:tc>
          <w:tcPr>
            <w:tcW w:w="953" w:type="pct"/>
          </w:tcPr>
          <w:p w:rsidR="00AE7868" w:rsidRDefault="00FF2B57">
            <w:pPr>
              <w:pStyle w:val="TableText"/>
              <w:rPr>
                <w:rFonts w:ascii="Cambria" w:hAnsi="Cambria"/>
              </w:rPr>
            </w:pPr>
            <w:r>
              <w:rPr>
                <w:rFonts w:ascii="Cambria" w:hAnsi="Cambria"/>
              </w:rPr>
              <w:t>Domestic trade</w:t>
            </w:r>
          </w:p>
        </w:tc>
        <w:tc>
          <w:tcPr>
            <w:tcW w:w="4047" w:type="pct"/>
          </w:tcPr>
          <w:p w:rsidR="00AE7868" w:rsidRDefault="00FF2B57">
            <w:pPr>
              <w:pStyle w:val="TableText"/>
              <w:rPr>
                <w:rFonts w:ascii="Cambria" w:hAnsi="Cambria"/>
              </w:rPr>
            </w:pPr>
            <w:r>
              <w:rPr>
                <w:rFonts w:ascii="Cambria" w:hAnsi="Cambria"/>
              </w:rPr>
              <w:t>D—Significant at the district level</w:t>
            </w:r>
          </w:p>
          <w:p w:rsidR="00AE7868" w:rsidRDefault="00FF2B57">
            <w:pPr>
              <w:pStyle w:val="TableBullet"/>
              <w:ind w:left="284" w:hanging="284"/>
              <w:rPr>
                <w:rFonts w:ascii="Cambria" w:hAnsi="Cambria" w:cs="Helvetica"/>
                <w:szCs w:val="18"/>
              </w:rPr>
            </w:pPr>
            <w:r>
              <w:rPr>
                <w:rFonts w:ascii="Cambria" w:hAnsi="Cambria" w:cs="Helvetica"/>
                <w:szCs w:val="18"/>
              </w:rPr>
              <w:t>The presence of ‘</w:t>
            </w:r>
            <w:r>
              <w:rPr>
                <w:rFonts w:ascii="Cambria" w:hAnsi="Cambria" w:cs="Helvetica"/>
                <w:i/>
                <w:szCs w:val="18"/>
              </w:rPr>
              <w:t>Ca</w:t>
            </w:r>
            <w:r>
              <w:rPr>
                <w:rFonts w:ascii="Cambria" w:hAnsi="Cambria" w:cs="Helvetica"/>
                <w:szCs w:val="18"/>
              </w:rPr>
              <w:t>. L. solanacearum’ is likely to result in domestic movement restrictions for carrot, celery and parsnip propagative material. Interstate restrictions on seeds and nursery stock may lead to a loss of markets, which would be likely to require industry adjustment.</w:t>
            </w:r>
          </w:p>
          <w:p w:rsidR="00AE7868" w:rsidRDefault="00FF2B57">
            <w:pPr>
              <w:pStyle w:val="TableBullet"/>
              <w:ind w:left="284" w:hanging="284"/>
              <w:rPr>
                <w:rFonts w:ascii="Cambria" w:hAnsi="Cambria"/>
              </w:rPr>
            </w:pPr>
            <w:r>
              <w:rPr>
                <w:rFonts w:ascii="Cambria" w:hAnsi="Cambria" w:cs="Helvetica"/>
                <w:szCs w:val="18"/>
              </w:rPr>
              <w:lastRenderedPageBreak/>
              <w:t>Stringent controls on domestic trade would be required if ‘</w:t>
            </w:r>
            <w:r>
              <w:rPr>
                <w:rFonts w:ascii="Cambria" w:hAnsi="Cambria" w:cs="Helvetica"/>
                <w:i/>
                <w:szCs w:val="18"/>
              </w:rPr>
              <w:t>Ca</w:t>
            </w:r>
            <w:r>
              <w:rPr>
                <w:rFonts w:ascii="Cambria" w:hAnsi="Cambria" w:cs="Helvetica"/>
                <w:szCs w:val="18"/>
              </w:rPr>
              <w:t>. L. solanacearum’ became established in Australia. Restrictions might apply to domestic trade in seeds and nursery stock.</w:t>
            </w:r>
          </w:p>
        </w:tc>
      </w:tr>
      <w:tr w:rsidR="00AE7868">
        <w:tc>
          <w:tcPr>
            <w:tcW w:w="953" w:type="pct"/>
          </w:tcPr>
          <w:p w:rsidR="00AE7868" w:rsidRDefault="00FF2B57">
            <w:pPr>
              <w:pStyle w:val="TableText"/>
              <w:rPr>
                <w:rFonts w:ascii="Cambria" w:hAnsi="Cambria"/>
              </w:rPr>
            </w:pPr>
            <w:r>
              <w:rPr>
                <w:rFonts w:ascii="Cambria" w:hAnsi="Cambria"/>
              </w:rPr>
              <w:lastRenderedPageBreak/>
              <w:t>International trade</w:t>
            </w:r>
          </w:p>
        </w:tc>
        <w:tc>
          <w:tcPr>
            <w:tcW w:w="4047" w:type="pct"/>
          </w:tcPr>
          <w:p w:rsidR="00AE7868" w:rsidRDefault="00FF2B57">
            <w:pPr>
              <w:pStyle w:val="TableText"/>
              <w:rPr>
                <w:rFonts w:ascii="Cambria" w:hAnsi="Cambria"/>
              </w:rPr>
            </w:pPr>
            <w:r>
              <w:rPr>
                <w:rFonts w:ascii="Cambria" w:hAnsi="Cambria"/>
              </w:rPr>
              <w:t>D—Significant at the district level</w:t>
            </w:r>
          </w:p>
          <w:p w:rsidR="00AE7868" w:rsidRDefault="00FF2B57">
            <w:pPr>
              <w:pStyle w:val="TableBullet"/>
              <w:ind w:left="284" w:hanging="284"/>
              <w:rPr>
                <w:rFonts w:ascii="Cambria" w:hAnsi="Cambria"/>
              </w:rPr>
            </w:pPr>
            <w:r>
              <w:rPr>
                <w:rFonts w:ascii="Cambria" w:hAnsi="Cambria" w:cs="Helvetica"/>
                <w:szCs w:val="18"/>
              </w:rPr>
              <w:t>If ‘</w:t>
            </w:r>
            <w:r>
              <w:rPr>
                <w:rFonts w:ascii="Cambria" w:hAnsi="Cambria" w:cs="Helvetica"/>
                <w:i/>
                <w:szCs w:val="18"/>
              </w:rPr>
              <w:t>Ca</w:t>
            </w:r>
            <w:r>
              <w:rPr>
                <w:rFonts w:ascii="Cambria" w:hAnsi="Cambria" w:cs="Helvetica"/>
                <w:szCs w:val="18"/>
              </w:rPr>
              <w:t xml:space="preserve">. L. solanacearum’ became </w:t>
            </w:r>
            <w:r>
              <w:rPr>
                <w:rFonts w:ascii="Cambria" w:hAnsi="Cambria" w:cs="Helvetica"/>
                <w:iCs/>
                <w:szCs w:val="18"/>
              </w:rPr>
              <w:t xml:space="preserve">established in </w:t>
            </w:r>
            <w:r>
              <w:rPr>
                <w:rFonts w:ascii="Cambria" w:hAnsi="Cambria" w:cs="Helvetica"/>
                <w:szCs w:val="18"/>
              </w:rPr>
              <w:t>Australia</w:t>
            </w:r>
            <w:r>
              <w:rPr>
                <w:rFonts w:ascii="Cambria" w:hAnsi="Cambria" w:cs="Helvetica"/>
                <w:iCs/>
                <w:szCs w:val="18"/>
              </w:rPr>
              <w:t>,</w:t>
            </w:r>
            <w:r>
              <w:rPr>
                <w:rFonts w:ascii="Cambria" w:hAnsi="Cambria" w:cs="Helvetica"/>
                <w:i/>
                <w:iCs/>
                <w:szCs w:val="18"/>
              </w:rPr>
              <w:t xml:space="preserve"> </w:t>
            </w:r>
            <w:r>
              <w:rPr>
                <w:rFonts w:ascii="Cambria" w:hAnsi="Cambria" w:cs="Helvetica"/>
                <w:iCs/>
                <w:szCs w:val="18"/>
              </w:rPr>
              <w:t>r</w:t>
            </w:r>
            <w:r>
              <w:rPr>
                <w:rFonts w:ascii="Cambria" w:hAnsi="Cambria" w:cs="Helvetica"/>
                <w:szCs w:val="18"/>
              </w:rPr>
              <w:t>estrictions on Australian exports of seeds (carrot) and nursery stock (carrot, celery and parsnip) would be anticipated. Several countries have established quarantine policies and protocols against plant materials from areas known to have ‘</w:t>
            </w:r>
            <w:r>
              <w:rPr>
                <w:rFonts w:ascii="Cambria" w:hAnsi="Cambria" w:cs="Helvetica"/>
                <w:i/>
                <w:szCs w:val="18"/>
              </w:rPr>
              <w:t>Ca</w:t>
            </w:r>
            <w:r>
              <w:rPr>
                <w:rFonts w:ascii="Cambria" w:hAnsi="Cambria" w:cs="Helvetica"/>
                <w:szCs w:val="18"/>
              </w:rPr>
              <w:t>. L. solanacearum’. Establishment of ‘</w:t>
            </w:r>
            <w:r>
              <w:rPr>
                <w:rFonts w:ascii="Cambria" w:hAnsi="Cambria" w:cs="Helvetica"/>
                <w:i/>
                <w:szCs w:val="18"/>
              </w:rPr>
              <w:t>Ca</w:t>
            </w:r>
            <w:r>
              <w:rPr>
                <w:rFonts w:ascii="Cambria" w:hAnsi="Cambria" w:cs="Helvetica"/>
                <w:szCs w:val="18"/>
              </w:rPr>
              <w:t>. L. solanacearum’ in Australia may therefore reduce access to international markets and result in additional phytosanitary requirements that will impose a cost burden.</w:t>
            </w:r>
          </w:p>
        </w:tc>
      </w:tr>
      <w:tr w:rsidR="00AE7868">
        <w:tc>
          <w:tcPr>
            <w:tcW w:w="953" w:type="pct"/>
          </w:tcPr>
          <w:p w:rsidR="00AE7868" w:rsidRDefault="00FF2B57">
            <w:pPr>
              <w:pStyle w:val="TableText"/>
              <w:rPr>
                <w:rFonts w:ascii="Cambria" w:hAnsi="Cambria"/>
              </w:rPr>
            </w:pPr>
            <w:r>
              <w:rPr>
                <w:rFonts w:ascii="Cambria" w:hAnsi="Cambria"/>
              </w:rPr>
              <w:t>Environmental and non-commercial</w:t>
            </w:r>
          </w:p>
        </w:tc>
        <w:tc>
          <w:tcPr>
            <w:tcW w:w="4047" w:type="pct"/>
          </w:tcPr>
          <w:p w:rsidR="00AE7868" w:rsidRDefault="00FF2B57">
            <w:pPr>
              <w:pStyle w:val="TableText"/>
              <w:rPr>
                <w:rFonts w:ascii="Cambria" w:hAnsi="Cambria"/>
              </w:rPr>
            </w:pPr>
            <w:r>
              <w:rPr>
                <w:rFonts w:ascii="Cambria" w:hAnsi="Cambria"/>
              </w:rPr>
              <w:t>C—</w:t>
            </w:r>
            <w:r>
              <w:rPr>
                <w:rFonts w:ascii="Cambria" w:eastAsia="Calibri" w:hAnsi="Cambria"/>
              </w:rPr>
              <w:t>Significant at the local level.</w:t>
            </w:r>
          </w:p>
          <w:p w:rsidR="00AE7868" w:rsidRDefault="00FF2B57">
            <w:pPr>
              <w:pStyle w:val="TableBullet"/>
              <w:ind w:left="284" w:hanging="284"/>
              <w:rPr>
                <w:rFonts w:ascii="Cambria" w:eastAsia="WarnockPro-Regular" w:hAnsi="Cambria" w:cs="WarnockPro-Regular"/>
              </w:rPr>
            </w:pPr>
            <w:r>
              <w:rPr>
                <w:rFonts w:ascii="Cambria" w:eastAsia="WarnockPro-Regular" w:hAnsi="Cambria" w:cs="WarnockPro-Regular"/>
              </w:rPr>
              <w:t>No direct control measures are available for the bacterium; however, broad-scale chemical treatments directed against known insect vectors may have some impacts on native insects.</w:t>
            </w:r>
          </w:p>
          <w:p w:rsidR="00AE7868" w:rsidRDefault="00FF2B57">
            <w:pPr>
              <w:pStyle w:val="TableBullet"/>
              <w:ind w:left="284" w:hanging="284"/>
              <w:rPr>
                <w:rFonts w:ascii="Cambria" w:hAnsi="Cambria"/>
              </w:rPr>
            </w:pPr>
            <w:r>
              <w:rPr>
                <w:rFonts w:ascii="Cambria" w:eastAsia="WarnockPro-Regular" w:hAnsi="Cambria" w:cs="WarnockPro-Regular"/>
              </w:rPr>
              <w:t xml:space="preserve">In Europe, insecticidal sprays are required to manage psyllid populations, as without sprays, substantial losses have been reported (Láska 1974; Tiilikkala </w:t>
            </w:r>
            <w:r>
              <w:rPr>
                <w:rFonts w:ascii="Cambria" w:eastAsia="WarnockPro-Regular" w:hAnsi="Cambria" w:cs="WarnockPro-It"/>
                <w:iCs/>
              </w:rPr>
              <w:t>et al</w:t>
            </w:r>
            <w:r>
              <w:rPr>
                <w:rFonts w:ascii="Cambria" w:eastAsia="WarnockPro-Regular" w:hAnsi="Cambria" w:cs="WarnockPro-Regular"/>
              </w:rPr>
              <w:t>. 1995; Fischer &amp; Terettaz 2002). Insecticidal sprays used to control psyllid populations may also have some impacts on the environment, including native insects.</w:t>
            </w:r>
          </w:p>
        </w:tc>
      </w:tr>
    </w:tbl>
    <w:p w:rsidR="00AE7868" w:rsidRDefault="00FF2B57">
      <w:pPr>
        <w:spacing w:before="200"/>
        <w:rPr>
          <w:rFonts w:ascii="Cambria" w:hAnsi="Cambria"/>
        </w:rPr>
      </w:pPr>
      <w:r>
        <w:rPr>
          <w:rFonts w:ascii="Cambria" w:hAnsi="Cambria"/>
        </w:rPr>
        <w:t xml:space="preserve">Based on the decision rules described in Table 5, that is, where the potential consequences of a pest with respect to a single criteria have an impact of ‘F’, the overall consequences are estimated to be </w:t>
      </w:r>
      <w:r>
        <w:rPr>
          <w:rFonts w:ascii="Cambria" w:hAnsi="Cambria"/>
          <w:b/>
        </w:rPr>
        <w:t>HIGH</w:t>
      </w:r>
      <w:r>
        <w:rPr>
          <w:rFonts w:ascii="Cambria" w:hAnsi="Cambria"/>
        </w:rPr>
        <w:t>.</w:t>
      </w:r>
    </w:p>
    <w:p w:rsidR="00AE7868" w:rsidRDefault="00FF2B57">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399" w:name="_Toc437356031"/>
      <w:r>
        <w:rPr>
          <w:rFonts w:ascii="Calibri" w:hAnsi="Calibri" w:cstheme="minorBidi"/>
          <w:sz w:val="24"/>
          <w:szCs w:val="22"/>
        </w:rPr>
        <w:t>Unrestricted risk estimate</w:t>
      </w:r>
      <w:bookmarkEnd w:id="399"/>
    </w:p>
    <w:p w:rsidR="00AE7868" w:rsidRDefault="00FF2B57">
      <w:pPr>
        <w:spacing w:before="200"/>
        <w:rPr>
          <w:rFonts w:ascii="Cambria" w:hAnsi="Cambria"/>
        </w:rPr>
      </w:pPr>
      <w:r>
        <w:rPr>
          <w:rFonts w:ascii="Cambria" w:hAnsi="Cambria"/>
        </w:rPr>
        <w:t>Unrestricted risk is the result of combining the likelihoods of entry, establishment and spread with the outcome of overall consequences. Likelihood and consequences are combined using the risk estimation matrix shown in Table 11.</w:t>
      </w:r>
    </w:p>
    <w:p w:rsidR="00AE7868" w:rsidRDefault="00FF2B57">
      <w:pPr>
        <w:pStyle w:val="Caption"/>
        <w:rPr>
          <w:rFonts w:asciiTheme="majorHAnsi" w:eastAsiaTheme="majorEastAsia" w:hAnsiTheme="majorHAnsi" w:cstheme="majorBidi"/>
          <w:color w:val="595959" w:themeColor="text1" w:themeTint="A6"/>
          <w:sz w:val="20"/>
        </w:rPr>
      </w:pPr>
      <w:bookmarkStart w:id="400" w:name="_Toc418712927"/>
      <w:bookmarkStart w:id="401" w:name="_Toc421786709"/>
      <w:bookmarkStart w:id="402" w:name="_Toc428786327"/>
      <w:bookmarkStart w:id="403" w:name="_Toc429494626"/>
      <w:bookmarkStart w:id="404" w:name="_Toc430256539"/>
      <w:bookmarkStart w:id="405" w:name="_Toc433707337"/>
      <w:bookmarkStart w:id="406" w:name="_Toc433796501"/>
      <w:bookmarkStart w:id="407" w:name="_Toc437355964"/>
      <w:bookmarkStart w:id="408" w:name="_Toc437355996"/>
      <w:r>
        <w:rPr>
          <w:rFonts w:asciiTheme="majorHAnsi" w:eastAsiaTheme="majorEastAsia" w:hAnsiTheme="majorHAnsi" w:cstheme="majorBidi"/>
          <w:color w:val="595959" w:themeColor="text1" w:themeTint="A6"/>
          <w:sz w:val="20"/>
        </w:rPr>
        <w:lastRenderedPageBreak/>
        <w:t xml:space="preserve">Table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11</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w:t>
      </w:r>
      <w:r>
        <w:rPr>
          <w:rFonts w:ascii="Cambria" w:hAnsi="Cambria"/>
          <w:color w:val="595959"/>
          <w:sz w:val="20"/>
        </w:rPr>
        <w:t>Unrestricted risk estimates of ‘</w:t>
      </w:r>
      <w:r>
        <w:rPr>
          <w:rFonts w:ascii="Cambria" w:hAnsi="Cambria"/>
          <w:i/>
          <w:color w:val="595959"/>
          <w:sz w:val="20"/>
        </w:rPr>
        <w:t xml:space="preserve">Candidatus </w:t>
      </w:r>
      <w:r>
        <w:rPr>
          <w:rFonts w:ascii="Cambria" w:hAnsi="Cambria"/>
          <w:color w:val="595959"/>
          <w:sz w:val="20"/>
        </w:rPr>
        <w:t xml:space="preserve">Liberibacter </w:t>
      </w:r>
      <w:r>
        <w:rPr>
          <w:rFonts w:asciiTheme="majorHAnsi" w:eastAsiaTheme="majorEastAsia" w:hAnsiTheme="majorHAnsi" w:cstheme="majorBidi"/>
          <w:color w:val="595959" w:themeColor="text1" w:themeTint="A6"/>
          <w:sz w:val="20"/>
        </w:rPr>
        <w:t>solanacearum</w:t>
      </w:r>
      <w:r>
        <w:rPr>
          <w:rFonts w:ascii="Cambria" w:hAnsi="Cambria"/>
          <w:color w:val="595959"/>
          <w:sz w:val="20"/>
        </w:rPr>
        <w:t>’ for different pathways</w:t>
      </w:r>
      <w:bookmarkEnd w:id="400"/>
      <w:bookmarkEnd w:id="401"/>
      <w:bookmarkEnd w:id="402"/>
      <w:bookmarkEnd w:id="403"/>
      <w:bookmarkEnd w:id="404"/>
      <w:bookmarkEnd w:id="405"/>
      <w:bookmarkEnd w:id="406"/>
      <w:bookmarkEnd w:id="407"/>
      <w:bookmarkEnd w:id="408"/>
    </w:p>
    <w:tbl>
      <w:tblPr>
        <w:tblW w:w="4809" w:type="pct"/>
        <w:tblInd w:w="108" w:type="dxa"/>
        <w:tblBorders>
          <w:top w:val="single" w:sz="4" w:space="0" w:color="auto"/>
          <w:bottom w:val="single" w:sz="4" w:space="0" w:color="auto"/>
        </w:tblBorders>
        <w:tblLook w:val="04A0" w:firstRow="1" w:lastRow="0" w:firstColumn="1" w:lastColumn="0" w:noHBand="0" w:noVBand="1"/>
      </w:tblPr>
      <w:tblGrid>
        <w:gridCol w:w="6114"/>
        <w:gridCol w:w="2610"/>
      </w:tblGrid>
      <w:tr w:rsidR="00AE7868">
        <w:trPr>
          <w:trHeight w:val="227"/>
        </w:trPr>
        <w:tc>
          <w:tcPr>
            <w:tcW w:w="3504" w:type="pct"/>
          </w:tcPr>
          <w:p w:rsidR="00AE7868" w:rsidRDefault="00FF2B57">
            <w:pPr>
              <w:pStyle w:val="TableText"/>
              <w:rPr>
                <w:rFonts w:ascii="Cambria" w:hAnsi="Cambria"/>
              </w:rPr>
            </w:pPr>
            <w:r>
              <w:rPr>
                <w:rFonts w:ascii="Cambria" w:hAnsi="Cambria"/>
              </w:rPr>
              <w:t>Overall likelihood of entry, establishment and spread</w:t>
            </w:r>
          </w:p>
        </w:tc>
        <w:tc>
          <w:tcPr>
            <w:tcW w:w="1496" w:type="pct"/>
          </w:tcPr>
          <w:p w:rsidR="00AE7868" w:rsidRDefault="00FF2B57">
            <w:pPr>
              <w:pStyle w:val="TableText"/>
              <w:rPr>
                <w:rFonts w:ascii="Cambria" w:hAnsi="Cambria"/>
              </w:rPr>
            </w:pPr>
            <w:r>
              <w:rPr>
                <w:rFonts w:ascii="Cambria" w:hAnsi="Cambria"/>
              </w:rPr>
              <w:t>Low (very low)</w:t>
            </w:r>
          </w:p>
        </w:tc>
      </w:tr>
      <w:tr w:rsidR="00AE7868">
        <w:trPr>
          <w:trHeight w:val="227"/>
        </w:trPr>
        <w:tc>
          <w:tcPr>
            <w:tcW w:w="3504" w:type="pct"/>
          </w:tcPr>
          <w:p w:rsidR="00AE7868" w:rsidRDefault="00FF2B57">
            <w:pPr>
              <w:pStyle w:val="TableText"/>
              <w:rPr>
                <w:rFonts w:ascii="Cambria" w:hAnsi="Cambria"/>
              </w:rPr>
            </w:pPr>
            <w:r>
              <w:rPr>
                <w:rFonts w:ascii="Cambria" w:hAnsi="Cambria"/>
              </w:rPr>
              <w:t>Consequences</w:t>
            </w:r>
          </w:p>
        </w:tc>
        <w:tc>
          <w:tcPr>
            <w:tcW w:w="1496" w:type="pct"/>
          </w:tcPr>
          <w:p w:rsidR="00AE7868" w:rsidRDefault="00FF2B57">
            <w:pPr>
              <w:pStyle w:val="TableText"/>
              <w:rPr>
                <w:rFonts w:ascii="Cambria" w:hAnsi="Cambria"/>
              </w:rPr>
            </w:pPr>
            <w:r>
              <w:rPr>
                <w:rFonts w:ascii="Cambria" w:hAnsi="Cambria"/>
              </w:rPr>
              <w:t>High</w:t>
            </w:r>
          </w:p>
        </w:tc>
      </w:tr>
      <w:tr w:rsidR="00AE7868">
        <w:trPr>
          <w:trHeight w:val="227"/>
        </w:trPr>
        <w:tc>
          <w:tcPr>
            <w:tcW w:w="3504" w:type="pct"/>
          </w:tcPr>
          <w:p w:rsidR="00AE7868" w:rsidRDefault="00FF2B57">
            <w:pPr>
              <w:pStyle w:val="TableText"/>
              <w:rPr>
                <w:rFonts w:ascii="Cambria" w:hAnsi="Cambria"/>
              </w:rPr>
            </w:pPr>
            <w:r>
              <w:rPr>
                <w:rFonts w:ascii="Cambria" w:hAnsi="Cambria"/>
              </w:rPr>
              <w:t>Unrestricted risk</w:t>
            </w:r>
          </w:p>
        </w:tc>
        <w:tc>
          <w:tcPr>
            <w:tcW w:w="1496" w:type="pct"/>
          </w:tcPr>
          <w:p w:rsidR="00AE7868" w:rsidRDefault="00FF2B57">
            <w:pPr>
              <w:pStyle w:val="TableText"/>
              <w:rPr>
                <w:rFonts w:ascii="Cambria" w:hAnsi="Cambria"/>
              </w:rPr>
            </w:pPr>
            <w:r>
              <w:rPr>
                <w:rFonts w:ascii="Cambria" w:hAnsi="Cambria"/>
              </w:rPr>
              <w:t>Moderate (Low)</w:t>
            </w:r>
          </w:p>
        </w:tc>
      </w:tr>
    </w:tbl>
    <w:p w:rsidR="00AE7868" w:rsidRDefault="00FF2B57">
      <w:pPr>
        <w:pStyle w:val="dot0"/>
        <w:numPr>
          <w:ilvl w:val="0"/>
          <w:numId w:val="0"/>
        </w:numPr>
        <w:spacing w:before="60" w:line="280" w:lineRule="atLeast"/>
        <w:rPr>
          <w:rFonts w:ascii="Cambria" w:eastAsia="Calibri" w:hAnsi="Cambria" w:cs="Arial"/>
          <w:sz w:val="18"/>
          <w:szCs w:val="18"/>
        </w:rPr>
      </w:pPr>
      <w:r>
        <w:rPr>
          <w:rFonts w:ascii="Cambria" w:eastAsia="Calibri" w:hAnsi="Cambria" w:cs="Arial"/>
          <w:sz w:val="18"/>
          <w:szCs w:val="18"/>
        </w:rPr>
        <w:t>*Ratings in parenthesis are in the absence of known vectors in Australia</w:t>
      </w:r>
    </w:p>
    <w:p w:rsidR="00AE7868" w:rsidRDefault="00FF2B57">
      <w:pPr>
        <w:spacing w:before="200"/>
        <w:rPr>
          <w:rFonts w:ascii="Cambria" w:hAnsi="Cambria"/>
        </w:rPr>
      </w:pPr>
      <w:r>
        <w:rPr>
          <w:rFonts w:ascii="Cambria" w:hAnsi="Cambria"/>
        </w:rPr>
        <w:t>The unrestricted risk estimate for ‘</w:t>
      </w:r>
      <w:r>
        <w:rPr>
          <w:rFonts w:ascii="Cambria" w:hAnsi="Cambria"/>
          <w:i/>
        </w:rPr>
        <w:t>Ca</w:t>
      </w:r>
      <w:r>
        <w:rPr>
          <w:rFonts w:ascii="Cambria" w:hAnsi="Cambria"/>
        </w:rPr>
        <w:t>. L. solanacearum’ has been assessed as ‘moderate’ (if vectors are present) and ‘low’ (if vectors are not present) for seeds (carrot) and tissue cultures (carrot, celery and parsnip), which is above Australia’s ALOP. Therefore, risk management measures against ‘</w:t>
      </w:r>
      <w:r>
        <w:rPr>
          <w:rFonts w:ascii="Cambria" w:hAnsi="Cambria"/>
          <w:i/>
        </w:rPr>
        <w:t>Ca</w:t>
      </w:r>
      <w:r>
        <w:rPr>
          <w:rFonts w:ascii="Cambria" w:hAnsi="Cambria"/>
        </w:rPr>
        <w:t>. L. solanacearum’ are justified for seeds (carrot) and tissue cultures (carrot, celery and parsnip) to reduce risk to meet Australia’s ALOP.</w:t>
      </w:r>
      <w:bookmarkStart w:id="409" w:name="_Toc384197753"/>
      <w:bookmarkStart w:id="410" w:name="_Toc384209841"/>
      <w:bookmarkStart w:id="411" w:name="_Toc384275085"/>
      <w:bookmarkStart w:id="412" w:name="_Toc385508245"/>
      <w:bookmarkStart w:id="413" w:name="_Toc388949928"/>
    </w:p>
    <w:p w:rsidR="00AE7868" w:rsidRDefault="00AE7868">
      <w:pPr>
        <w:spacing w:before="200"/>
        <w:rPr>
          <w:rFonts w:ascii="Cambria" w:hAnsi="Cambria"/>
        </w:rPr>
      </w:pPr>
    </w:p>
    <w:p w:rsidR="00AE7868" w:rsidRDefault="00AE7868">
      <w:pPr>
        <w:pStyle w:val="Heading1"/>
        <w:pageBreakBefore w:val="0"/>
        <w:numPr>
          <w:ilvl w:val="0"/>
          <w:numId w:val="21"/>
        </w:numPr>
        <w:tabs>
          <w:tab w:val="clear" w:pos="432"/>
        </w:tabs>
        <w:spacing w:before="480" w:after="120"/>
        <w:ind w:left="709" w:hanging="709"/>
        <w:rPr>
          <w:rFonts w:eastAsiaTheme="majorEastAsia" w:cstheme="majorBidi"/>
          <w:b/>
          <w:color w:val="D52B1E"/>
          <w:sz w:val="34"/>
        </w:rPr>
        <w:sectPr w:rsidR="00AE7868">
          <w:headerReference w:type="default" r:id="rId50"/>
          <w:pgSz w:w="11906" w:h="16838"/>
          <w:pgMar w:top="1418" w:right="1418" w:bottom="1418" w:left="1418" w:header="567" w:footer="283" w:gutter="0"/>
          <w:cols w:space="708"/>
          <w:docGrid w:linePitch="360"/>
        </w:sectPr>
      </w:pPr>
      <w:bookmarkStart w:id="414" w:name="_Toc428282651"/>
      <w:bookmarkStart w:id="415" w:name="_Toc428283700"/>
      <w:bookmarkEnd w:id="409"/>
      <w:bookmarkEnd w:id="410"/>
      <w:bookmarkEnd w:id="411"/>
      <w:bookmarkEnd w:id="412"/>
      <w:bookmarkEnd w:id="413"/>
      <w:bookmarkEnd w:id="414"/>
      <w:bookmarkEnd w:id="415"/>
    </w:p>
    <w:p w:rsidR="00AE7868" w:rsidRDefault="00FF2B57">
      <w:pPr>
        <w:pStyle w:val="Heading1"/>
        <w:pageBreakBefore w:val="0"/>
        <w:numPr>
          <w:ilvl w:val="0"/>
          <w:numId w:val="21"/>
        </w:numPr>
        <w:tabs>
          <w:tab w:val="clear" w:pos="432"/>
        </w:tabs>
        <w:spacing w:before="480" w:after="120"/>
        <w:ind w:left="709" w:hanging="709"/>
        <w:rPr>
          <w:rFonts w:eastAsiaTheme="majorEastAsia" w:cstheme="majorBidi"/>
          <w:b/>
          <w:color w:val="D52B1E"/>
          <w:sz w:val="34"/>
        </w:rPr>
      </w:pPr>
      <w:bookmarkStart w:id="416" w:name="_Toc437356032"/>
      <w:r>
        <w:rPr>
          <w:rFonts w:eastAsiaTheme="majorEastAsia" w:cstheme="majorBidi"/>
          <w:b/>
          <w:color w:val="D52B1E"/>
          <w:sz w:val="34"/>
        </w:rPr>
        <w:lastRenderedPageBreak/>
        <w:t>Pest risk management</w:t>
      </w:r>
      <w:bookmarkEnd w:id="416"/>
    </w:p>
    <w:p w:rsidR="00AE7868" w:rsidRDefault="00FF2B57">
      <w:pPr>
        <w:spacing w:before="200"/>
        <w:rPr>
          <w:rFonts w:ascii="Cambria" w:hAnsi="Cambria"/>
        </w:rPr>
      </w:pPr>
      <w:r>
        <w:rPr>
          <w:rFonts w:ascii="Cambria" w:hAnsi="Cambria"/>
        </w:rPr>
        <w:t>The IPPC and the WTO recognise the phytosanitary concerns associated with expanding world trade in plant propagative material, including seed. Consequently, international standards have been developed for the safe movement of plants and plant products. The aim of these standards is to reduce the likelihood of the accidental introduction of pests associated with propagative material into new areas through the application of phytosanitary measures. Measures may be applied only where necessary to prevent the introduction and/or spread of quarantine pests. Phytosanitary measures should be applied in a transparent and non-discriminatory manner, and phytosanitary restrictions used only where technically justified and not in lieu of barriers to protect an industry from competition.</w:t>
      </w:r>
    </w:p>
    <w:p w:rsidR="00AE7868" w:rsidRDefault="00FF2B57">
      <w:pPr>
        <w:spacing w:before="200"/>
        <w:rPr>
          <w:rFonts w:ascii="Cambria" w:hAnsi="Cambria"/>
        </w:rPr>
      </w:pPr>
      <w:r>
        <w:rPr>
          <w:rFonts w:ascii="Cambria" w:hAnsi="Cambria"/>
        </w:rPr>
        <w:t xml:space="preserve">The ultimate goal of the phytosanitary measures proposed in this review is to protect Australian agriculture, the economy and environment from the introduction of </w:t>
      </w:r>
      <w:r>
        <w:rPr>
          <w:rFonts w:ascii="Cambria" w:hAnsi="Cambria"/>
          <w:bCs/>
        </w:rPr>
        <w:t>‘</w:t>
      </w:r>
      <w:r>
        <w:rPr>
          <w:rFonts w:ascii="Cambria" w:hAnsi="Cambria"/>
          <w:bCs/>
          <w:i/>
        </w:rPr>
        <w:t>Ca</w:t>
      </w:r>
      <w:r>
        <w:rPr>
          <w:rFonts w:ascii="Cambria" w:hAnsi="Cambria"/>
          <w:bCs/>
        </w:rPr>
        <w:t xml:space="preserve">. L. solanacearum’ </w:t>
      </w:r>
      <w:r>
        <w:rPr>
          <w:rFonts w:ascii="Cambria" w:hAnsi="Cambria"/>
        </w:rPr>
        <w:t>associated with seeds (carrot) and tissue cultures (carrot, celery and parsnip). To effectively prevent the introduction of ‘</w:t>
      </w:r>
      <w:r>
        <w:rPr>
          <w:rFonts w:ascii="Cambria" w:hAnsi="Cambria"/>
          <w:i/>
        </w:rPr>
        <w:t>Ca</w:t>
      </w:r>
      <w:r>
        <w:rPr>
          <w:rFonts w:ascii="Cambria" w:hAnsi="Cambria"/>
        </w:rPr>
        <w:t>. L. solanacearum’ associated with apiaceous propagative material, a series of important safeguards, conditions or phytosanitary measures must be in place.</w:t>
      </w:r>
    </w:p>
    <w:p w:rsidR="00AE7868" w:rsidRDefault="00FF2B57">
      <w:pPr>
        <w:spacing w:before="200"/>
        <w:rPr>
          <w:rFonts w:ascii="Cambria" w:hAnsi="Cambria"/>
          <w:bCs/>
        </w:rPr>
      </w:pPr>
      <w:r>
        <w:rPr>
          <w:rFonts w:ascii="Cambria" w:hAnsi="Cambria"/>
          <w:bCs/>
        </w:rPr>
        <w:lastRenderedPageBreak/>
        <w:t xml:space="preserve">Australia has had emergency measures in place to protect the Australian carrot and celery industries from </w:t>
      </w:r>
      <w:r>
        <w:rPr>
          <w:rFonts w:ascii="Cambria" w:hAnsi="Cambria"/>
        </w:rPr>
        <w:t>‘</w:t>
      </w:r>
      <w:r>
        <w:rPr>
          <w:rFonts w:ascii="Cambria" w:hAnsi="Cambria"/>
          <w:i/>
        </w:rPr>
        <w:t>Ca</w:t>
      </w:r>
      <w:r>
        <w:rPr>
          <w:rFonts w:ascii="Cambria" w:hAnsi="Cambria"/>
        </w:rPr>
        <w:t xml:space="preserve">. L. solanacearum’ </w:t>
      </w:r>
      <w:r>
        <w:rPr>
          <w:rFonts w:ascii="Cambria" w:hAnsi="Cambria"/>
          <w:bCs/>
        </w:rPr>
        <w:t xml:space="preserve">since October 2014. This PRA reviews the appropriateness of the existing emergency measures, in accordance with ISPM 1: </w:t>
      </w:r>
      <w:r>
        <w:rPr>
          <w:rFonts w:ascii="Cambria" w:hAnsi="Cambria"/>
          <w:i/>
          <w:iCs/>
        </w:rPr>
        <w:t>Phytosanitary principles for the protection of plants and the application of phytosanitary measures in international trade</w:t>
      </w:r>
      <w:r>
        <w:rPr>
          <w:rFonts w:ascii="Cambria" w:hAnsi="Cambria"/>
          <w:bCs/>
        </w:rPr>
        <w:t xml:space="preserve"> (FAO 2011a).</w:t>
      </w:r>
    </w:p>
    <w:p w:rsidR="00AE7868" w:rsidRDefault="00FF2B57">
      <w:pPr>
        <w:pStyle w:val="Heading2"/>
        <w:numPr>
          <w:ilvl w:val="1"/>
          <w:numId w:val="21"/>
        </w:numPr>
        <w:tabs>
          <w:tab w:val="clear" w:pos="576"/>
        </w:tabs>
        <w:spacing w:before="200" w:after="120"/>
        <w:ind w:left="357" w:hanging="357"/>
        <w:rPr>
          <w:rFonts w:eastAsiaTheme="majorEastAsia" w:cstheme="majorBidi"/>
          <w:color w:val="773141"/>
          <w:sz w:val="28"/>
        </w:rPr>
      </w:pPr>
      <w:bookmarkStart w:id="417" w:name="_Toc437356033"/>
      <w:r>
        <w:rPr>
          <w:rFonts w:eastAsiaTheme="majorEastAsia" w:cstheme="majorBidi"/>
          <w:color w:val="773141"/>
          <w:sz w:val="28"/>
        </w:rPr>
        <w:t>Introduction of emergency measures</w:t>
      </w:r>
      <w:bookmarkEnd w:id="417"/>
    </w:p>
    <w:p w:rsidR="00AE7868" w:rsidRDefault="00FF2B57">
      <w:pPr>
        <w:spacing w:before="200"/>
        <w:rPr>
          <w:rFonts w:ascii="Cambria" w:eastAsia="Cambria" w:hAnsi="Cambria" w:cs="Times-Roman"/>
        </w:rPr>
      </w:pPr>
      <w:r>
        <w:rPr>
          <w:rFonts w:ascii="Cambria" w:hAnsi="Cambria"/>
        </w:rPr>
        <w:t xml:space="preserve">The introduction of emergency measures by Australia is consistent with ISPM 1 (FAO 2011a) and IPPC article VII.6 (FAO 2011b). ISPM 1 states that ‘contracting parties may adopt and/or implement emergency actions, </w:t>
      </w:r>
      <w:r>
        <w:rPr>
          <w:rFonts w:ascii="Cambria" w:hAnsi="Cambria"/>
          <w:bCs/>
        </w:rPr>
        <w:t>including</w:t>
      </w:r>
      <w:r>
        <w:rPr>
          <w:rFonts w:ascii="Cambria" w:hAnsi="Cambria"/>
        </w:rPr>
        <w:t xml:space="preserve"> emergency measures, when a new or unexpected phytosanitary risk is identified. Emergency measures should be temporary in their application. The continuance of the measures should be evaluated by pest risk analysis or other comparable examination as soon as possible, to ensure that the continuance of the measure is technically justified’. ISPM 5 defines an emergency measure as </w:t>
      </w:r>
      <w:r>
        <w:rPr>
          <w:rFonts w:ascii="Cambria" w:eastAsia="Cambria" w:hAnsi="Cambria" w:cs="Times-Roman"/>
        </w:rPr>
        <w:t xml:space="preserve">a </w:t>
      </w:r>
      <w:r>
        <w:rPr>
          <w:rFonts w:ascii="Cambria" w:eastAsia="Cambria" w:hAnsi="Cambria" w:cs="Times-Bold"/>
          <w:bCs/>
        </w:rPr>
        <w:t>phytosanitary measure</w:t>
      </w:r>
      <w:r>
        <w:rPr>
          <w:rFonts w:ascii="Cambria" w:eastAsia="Cambria" w:hAnsi="Cambria" w:cs="Times-Bold"/>
          <w:b/>
          <w:bCs/>
        </w:rPr>
        <w:t xml:space="preserve"> </w:t>
      </w:r>
      <w:r>
        <w:rPr>
          <w:rFonts w:ascii="Cambria" w:eastAsia="Cambria" w:hAnsi="Cambria" w:cs="Times-Roman"/>
        </w:rPr>
        <w:t xml:space="preserve">established as a matter of urgency in a new or unexpected phytosanitary situation </w:t>
      </w:r>
      <w:r>
        <w:rPr>
          <w:rFonts w:ascii="Cambria" w:hAnsi="Cambria"/>
        </w:rPr>
        <w:t>(FAO 2015)</w:t>
      </w:r>
      <w:r>
        <w:rPr>
          <w:rFonts w:ascii="Cambria" w:eastAsia="Cambria" w:hAnsi="Cambria" w:cs="Times-Roman"/>
        </w:rPr>
        <w:t xml:space="preserve">. An emergency measure may or may not be a </w:t>
      </w:r>
      <w:r>
        <w:rPr>
          <w:rFonts w:ascii="Cambria" w:eastAsia="Cambria" w:hAnsi="Cambria" w:cs="Times-Bold"/>
          <w:bCs/>
        </w:rPr>
        <w:t>provisional measure</w:t>
      </w:r>
      <w:r>
        <w:rPr>
          <w:rFonts w:ascii="Cambria" w:eastAsia="Cambria" w:hAnsi="Cambria" w:cs="Times-Roman"/>
        </w:rPr>
        <w:t>.</w:t>
      </w:r>
    </w:p>
    <w:p w:rsidR="00AE7868" w:rsidRDefault="00FF2B57">
      <w:pPr>
        <w:spacing w:before="200"/>
        <w:rPr>
          <w:rFonts w:ascii="Cambria" w:hAnsi="Cambria"/>
        </w:rPr>
      </w:pPr>
      <w:r>
        <w:rPr>
          <w:rFonts w:ascii="Cambria" w:eastAsia="Cambria" w:hAnsi="Cambria" w:cs="Times-Roman"/>
        </w:rPr>
        <w:t>The detection of ‘</w:t>
      </w:r>
      <w:r>
        <w:rPr>
          <w:rFonts w:ascii="Cambria" w:eastAsia="Cambria" w:hAnsi="Cambria" w:cs="Times-Roman"/>
          <w:i/>
        </w:rPr>
        <w:t>Ca</w:t>
      </w:r>
      <w:r>
        <w:rPr>
          <w:rFonts w:ascii="Cambria" w:eastAsia="Cambria" w:hAnsi="Cambria" w:cs="Times-Roman"/>
        </w:rPr>
        <w:t>. L. solanacearum’ in apiaceous crops (carrot and celery) overseas, systemic infection of hosts and demonstration of the seed-borne nature and seed transmission of ‘</w:t>
      </w:r>
      <w:r>
        <w:rPr>
          <w:rFonts w:ascii="Cambria" w:eastAsia="Cambria" w:hAnsi="Cambria" w:cs="Times-Roman"/>
          <w:i/>
        </w:rPr>
        <w:t>Ca</w:t>
      </w:r>
      <w:r>
        <w:rPr>
          <w:rFonts w:ascii="Cambria" w:eastAsia="Cambria" w:hAnsi="Cambria" w:cs="Times-Roman"/>
        </w:rPr>
        <w:t xml:space="preserve">. L. solanacearum’ in </w:t>
      </w:r>
      <w:r>
        <w:rPr>
          <w:rFonts w:ascii="Cambria" w:eastAsia="Cambria" w:hAnsi="Cambria" w:cs="Times-Roman"/>
        </w:rPr>
        <w:lastRenderedPageBreak/>
        <w:t>carrot (</w:t>
      </w:r>
      <w:r>
        <w:rPr>
          <w:rFonts w:ascii="Cambria" w:hAnsi="Cambria"/>
          <w:bCs/>
        </w:rPr>
        <w:t xml:space="preserve">Bertolini et al. 2014; 2015) created </w:t>
      </w:r>
      <w:r>
        <w:rPr>
          <w:rFonts w:ascii="Cambria" w:eastAsia="Cambria" w:hAnsi="Cambria" w:cs="Times-Roman"/>
        </w:rPr>
        <w:t xml:space="preserve">a new phytosanitary situation. </w:t>
      </w:r>
      <w:r>
        <w:rPr>
          <w:rFonts w:ascii="Cambria" w:hAnsi="Cambria"/>
        </w:rPr>
        <w:t xml:space="preserve">Therefore, seed (carrot) and tissue culture (carrot and celery) represented potential pathways for the introduction of this bacterium into Australia. Consequently, Australia introduced emergency measures in October 2014 for imports of carrot seed and carrot and celery tissue cultures </w:t>
      </w:r>
      <w:r>
        <w:rPr>
          <w:rFonts w:ascii="Cambria" w:hAnsi="Cambria"/>
          <w:bCs/>
        </w:rPr>
        <w:t>to protect the Australian carrot and celery industries.</w:t>
      </w:r>
    </w:p>
    <w:p w:rsidR="00AE7868" w:rsidRDefault="00FF2B57">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418" w:name="_Toc437356034"/>
      <w:r>
        <w:rPr>
          <w:rFonts w:ascii="Calibri" w:hAnsi="Calibri" w:cstheme="minorBidi"/>
          <w:sz w:val="24"/>
          <w:szCs w:val="22"/>
        </w:rPr>
        <w:t>Emergency measures for carrot seeds for sowing (commercial lots)</w:t>
      </w:r>
      <w:bookmarkEnd w:id="418"/>
    </w:p>
    <w:p w:rsidR="00AE7868" w:rsidRDefault="00FF2B57">
      <w:pPr>
        <w:spacing w:before="200"/>
        <w:rPr>
          <w:rFonts w:ascii="Cambria" w:hAnsi="Cambria"/>
        </w:rPr>
      </w:pPr>
      <w:r>
        <w:rPr>
          <w:rFonts w:ascii="Cambria" w:hAnsi="Cambria"/>
        </w:rPr>
        <w:t>The introduced emergency measures require that, in addition to general seed for sowing requirements, carrot seed for sowing from all sources should be subject to following conditions:</w:t>
      </w:r>
    </w:p>
    <w:p w:rsidR="00AE7868" w:rsidRDefault="00FF2B57">
      <w:pPr>
        <w:pStyle w:val="AQISNum"/>
        <w:widowControl w:val="0"/>
        <w:numPr>
          <w:ilvl w:val="0"/>
          <w:numId w:val="34"/>
        </w:numPr>
        <w:adjustRightInd w:val="0"/>
        <w:spacing w:before="120" w:after="120" w:line="276" w:lineRule="auto"/>
        <w:ind w:left="357" w:hanging="357"/>
        <w:textAlignment w:val="baseline"/>
        <w:rPr>
          <w:rFonts w:ascii="Cambria" w:hAnsi="Cambria"/>
          <w:szCs w:val="22"/>
        </w:rPr>
      </w:pPr>
      <w:r>
        <w:rPr>
          <w:rFonts w:ascii="Cambria" w:hAnsi="Cambria"/>
          <w:szCs w:val="22"/>
        </w:rPr>
        <w:t xml:space="preserve">Mandatory off-shore or on-shore testing for freedom from </w:t>
      </w:r>
      <w:r>
        <w:rPr>
          <w:rFonts w:ascii="Cambria" w:hAnsi="Cambria" w:cs="Arial"/>
          <w:szCs w:val="22"/>
        </w:rPr>
        <w:t>‘</w:t>
      </w:r>
      <w:r>
        <w:rPr>
          <w:rFonts w:ascii="Cambria" w:hAnsi="Cambria" w:cs="Arial"/>
          <w:i/>
          <w:szCs w:val="22"/>
        </w:rPr>
        <w:t>Ca</w:t>
      </w:r>
      <w:r>
        <w:rPr>
          <w:rFonts w:ascii="Cambria" w:hAnsi="Cambria" w:cs="Arial"/>
          <w:szCs w:val="22"/>
        </w:rPr>
        <w:t xml:space="preserve">. L. </w:t>
      </w:r>
      <w:r>
        <w:rPr>
          <w:rFonts w:ascii="Cambria" w:hAnsi="Cambria"/>
          <w:szCs w:val="22"/>
        </w:rPr>
        <w:t xml:space="preserve">solanacearum’ using a Polymerase Chain Reaction (PCR) test on a sample of 20,000 seeds; </w:t>
      </w:r>
      <w:r>
        <w:rPr>
          <w:rFonts w:ascii="Cambria" w:hAnsi="Cambria"/>
          <w:b/>
          <w:szCs w:val="22"/>
        </w:rPr>
        <w:t>OR</w:t>
      </w:r>
    </w:p>
    <w:p w:rsidR="00AE7868" w:rsidRDefault="00FF2B57">
      <w:pPr>
        <w:pStyle w:val="AQISNum"/>
        <w:widowControl w:val="0"/>
        <w:numPr>
          <w:ilvl w:val="0"/>
          <w:numId w:val="34"/>
        </w:numPr>
        <w:adjustRightInd w:val="0"/>
        <w:spacing w:before="120" w:after="120" w:line="276" w:lineRule="auto"/>
        <w:ind w:left="357" w:hanging="357"/>
        <w:textAlignment w:val="baseline"/>
        <w:rPr>
          <w:rFonts w:ascii="Cambria" w:hAnsi="Cambria"/>
          <w:szCs w:val="22"/>
        </w:rPr>
      </w:pPr>
      <w:r>
        <w:rPr>
          <w:rFonts w:ascii="Cambria" w:hAnsi="Cambria"/>
          <w:szCs w:val="22"/>
        </w:rPr>
        <w:t>Mandatory off-shore or onshore hot water treatm</w:t>
      </w:r>
      <w:r>
        <w:rPr>
          <w:rFonts w:ascii="Cambria" w:hAnsi="Cambria" w:cs="Arial"/>
          <w:szCs w:val="22"/>
        </w:rPr>
        <w:t xml:space="preserve">ent (50 </w:t>
      </w:r>
      <w:r>
        <w:rPr>
          <w:rFonts w:ascii="Cambria" w:hAnsi="Cambria"/>
          <w:szCs w:val="22"/>
        </w:rPr>
        <w:t xml:space="preserve">°C for 20 minutes).  </w:t>
      </w:r>
    </w:p>
    <w:p w:rsidR="00E94EA0" w:rsidRPr="00D15C23" w:rsidRDefault="00E94EA0" w:rsidP="00E94EA0">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419" w:name="_Toc437356035"/>
      <w:r w:rsidRPr="00D15C23">
        <w:rPr>
          <w:rFonts w:ascii="Calibri" w:hAnsi="Calibri" w:cstheme="minorBidi"/>
          <w:sz w:val="24"/>
          <w:szCs w:val="22"/>
        </w:rPr>
        <w:t>Emergency measures for carrot seeds for sowing (small lots)</w:t>
      </w:r>
      <w:bookmarkEnd w:id="419"/>
    </w:p>
    <w:p w:rsidR="00E94EA0" w:rsidRPr="00D15C23" w:rsidRDefault="00E94EA0" w:rsidP="00E94EA0">
      <w:pPr>
        <w:spacing w:before="200"/>
        <w:rPr>
          <w:rFonts w:ascii="Cambria" w:hAnsi="Cambria"/>
        </w:rPr>
      </w:pPr>
      <w:r w:rsidRPr="00D15C23">
        <w:rPr>
          <w:rFonts w:ascii="Cambria" w:hAnsi="Cambria"/>
        </w:rPr>
        <w:t>The introduced emergency measures require that, in addition to general seed</w:t>
      </w:r>
      <w:r w:rsidR="00921B86" w:rsidRPr="00D15C23">
        <w:rPr>
          <w:rFonts w:ascii="Cambria" w:hAnsi="Cambria"/>
        </w:rPr>
        <w:t>s</w:t>
      </w:r>
      <w:r w:rsidRPr="00D15C23">
        <w:rPr>
          <w:rFonts w:ascii="Cambria" w:hAnsi="Cambria"/>
        </w:rPr>
        <w:t xml:space="preserve"> for sowing requirements, small seed lots of carrot seed</w:t>
      </w:r>
      <w:r w:rsidR="00921B86" w:rsidRPr="00D15C23">
        <w:rPr>
          <w:rFonts w:ascii="Cambria" w:hAnsi="Cambria"/>
        </w:rPr>
        <w:t>s</w:t>
      </w:r>
      <w:r w:rsidRPr="00D15C23">
        <w:rPr>
          <w:rFonts w:ascii="Cambria" w:hAnsi="Cambria"/>
        </w:rPr>
        <w:t xml:space="preserve"> for </w:t>
      </w:r>
      <w:r w:rsidRPr="00D15C23">
        <w:rPr>
          <w:rFonts w:ascii="Cambria" w:hAnsi="Cambria"/>
        </w:rPr>
        <w:lastRenderedPageBreak/>
        <w:t>sowing (250 grams or less) from all sources should be subject to following conditions:</w:t>
      </w:r>
    </w:p>
    <w:p w:rsidR="00E94EA0" w:rsidRPr="00D15C23" w:rsidRDefault="00E94EA0" w:rsidP="00E94EA0">
      <w:pPr>
        <w:pStyle w:val="AQISNum"/>
        <w:widowControl w:val="0"/>
        <w:numPr>
          <w:ilvl w:val="0"/>
          <w:numId w:val="34"/>
        </w:numPr>
        <w:adjustRightInd w:val="0"/>
        <w:spacing w:before="120" w:after="120" w:line="276" w:lineRule="auto"/>
        <w:ind w:left="357" w:hanging="357"/>
        <w:textAlignment w:val="baseline"/>
        <w:rPr>
          <w:rFonts w:ascii="Cambria" w:hAnsi="Cambria"/>
          <w:szCs w:val="22"/>
        </w:rPr>
      </w:pPr>
      <w:r w:rsidRPr="00D15C23">
        <w:rPr>
          <w:rFonts w:ascii="Cambria" w:hAnsi="Cambria"/>
          <w:szCs w:val="22"/>
        </w:rPr>
        <w:t xml:space="preserve">Mandatory </w:t>
      </w:r>
      <w:r w:rsidR="00B75AF9" w:rsidRPr="00D15C23">
        <w:rPr>
          <w:rFonts w:ascii="Cambria" w:hAnsi="Cambria"/>
          <w:szCs w:val="22"/>
        </w:rPr>
        <w:t>o</w:t>
      </w:r>
      <w:r w:rsidRPr="00D15C23">
        <w:rPr>
          <w:rFonts w:ascii="Cambria" w:hAnsi="Cambria"/>
          <w:szCs w:val="22"/>
        </w:rPr>
        <w:t xml:space="preserve">n-shore testing for freedom from </w:t>
      </w:r>
      <w:r w:rsidRPr="00D15C23">
        <w:rPr>
          <w:rFonts w:ascii="Cambria" w:hAnsi="Cambria" w:cs="Arial"/>
          <w:szCs w:val="22"/>
        </w:rPr>
        <w:t>‘</w:t>
      </w:r>
      <w:r w:rsidRPr="00D15C23">
        <w:rPr>
          <w:rFonts w:ascii="Cambria" w:hAnsi="Cambria" w:cs="Arial"/>
          <w:i/>
          <w:szCs w:val="22"/>
        </w:rPr>
        <w:t>Ca</w:t>
      </w:r>
      <w:r w:rsidRPr="00D15C23">
        <w:rPr>
          <w:rFonts w:ascii="Cambria" w:hAnsi="Cambria" w:cs="Arial"/>
          <w:szCs w:val="22"/>
        </w:rPr>
        <w:t xml:space="preserve">. L. </w:t>
      </w:r>
      <w:r w:rsidRPr="00D15C23">
        <w:rPr>
          <w:rFonts w:ascii="Cambria" w:hAnsi="Cambria"/>
          <w:szCs w:val="22"/>
        </w:rPr>
        <w:t xml:space="preserve">solanacearum’ using a Polymerase Chain Reaction (PCR) test using 20 percent of the seed lot weight; </w:t>
      </w:r>
      <w:r w:rsidRPr="00D15C23">
        <w:rPr>
          <w:rFonts w:ascii="Cambria" w:hAnsi="Cambria"/>
          <w:b/>
          <w:szCs w:val="22"/>
        </w:rPr>
        <w:t>OR</w:t>
      </w:r>
    </w:p>
    <w:p w:rsidR="00E94EA0" w:rsidRPr="00D15C23" w:rsidRDefault="00E94EA0" w:rsidP="00E94EA0">
      <w:pPr>
        <w:pStyle w:val="AQISNum"/>
        <w:widowControl w:val="0"/>
        <w:numPr>
          <w:ilvl w:val="0"/>
          <w:numId w:val="34"/>
        </w:numPr>
        <w:adjustRightInd w:val="0"/>
        <w:spacing w:before="120" w:after="120" w:line="276" w:lineRule="auto"/>
        <w:ind w:left="357" w:hanging="357"/>
        <w:textAlignment w:val="baseline"/>
        <w:rPr>
          <w:rFonts w:ascii="Cambria" w:hAnsi="Cambria"/>
          <w:szCs w:val="22"/>
        </w:rPr>
      </w:pPr>
      <w:r w:rsidRPr="00D15C23">
        <w:rPr>
          <w:rFonts w:ascii="Cambria" w:hAnsi="Cambria"/>
          <w:szCs w:val="22"/>
        </w:rPr>
        <w:t>Mandatory off-shore or onshore hot water treatm</w:t>
      </w:r>
      <w:r w:rsidRPr="00D15C23">
        <w:rPr>
          <w:rFonts w:ascii="Cambria" w:hAnsi="Cambria" w:cs="Arial"/>
          <w:szCs w:val="22"/>
        </w:rPr>
        <w:t xml:space="preserve">ent (50 </w:t>
      </w:r>
      <w:r w:rsidRPr="00D15C23">
        <w:rPr>
          <w:rFonts w:ascii="Cambria" w:hAnsi="Cambria"/>
          <w:szCs w:val="22"/>
        </w:rPr>
        <w:t xml:space="preserve">°C for 20 minutes).  </w:t>
      </w:r>
    </w:p>
    <w:p w:rsidR="00AE7868" w:rsidRDefault="00FF2B57">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420" w:name="_Toc437356036"/>
      <w:r>
        <w:rPr>
          <w:rFonts w:ascii="Calibri" w:hAnsi="Calibri" w:cstheme="minorBidi"/>
          <w:sz w:val="24"/>
          <w:szCs w:val="22"/>
        </w:rPr>
        <w:t>Emergency measures for carrot and celery tissue cultures</w:t>
      </w:r>
      <w:bookmarkEnd w:id="420"/>
    </w:p>
    <w:p w:rsidR="00AE7868" w:rsidRDefault="00FF2B57">
      <w:pPr>
        <w:spacing w:before="200"/>
        <w:rPr>
          <w:rFonts w:ascii="Cambria" w:hAnsi="Cambria"/>
        </w:rPr>
      </w:pPr>
      <w:r>
        <w:rPr>
          <w:rFonts w:ascii="Cambria" w:hAnsi="Cambria"/>
        </w:rPr>
        <w:t>The introduced emergency measures require that, in addition to general tissue culture requirements, tissue cultures of carrot and celery from all sources should be subject to following conditions:</w:t>
      </w:r>
    </w:p>
    <w:p w:rsidR="00AE7868" w:rsidRDefault="00FF2B57">
      <w:pPr>
        <w:pStyle w:val="AQISNum"/>
        <w:widowControl w:val="0"/>
        <w:numPr>
          <w:ilvl w:val="0"/>
          <w:numId w:val="34"/>
        </w:numPr>
        <w:adjustRightInd w:val="0"/>
        <w:spacing w:before="120" w:after="120" w:line="276" w:lineRule="auto"/>
        <w:ind w:left="357" w:hanging="357"/>
        <w:textAlignment w:val="baseline"/>
        <w:rPr>
          <w:rFonts w:ascii="Cambria" w:hAnsi="Cambria"/>
          <w:szCs w:val="22"/>
        </w:rPr>
      </w:pPr>
      <w:r>
        <w:rPr>
          <w:rFonts w:ascii="Cambria" w:hAnsi="Cambria"/>
          <w:szCs w:val="22"/>
        </w:rPr>
        <w:t>Mandatory Phytosanitary Certificate accompanying each consignment endorsed with the additional declaration that the consignment was tested using PCR and found to be free from  ‘</w:t>
      </w:r>
      <w:r>
        <w:rPr>
          <w:rFonts w:ascii="Cambria" w:hAnsi="Cambria"/>
          <w:i/>
          <w:szCs w:val="22"/>
        </w:rPr>
        <w:t>Ca</w:t>
      </w:r>
      <w:r>
        <w:rPr>
          <w:rFonts w:ascii="Cambria" w:hAnsi="Cambria"/>
          <w:szCs w:val="22"/>
        </w:rPr>
        <w:t xml:space="preserve">. L. solanacearum’; </w:t>
      </w:r>
      <w:r>
        <w:rPr>
          <w:rFonts w:ascii="Cambria" w:hAnsi="Cambria"/>
          <w:b/>
          <w:szCs w:val="22"/>
        </w:rPr>
        <w:t>AND</w:t>
      </w:r>
    </w:p>
    <w:p w:rsidR="00AE7868" w:rsidRDefault="00FF2B57">
      <w:pPr>
        <w:pStyle w:val="AQISNum"/>
        <w:widowControl w:val="0"/>
        <w:numPr>
          <w:ilvl w:val="0"/>
          <w:numId w:val="34"/>
        </w:numPr>
        <w:adjustRightInd w:val="0"/>
        <w:spacing w:before="120" w:after="120" w:line="276" w:lineRule="auto"/>
        <w:ind w:left="357" w:hanging="357"/>
        <w:textAlignment w:val="baseline"/>
        <w:rPr>
          <w:rFonts w:ascii="Cambria" w:hAnsi="Cambria"/>
          <w:szCs w:val="22"/>
        </w:rPr>
      </w:pPr>
      <w:r>
        <w:rPr>
          <w:rFonts w:ascii="Cambria" w:hAnsi="Cambria"/>
          <w:szCs w:val="22"/>
        </w:rPr>
        <w:t xml:space="preserve">Mandatory growth in a closed government post-entry quarantine (PEQ) facility for a minimum of three months for disease screening; </w:t>
      </w:r>
      <w:r>
        <w:rPr>
          <w:rFonts w:ascii="Cambria" w:hAnsi="Cambria"/>
          <w:b/>
          <w:szCs w:val="22"/>
        </w:rPr>
        <w:t>AND</w:t>
      </w:r>
    </w:p>
    <w:p w:rsidR="00AE7868" w:rsidRDefault="00FF2B57">
      <w:pPr>
        <w:pStyle w:val="AQISNum"/>
        <w:widowControl w:val="0"/>
        <w:numPr>
          <w:ilvl w:val="0"/>
          <w:numId w:val="34"/>
        </w:numPr>
        <w:adjustRightInd w:val="0"/>
        <w:spacing w:before="120" w:after="120" w:line="276" w:lineRule="auto"/>
        <w:ind w:left="357" w:hanging="357"/>
        <w:textAlignment w:val="baseline"/>
        <w:rPr>
          <w:rFonts w:ascii="Cambria" w:hAnsi="Cambria"/>
          <w:szCs w:val="22"/>
        </w:rPr>
      </w:pPr>
      <w:r>
        <w:rPr>
          <w:rFonts w:ascii="Cambria" w:hAnsi="Cambria"/>
          <w:szCs w:val="22"/>
        </w:rPr>
        <w:t>Mandatory PCR testing for freedom from ‘</w:t>
      </w:r>
      <w:r>
        <w:rPr>
          <w:rFonts w:ascii="Cambria" w:hAnsi="Cambria"/>
          <w:i/>
          <w:iCs/>
          <w:szCs w:val="22"/>
        </w:rPr>
        <w:t xml:space="preserve">Ca. </w:t>
      </w:r>
      <w:r>
        <w:rPr>
          <w:rFonts w:ascii="Cambria" w:hAnsi="Cambria"/>
          <w:iCs/>
          <w:szCs w:val="22"/>
        </w:rPr>
        <w:t>L. solanacearum’ during PEQ.</w:t>
      </w:r>
    </w:p>
    <w:p w:rsidR="00AE7868" w:rsidRDefault="00FF2B57">
      <w:pPr>
        <w:pStyle w:val="Heading2"/>
        <w:numPr>
          <w:ilvl w:val="1"/>
          <w:numId w:val="21"/>
        </w:numPr>
        <w:tabs>
          <w:tab w:val="clear" w:pos="576"/>
        </w:tabs>
        <w:spacing w:before="200" w:after="120"/>
        <w:ind w:left="357" w:hanging="357"/>
        <w:rPr>
          <w:rFonts w:eastAsiaTheme="majorEastAsia" w:cstheme="majorBidi"/>
          <w:color w:val="773141"/>
          <w:sz w:val="28"/>
        </w:rPr>
      </w:pPr>
      <w:bookmarkStart w:id="421" w:name="_Toc428282659"/>
      <w:bookmarkStart w:id="422" w:name="_Toc428283708"/>
      <w:bookmarkStart w:id="423" w:name="_Toc437356037"/>
      <w:bookmarkEnd w:id="421"/>
      <w:bookmarkEnd w:id="422"/>
      <w:r>
        <w:rPr>
          <w:rFonts w:eastAsiaTheme="majorEastAsia" w:cstheme="majorBidi"/>
          <w:color w:val="773141"/>
          <w:sz w:val="28"/>
        </w:rPr>
        <w:lastRenderedPageBreak/>
        <w:t>Evaluation of emergency measures</w:t>
      </w:r>
      <w:bookmarkEnd w:id="423"/>
    </w:p>
    <w:p w:rsidR="00AE7868" w:rsidRDefault="00FF2B57">
      <w:pPr>
        <w:tabs>
          <w:tab w:val="left" w:pos="2268"/>
        </w:tabs>
        <w:spacing w:before="200"/>
        <w:rPr>
          <w:rFonts w:ascii="Cambria" w:hAnsi="Cambria"/>
        </w:rPr>
      </w:pPr>
      <w:r>
        <w:rPr>
          <w:rFonts w:ascii="Cambria" w:hAnsi="Cambria" w:cs="Arial"/>
        </w:rPr>
        <w:t xml:space="preserve">Under the IPPC and WTO SPS Agreement, phytosanitary measures against the introduction of new pests must be technically justified. </w:t>
      </w:r>
      <w:r>
        <w:rPr>
          <w:rFonts w:ascii="Cambria" w:hAnsi="Cambria"/>
          <w:iCs/>
        </w:rPr>
        <w:t xml:space="preserve">ISPM 1 </w:t>
      </w:r>
      <w:r>
        <w:rPr>
          <w:rFonts w:ascii="Cambria" w:hAnsi="Cambria" w:cs="Arial"/>
        </w:rPr>
        <w:t xml:space="preserve">states that countries may take appropriate emergency action on a pest posing a potential threat to its territories; however, </w:t>
      </w:r>
      <w:r>
        <w:rPr>
          <w:rFonts w:ascii="Cambria" w:hAnsi="Cambria"/>
        </w:rPr>
        <w:t>continuance of the measures should be evaluated by pest risk analysis or other comparable examination as soon as possible, to ensure that the continuance of the measure is technically justified (FAO 2011a)</w:t>
      </w:r>
      <w:r>
        <w:rPr>
          <w:rFonts w:ascii="Cambria" w:hAnsi="Cambria" w:cs="Arial"/>
        </w:rPr>
        <w:t xml:space="preserve">. </w:t>
      </w:r>
      <w:r>
        <w:rPr>
          <w:rFonts w:ascii="Cambria" w:hAnsi="Cambria"/>
        </w:rPr>
        <w:t>As part of this PRA, the department evaluated the appropriateness of the emergency measures to determine if alternative or additional measures are required for seed (carrot) and tissue cultures (carrot and celery).</w:t>
      </w:r>
    </w:p>
    <w:p w:rsidR="00AE7868" w:rsidRDefault="00FF2B57">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424" w:name="_Toc437356038"/>
      <w:r>
        <w:rPr>
          <w:rFonts w:ascii="Calibri" w:hAnsi="Calibri" w:cstheme="minorBidi"/>
          <w:sz w:val="24"/>
          <w:szCs w:val="22"/>
        </w:rPr>
        <w:t>Seeds for sowing from all sources—carrot (commercial lots)</w:t>
      </w:r>
      <w:bookmarkEnd w:id="424"/>
    </w:p>
    <w:p w:rsidR="00AE7868" w:rsidRDefault="00FF2B57">
      <w:pPr>
        <w:pStyle w:val="AQISNum"/>
        <w:widowControl w:val="0"/>
        <w:numPr>
          <w:ilvl w:val="0"/>
          <w:numId w:val="34"/>
        </w:numPr>
        <w:adjustRightInd w:val="0"/>
        <w:spacing w:before="120" w:after="120" w:line="276" w:lineRule="auto"/>
        <w:ind w:left="357" w:hanging="357"/>
        <w:textAlignment w:val="baseline"/>
        <w:rPr>
          <w:rFonts w:ascii="Cambria" w:hAnsi="Cambria"/>
        </w:rPr>
      </w:pPr>
      <w:r>
        <w:rPr>
          <w:rFonts w:ascii="Cambria" w:hAnsi="Cambria"/>
          <w:b/>
        </w:rPr>
        <w:t>Testing or treatment</w:t>
      </w:r>
      <w:r>
        <w:rPr>
          <w:rFonts w:ascii="Cambria" w:hAnsi="Cambria"/>
          <w:bCs/>
          <w:szCs w:val="22"/>
        </w:rPr>
        <w:t>—</w:t>
      </w:r>
      <w:r w:rsidR="00577D58">
        <w:rPr>
          <w:rFonts w:ascii="Cambria" w:hAnsi="Cambria"/>
        </w:rPr>
        <w:t>The requirement</w:t>
      </w:r>
      <w:r>
        <w:rPr>
          <w:rFonts w:ascii="Cambria" w:hAnsi="Cambria"/>
        </w:rPr>
        <w:t xml:space="preserve"> </w:t>
      </w:r>
      <w:r>
        <w:rPr>
          <w:rFonts w:ascii="Cambria" w:hAnsi="Cambria"/>
          <w:szCs w:val="22"/>
        </w:rPr>
        <w:t xml:space="preserve">for </w:t>
      </w:r>
      <w:r>
        <w:rPr>
          <w:rFonts w:ascii="Cambria" w:hAnsi="Cambria"/>
        </w:rPr>
        <w:t>mandatory testing by PCR</w:t>
      </w:r>
      <w:r w:rsidR="00577D58">
        <w:rPr>
          <w:rFonts w:ascii="Cambria" w:hAnsi="Cambria"/>
        </w:rPr>
        <w:t xml:space="preserve"> </w:t>
      </w:r>
      <w:r>
        <w:rPr>
          <w:rFonts w:ascii="Cambria" w:hAnsi="Cambria"/>
        </w:rPr>
        <w:t xml:space="preserve">using a 20,000 seed sample </w:t>
      </w:r>
      <w:r>
        <w:rPr>
          <w:rFonts w:ascii="Cambria" w:hAnsi="Cambria"/>
          <w:b/>
        </w:rPr>
        <w:t>or</w:t>
      </w:r>
      <w:r>
        <w:rPr>
          <w:rFonts w:ascii="Cambria" w:hAnsi="Cambria"/>
        </w:rPr>
        <w:t xml:space="preserve"> heat treatment (50</w:t>
      </w:r>
      <w:r>
        <w:rPr>
          <w:rFonts w:ascii="Cambria" w:hAnsi="Cambria"/>
          <w:vertAlign w:val="superscript"/>
        </w:rPr>
        <w:t xml:space="preserve"> </w:t>
      </w:r>
      <w:r>
        <w:t>°</w:t>
      </w:r>
      <w:r>
        <w:rPr>
          <w:rFonts w:ascii="Cambria" w:hAnsi="Cambria"/>
        </w:rPr>
        <w:t xml:space="preserve">C for 20 minutes) are </w:t>
      </w:r>
      <w:r>
        <w:rPr>
          <w:rFonts w:ascii="Cambria" w:hAnsi="Cambria"/>
          <w:szCs w:val="22"/>
        </w:rPr>
        <w:t xml:space="preserve">appropriate phytosanitary measures for the safe introduction of </w:t>
      </w:r>
      <w:r>
        <w:rPr>
          <w:rFonts w:ascii="Cambria" w:hAnsi="Cambria"/>
        </w:rPr>
        <w:t>carrot seed. The ultimate goal of testing or treatment is to manage the risk of introducting ‘</w:t>
      </w:r>
      <w:r>
        <w:rPr>
          <w:rFonts w:ascii="Cambria" w:hAnsi="Cambria"/>
          <w:i/>
        </w:rPr>
        <w:t>Ca</w:t>
      </w:r>
      <w:r>
        <w:rPr>
          <w:rFonts w:ascii="Cambria" w:hAnsi="Cambria"/>
        </w:rPr>
        <w:t>. L. solanacearum’ through trade in seed and to achieve Australia’s ALOP. Therefore, the existing requirement of mandatory testing or treatment is supported.</w:t>
      </w:r>
    </w:p>
    <w:p w:rsidR="00AE7868" w:rsidRDefault="00FF2B57">
      <w:pPr>
        <w:pStyle w:val="AQISNum"/>
        <w:widowControl w:val="0"/>
        <w:numPr>
          <w:ilvl w:val="0"/>
          <w:numId w:val="34"/>
        </w:numPr>
        <w:adjustRightInd w:val="0"/>
        <w:spacing w:before="120" w:after="120" w:line="276" w:lineRule="auto"/>
        <w:ind w:left="357" w:hanging="357"/>
        <w:textAlignment w:val="baseline"/>
        <w:rPr>
          <w:rFonts w:ascii="Cambria" w:hAnsi="Cambria"/>
        </w:rPr>
      </w:pPr>
      <w:r>
        <w:rPr>
          <w:rFonts w:ascii="Cambria" w:hAnsi="Cambria"/>
          <w:b/>
        </w:rPr>
        <w:t>Certification</w:t>
      </w:r>
      <w:r>
        <w:rPr>
          <w:rFonts w:ascii="Cambria" w:hAnsi="Cambria"/>
          <w:bCs/>
          <w:szCs w:val="22"/>
        </w:rPr>
        <w:t>—</w:t>
      </w:r>
      <w:r>
        <w:rPr>
          <w:rFonts w:ascii="Cambria" w:hAnsi="Cambria"/>
        </w:rPr>
        <w:t xml:space="preserve">Consistent with ISPMs 7 and 12, Australia requires that if seed testing or heat treatments are performed off-shore, the </w:t>
      </w:r>
      <w:r>
        <w:rPr>
          <w:rFonts w:ascii="Cambria" w:hAnsi="Cambria"/>
        </w:rPr>
        <w:lastRenderedPageBreak/>
        <w:t>exporting country should certify that each consignment has been either tested and found free of ‘</w:t>
      </w:r>
      <w:r>
        <w:rPr>
          <w:rFonts w:ascii="Cambria" w:hAnsi="Cambria"/>
          <w:i/>
        </w:rPr>
        <w:t>Ca.</w:t>
      </w:r>
      <w:r>
        <w:rPr>
          <w:rFonts w:ascii="Cambria" w:hAnsi="Cambria"/>
        </w:rPr>
        <w:t xml:space="preserve"> L. solanacearum’ or subjected to heat treatment. Phytosanitary certification is used to attest that consignments meet the phytosanitary requirements of the importing country and are conducted in accordance with ISPM 12: </w:t>
      </w:r>
      <w:r>
        <w:rPr>
          <w:rFonts w:ascii="Cambria" w:hAnsi="Cambria"/>
          <w:i/>
          <w:iCs/>
        </w:rPr>
        <w:t>Phytosanitary Certificates.</w:t>
      </w:r>
      <w:r>
        <w:rPr>
          <w:rFonts w:ascii="Cambria" w:hAnsi="Cambria"/>
        </w:rPr>
        <w:t xml:space="preserve"> Phytosanitary certification facilitates safe international trade in plants, plant products and other regulated articles by providing internationally agreed documentation and procedures. Therefore, the existing requirement of certification is supported.</w:t>
      </w:r>
    </w:p>
    <w:p w:rsidR="00AE7868" w:rsidRDefault="00FF2B57">
      <w:pPr>
        <w:pStyle w:val="AQISNum"/>
        <w:widowControl w:val="0"/>
        <w:numPr>
          <w:ilvl w:val="0"/>
          <w:numId w:val="34"/>
        </w:numPr>
        <w:adjustRightInd w:val="0"/>
        <w:spacing w:before="120" w:after="120" w:line="276" w:lineRule="auto"/>
        <w:ind w:left="357" w:hanging="357"/>
        <w:textAlignment w:val="baseline"/>
        <w:rPr>
          <w:rFonts w:ascii="Cambria" w:hAnsi="Cambria"/>
        </w:rPr>
      </w:pPr>
      <w:r>
        <w:rPr>
          <w:rFonts w:ascii="Cambria" w:hAnsi="Cambria"/>
          <w:b/>
          <w:bCs/>
          <w:szCs w:val="22"/>
        </w:rPr>
        <w:t>On-arrival inspection</w:t>
      </w:r>
      <w:r>
        <w:rPr>
          <w:rFonts w:ascii="Cambria" w:hAnsi="Cambria"/>
          <w:bCs/>
          <w:szCs w:val="22"/>
        </w:rPr>
        <w:t xml:space="preserve">—The existing requirement of on-arrival inspection for seed for sowing to </w:t>
      </w:r>
      <w:r>
        <w:rPr>
          <w:rFonts w:ascii="Cambria" w:hAnsi="Cambria"/>
        </w:rPr>
        <w:t>verify freedom from live insects, soil, disease symptoms, prohibited seeds, other plant material, animal material and any other extraneous contamination of quarantine concern is supported.</w:t>
      </w:r>
    </w:p>
    <w:p w:rsidR="00E94EA0" w:rsidRPr="00D15C23" w:rsidRDefault="00E94EA0" w:rsidP="00E94EA0">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425" w:name="_Toc437356039"/>
      <w:r w:rsidRPr="00D15C23">
        <w:rPr>
          <w:rFonts w:ascii="Calibri" w:hAnsi="Calibri" w:cstheme="minorBidi"/>
          <w:sz w:val="24"/>
          <w:szCs w:val="22"/>
        </w:rPr>
        <w:t>Seeds for sowing from all sources—carrot (small lots)</w:t>
      </w:r>
      <w:bookmarkEnd w:id="425"/>
    </w:p>
    <w:p w:rsidR="00E94EA0" w:rsidRPr="00D15C23" w:rsidRDefault="00E94EA0" w:rsidP="00E94EA0">
      <w:pPr>
        <w:pStyle w:val="AQISNum"/>
        <w:widowControl w:val="0"/>
        <w:numPr>
          <w:ilvl w:val="0"/>
          <w:numId w:val="34"/>
        </w:numPr>
        <w:adjustRightInd w:val="0"/>
        <w:spacing w:before="120" w:after="120" w:line="276" w:lineRule="auto"/>
        <w:ind w:left="357" w:hanging="357"/>
        <w:textAlignment w:val="baseline"/>
        <w:rPr>
          <w:rFonts w:ascii="Cambria" w:hAnsi="Cambria"/>
        </w:rPr>
      </w:pPr>
      <w:r w:rsidRPr="00D15C23">
        <w:rPr>
          <w:rFonts w:ascii="Cambria" w:hAnsi="Cambria"/>
          <w:b/>
        </w:rPr>
        <w:t>Testing or treatment</w:t>
      </w:r>
      <w:r w:rsidRPr="00D15C23">
        <w:rPr>
          <w:rFonts w:ascii="Cambria" w:hAnsi="Cambria"/>
          <w:bCs/>
          <w:szCs w:val="22"/>
        </w:rPr>
        <w:t>—</w:t>
      </w:r>
      <w:r w:rsidRPr="00D15C23">
        <w:rPr>
          <w:rFonts w:ascii="Cambria" w:hAnsi="Cambria"/>
        </w:rPr>
        <w:t xml:space="preserve">The requirement </w:t>
      </w:r>
      <w:r w:rsidRPr="00D15C23">
        <w:rPr>
          <w:rFonts w:ascii="Cambria" w:hAnsi="Cambria"/>
          <w:szCs w:val="22"/>
        </w:rPr>
        <w:t xml:space="preserve">for </w:t>
      </w:r>
      <w:r w:rsidRPr="00D15C23">
        <w:rPr>
          <w:rFonts w:ascii="Cambria" w:hAnsi="Cambria"/>
        </w:rPr>
        <w:t>mandatory testing by PCR (usi</w:t>
      </w:r>
      <w:r w:rsidR="00504AA2" w:rsidRPr="00D15C23">
        <w:rPr>
          <w:rFonts w:ascii="Cambria" w:hAnsi="Cambria"/>
        </w:rPr>
        <w:t xml:space="preserve">ng  20 percent of the seed lot </w:t>
      </w:r>
      <w:r w:rsidRPr="00D15C23">
        <w:rPr>
          <w:rFonts w:ascii="Cambria" w:hAnsi="Cambria"/>
        </w:rPr>
        <w:t xml:space="preserve">weight) </w:t>
      </w:r>
      <w:r w:rsidRPr="00D15C23">
        <w:rPr>
          <w:rFonts w:ascii="Cambria" w:hAnsi="Cambria"/>
          <w:b/>
        </w:rPr>
        <w:t>or</w:t>
      </w:r>
      <w:r w:rsidRPr="00D15C23">
        <w:rPr>
          <w:rFonts w:ascii="Cambria" w:hAnsi="Cambria"/>
        </w:rPr>
        <w:t xml:space="preserve"> heat treatment (50</w:t>
      </w:r>
      <w:r w:rsidRPr="00D15C23">
        <w:rPr>
          <w:rFonts w:ascii="Cambria" w:hAnsi="Cambria"/>
          <w:vertAlign w:val="superscript"/>
        </w:rPr>
        <w:t xml:space="preserve"> </w:t>
      </w:r>
      <w:r w:rsidRPr="00D15C23">
        <w:t>°</w:t>
      </w:r>
      <w:r w:rsidRPr="00D15C23">
        <w:rPr>
          <w:rFonts w:ascii="Cambria" w:hAnsi="Cambria"/>
        </w:rPr>
        <w:t xml:space="preserve">C for 20 minutes) are </w:t>
      </w:r>
      <w:r w:rsidRPr="00D15C23">
        <w:rPr>
          <w:rFonts w:ascii="Cambria" w:hAnsi="Cambria"/>
          <w:szCs w:val="22"/>
        </w:rPr>
        <w:t>appropriate phytosanitary measures for the safe introduction of</w:t>
      </w:r>
      <w:r w:rsidR="005A2152" w:rsidRPr="00D15C23">
        <w:rPr>
          <w:rFonts w:ascii="Cambria" w:hAnsi="Cambria"/>
          <w:szCs w:val="22"/>
        </w:rPr>
        <w:t xml:space="preserve"> small seed lots (250 grams or less) of</w:t>
      </w:r>
      <w:r w:rsidRPr="00D15C23">
        <w:rPr>
          <w:rFonts w:ascii="Cambria" w:hAnsi="Cambria"/>
          <w:szCs w:val="22"/>
        </w:rPr>
        <w:t xml:space="preserve"> </w:t>
      </w:r>
      <w:r w:rsidRPr="00D15C23">
        <w:rPr>
          <w:rFonts w:ascii="Cambria" w:hAnsi="Cambria"/>
        </w:rPr>
        <w:t>carrot seed</w:t>
      </w:r>
      <w:r w:rsidR="00921B86" w:rsidRPr="00D15C23">
        <w:rPr>
          <w:rFonts w:ascii="Cambria" w:hAnsi="Cambria"/>
        </w:rPr>
        <w:t>s</w:t>
      </w:r>
      <w:r w:rsidRPr="00D15C23">
        <w:rPr>
          <w:rFonts w:ascii="Cambria" w:hAnsi="Cambria"/>
        </w:rPr>
        <w:t>. The ultimate goal of testing or treatment is to manage the risk of introducting ‘</w:t>
      </w:r>
      <w:r w:rsidRPr="00D15C23">
        <w:rPr>
          <w:rFonts w:ascii="Cambria" w:hAnsi="Cambria"/>
          <w:i/>
        </w:rPr>
        <w:t>Ca</w:t>
      </w:r>
      <w:r w:rsidRPr="00D15C23">
        <w:rPr>
          <w:rFonts w:ascii="Cambria" w:hAnsi="Cambria"/>
        </w:rPr>
        <w:t>. L. solanacearum’ through trade in seed</w:t>
      </w:r>
      <w:r w:rsidR="00921B86" w:rsidRPr="00D15C23">
        <w:rPr>
          <w:rFonts w:ascii="Cambria" w:hAnsi="Cambria"/>
        </w:rPr>
        <w:t>s</w:t>
      </w:r>
      <w:r w:rsidRPr="00D15C23">
        <w:rPr>
          <w:rFonts w:ascii="Cambria" w:hAnsi="Cambria"/>
        </w:rPr>
        <w:t xml:space="preserve"> and </w:t>
      </w:r>
      <w:r w:rsidRPr="00D15C23">
        <w:rPr>
          <w:rFonts w:ascii="Cambria" w:hAnsi="Cambria"/>
        </w:rPr>
        <w:lastRenderedPageBreak/>
        <w:t>to achieve Australia’s ALOP. Therefore, the existing requirement of mandatory testing or treatment is supported.</w:t>
      </w:r>
    </w:p>
    <w:p w:rsidR="00E94EA0" w:rsidRPr="00D15C23" w:rsidRDefault="00E94EA0" w:rsidP="00E94EA0">
      <w:pPr>
        <w:pStyle w:val="AQISNum"/>
        <w:widowControl w:val="0"/>
        <w:numPr>
          <w:ilvl w:val="0"/>
          <w:numId w:val="34"/>
        </w:numPr>
        <w:adjustRightInd w:val="0"/>
        <w:spacing w:before="120" w:after="120" w:line="276" w:lineRule="auto"/>
        <w:ind w:left="357" w:hanging="357"/>
        <w:textAlignment w:val="baseline"/>
        <w:rPr>
          <w:rFonts w:ascii="Cambria" w:hAnsi="Cambria"/>
        </w:rPr>
      </w:pPr>
      <w:r w:rsidRPr="00D15C23">
        <w:rPr>
          <w:rFonts w:ascii="Cambria" w:hAnsi="Cambria"/>
          <w:b/>
        </w:rPr>
        <w:t>Certification</w:t>
      </w:r>
      <w:r w:rsidRPr="00D15C23">
        <w:rPr>
          <w:rFonts w:ascii="Cambria" w:hAnsi="Cambria"/>
          <w:bCs/>
          <w:szCs w:val="22"/>
        </w:rPr>
        <w:t>—</w:t>
      </w:r>
      <w:r w:rsidRPr="00D15C23">
        <w:rPr>
          <w:rFonts w:ascii="Cambria" w:hAnsi="Cambria"/>
        </w:rPr>
        <w:t xml:space="preserve">Consistent with ISPMs 7 and 12, Australia requires that if </w:t>
      </w:r>
      <w:r w:rsidR="00B75AF9" w:rsidRPr="00D15C23">
        <w:rPr>
          <w:rFonts w:ascii="Cambria" w:hAnsi="Cambria"/>
        </w:rPr>
        <w:t>heat treatment</w:t>
      </w:r>
      <w:r w:rsidRPr="00D15C23">
        <w:rPr>
          <w:rFonts w:ascii="Cambria" w:hAnsi="Cambria"/>
        </w:rPr>
        <w:t xml:space="preserve"> </w:t>
      </w:r>
      <w:r w:rsidR="00B75AF9" w:rsidRPr="00D15C23">
        <w:rPr>
          <w:rFonts w:ascii="Cambria" w:hAnsi="Cambria"/>
        </w:rPr>
        <w:t>is</w:t>
      </w:r>
      <w:r w:rsidRPr="00D15C23">
        <w:rPr>
          <w:rFonts w:ascii="Cambria" w:hAnsi="Cambria"/>
        </w:rPr>
        <w:t xml:space="preserve"> performed off-shore, the exporting country should certify that each consignment has been either tested and found free of ‘</w:t>
      </w:r>
      <w:r w:rsidRPr="00D15C23">
        <w:rPr>
          <w:rFonts w:ascii="Cambria" w:hAnsi="Cambria"/>
          <w:i/>
        </w:rPr>
        <w:t>Ca.</w:t>
      </w:r>
      <w:r w:rsidRPr="00D15C23">
        <w:rPr>
          <w:rFonts w:ascii="Cambria" w:hAnsi="Cambria"/>
        </w:rPr>
        <w:t xml:space="preserve"> L. solanacearum’ or subjected to heat treatment. Phytosanitary certification is used to attest that consignments meet the phytosanitary requirements of the importing country and are conducted in accordance with ISPM 12: </w:t>
      </w:r>
      <w:r w:rsidRPr="00D15C23">
        <w:rPr>
          <w:rFonts w:ascii="Cambria" w:hAnsi="Cambria"/>
          <w:i/>
          <w:iCs/>
        </w:rPr>
        <w:t>Phytosanitary Certificates</w:t>
      </w:r>
      <w:r w:rsidRPr="00D15C23">
        <w:rPr>
          <w:rFonts w:ascii="Cambria" w:hAnsi="Cambria"/>
          <w:iCs/>
        </w:rPr>
        <w:t>.</w:t>
      </w:r>
      <w:r w:rsidRPr="00D15C23">
        <w:rPr>
          <w:rFonts w:ascii="Cambria" w:hAnsi="Cambria"/>
        </w:rPr>
        <w:t xml:space="preserve"> Phytosanitary certification facilitates safe international trade in plants, plant products and other regulated articles by providing internationally agreed documentation and procedures. Therefore, the existing requirement of certification is supported.</w:t>
      </w:r>
    </w:p>
    <w:p w:rsidR="00E94EA0" w:rsidRPr="00D15C23" w:rsidRDefault="00E94EA0" w:rsidP="00E94EA0">
      <w:pPr>
        <w:pStyle w:val="AQISNum"/>
        <w:widowControl w:val="0"/>
        <w:numPr>
          <w:ilvl w:val="0"/>
          <w:numId w:val="34"/>
        </w:numPr>
        <w:adjustRightInd w:val="0"/>
        <w:spacing w:before="120" w:after="120" w:line="276" w:lineRule="auto"/>
        <w:ind w:left="357" w:hanging="357"/>
        <w:textAlignment w:val="baseline"/>
        <w:rPr>
          <w:rFonts w:ascii="Cambria" w:hAnsi="Cambria"/>
        </w:rPr>
      </w:pPr>
      <w:r w:rsidRPr="00D15C23">
        <w:rPr>
          <w:rFonts w:ascii="Cambria" w:hAnsi="Cambria"/>
          <w:b/>
          <w:bCs/>
          <w:szCs w:val="22"/>
        </w:rPr>
        <w:t>On-arrival inspection</w:t>
      </w:r>
      <w:r w:rsidRPr="00D15C23">
        <w:rPr>
          <w:rFonts w:ascii="Cambria" w:hAnsi="Cambria"/>
          <w:bCs/>
          <w:szCs w:val="22"/>
        </w:rPr>
        <w:t>—The existing requirement of on-arrival inspection for seed</w:t>
      </w:r>
      <w:r w:rsidR="00921B86" w:rsidRPr="00D15C23">
        <w:rPr>
          <w:rFonts w:ascii="Cambria" w:hAnsi="Cambria"/>
          <w:bCs/>
          <w:szCs w:val="22"/>
        </w:rPr>
        <w:t>s</w:t>
      </w:r>
      <w:r w:rsidRPr="00D15C23">
        <w:rPr>
          <w:rFonts w:ascii="Cambria" w:hAnsi="Cambria"/>
          <w:bCs/>
          <w:szCs w:val="22"/>
        </w:rPr>
        <w:t xml:space="preserve"> for sowing to </w:t>
      </w:r>
      <w:r w:rsidRPr="00D15C23">
        <w:rPr>
          <w:rFonts w:ascii="Cambria" w:hAnsi="Cambria"/>
        </w:rPr>
        <w:t>verify freedom from live insects, soil, disease symptoms, prohibited seeds, other plant material, animal material and any other extraneous contamination of quarantine concern is supported.</w:t>
      </w:r>
    </w:p>
    <w:p w:rsidR="00AE7868" w:rsidRDefault="00FF2B57">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426" w:name="_Toc437356040"/>
      <w:r>
        <w:rPr>
          <w:rFonts w:ascii="Calibri" w:hAnsi="Calibri" w:cstheme="minorBidi"/>
          <w:sz w:val="24"/>
          <w:szCs w:val="22"/>
        </w:rPr>
        <w:t>Tissue cultures from all sources—carrot and celery</w:t>
      </w:r>
      <w:bookmarkEnd w:id="426"/>
      <w:r>
        <w:rPr>
          <w:rFonts w:ascii="Calibri" w:hAnsi="Calibri" w:cstheme="minorBidi"/>
          <w:sz w:val="24"/>
          <w:szCs w:val="22"/>
        </w:rPr>
        <w:t xml:space="preserve"> </w:t>
      </w:r>
    </w:p>
    <w:p w:rsidR="00AE7868" w:rsidRDefault="00FF2B57">
      <w:pPr>
        <w:pStyle w:val="AQISNum"/>
        <w:widowControl w:val="0"/>
        <w:numPr>
          <w:ilvl w:val="0"/>
          <w:numId w:val="34"/>
        </w:numPr>
        <w:adjustRightInd w:val="0"/>
        <w:spacing w:before="120" w:after="120" w:line="276" w:lineRule="auto"/>
        <w:ind w:left="357" w:hanging="357"/>
        <w:textAlignment w:val="baseline"/>
        <w:rPr>
          <w:rFonts w:ascii="Cambria" w:hAnsi="Cambria"/>
        </w:rPr>
      </w:pPr>
      <w:r>
        <w:rPr>
          <w:rFonts w:ascii="Cambria" w:hAnsi="Cambria"/>
          <w:b/>
          <w:bCs/>
          <w:szCs w:val="22"/>
        </w:rPr>
        <w:t>Pre-export testing for freedom from ‘</w:t>
      </w:r>
      <w:r>
        <w:rPr>
          <w:rFonts w:ascii="Cambria" w:hAnsi="Cambria"/>
          <w:b/>
          <w:bCs/>
          <w:i/>
          <w:szCs w:val="22"/>
        </w:rPr>
        <w:t xml:space="preserve">Ca. </w:t>
      </w:r>
      <w:r>
        <w:rPr>
          <w:rFonts w:ascii="Cambria" w:hAnsi="Cambria"/>
          <w:b/>
          <w:bCs/>
          <w:szCs w:val="22"/>
        </w:rPr>
        <w:t>L. solanacearum’</w:t>
      </w:r>
      <w:r>
        <w:rPr>
          <w:rFonts w:ascii="Cambria" w:hAnsi="Cambria"/>
          <w:bCs/>
          <w:szCs w:val="22"/>
        </w:rPr>
        <w:t>—The requirement for the consignment to be accompanied by a Phytosan</w:t>
      </w:r>
      <w:r>
        <w:rPr>
          <w:rFonts w:ascii="Cambria" w:hAnsi="Cambria"/>
          <w:bCs/>
          <w:szCs w:val="22"/>
        </w:rPr>
        <w:lastRenderedPageBreak/>
        <w:t>itary Certificate with the additional declaration that the consignment has been found to be free from ‘</w:t>
      </w:r>
      <w:r>
        <w:rPr>
          <w:rFonts w:ascii="Cambria" w:hAnsi="Cambria"/>
          <w:bCs/>
          <w:i/>
          <w:szCs w:val="22"/>
        </w:rPr>
        <w:t xml:space="preserve">Ca. </w:t>
      </w:r>
      <w:r>
        <w:rPr>
          <w:rFonts w:ascii="Cambria" w:hAnsi="Cambria"/>
          <w:bCs/>
          <w:szCs w:val="22"/>
        </w:rPr>
        <w:t xml:space="preserve">L. solanacearum’ by PCR testing is supported. </w:t>
      </w:r>
    </w:p>
    <w:p w:rsidR="00AE7868" w:rsidRDefault="00FF2B57">
      <w:pPr>
        <w:pStyle w:val="AQISNum"/>
        <w:widowControl w:val="0"/>
        <w:numPr>
          <w:ilvl w:val="0"/>
          <w:numId w:val="34"/>
        </w:numPr>
        <w:adjustRightInd w:val="0"/>
        <w:spacing w:before="120" w:after="120" w:line="276" w:lineRule="auto"/>
        <w:ind w:left="357" w:hanging="357"/>
        <w:textAlignment w:val="baseline"/>
        <w:rPr>
          <w:rFonts w:ascii="Cambria" w:hAnsi="Cambria"/>
        </w:rPr>
      </w:pPr>
      <w:r>
        <w:rPr>
          <w:rFonts w:ascii="Cambria" w:hAnsi="Cambria"/>
          <w:b/>
          <w:bCs/>
          <w:szCs w:val="22"/>
        </w:rPr>
        <w:t>On-arrival inspection</w:t>
      </w:r>
      <w:r>
        <w:rPr>
          <w:rFonts w:ascii="Cambria" w:hAnsi="Cambria"/>
          <w:bCs/>
          <w:szCs w:val="22"/>
        </w:rPr>
        <w:t xml:space="preserve">—The existing requirement of on-arrival inspection for imported tissue cultures to </w:t>
      </w:r>
      <w:r>
        <w:rPr>
          <w:rFonts w:ascii="Cambria" w:hAnsi="Cambria"/>
        </w:rPr>
        <w:t xml:space="preserve">verify freedom from live insects, soil, disease symptoms, prohibited seeds, other plant material, animal material and any other extraneous contamination of quarantine concern is supported. </w:t>
      </w:r>
    </w:p>
    <w:p w:rsidR="00AE7868" w:rsidRDefault="00FF2B57">
      <w:pPr>
        <w:pStyle w:val="Heading2"/>
        <w:numPr>
          <w:ilvl w:val="1"/>
          <w:numId w:val="21"/>
        </w:numPr>
        <w:tabs>
          <w:tab w:val="clear" w:pos="576"/>
        </w:tabs>
        <w:spacing w:before="200" w:after="120"/>
        <w:ind w:left="357" w:hanging="357"/>
        <w:rPr>
          <w:rFonts w:eastAsiaTheme="majorEastAsia" w:cstheme="majorBidi"/>
          <w:color w:val="773141"/>
          <w:sz w:val="28"/>
        </w:rPr>
      </w:pPr>
      <w:bookmarkStart w:id="427" w:name="_Toc437356041"/>
      <w:r>
        <w:rPr>
          <w:rFonts w:eastAsiaTheme="majorEastAsia" w:cstheme="majorBidi"/>
          <w:color w:val="773141"/>
          <w:sz w:val="28"/>
        </w:rPr>
        <w:t>Proposed risk mitigation measures</w:t>
      </w:r>
      <w:bookmarkEnd w:id="427"/>
    </w:p>
    <w:p w:rsidR="00AE7868" w:rsidRDefault="00FF2B57">
      <w:pPr>
        <w:spacing w:before="200"/>
        <w:rPr>
          <w:rFonts w:ascii="Cambria" w:hAnsi="Cambria"/>
        </w:rPr>
      </w:pPr>
      <w:r>
        <w:rPr>
          <w:rFonts w:ascii="Cambria" w:hAnsi="Cambria"/>
        </w:rPr>
        <w:t xml:space="preserve">Australia considers that the emergency measures, introduced in October 2014, are adequate to mitigate the risk posed by </w:t>
      </w:r>
      <w:bookmarkStart w:id="428" w:name="OLE_LINK4"/>
      <w:bookmarkStart w:id="429" w:name="OLE_LINK5"/>
      <w:r>
        <w:rPr>
          <w:rFonts w:ascii="Cambria" w:hAnsi="Cambria"/>
          <w:i/>
        </w:rPr>
        <w:t xml:space="preserve">‘Ca. </w:t>
      </w:r>
      <w:r>
        <w:rPr>
          <w:rFonts w:ascii="Cambria" w:hAnsi="Cambria"/>
        </w:rPr>
        <w:t xml:space="preserve">L. solanacearum’ </w:t>
      </w:r>
      <w:bookmarkEnd w:id="428"/>
      <w:bookmarkEnd w:id="429"/>
      <w:r>
        <w:rPr>
          <w:rFonts w:ascii="Cambria" w:hAnsi="Cambria"/>
        </w:rPr>
        <w:t xml:space="preserve">associated with apiaceous propagative material (seed and tissue cultures). Since the introduction of the emergency measures, parsnip has been reported as a natural host of </w:t>
      </w:r>
      <w:r>
        <w:rPr>
          <w:rFonts w:ascii="Cambria" w:eastAsia="Calibri" w:hAnsi="Cambria"/>
        </w:rPr>
        <w:t>‘</w:t>
      </w:r>
      <w:r>
        <w:rPr>
          <w:rFonts w:ascii="Cambria" w:eastAsia="Calibri" w:hAnsi="Cambria"/>
          <w:i/>
        </w:rPr>
        <w:t xml:space="preserve">Ca. </w:t>
      </w:r>
      <w:r>
        <w:rPr>
          <w:rFonts w:ascii="Cambria" w:hAnsi="Cambria"/>
        </w:rPr>
        <w:t xml:space="preserve">L. solanacearum’. Therefore, these emergency measures are proposed to become the standard conditions for the importation of carrot, celery and parsnip propagative material into Australia from those countries that do not regulate </w:t>
      </w:r>
      <w:r>
        <w:rPr>
          <w:rFonts w:ascii="Cambria" w:hAnsi="Cambria"/>
          <w:i/>
        </w:rPr>
        <w:t xml:space="preserve">‘Ca. </w:t>
      </w:r>
      <w:r>
        <w:rPr>
          <w:rFonts w:ascii="Cambria" w:hAnsi="Cambria"/>
        </w:rPr>
        <w:t>L. solanacearum’ associated with apiaceous crops. T</w:t>
      </w:r>
      <w:r>
        <w:rPr>
          <w:rFonts w:ascii="Cambria" w:hAnsi="Cambria"/>
          <w:bCs/>
        </w:rPr>
        <w:t>he department also proposes that consignments of unknown health be permitted importation into Australia, subject to alternative import conditions.</w:t>
      </w:r>
      <w:r w:rsidR="004100F3">
        <w:rPr>
          <w:rFonts w:ascii="Cambria" w:hAnsi="Cambria"/>
          <w:bCs/>
        </w:rPr>
        <w:t xml:space="preserve"> The recommended conditions for </w:t>
      </w:r>
      <w:r w:rsidR="004100F3">
        <w:rPr>
          <w:rFonts w:ascii="Cambria" w:hAnsi="Cambria"/>
        </w:rPr>
        <w:t>apiaceous propagative material are summarised below.</w:t>
      </w:r>
    </w:p>
    <w:p w:rsidR="00AE7868" w:rsidRDefault="00FF2B57">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430" w:name="_Toc437356042"/>
      <w:r>
        <w:rPr>
          <w:rFonts w:ascii="Calibri" w:hAnsi="Calibri" w:cstheme="minorBidi"/>
          <w:sz w:val="24"/>
          <w:szCs w:val="22"/>
        </w:rPr>
        <w:lastRenderedPageBreak/>
        <w:t>Seeds for sowing from all sources—carrot (commercial lots)</w:t>
      </w:r>
      <w:bookmarkEnd w:id="430"/>
    </w:p>
    <w:p w:rsidR="00AE7868" w:rsidRDefault="00FF2B57">
      <w:pPr>
        <w:pStyle w:val="AQISNum"/>
        <w:widowControl w:val="0"/>
        <w:numPr>
          <w:ilvl w:val="0"/>
          <w:numId w:val="34"/>
        </w:numPr>
        <w:adjustRightInd w:val="0"/>
        <w:spacing w:before="120" w:after="120" w:line="276" w:lineRule="auto"/>
        <w:ind w:left="357" w:hanging="357"/>
        <w:textAlignment w:val="baseline"/>
        <w:rPr>
          <w:rFonts w:ascii="Cambria" w:hAnsi="Cambria"/>
          <w:b/>
          <w:szCs w:val="22"/>
        </w:rPr>
      </w:pPr>
      <w:r>
        <w:rPr>
          <w:rFonts w:ascii="Cambria" w:hAnsi="Cambria"/>
          <w:b/>
          <w:bCs/>
          <w:szCs w:val="22"/>
        </w:rPr>
        <w:t>Testing</w:t>
      </w:r>
      <w:r>
        <w:rPr>
          <w:rFonts w:ascii="Cambria" w:hAnsi="Cambria"/>
          <w:bCs/>
          <w:szCs w:val="22"/>
        </w:rPr>
        <w:t xml:space="preserve">—mandatory </w:t>
      </w:r>
      <w:r>
        <w:rPr>
          <w:rFonts w:ascii="Cambria" w:hAnsi="Cambria"/>
        </w:rPr>
        <w:t>PCR testing off-shore or on-shore using 20,000 seeds to verify freedom ‘</w:t>
      </w:r>
      <w:r>
        <w:rPr>
          <w:rFonts w:ascii="Cambria" w:hAnsi="Cambria"/>
          <w:i/>
        </w:rPr>
        <w:t>Ca</w:t>
      </w:r>
      <w:r>
        <w:rPr>
          <w:rFonts w:ascii="Cambria" w:hAnsi="Cambria"/>
        </w:rPr>
        <w:t>. L. solanacearum’;</w:t>
      </w:r>
      <w:r>
        <w:rPr>
          <w:rFonts w:ascii="Cambria" w:hAnsi="Cambria"/>
          <w:b/>
          <w:szCs w:val="22"/>
        </w:rPr>
        <w:t xml:space="preserve"> OR</w:t>
      </w:r>
    </w:p>
    <w:p w:rsidR="00AE7868" w:rsidRDefault="004100F3">
      <w:pPr>
        <w:pStyle w:val="AQISNum"/>
        <w:widowControl w:val="0"/>
        <w:numPr>
          <w:ilvl w:val="0"/>
          <w:numId w:val="34"/>
        </w:numPr>
        <w:adjustRightInd w:val="0"/>
        <w:spacing w:before="120" w:after="0" w:line="276" w:lineRule="auto"/>
        <w:ind w:left="357" w:hanging="357"/>
        <w:textAlignment w:val="baseline"/>
        <w:rPr>
          <w:rFonts w:ascii="Cambria" w:hAnsi="Cambria"/>
          <w:szCs w:val="22"/>
        </w:rPr>
      </w:pPr>
      <w:r>
        <w:rPr>
          <w:rFonts w:ascii="Cambria" w:hAnsi="Cambria"/>
          <w:b/>
        </w:rPr>
        <w:t>Heat t</w:t>
      </w:r>
      <w:r w:rsidR="00FF2B57">
        <w:rPr>
          <w:rFonts w:ascii="Cambria" w:hAnsi="Cambria"/>
          <w:b/>
        </w:rPr>
        <w:t>reatment</w:t>
      </w:r>
      <w:r w:rsidR="00FF2B57">
        <w:rPr>
          <w:rFonts w:ascii="Cambria" w:hAnsi="Cambria"/>
          <w:bCs/>
          <w:szCs w:val="22"/>
        </w:rPr>
        <w:t xml:space="preserve">—mandatory off-shore or on-shore </w:t>
      </w:r>
      <w:r w:rsidR="00FF2B57">
        <w:rPr>
          <w:rFonts w:ascii="Cambria" w:hAnsi="Cambria"/>
        </w:rPr>
        <w:t>heat treatment (50</w:t>
      </w:r>
      <w:r w:rsidR="00FF2B57">
        <w:rPr>
          <w:rFonts w:ascii="Cambria" w:hAnsi="Cambria"/>
          <w:vertAlign w:val="superscript"/>
        </w:rPr>
        <w:t xml:space="preserve"> </w:t>
      </w:r>
      <w:r w:rsidR="00FF2B57">
        <w:t>°</w:t>
      </w:r>
      <w:r w:rsidR="00FF2B57">
        <w:rPr>
          <w:rFonts w:ascii="Cambria" w:hAnsi="Cambria"/>
        </w:rPr>
        <w:t xml:space="preserve">C for 20 minutes); </w:t>
      </w:r>
      <w:r w:rsidR="00FF2B57">
        <w:rPr>
          <w:rFonts w:ascii="Cambria" w:hAnsi="Cambria"/>
          <w:b/>
        </w:rPr>
        <w:t>AND</w:t>
      </w:r>
    </w:p>
    <w:p w:rsidR="00AE7868" w:rsidRDefault="00FF2B57">
      <w:pPr>
        <w:pStyle w:val="AQISNum"/>
        <w:widowControl w:val="0"/>
        <w:numPr>
          <w:ilvl w:val="0"/>
          <w:numId w:val="34"/>
        </w:numPr>
        <w:adjustRightInd w:val="0"/>
        <w:spacing w:before="120" w:after="0" w:line="276" w:lineRule="auto"/>
        <w:ind w:left="357" w:hanging="357"/>
        <w:textAlignment w:val="baseline"/>
        <w:rPr>
          <w:rFonts w:ascii="Cambria" w:hAnsi="Cambria"/>
          <w:bCs/>
          <w:szCs w:val="22"/>
        </w:rPr>
      </w:pPr>
      <w:r>
        <w:rPr>
          <w:rFonts w:ascii="Cambria" w:hAnsi="Cambria"/>
          <w:b/>
        </w:rPr>
        <w:t>Certification</w:t>
      </w:r>
      <w:r>
        <w:rPr>
          <w:rFonts w:ascii="Cambria" w:hAnsi="Cambria"/>
          <w:bCs/>
          <w:szCs w:val="22"/>
        </w:rPr>
        <w:t xml:space="preserve">—seed lots tested off-shore or treated off-shore must be </w:t>
      </w:r>
      <w:r>
        <w:rPr>
          <w:rFonts w:ascii="Cambria" w:hAnsi="Cambria" w:cstheme="minorHAnsi"/>
          <w:szCs w:val="22"/>
        </w:rPr>
        <w:t>accompanied by an official government Phytosanitary Certificate endorsed with the following additional declaration:</w:t>
      </w:r>
    </w:p>
    <w:p w:rsidR="00AE7868" w:rsidRDefault="00FF2B57">
      <w:pPr>
        <w:spacing w:before="120" w:after="120"/>
        <w:ind w:left="720"/>
        <w:rPr>
          <w:rFonts w:ascii="Cambria" w:hAnsi="Cambria"/>
        </w:rPr>
      </w:pPr>
      <w:r>
        <w:rPr>
          <w:rFonts w:ascii="Cambria" w:hAnsi="Cambria"/>
        </w:rPr>
        <w:t>‘The carrot seed in the consignment was tested for ‘</w:t>
      </w:r>
      <w:r>
        <w:rPr>
          <w:rFonts w:ascii="Cambria" w:hAnsi="Cambria"/>
          <w:i/>
        </w:rPr>
        <w:t>Candidatus</w:t>
      </w:r>
      <w:r>
        <w:rPr>
          <w:rFonts w:ascii="Cambria" w:hAnsi="Cambria"/>
        </w:rPr>
        <w:t xml:space="preserve"> Liberibacter solanacearum’ and found to be free of the bacterium using Polymerase Chain Reaction (PCR) test method on a sample of 20,000 seeds’; </w:t>
      </w:r>
      <w:r>
        <w:rPr>
          <w:rFonts w:ascii="Cambria" w:hAnsi="Cambria"/>
          <w:b/>
        </w:rPr>
        <w:t>OR</w:t>
      </w:r>
    </w:p>
    <w:p w:rsidR="00AE7868" w:rsidRDefault="00FF2B57">
      <w:pPr>
        <w:spacing w:before="120" w:after="120"/>
        <w:ind w:left="720"/>
        <w:rPr>
          <w:rFonts w:ascii="Cambria" w:hAnsi="Cambria"/>
        </w:rPr>
      </w:pPr>
      <w:r>
        <w:rPr>
          <w:rFonts w:ascii="Cambria" w:hAnsi="Cambria"/>
        </w:rPr>
        <w:t>‘The carrot seed in the consignment was treated at a minimum temperature of 50 °C for at least 20 minutes’.</w:t>
      </w:r>
    </w:p>
    <w:p w:rsidR="00AE7868" w:rsidRDefault="00FF2B57">
      <w:pPr>
        <w:pStyle w:val="AQISNum"/>
        <w:widowControl w:val="0"/>
        <w:numPr>
          <w:ilvl w:val="0"/>
          <w:numId w:val="34"/>
        </w:numPr>
        <w:adjustRightInd w:val="0"/>
        <w:spacing w:before="120" w:after="0" w:line="276" w:lineRule="auto"/>
        <w:ind w:left="357" w:hanging="357"/>
        <w:textAlignment w:val="baseline"/>
        <w:rPr>
          <w:rFonts w:ascii="Cambria" w:hAnsi="Cambria"/>
        </w:rPr>
      </w:pPr>
      <w:r>
        <w:rPr>
          <w:rFonts w:ascii="Cambria" w:hAnsi="Cambria"/>
          <w:b/>
          <w:bCs/>
          <w:szCs w:val="22"/>
        </w:rPr>
        <w:t xml:space="preserve">On-arrival </w:t>
      </w:r>
      <w:r>
        <w:rPr>
          <w:rFonts w:ascii="Cambria" w:hAnsi="Cambria"/>
          <w:b/>
        </w:rPr>
        <w:t>inspection</w:t>
      </w:r>
      <w:r>
        <w:rPr>
          <w:rFonts w:ascii="Cambria" w:hAnsi="Cambria"/>
          <w:bCs/>
          <w:szCs w:val="22"/>
        </w:rPr>
        <w:t xml:space="preserve">—commercial </w:t>
      </w:r>
      <w:r w:rsidR="004100F3">
        <w:rPr>
          <w:rFonts w:ascii="Cambria" w:hAnsi="Cambria"/>
          <w:bCs/>
          <w:szCs w:val="22"/>
        </w:rPr>
        <w:t>s</w:t>
      </w:r>
      <w:r>
        <w:rPr>
          <w:rFonts w:ascii="Cambria" w:hAnsi="Cambria"/>
          <w:bCs/>
          <w:szCs w:val="22"/>
        </w:rPr>
        <w:t xml:space="preserve">eed lots must be subject to on-arrival inspection to </w:t>
      </w:r>
      <w:r>
        <w:rPr>
          <w:rFonts w:ascii="Cambria" w:hAnsi="Cambria"/>
        </w:rPr>
        <w:t>verify freedom from live insects, soil, disease symptoms, prohibited seeds, other plant material (e.g. leaf, stem material, fruit pulp, pod material etc.), animal material (e.g. animal faeces, feathers etc.) and any other extraneous contamination of quarantine concern.</w:t>
      </w:r>
    </w:p>
    <w:p w:rsidR="00AE7868" w:rsidRDefault="00FF2B57">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431" w:name="_Toc437356043"/>
      <w:r>
        <w:rPr>
          <w:rFonts w:ascii="Calibri" w:hAnsi="Calibri" w:cstheme="minorBidi"/>
          <w:sz w:val="24"/>
          <w:szCs w:val="22"/>
        </w:rPr>
        <w:lastRenderedPageBreak/>
        <w:t>Seeds for sowing from all sources—carrot (small lots)</w:t>
      </w:r>
      <w:bookmarkEnd w:id="431"/>
    </w:p>
    <w:p w:rsidR="00AE7868" w:rsidRDefault="00FF2B57">
      <w:pPr>
        <w:pStyle w:val="AQISNum"/>
        <w:widowControl w:val="0"/>
        <w:adjustRightInd w:val="0"/>
        <w:spacing w:before="120" w:after="120" w:line="276" w:lineRule="auto"/>
        <w:textAlignment w:val="baseline"/>
        <w:rPr>
          <w:rFonts w:ascii="Cambria" w:hAnsi="Cambria"/>
          <w:bCs/>
          <w:szCs w:val="22"/>
        </w:rPr>
      </w:pPr>
      <w:r>
        <w:rPr>
          <w:rFonts w:ascii="Cambria" w:hAnsi="Cambria"/>
          <w:bCs/>
          <w:szCs w:val="22"/>
        </w:rPr>
        <w:t>Seed lots of 250 gram</w:t>
      </w:r>
      <w:r w:rsidR="004100F3">
        <w:rPr>
          <w:rFonts w:ascii="Cambria" w:hAnsi="Cambria"/>
          <w:bCs/>
          <w:szCs w:val="22"/>
        </w:rPr>
        <w:t>s</w:t>
      </w:r>
      <w:r>
        <w:rPr>
          <w:rFonts w:ascii="Cambria" w:hAnsi="Cambria"/>
          <w:bCs/>
          <w:szCs w:val="22"/>
        </w:rPr>
        <w:t xml:space="preserve"> or less </w:t>
      </w:r>
      <w:r w:rsidR="00BB4B16">
        <w:rPr>
          <w:rFonts w:ascii="Cambria" w:hAnsi="Cambria"/>
          <w:bCs/>
          <w:szCs w:val="22"/>
        </w:rPr>
        <w:t>are</w:t>
      </w:r>
      <w:r>
        <w:rPr>
          <w:rFonts w:ascii="Cambria" w:hAnsi="Cambria"/>
          <w:bCs/>
          <w:szCs w:val="22"/>
        </w:rPr>
        <w:t xml:space="preserve"> considere</w:t>
      </w:r>
      <w:r w:rsidR="004100F3">
        <w:rPr>
          <w:rFonts w:ascii="Cambria" w:hAnsi="Cambria"/>
          <w:bCs/>
          <w:szCs w:val="22"/>
        </w:rPr>
        <w:t>d</w:t>
      </w:r>
      <w:r>
        <w:rPr>
          <w:rFonts w:ascii="Cambria" w:hAnsi="Cambria"/>
          <w:bCs/>
          <w:szCs w:val="22"/>
        </w:rPr>
        <w:t xml:space="preserve"> a small seed lot</w:t>
      </w:r>
      <w:r w:rsidR="00BB4B16">
        <w:rPr>
          <w:rFonts w:ascii="Cambria" w:hAnsi="Cambria"/>
          <w:bCs/>
          <w:szCs w:val="22"/>
        </w:rPr>
        <w:t>.</w:t>
      </w:r>
    </w:p>
    <w:p w:rsidR="00AE7868" w:rsidRDefault="00FF2B57">
      <w:pPr>
        <w:pStyle w:val="AQISNum"/>
        <w:widowControl w:val="0"/>
        <w:numPr>
          <w:ilvl w:val="0"/>
          <w:numId w:val="34"/>
        </w:numPr>
        <w:adjustRightInd w:val="0"/>
        <w:spacing w:before="120" w:after="120" w:line="276" w:lineRule="auto"/>
        <w:ind w:left="357" w:hanging="357"/>
        <w:textAlignment w:val="baseline"/>
        <w:rPr>
          <w:rFonts w:ascii="Cambria" w:hAnsi="Cambria"/>
          <w:b/>
          <w:szCs w:val="22"/>
        </w:rPr>
      </w:pPr>
      <w:r>
        <w:rPr>
          <w:rFonts w:ascii="Cambria" w:hAnsi="Cambria"/>
          <w:b/>
          <w:bCs/>
          <w:szCs w:val="22"/>
        </w:rPr>
        <w:t>Testing</w:t>
      </w:r>
      <w:r>
        <w:rPr>
          <w:rFonts w:ascii="Cambria" w:hAnsi="Cambria"/>
          <w:bCs/>
          <w:szCs w:val="22"/>
        </w:rPr>
        <w:t xml:space="preserve">—mandatory </w:t>
      </w:r>
      <w:r>
        <w:rPr>
          <w:rFonts w:ascii="Cambria" w:hAnsi="Cambria"/>
        </w:rPr>
        <w:t>PCR testing off-shore or on-shore using 20 per</w:t>
      </w:r>
      <w:r w:rsidR="00BB4B16">
        <w:rPr>
          <w:rFonts w:ascii="Cambria" w:hAnsi="Cambria"/>
        </w:rPr>
        <w:t xml:space="preserve">cent of the seed lot weight or </w:t>
      </w:r>
      <w:r>
        <w:rPr>
          <w:rFonts w:ascii="Cambria" w:hAnsi="Cambria"/>
        </w:rPr>
        <w:t>20,000 seeds to verify freedom ‘</w:t>
      </w:r>
      <w:r>
        <w:rPr>
          <w:rFonts w:ascii="Cambria" w:hAnsi="Cambria"/>
          <w:i/>
        </w:rPr>
        <w:t>Ca</w:t>
      </w:r>
      <w:r>
        <w:rPr>
          <w:rFonts w:ascii="Cambria" w:hAnsi="Cambria"/>
        </w:rPr>
        <w:t>. L. solanacearum’;</w:t>
      </w:r>
      <w:r>
        <w:rPr>
          <w:rFonts w:ascii="Cambria" w:hAnsi="Cambria"/>
          <w:b/>
          <w:szCs w:val="22"/>
        </w:rPr>
        <w:t xml:space="preserve"> OR</w:t>
      </w:r>
    </w:p>
    <w:p w:rsidR="00AE7868" w:rsidRDefault="00BB4B16">
      <w:pPr>
        <w:pStyle w:val="AQISNum"/>
        <w:widowControl w:val="0"/>
        <w:numPr>
          <w:ilvl w:val="0"/>
          <w:numId w:val="34"/>
        </w:numPr>
        <w:adjustRightInd w:val="0"/>
        <w:spacing w:before="120" w:after="0" w:line="276" w:lineRule="auto"/>
        <w:ind w:left="357" w:hanging="357"/>
        <w:textAlignment w:val="baseline"/>
        <w:rPr>
          <w:rFonts w:ascii="Cambria" w:hAnsi="Cambria"/>
          <w:szCs w:val="22"/>
        </w:rPr>
      </w:pPr>
      <w:r>
        <w:rPr>
          <w:rFonts w:ascii="Cambria" w:hAnsi="Cambria"/>
          <w:b/>
        </w:rPr>
        <w:t>Heat t</w:t>
      </w:r>
      <w:r w:rsidR="00FF2B57">
        <w:rPr>
          <w:rFonts w:ascii="Cambria" w:hAnsi="Cambria"/>
          <w:b/>
        </w:rPr>
        <w:t>reatment</w:t>
      </w:r>
      <w:r w:rsidR="00FF2B57">
        <w:rPr>
          <w:rFonts w:ascii="Cambria" w:hAnsi="Cambria"/>
          <w:bCs/>
          <w:szCs w:val="22"/>
        </w:rPr>
        <w:t xml:space="preserve">—mandatory off-shore or on-shore </w:t>
      </w:r>
      <w:r w:rsidR="00FF2B57">
        <w:rPr>
          <w:rFonts w:ascii="Cambria" w:hAnsi="Cambria"/>
        </w:rPr>
        <w:t>heat treatment (50</w:t>
      </w:r>
      <w:r w:rsidR="00FF2B57">
        <w:rPr>
          <w:rFonts w:ascii="Cambria" w:hAnsi="Cambria"/>
          <w:vertAlign w:val="superscript"/>
        </w:rPr>
        <w:t xml:space="preserve"> </w:t>
      </w:r>
      <w:r w:rsidR="00FF2B57">
        <w:t>°</w:t>
      </w:r>
      <w:r w:rsidR="00FF2B57">
        <w:rPr>
          <w:rFonts w:ascii="Cambria" w:hAnsi="Cambria"/>
        </w:rPr>
        <w:t xml:space="preserve">C for 20 minutes); </w:t>
      </w:r>
      <w:r w:rsidR="00FF2B57">
        <w:rPr>
          <w:rFonts w:ascii="Cambria" w:hAnsi="Cambria"/>
          <w:b/>
        </w:rPr>
        <w:t>AND</w:t>
      </w:r>
    </w:p>
    <w:p w:rsidR="00AE7868" w:rsidRDefault="00FF2B57">
      <w:pPr>
        <w:pStyle w:val="AQISNum"/>
        <w:widowControl w:val="0"/>
        <w:numPr>
          <w:ilvl w:val="0"/>
          <w:numId w:val="34"/>
        </w:numPr>
        <w:adjustRightInd w:val="0"/>
        <w:spacing w:before="120" w:after="0" w:line="276" w:lineRule="auto"/>
        <w:ind w:left="357" w:hanging="357"/>
        <w:textAlignment w:val="baseline"/>
        <w:rPr>
          <w:rFonts w:ascii="Cambria" w:hAnsi="Cambria"/>
          <w:bCs/>
          <w:szCs w:val="22"/>
        </w:rPr>
      </w:pPr>
      <w:r>
        <w:rPr>
          <w:rFonts w:ascii="Cambria" w:hAnsi="Cambria"/>
          <w:b/>
        </w:rPr>
        <w:t>Certification</w:t>
      </w:r>
      <w:r>
        <w:rPr>
          <w:rFonts w:ascii="Cambria" w:hAnsi="Cambria"/>
          <w:bCs/>
          <w:szCs w:val="22"/>
        </w:rPr>
        <w:t xml:space="preserve">—seed lots tested off-shore or treated off-shore must be </w:t>
      </w:r>
      <w:r>
        <w:rPr>
          <w:rFonts w:ascii="Cambria" w:hAnsi="Cambria" w:cstheme="minorHAnsi"/>
          <w:szCs w:val="22"/>
        </w:rPr>
        <w:t>accompanied by an official government Phytosanitary Certificate endorsed with the following additional declaration:</w:t>
      </w:r>
    </w:p>
    <w:p w:rsidR="00AE7868" w:rsidRDefault="00FF2B57">
      <w:pPr>
        <w:spacing w:before="120" w:after="120"/>
        <w:ind w:left="720"/>
        <w:rPr>
          <w:rFonts w:ascii="Cambria" w:hAnsi="Cambria"/>
          <w:b/>
        </w:rPr>
      </w:pPr>
      <w:r>
        <w:rPr>
          <w:rFonts w:ascii="Cambria" w:hAnsi="Cambria"/>
        </w:rPr>
        <w:t>‘The carrot seed in the consignment was tested for ‘</w:t>
      </w:r>
      <w:r>
        <w:rPr>
          <w:rFonts w:ascii="Cambria" w:hAnsi="Cambria"/>
          <w:i/>
        </w:rPr>
        <w:t>Candidatus</w:t>
      </w:r>
      <w:r>
        <w:rPr>
          <w:rFonts w:ascii="Cambria" w:hAnsi="Cambria"/>
        </w:rPr>
        <w:t xml:space="preserve"> Liberibacter solanacearum’ and found to be free of the bacterium using Polymerase Chain Reaction (PCR) test method on a sample </w:t>
      </w:r>
      <w:r>
        <w:rPr>
          <w:rFonts w:ascii="Cambria" w:hAnsi="Cambria"/>
          <w:bCs/>
        </w:rPr>
        <w:t>siz</w:t>
      </w:r>
      <w:r w:rsidR="00BB4B16">
        <w:rPr>
          <w:rFonts w:ascii="Cambria" w:hAnsi="Cambria"/>
          <w:bCs/>
        </w:rPr>
        <w:t>e of 20 percent of the seed lot</w:t>
      </w:r>
      <w:r>
        <w:rPr>
          <w:rFonts w:ascii="Cambria" w:hAnsi="Cambria"/>
        </w:rPr>
        <w:t xml:space="preserve">’; </w:t>
      </w:r>
      <w:r>
        <w:rPr>
          <w:rFonts w:ascii="Cambria" w:hAnsi="Cambria"/>
          <w:b/>
        </w:rPr>
        <w:t>OR</w:t>
      </w:r>
    </w:p>
    <w:p w:rsidR="00AE7868" w:rsidRDefault="00FF2B57" w:rsidP="003A4BDF">
      <w:pPr>
        <w:pStyle w:val="AQISNum"/>
        <w:widowControl w:val="0"/>
        <w:adjustRightInd w:val="0"/>
        <w:spacing w:before="120" w:after="120" w:line="276" w:lineRule="auto"/>
        <w:ind w:left="717"/>
        <w:textAlignment w:val="baseline"/>
        <w:rPr>
          <w:rFonts w:ascii="Cambria" w:hAnsi="Cambria"/>
          <w:bCs/>
          <w:szCs w:val="22"/>
        </w:rPr>
      </w:pPr>
      <w:r>
        <w:rPr>
          <w:rFonts w:ascii="Cambria" w:hAnsi="Cambria" w:cstheme="minorHAnsi"/>
          <w:szCs w:val="22"/>
        </w:rPr>
        <w:t>‘</w:t>
      </w:r>
      <w:r>
        <w:rPr>
          <w:rFonts w:ascii="Cambria" w:hAnsi="Cambria"/>
        </w:rPr>
        <w:t>The carrot seed in the consignment was tested for ‘</w:t>
      </w:r>
      <w:r>
        <w:rPr>
          <w:rFonts w:ascii="Cambria" w:hAnsi="Cambria"/>
          <w:i/>
        </w:rPr>
        <w:t>Candidatus</w:t>
      </w:r>
      <w:r>
        <w:rPr>
          <w:rFonts w:ascii="Cambria" w:hAnsi="Cambria"/>
        </w:rPr>
        <w:t xml:space="preserve"> Liberibacter solanacearum’ and found to be free of the bacterium using Polymerase Chain Reaction (PCR) test method on a sample </w:t>
      </w:r>
      <w:r>
        <w:rPr>
          <w:rFonts w:ascii="Cambria" w:hAnsi="Cambria"/>
          <w:bCs/>
          <w:szCs w:val="22"/>
        </w:rPr>
        <w:t>size of 20,000 seed</w:t>
      </w:r>
      <w:r w:rsidR="00BB4B16">
        <w:rPr>
          <w:rFonts w:ascii="Cambria" w:hAnsi="Cambria"/>
          <w:bCs/>
          <w:szCs w:val="22"/>
        </w:rPr>
        <w:t>s</w:t>
      </w:r>
      <w:r>
        <w:rPr>
          <w:rFonts w:ascii="Cambria" w:hAnsi="Cambria"/>
        </w:rPr>
        <w:t xml:space="preserve">’ </w:t>
      </w:r>
      <w:r>
        <w:rPr>
          <w:rFonts w:ascii="Cambria" w:hAnsi="Cambria"/>
          <w:b/>
        </w:rPr>
        <w:t>OR</w:t>
      </w:r>
    </w:p>
    <w:p w:rsidR="00AE7868" w:rsidRDefault="00FF2B57">
      <w:pPr>
        <w:spacing w:before="120" w:after="120"/>
        <w:ind w:left="720"/>
        <w:rPr>
          <w:rFonts w:ascii="Cambria" w:hAnsi="Cambria"/>
        </w:rPr>
      </w:pPr>
      <w:r>
        <w:rPr>
          <w:rFonts w:ascii="Cambria" w:hAnsi="Cambria"/>
        </w:rPr>
        <w:t>‘The carrot seed in the consignment was treated at a minimum temperature of 50 °C for at least 20 minutes’.</w:t>
      </w:r>
    </w:p>
    <w:p w:rsidR="00AE7868" w:rsidRDefault="00FF2B57">
      <w:pPr>
        <w:pStyle w:val="AQISNum"/>
        <w:widowControl w:val="0"/>
        <w:numPr>
          <w:ilvl w:val="0"/>
          <w:numId w:val="34"/>
        </w:numPr>
        <w:adjustRightInd w:val="0"/>
        <w:spacing w:before="120" w:after="120" w:line="276" w:lineRule="auto"/>
        <w:ind w:left="357" w:hanging="357"/>
        <w:textAlignment w:val="baseline"/>
        <w:rPr>
          <w:rFonts w:ascii="Cambria" w:hAnsi="Cambria"/>
        </w:rPr>
      </w:pPr>
      <w:r>
        <w:rPr>
          <w:rFonts w:ascii="Cambria" w:hAnsi="Cambria"/>
          <w:b/>
          <w:bCs/>
          <w:szCs w:val="22"/>
        </w:rPr>
        <w:lastRenderedPageBreak/>
        <w:t>On-arrival inspection</w:t>
      </w:r>
      <w:r>
        <w:rPr>
          <w:rFonts w:ascii="Cambria" w:hAnsi="Cambria"/>
          <w:bCs/>
          <w:szCs w:val="22"/>
        </w:rPr>
        <w:t xml:space="preserve">—small seed lots must be subject to on-arrival inspection to </w:t>
      </w:r>
      <w:r>
        <w:rPr>
          <w:rFonts w:ascii="Cambria" w:hAnsi="Cambria"/>
        </w:rPr>
        <w:t>verify freedom from live insects, soil, disease symptoms, prohibited seeds, other plant material (e.g. leaf, stem material, fruit pulp, pod material etc.), animal material (e.g. animal faeces, feathers etc.) and any other extraneous contamination of quarantine concern.</w:t>
      </w:r>
    </w:p>
    <w:p w:rsidR="00AE7868" w:rsidRDefault="00FF2B57">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432" w:name="_Toc428282662"/>
      <w:bookmarkStart w:id="433" w:name="_Toc428283711"/>
      <w:bookmarkStart w:id="434" w:name="_Toc437356044"/>
      <w:bookmarkEnd w:id="432"/>
      <w:bookmarkEnd w:id="433"/>
      <w:r>
        <w:rPr>
          <w:rFonts w:ascii="Calibri" w:hAnsi="Calibri" w:cstheme="minorBidi"/>
          <w:sz w:val="24"/>
          <w:szCs w:val="22"/>
        </w:rPr>
        <w:t>Tissue cultures—carrot, celery and parsnip</w:t>
      </w:r>
      <w:bookmarkEnd w:id="434"/>
    </w:p>
    <w:p w:rsidR="00AE7868" w:rsidRDefault="00FF2B57">
      <w:pPr>
        <w:spacing w:before="200"/>
        <w:rPr>
          <w:rFonts w:ascii="Cambria" w:hAnsi="Cambria"/>
        </w:rPr>
      </w:pPr>
      <w:r>
        <w:rPr>
          <w:rFonts w:ascii="Cambria" w:hAnsi="Cambria"/>
        </w:rPr>
        <w:t>In addition to proposing the continuance of the current import conditions for tissue cultures of known health, the department proposes an alternative set of conditions for tissue cultures of unknown health. All imported tissue cultures should be well rooted prior to arrival as this helps in their establishment out of agar into the growth media.</w:t>
      </w:r>
    </w:p>
    <w:p w:rsidR="00AE7868" w:rsidRDefault="00FF2B57">
      <w:pPr>
        <w:spacing w:before="200"/>
        <w:rPr>
          <w:rFonts w:ascii="Cambria" w:hAnsi="Cambria"/>
          <w:b/>
        </w:rPr>
      </w:pPr>
      <w:r>
        <w:rPr>
          <w:rFonts w:ascii="Cambria" w:hAnsi="Cambria"/>
          <w:b/>
        </w:rPr>
        <w:t>Tissue cultures (known health)—carrot, celery and parsnip</w:t>
      </w:r>
    </w:p>
    <w:p w:rsidR="00AE7868" w:rsidRDefault="00FF2B57">
      <w:pPr>
        <w:pStyle w:val="AQISNum"/>
        <w:widowControl w:val="0"/>
        <w:numPr>
          <w:ilvl w:val="0"/>
          <w:numId w:val="34"/>
        </w:numPr>
        <w:adjustRightInd w:val="0"/>
        <w:spacing w:before="120" w:after="120" w:line="276" w:lineRule="auto"/>
        <w:ind w:left="357" w:hanging="357"/>
        <w:textAlignment w:val="baseline"/>
        <w:rPr>
          <w:rFonts w:ascii="Cambria" w:hAnsi="Cambria"/>
          <w:b/>
        </w:rPr>
      </w:pPr>
      <w:r>
        <w:rPr>
          <w:rFonts w:ascii="Cambria" w:hAnsi="Cambria"/>
          <w:b/>
        </w:rPr>
        <w:t>Mandatory testing (off-shore)</w:t>
      </w:r>
      <w:r>
        <w:rPr>
          <w:rFonts w:ascii="Cambria" w:hAnsi="Cambria"/>
        </w:rPr>
        <w:t>—imported tissue cultures must be subject to off-shore PCR testing for freedom from ‘</w:t>
      </w:r>
      <w:r>
        <w:rPr>
          <w:rFonts w:ascii="Cambria" w:hAnsi="Cambria"/>
          <w:i/>
        </w:rPr>
        <w:t xml:space="preserve">Ca. </w:t>
      </w:r>
      <w:r>
        <w:rPr>
          <w:rFonts w:ascii="Cambria" w:hAnsi="Cambria"/>
        </w:rPr>
        <w:t xml:space="preserve">L. solanacearum’ </w:t>
      </w:r>
      <w:r>
        <w:rPr>
          <w:rFonts w:ascii="Cambria" w:hAnsi="Cambria"/>
          <w:b/>
        </w:rPr>
        <w:t>AND</w:t>
      </w:r>
      <w:r>
        <w:rPr>
          <w:rFonts w:ascii="Cambria" w:hAnsi="Cambria"/>
        </w:rPr>
        <w:t xml:space="preserve"> a Phytosanitary Certificate with the additional declaration that the testing has been conducted in accordance with Australia’s requirements.</w:t>
      </w:r>
    </w:p>
    <w:p w:rsidR="00AE7868" w:rsidRDefault="00FF2B57">
      <w:pPr>
        <w:pStyle w:val="AQISNum"/>
        <w:widowControl w:val="0"/>
        <w:numPr>
          <w:ilvl w:val="0"/>
          <w:numId w:val="34"/>
        </w:numPr>
        <w:adjustRightInd w:val="0"/>
        <w:spacing w:before="120" w:after="120" w:line="276" w:lineRule="auto"/>
        <w:ind w:left="357" w:hanging="357"/>
        <w:textAlignment w:val="baseline"/>
        <w:rPr>
          <w:rFonts w:ascii="Cambria" w:hAnsi="Cambria"/>
        </w:rPr>
      </w:pPr>
      <w:r>
        <w:rPr>
          <w:rFonts w:ascii="Cambria" w:hAnsi="Cambria"/>
          <w:b/>
          <w:bCs/>
          <w:szCs w:val="22"/>
        </w:rPr>
        <w:t>On-arrival inspection</w:t>
      </w:r>
      <w:r>
        <w:rPr>
          <w:rFonts w:ascii="Cambria" w:hAnsi="Cambria"/>
          <w:bCs/>
          <w:szCs w:val="22"/>
        </w:rPr>
        <w:t xml:space="preserve">—imported tissue cultures must be subject to on-arrival inspection to </w:t>
      </w:r>
      <w:r>
        <w:rPr>
          <w:rFonts w:ascii="Cambria" w:hAnsi="Cambria"/>
        </w:rPr>
        <w:t xml:space="preserve">verify freedom from live insects, soil, disease symptoms, prohibited seeds, other plant material (e.g. leaf, stem material, fruit pulp, pod material etc.), animal material (e.g. </w:t>
      </w:r>
      <w:r>
        <w:rPr>
          <w:rFonts w:ascii="Cambria" w:hAnsi="Cambria"/>
        </w:rPr>
        <w:lastRenderedPageBreak/>
        <w:t>animal faeces, feathers etc.) and any other extraneous contamination of quarantine concern.</w:t>
      </w:r>
    </w:p>
    <w:p w:rsidR="00AE7868" w:rsidRDefault="00FF2B57">
      <w:pPr>
        <w:spacing w:before="200"/>
        <w:rPr>
          <w:rFonts w:ascii="Cambria" w:hAnsi="Cambria"/>
          <w:b/>
        </w:rPr>
      </w:pPr>
      <w:r>
        <w:rPr>
          <w:rFonts w:ascii="Cambria" w:hAnsi="Cambria"/>
          <w:b/>
        </w:rPr>
        <w:t>Tissue culture</w:t>
      </w:r>
      <w:r w:rsidR="00BB4B16">
        <w:rPr>
          <w:rFonts w:ascii="Cambria" w:hAnsi="Cambria"/>
          <w:b/>
        </w:rPr>
        <w:t>s</w:t>
      </w:r>
      <w:r>
        <w:rPr>
          <w:rFonts w:ascii="Cambria" w:hAnsi="Cambria"/>
          <w:b/>
        </w:rPr>
        <w:t xml:space="preserve"> (unknown health)—carrot, celery and parsnip</w:t>
      </w:r>
    </w:p>
    <w:p w:rsidR="00AE7868" w:rsidRDefault="00FF2B57">
      <w:pPr>
        <w:pStyle w:val="AQISNum"/>
        <w:widowControl w:val="0"/>
        <w:numPr>
          <w:ilvl w:val="0"/>
          <w:numId w:val="34"/>
        </w:numPr>
        <w:adjustRightInd w:val="0"/>
        <w:spacing w:before="120" w:after="120" w:line="276" w:lineRule="auto"/>
        <w:ind w:left="357" w:hanging="357"/>
        <w:textAlignment w:val="baseline"/>
        <w:rPr>
          <w:rFonts w:ascii="Cambria" w:hAnsi="Cambria"/>
        </w:rPr>
      </w:pPr>
      <w:r>
        <w:rPr>
          <w:rFonts w:ascii="Cambria" w:hAnsi="Cambria"/>
          <w:b/>
          <w:bCs/>
          <w:szCs w:val="22"/>
        </w:rPr>
        <w:t>On-arrival inspection</w:t>
      </w:r>
      <w:r>
        <w:rPr>
          <w:rFonts w:ascii="Cambria" w:hAnsi="Cambria"/>
          <w:bCs/>
          <w:szCs w:val="22"/>
        </w:rPr>
        <w:t xml:space="preserve">—imported tissue cultures must be subject to on-arrival inspection to </w:t>
      </w:r>
      <w:r>
        <w:rPr>
          <w:rFonts w:ascii="Cambria" w:hAnsi="Cambria"/>
        </w:rPr>
        <w:t>verify freedom from live insects, soil, disease symptoms, prohibited seeds, other plant material (e.g. leaf, stem material, fruit pulp, pod material etc.), animal material (e.g. animal faeces, feathers etc.) and any other extraneous contamination of quarantine concern.</w:t>
      </w:r>
    </w:p>
    <w:p w:rsidR="00AE7868" w:rsidRDefault="00FF2B57">
      <w:pPr>
        <w:pStyle w:val="AQISNum"/>
        <w:widowControl w:val="0"/>
        <w:numPr>
          <w:ilvl w:val="0"/>
          <w:numId w:val="34"/>
        </w:numPr>
        <w:adjustRightInd w:val="0"/>
        <w:spacing w:before="120" w:after="120" w:line="276" w:lineRule="auto"/>
        <w:ind w:left="357" w:hanging="357"/>
        <w:textAlignment w:val="baseline"/>
        <w:rPr>
          <w:rFonts w:ascii="Cambria" w:hAnsi="Cambria" w:cs="Arial"/>
        </w:rPr>
      </w:pPr>
      <w:r>
        <w:rPr>
          <w:rFonts w:ascii="Cambria" w:hAnsi="Cambria"/>
          <w:b/>
          <w:bCs/>
        </w:rPr>
        <w:t>Growth in PEQ with disease screening and testing</w:t>
      </w:r>
      <w:r>
        <w:rPr>
          <w:rFonts w:ascii="Cambria" w:hAnsi="Cambria"/>
          <w:bCs/>
          <w:szCs w:val="22"/>
        </w:rPr>
        <w:t xml:space="preserve">—imported tissue cultures must be </w:t>
      </w:r>
      <w:r>
        <w:rPr>
          <w:rFonts w:ascii="Cambria" w:hAnsi="Cambria"/>
        </w:rPr>
        <w:t xml:space="preserve">grown in a closed government PEQ facility for a minimum of three months with disease screening and testing using PCR to verify freedom from </w:t>
      </w:r>
      <w:r>
        <w:rPr>
          <w:rFonts w:ascii="Cambria" w:hAnsi="Cambria"/>
          <w:i/>
        </w:rPr>
        <w:t xml:space="preserve">‘Ca. </w:t>
      </w:r>
      <w:r>
        <w:rPr>
          <w:rFonts w:ascii="Cambria" w:hAnsi="Cambria"/>
        </w:rPr>
        <w:t xml:space="preserve">L. solanacearum’. </w:t>
      </w:r>
      <w:r>
        <w:rPr>
          <w:rFonts w:ascii="Cambria" w:hAnsi="Cambria" w:cs="Arial"/>
        </w:rPr>
        <w:t>PCR testing will assist in the detection of the bacterium in both symptomatic and asymptomatic plants.</w:t>
      </w:r>
    </w:p>
    <w:p w:rsidR="00AE7868" w:rsidRDefault="00FF2B57">
      <w:pPr>
        <w:pStyle w:val="AQISNum"/>
        <w:widowControl w:val="0"/>
        <w:numPr>
          <w:ilvl w:val="0"/>
          <w:numId w:val="46"/>
        </w:numPr>
        <w:adjustRightInd w:val="0"/>
        <w:spacing w:before="120" w:after="120" w:line="276" w:lineRule="auto"/>
        <w:ind w:left="851" w:hanging="425"/>
        <w:textAlignment w:val="baseline"/>
        <w:rPr>
          <w:rFonts w:ascii="Cambria" w:hAnsi="Cambria"/>
          <w:bCs/>
          <w:szCs w:val="22"/>
        </w:rPr>
      </w:pPr>
      <w:r>
        <w:rPr>
          <w:rFonts w:ascii="Cambria" w:hAnsi="Cambria"/>
          <w:bCs/>
          <w:szCs w:val="22"/>
        </w:rPr>
        <w:t>The department proposes that tissue cultures that have not been certified to be free from this bacterium by PCR testing by the government of the exporting country should be subject to growth in a government closed PEQ facility for a minimum period of three months, with disease screening and testing.</w:t>
      </w:r>
    </w:p>
    <w:p w:rsidR="00AE7868" w:rsidRDefault="00FF2B57">
      <w:pPr>
        <w:rPr>
          <w:rFonts w:ascii="Cambria" w:hAnsi="Cambria"/>
        </w:rPr>
      </w:pPr>
      <w:r>
        <w:rPr>
          <w:rFonts w:ascii="Cambria" w:hAnsi="Cambria"/>
          <w:szCs w:val="20"/>
        </w:rPr>
        <w:t>The proposed risk mitigation measures for the importation of carrot, celery and parsnip propagative material are summarised in Table 12.</w:t>
      </w:r>
    </w:p>
    <w:p w:rsidR="00AE7868" w:rsidRDefault="00FF2B57">
      <w:pPr>
        <w:pStyle w:val="Caption"/>
        <w:rPr>
          <w:rFonts w:asciiTheme="majorHAnsi" w:eastAsiaTheme="majorEastAsia" w:hAnsiTheme="majorHAnsi" w:cstheme="majorBidi"/>
          <w:color w:val="595959" w:themeColor="text1" w:themeTint="A6"/>
          <w:sz w:val="20"/>
        </w:rPr>
      </w:pPr>
      <w:bookmarkStart w:id="435" w:name="_Toc433707338"/>
      <w:bookmarkStart w:id="436" w:name="_Toc433796502"/>
      <w:bookmarkStart w:id="437" w:name="_Toc437355965"/>
      <w:bookmarkStart w:id="438" w:name="_Toc437355997"/>
      <w:r>
        <w:rPr>
          <w:rFonts w:asciiTheme="majorHAnsi" w:eastAsiaTheme="majorEastAsia" w:hAnsiTheme="majorHAnsi" w:cstheme="majorBidi"/>
          <w:color w:val="595959" w:themeColor="text1" w:themeTint="A6"/>
          <w:sz w:val="20"/>
        </w:rPr>
        <w:lastRenderedPageBreak/>
        <w:t xml:space="preserve">Table </w:t>
      </w:r>
      <w:r w:rsidR="00652C73">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652C73">
        <w:rPr>
          <w:rFonts w:asciiTheme="majorHAnsi" w:eastAsiaTheme="majorEastAsia" w:hAnsiTheme="majorHAnsi" w:cstheme="majorBidi"/>
          <w:color w:val="595959" w:themeColor="text1" w:themeTint="A6"/>
          <w:sz w:val="20"/>
        </w:rPr>
        <w:fldChar w:fldCharType="separate"/>
      </w:r>
      <w:r w:rsidR="00A519C9">
        <w:rPr>
          <w:rFonts w:asciiTheme="majorHAnsi" w:eastAsiaTheme="majorEastAsia" w:hAnsiTheme="majorHAnsi" w:cstheme="majorBidi"/>
          <w:noProof/>
          <w:color w:val="595959" w:themeColor="text1" w:themeTint="A6"/>
          <w:sz w:val="20"/>
        </w:rPr>
        <w:t>12</w:t>
      </w:r>
      <w:r w:rsidR="00652C73">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Proposed risk mitigation measures for the importation of carrot, celery and parsnip propagative material</w:t>
      </w:r>
      <w:bookmarkEnd w:id="435"/>
      <w:bookmarkEnd w:id="436"/>
      <w:bookmarkEnd w:id="437"/>
      <w:bookmarkEnd w:id="43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2258"/>
        <w:gridCol w:w="2276"/>
        <w:gridCol w:w="2265"/>
      </w:tblGrid>
      <w:tr w:rsidR="00AE7868">
        <w:tc>
          <w:tcPr>
            <w:tcW w:w="2321" w:type="dxa"/>
            <w:tcBorders>
              <w:top w:val="single" w:sz="4" w:space="0" w:color="auto"/>
              <w:bottom w:val="single" w:sz="4" w:space="0" w:color="auto"/>
            </w:tcBorders>
          </w:tcPr>
          <w:p w:rsidR="00AE7868" w:rsidRDefault="00FF2B57">
            <w:pPr>
              <w:spacing w:before="20" w:after="20" w:line="240" w:lineRule="auto"/>
              <w:rPr>
                <w:rFonts w:ascii="Cambria" w:hAnsi="Cambria"/>
                <w:b/>
                <w:sz w:val="20"/>
                <w:szCs w:val="20"/>
              </w:rPr>
            </w:pPr>
            <w:r>
              <w:rPr>
                <w:rFonts w:ascii="Cambria" w:hAnsi="Cambria"/>
                <w:b/>
                <w:sz w:val="20"/>
                <w:szCs w:val="20"/>
              </w:rPr>
              <w:t>Proposed risk mitigation measures</w:t>
            </w:r>
          </w:p>
        </w:tc>
        <w:tc>
          <w:tcPr>
            <w:tcW w:w="2321" w:type="dxa"/>
            <w:tcBorders>
              <w:top w:val="single" w:sz="4" w:space="0" w:color="auto"/>
              <w:bottom w:val="single" w:sz="4" w:space="0" w:color="auto"/>
            </w:tcBorders>
          </w:tcPr>
          <w:p w:rsidR="00AE7868" w:rsidRDefault="00FF2B57">
            <w:pPr>
              <w:spacing w:before="20" w:after="20" w:line="240" w:lineRule="auto"/>
              <w:rPr>
                <w:rFonts w:ascii="Cambria" w:hAnsi="Cambria"/>
                <w:b/>
                <w:sz w:val="20"/>
                <w:szCs w:val="20"/>
              </w:rPr>
            </w:pPr>
            <w:r>
              <w:rPr>
                <w:rFonts w:ascii="Cambria" w:hAnsi="Cambria"/>
                <w:b/>
                <w:sz w:val="20"/>
                <w:szCs w:val="20"/>
              </w:rPr>
              <w:t>Carrot seeds for sowing</w:t>
            </w:r>
          </w:p>
        </w:tc>
        <w:tc>
          <w:tcPr>
            <w:tcW w:w="2322" w:type="dxa"/>
            <w:tcBorders>
              <w:top w:val="single" w:sz="4" w:space="0" w:color="auto"/>
              <w:bottom w:val="single" w:sz="4" w:space="0" w:color="auto"/>
            </w:tcBorders>
          </w:tcPr>
          <w:p w:rsidR="00AE7868" w:rsidRDefault="00FF2B57">
            <w:pPr>
              <w:spacing w:before="20" w:after="20" w:line="240" w:lineRule="auto"/>
              <w:rPr>
                <w:rFonts w:ascii="Cambria" w:hAnsi="Cambria"/>
                <w:b/>
                <w:sz w:val="20"/>
                <w:szCs w:val="20"/>
              </w:rPr>
            </w:pPr>
            <w:r>
              <w:rPr>
                <w:rFonts w:ascii="Cambria" w:hAnsi="Cambria"/>
                <w:b/>
                <w:sz w:val="20"/>
                <w:szCs w:val="20"/>
              </w:rPr>
              <w:t>Carrot, celery and parsnip tissue cultures (known health)</w:t>
            </w:r>
          </w:p>
        </w:tc>
        <w:tc>
          <w:tcPr>
            <w:tcW w:w="2322" w:type="dxa"/>
            <w:tcBorders>
              <w:top w:val="single" w:sz="4" w:space="0" w:color="auto"/>
              <w:bottom w:val="single" w:sz="4" w:space="0" w:color="auto"/>
            </w:tcBorders>
          </w:tcPr>
          <w:p w:rsidR="00AE7868" w:rsidRDefault="00FF2B57">
            <w:pPr>
              <w:spacing w:before="20" w:after="20" w:line="240" w:lineRule="auto"/>
              <w:rPr>
                <w:rFonts w:ascii="Cambria" w:hAnsi="Cambria"/>
                <w:b/>
                <w:sz w:val="20"/>
                <w:szCs w:val="20"/>
              </w:rPr>
            </w:pPr>
            <w:r>
              <w:rPr>
                <w:rFonts w:ascii="Cambria" w:hAnsi="Cambria"/>
                <w:b/>
                <w:sz w:val="20"/>
                <w:szCs w:val="20"/>
              </w:rPr>
              <w:t>Carrot, celery and parsnip tissue cultures (unknown health)</w:t>
            </w:r>
          </w:p>
        </w:tc>
      </w:tr>
      <w:tr w:rsidR="00AE7868">
        <w:tc>
          <w:tcPr>
            <w:tcW w:w="9286" w:type="dxa"/>
            <w:gridSpan w:val="4"/>
            <w:tcBorders>
              <w:top w:val="single" w:sz="4" w:space="0" w:color="auto"/>
            </w:tcBorders>
          </w:tcPr>
          <w:p w:rsidR="00AE7868" w:rsidRDefault="00FF2B57">
            <w:pPr>
              <w:spacing w:before="20" w:after="20" w:line="240" w:lineRule="auto"/>
              <w:rPr>
                <w:rFonts w:ascii="Cambria" w:hAnsi="Cambria"/>
                <w:sz w:val="20"/>
                <w:szCs w:val="20"/>
              </w:rPr>
            </w:pPr>
            <w:r>
              <w:rPr>
                <w:rFonts w:ascii="Cambria" w:hAnsi="Cambria"/>
                <w:b/>
                <w:sz w:val="20"/>
                <w:szCs w:val="20"/>
              </w:rPr>
              <w:t>Pre-border</w:t>
            </w:r>
          </w:p>
        </w:tc>
      </w:tr>
      <w:tr w:rsidR="00AE7868">
        <w:tc>
          <w:tcPr>
            <w:tcW w:w="2321" w:type="dxa"/>
          </w:tcPr>
          <w:p w:rsidR="00AE7868" w:rsidRDefault="00FF2B57">
            <w:pPr>
              <w:spacing w:before="20" w:after="20" w:line="240" w:lineRule="auto"/>
              <w:rPr>
                <w:rFonts w:ascii="Cambria" w:hAnsi="Cambria"/>
                <w:sz w:val="18"/>
                <w:szCs w:val="18"/>
              </w:rPr>
            </w:pPr>
            <w:r>
              <w:rPr>
                <w:rFonts w:ascii="Cambria" w:hAnsi="Cambria"/>
                <w:sz w:val="18"/>
                <w:szCs w:val="18"/>
              </w:rPr>
              <w:t>Off-shore testing</w:t>
            </w:r>
          </w:p>
        </w:tc>
        <w:tc>
          <w:tcPr>
            <w:tcW w:w="2321" w:type="dxa"/>
          </w:tcPr>
          <w:p w:rsidR="00AE7868" w:rsidRDefault="00FF2B57">
            <w:pPr>
              <w:spacing w:before="20" w:after="20" w:line="240" w:lineRule="auto"/>
              <w:rPr>
                <w:rFonts w:ascii="Cambria" w:hAnsi="Cambria"/>
                <w:sz w:val="18"/>
                <w:szCs w:val="18"/>
              </w:rPr>
            </w:pPr>
            <w:r>
              <w:rPr>
                <w:rFonts w:ascii="Cambria" w:hAnsi="Cambria"/>
                <w:b/>
                <w:sz w:val="18"/>
                <w:szCs w:val="18"/>
              </w:rPr>
              <w:t>Yes*</w:t>
            </w:r>
            <w:r>
              <w:rPr>
                <w:rFonts w:ascii="Cambria" w:hAnsi="Cambria"/>
                <w:sz w:val="18"/>
                <w:szCs w:val="18"/>
              </w:rPr>
              <w:t xml:space="preserve"> (off-shore or on-shore PCR test)</w:t>
            </w:r>
          </w:p>
        </w:tc>
        <w:tc>
          <w:tcPr>
            <w:tcW w:w="2322" w:type="dxa"/>
          </w:tcPr>
          <w:p w:rsidR="00AE7868" w:rsidRDefault="00FF2B57">
            <w:pPr>
              <w:spacing w:before="20" w:after="20" w:line="240" w:lineRule="auto"/>
              <w:rPr>
                <w:rFonts w:ascii="Cambria" w:hAnsi="Cambria"/>
                <w:sz w:val="18"/>
                <w:szCs w:val="18"/>
              </w:rPr>
            </w:pPr>
            <w:r>
              <w:rPr>
                <w:rFonts w:ascii="Cambria" w:hAnsi="Cambria"/>
                <w:b/>
                <w:sz w:val="18"/>
                <w:szCs w:val="18"/>
              </w:rPr>
              <w:t>Yes</w:t>
            </w:r>
            <w:r>
              <w:rPr>
                <w:rFonts w:ascii="Cambria" w:hAnsi="Cambria"/>
                <w:sz w:val="18"/>
                <w:szCs w:val="18"/>
              </w:rPr>
              <w:t xml:space="preserve"> (PCR test)</w:t>
            </w:r>
          </w:p>
        </w:tc>
        <w:tc>
          <w:tcPr>
            <w:tcW w:w="2322" w:type="dxa"/>
          </w:tcPr>
          <w:p w:rsidR="00AE7868" w:rsidRDefault="00FF2B57">
            <w:pPr>
              <w:spacing w:before="20" w:after="20" w:line="240" w:lineRule="auto"/>
              <w:rPr>
                <w:rFonts w:ascii="Cambria" w:hAnsi="Cambria"/>
                <w:sz w:val="18"/>
                <w:szCs w:val="18"/>
              </w:rPr>
            </w:pPr>
            <w:r>
              <w:rPr>
                <w:rFonts w:ascii="Cambria" w:hAnsi="Cambria"/>
                <w:sz w:val="18"/>
                <w:szCs w:val="18"/>
              </w:rPr>
              <w:t>No</w:t>
            </w:r>
          </w:p>
        </w:tc>
      </w:tr>
      <w:tr w:rsidR="00AE7868">
        <w:tc>
          <w:tcPr>
            <w:tcW w:w="2321" w:type="dxa"/>
          </w:tcPr>
          <w:p w:rsidR="00AE7868" w:rsidRDefault="00FF2B57">
            <w:pPr>
              <w:spacing w:before="20" w:after="20" w:line="240" w:lineRule="auto"/>
              <w:rPr>
                <w:rFonts w:ascii="Cambria" w:hAnsi="Cambria"/>
                <w:sz w:val="18"/>
                <w:szCs w:val="18"/>
              </w:rPr>
            </w:pPr>
            <w:r>
              <w:rPr>
                <w:rFonts w:ascii="Cambria" w:hAnsi="Cambria"/>
                <w:sz w:val="18"/>
                <w:szCs w:val="18"/>
              </w:rPr>
              <w:t>Off-shore treatment</w:t>
            </w:r>
          </w:p>
        </w:tc>
        <w:tc>
          <w:tcPr>
            <w:tcW w:w="2321" w:type="dxa"/>
          </w:tcPr>
          <w:p w:rsidR="00AE7868" w:rsidRDefault="00FF2B57">
            <w:pPr>
              <w:spacing w:before="20" w:after="20" w:line="240" w:lineRule="auto"/>
              <w:rPr>
                <w:rFonts w:ascii="Cambria" w:hAnsi="Cambria"/>
                <w:sz w:val="18"/>
                <w:szCs w:val="18"/>
              </w:rPr>
            </w:pPr>
            <w:r>
              <w:rPr>
                <w:rFonts w:ascii="Cambria" w:hAnsi="Cambria"/>
                <w:b/>
                <w:sz w:val="18"/>
                <w:szCs w:val="18"/>
              </w:rPr>
              <w:t>Yes*</w:t>
            </w:r>
            <w:r>
              <w:rPr>
                <w:rFonts w:ascii="Cambria" w:hAnsi="Cambria"/>
                <w:sz w:val="18"/>
                <w:szCs w:val="18"/>
              </w:rPr>
              <w:t xml:space="preserve"> (off-shore or on-shore heat treatment)</w:t>
            </w:r>
          </w:p>
        </w:tc>
        <w:tc>
          <w:tcPr>
            <w:tcW w:w="2322" w:type="dxa"/>
          </w:tcPr>
          <w:p w:rsidR="00AE7868" w:rsidRDefault="00FF2B57">
            <w:pPr>
              <w:spacing w:before="20" w:after="20" w:line="240" w:lineRule="auto"/>
              <w:rPr>
                <w:rFonts w:ascii="Cambria" w:hAnsi="Cambria"/>
                <w:sz w:val="18"/>
                <w:szCs w:val="18"/>
              </w:rPr>
            </w:pPr>
            <w:r>
              <w:rPr>
                <w:rFonts w:ascii="Cambria" w:hAnsi="Cambria"/>
                <w:sz w:val="18"/>
                <w:szCs w:val="18"/>
              </w:rPr>
              <w:t>No</w:t>
            </w:r>
          </w:p>
        </w:tc>
        <w:tc>
          <w:tcPr>
            <w:tcW w:w="2322" w:type="dxa"/>
          </w:tcPr>
          <w:p w:rsidR="00AE7868" w:rsidRDefault="00FF2B57">
            <w:pPr>
              <w:spacing w:before="20" w:after="20" w:line="240" w:lineRule="auto"/>
              <w:rPr>
                <w:rFonts w:ascii="Cambria" w:hAnsi="Cambria"/>
                <w:sz w:val="18"/>
                <w:szCs w:val="18"/>
              </w:rPr>
            </w:pPr>
            <w:r>
              <w:rPr>
                <w:rFonts w:ascii="Cambria" w:hAnsi="Cambria"/>
                <w:sz w:val="18"/>
                <w:szCs w:val="18"/>
              </w:rPr>
              <w:t>No</w:t>
            </w:r>
          </w:p>
        </w:tc>
      </w:tr>
      <w:tr w:rsidR="00AE7868">
        <w:tc>
          <w:tcPr>
            <w:tcW w:w="2321" w:type="dxa"/>
          </w:tcPr>
          <w:p w:rsidR="00AE7868" w:rsidRDefault="00FF2B57">
            <w:pPr>
              <w:spacing w:before="20" w:after="20" w:line="240" w:lineRule="auto"/>
              <w:rPr>
                <w:rFonts w:ascii="Cambria" w:hAnsi="Cambria"/>
                <w:sz w:val="18"/>
                <w:szCs w:val="18"/>
              </w:rPr>
            </w:pPr>
            <w:r>
              <w:rPr>
                <w:rFonts w:ascii="Cambria" w:hAnsi="Cambria"/>
                <w:sz w:val="18"/>
                <w:szCs w:val="18"/>
              </w:rPr>
              <w:t>Phytosanitary Certification</w:t>
            </w:r>
          </w:p>
        </w:tc>
        <w:tc>
          <w:tcPr>
            <w:tcW w:w="2321" w:type="dxa"/>
          </w:tcPr>
          <w:p w:rsidR="00AE7868" w:rsidRDefault="00FF2B57">
            <w:pPr>
              <w:spacing w:before="20" w:after="20" w:line="240" w:lineRule="auto"/>
              <w:rPr>
                <w:rFonts w:ascii="Cambria" w:hAnsi="Cambria"/>
                <w:sz w:val="18"/>
                <w:szCs w:val="18"/>
              </w:rPr>
            </w:pPr>
            <w:r>
              <w:rPr>
                <w:rFonts w:ascii="Cambria" w:hAnsi="Cambria"/>
                <w:b/>
                <w:sz w:val="18"/>
                <w:szCs w:val="18"/>
              </w:rPr>
              <w:t>Yes*</w:t>
            </w:r>
            <w:r>
              <w:rPr>
                <w:rFonts w:ascii="Cambria" w:hAnsi="Cambria"/>
                <w:sz w:val="18"/>
                <w:szCs w:val="18"/>
              </w:rPr>
              <w:t xml:space="preserve"> (if testing or treatment conducted off-shore)</w:t>
            </w:r>
          </w:p>
        </w:tc>
        <w:tc>
          <w:tcPr>
            <w:tcW w:w="2322" w:type="dxa"/>
          </w:tcPr>
          <w:p w:rsidR="00AE7868" w:rsidRDefault="00FF2B57">
            <w:pPr>
              <w:spacing w:before="20" w:after="20" w:line="240" w:lineRule="auto"/>
              <w:rPr>
                <w:rFonts w:ascii="Cambria" w:hAnsi="Cambria"/>
                <w:sz w:val="18"/>
                <w:szCs w:val="18"/>
              </w:rPr>
            </w:pPr>
            <w:r>
              <w:rPr>
                <w:rFonts w:ascii="Cambria" w:hAnsi="Cambria"/>
                <w:b/>
                <w:sz w:val="18"/>
                <w:szCs w:val="18"/>
              </w:rPr>
              <w:t>Yes</w:t>
            </w:r>
            <w:r>
              <w:rPr>
                <w:rFonts w:ascii="Cambria" w:hAnsi="Cambria"/>
                <w:sz w:val="18"/>
                <w:szCs w:val="18"/>
              </w:rPr>
              <w:t xml:space="preserve"> (with additional declaration for freedom from ‘</w:t>
            </w:r>
            <w:r>
              <w:rPr>
                <w:rFonts w:ascii="Cambria" w:hAnsi="Cambria"/>
                <w:i/>
                <w:sz w:val="18"/>
                <w:szCs w:val="18"/>
              </w:rPr>
              <w:t>Ca</w:t>
            </w:r>
            <w:r>
              <w:rPr>
                <w:rFonts w:ascii="Cambria" w:hAnsi="Cambria"/>
                <w:sz w:val="18"/>
                <w:szCs w:val="18"/>
              </w:rPr>
              <w:t>. L. solanacearum’)</w:t>
            </w:r>
          </w:p>
        </w:tc>
        <w:tc>
          <w:tcPr>
            <w:tcW w:w="2322" w:type="dxa"/>
          </w:tcPr>
          <w:p w:rsidR="00AE7868" w:rsidRDefault="00FF2B57">
            <w:pPr>
              <w:spacing w:before="20" w:after="20" w:line="240" w:lineRule="auto"/>
              <w:rPr>
                <w:rFonts w:ascii="Cambria" w:hAnsi="Cambria"/>
                <w:sz w:val="18"/>
                <w:szCs w:val="18"/>
              </w:rPr>
            </w:pPr>
            <w:r>
              <w:rPr>
                <w:rFonts w:ascii="Cambria" w:hAnsi="Cambria"/>
                <w:sz w:val="18"/>
                <w:szCs w:val="18"/>
              </w:rPr>
              <w:t>No</w:t>
            </w:r>
          </w:p>
        </w:tc>
      </w:tr>
      <w:tr w:rsidR="00AE7868">
        <w:tc>
          <w:tcPr>
            <w:tcW w:w="9286" w:type="dxa"/>
            <w:gridSpan w:val="4"/>
          </w:tcPr>
          <w:p w:rsidR="00AE7868" w:rsidRDefault="00FF2B57">
            <w:pPr>
              <w:spacing w:before="20" w:after="20" w:line="240" w:lineRule="auto"/>
              <w:rPr>
                <w:rFonts w:ascii="Cambria" w:hAnsi="Cambria"/>
                <w:sz w:val="20"/>
                <w:szCs w:val="20"/>
              </w:rPr>
            </w:pPr>
            <w:r>
              <w:rPr>
                <w:rFonts w:ascii="Cambria" w:hAnsi="Cambria"/>
                <w:b/>
                <w:sz w:val="20"/>
                <w:szCs w:val="20"/>
              </w:rPr>
              <w:t>Border</w:t>
            </w:r>
          </w:p>
        </w:tc>
      </w:tr>
      <w:tr w:rsidR="00AE7868">
        <w:tc>
          <w:tcPr>
            <w:tcW w:w="2321" w:type="dxa"/>
          </w:tcPr>
          <w:p w:rsidR="00AE7868" w:rsidRDefault="00FF2B57">
            <w:pPr>
              <w:spacing w:before="20" w:after="20" w:line="240" w:lineRule="auto"/>
              <w:rPr>
                <w:rFonts w:ascii="Cambria" w:hAnsi="Cambria"/>
                <w:sz w:val="18"/>
                <w:szCs w:val="18"/>
              </w:rPr>
            </w:pPr>
            <w:r>
              <w:rPr>
                <w:rFonts w:ascii="Cambria" w:hAnsi="Cambria"/>
                <w:sz w:val="18"/>
                <w:szCs w:val="18"/>
              </w:rPr>
              <w:t>On-arrival inspection</w:t>
            </w:r>
          </w:p>
        </w:tc>
        <w:tc>
          <w:tcPr>
            <w:tcW w:w="2321" w:type="dxa"/>
          </w:tcPr>
          <w:p w:rsidR="00AE7868" w:rsidRDefault="00FF2B57">
            <w:pPr>
              <w:spacing w:before="20" w:after="20" w:line="240" w:lineRule="auto"/>
              <w:rPr>
                <w:rFonts w:ascii="Cambria" w:hAnsi="Cambria"/>
                <w:b/>
                <w:sz w:val="18"/>
                <w:szCs w:val="18"/>
              </w:rPr>
            </w:pPr>
            <w:r>
              <w:rPr>
                <w:rFonts w:ascii="Cambria" w:hAnsi="Cambria"/>
                <w:b/>
                <w:sz w:val="18"/>
                <w:szCs w:val="18"/>
              </w:rPr>
              <w:t>Yes</w:t>
            </w:r>
          </w:p>
        </w:tc>
        <w:tc>
          <w:tcPr>
            <w:tcW w:w="2322" w:type="dxa"/>
          </w:tcPr>
          <w:p w:rsidR="00AE7868" w:rsidRDefault="00FF2B57">
            <w:pPr>
              <w:spacing w:before="20" w:after="20" w:line="240" w:lineRule="auto"/>
              <w:rPr>
                <w:rFonts w:ascii="Cambria" w:hAnsi="Cambria"/>
                <w:b/>
                <w:sz w:val="18"/>
                <w:szCs w:val="18"/>
              </w:rPr>
            </w:pPr>
            <w:r>
              <w:rPr>
                <w:rFonts w:ascii="Cambria" w:hAnsi="Cambria"/>
                <w:b/>
                <w:sz w:val="18"/>
                <w:szCs w:val="18"/>
              </w:rPr>
              <w:t>Yes</w:t>
            </w:r>
          </w:p>
        </w:tc>
        <w:tc>
          <w:tcPr>
            <w:tcW w:w="2322" w:type="dxa"/>
          </w:tcPr>
          <w:p w:rsidR="00AE7868" w:rsidRDefault="00FF2B57">
            <w:pPr>
              <w:spacing w:before="20" w:after="20" w:line="240" w:lineRule="auto"/>
              <w:rPr>
                <w:rFonts w:ascii="Cambria" w:hAnsi="Cambria"/>
                <w:b/>
                <w:sz w:val="18"/>
                <w:szCs w:val="18"/>
              </w:rPr>
            </w:pPr>
            <w:r>
              <w:rPr>
                <w:rFonts w:ascii="Cambria" w:hAnsi="Cambria"/>
                <w:b/>
                <w:sz w:val="18"/>
                <w:szCs w:val="18"/>
              </w:rPr>
              <w:t>Yes</w:t>
            </w:r>
          </w:p>
        </w:tc>
      </w:tr>
      <w:tr w:rsidR="00AE7868">
        <w:tc>
          <w:tcPr>
            <w:tcW w:w="2321" w:type="dxa"/>
          </w:tcPr>
          <w:p w:rsidR="00AE7868" w:rsidRDefault="00FF2B57">
            <w:pPr>
              <w:spacing w:before="20" w:after="20" w:line="240" w:lineRule="auto"/>
              <w:rPr>
                <w:rFonts w:ascii="Cambria" w:hAnsi="Cambria"/>
                <w:sz w:val="18"/>
                <w:szCs w:val="18"/>
              </w:rPr>
            </w:pPr>
            <w:r>
              <w:rPr>
                <w:rFonts w:ascii="Cambria" w:hAnsi="Cambria"/>
                <w:sz w:val="18"/>
                <w:szCs w:val="18"/>
              </w:rPr>
              <w:t>On-shore PCR testing</w:t>
            </w:r>
          </w:p>
        </w:tc>
        <w:tc>
          <w:tcPr>
            <w:tcW w:w="2321" w:type="dxa"/>
          </w:tcPr>
          <w:p w:rsidR="00AE7868" w:rsidRDefault="00FF2B57">
            <w:pPr>
              <w:spacing w:before="20" w:after="20" w:line="240" w:lineRule="auto"/>
              <w:rPr>
                <w:rFonts w:ascii="Cambria" w:hAnsi="Cambria"/>
                <w:sz w:val="18"/>
                <w:szCs w:val="18"/>
              </w:rPr>
            </w:pPr>
            <w:r>
              <w:rPr>
                <w:rFonts w:ascii="Cambria" w:hAnsi="Cambria"/>
                <w:b/>
                <w:sz w:val="18"/>
                <w:szCs w:val="18"/>
              </w:rPr>
              <w:t>Yes*</w:t>
            </w:r>
            <w:r>
              <w:rPr>
                <w:rFonts w:ascii="Cambria" w:hAnsi="Cambria"/>
                <w:sz w:val="18"/>
                <w:szCs w:val="18"/>
              </w:rPr>
              <w:t xml:space="preserve"> (off-shore or on-shore PCR test)</w:t>
            </w:r>
          </w:p>
        </w:tc>
        <w:tc>
          <w:tcPr>
            <w:tcW w:w="2322" w:type="dxa"/>
          </w:tcPr>
          <w:p w:rsidR="00AE7868" w:rsidRDefault="00FF2B57">
            <w:pPr>
              <w:spacing w:before="20" w:after="20" w:line="240" w:lineRule="auto"/>
              <w:rPr>
                <w:rFonts w:ascii="Cambria" w:hAnsi="Cambria"/>
                <w:sz w:val="18"/>
                <w:szCs w:val="18"/>
              </w:rPr>
            </w:pPr>
            <w:r>
              <w:rPr>
                <w:rFonts w:ascii="Cambria" w:hAnsi="Cambria"/>
                <w:sz w:val="18"/>
                <w:szCs w:val="18"/>
              </w:rPr>
              <w:t>No</w:t>
            </w:r>
          </w:p>
        </w:tc>
        <w:tc>
          <w:tcPr>
            <w:tcW w:w="2322" w:type="dxa"/>
          </w:tcPr>
          <w:p w:rsidR="00AE7868" w:rsidRDefault="00FF2B57">
            <w:pPr>
              <w:spacing w:before="20" w:after="20" w:line="240" w:lineRule="auto"/>
              <w:rPr>
                <w:rFonts w:ascii="Cambria" w:hAnsi="Cambria"/>
                <w:sz w:val="18"/>
                <w:szCs w:val="18"/>
              </w:rPr>
            </w:pPr>
            <w:r>
              <w:rPr>
                <w:rFonts w:ascii="Cambria" w:hAnsi="Cambria"/>
                <w:sz w:val="18"/>
                <w:szCs w:val="18"/>
              </w:rPr>
              <w:t>No</w:t>
            </w:r>
          </w:p>
        </w:tc>
      </w:tr>
      <w:tr w:rsidR="00AE7868">
        <w:tc>
          <w:tcPr>
            <w:tcW w:w="2321" w:type="dxa"/>
          </w:tcPr>
          <w:p w:rsidR="00AE7868" w:rsidRDefault="00FF2B57">
            <w:pPr>
              <w:spacing w:before="20" w:after="20" w:line="240" w:lineRule="auto"/>
              <w:rPr>
                <w:rFonts w:ascii="Cambria" w:hAnsi="Cambria"/>
                <w:sz w:val="18"/>
                <w:szCs w:val="18"/>
              </w:rPr>
            </w:pPr>
            <w:r>
              <w:rPr>
                <w:rFonts w:ascii="Cambria" w:hAnsi="Cambria"/>
                <w:sz w:val="18"/>
                <w:szCs w:val="18"/>
              </w:rPr>
              <w:t>On-shore treatment</w:t>
            </w:r>
          </w:p>
        </w:tc>
        <w:tc>
          <w:tcPr>
            <w:tcW w:w="2321" w:type="dxa"/>
          </w:tcPr>
          <w:p w:rsidR="00AE7868" w:rsidRDefault="00FF2B57">
            <w:pPr>
              <w:spacing w:before="20" w:after="20" w:line="240" w:lineRule="auto"/>
              <w:rPr>
                <w:rFonts w:ascii="Cambria" w:hAnsi="Cambria"/>
                <w:sz w:val="18"/>
                <w:szCs w:val="18"/>
              </w:rPr>
            </w:pPr>
            <w:r>
              <w:rPr>
                <w:rFonts w:ascii="Cambria" w:hAnsi="Cambria"/>
                <w:b/>
                <w:sz w:val="18"/>
                <w:szCs w:val="18"/>
              </w:rPr>
              <w:t>Yes*</w:t>
            </w:r>
            <w:r>
              <w:rPr>
                <w:rFonts w:ascii="Cambria" w:hAnsi="Cambria"/>
                <w:sz w:val="18"/>
                <w:szCs w:val="18"/>
              </w:rPr>
              <w:t xml:space="preserve"> (off-shore or on-shore heat treatment)</w:t>
            </w:r>
          </w:p>
        </w:tc>
        <w:tc>
          <w:tcPr>
            <w:tcW w:w="2322" w:type="dxa"/>
          </w:tcPr>
          <w:p w:rsidR="00AE7868" w:rsidRDefault="00FF2B57">
            <w:pPr>
              <w:spacing w:before="20" w:after="20" w:line="240" w:lineRule="auto"/>
              <w:rPr>
                <w:rFonts w:ascii="Cambria" w:hAnsi="Cambria"/>
                <w:sz w:val="18"/>
                <w:szCs w:val="18"/>
              </w:rPr>
            </w:pPr>
            <w:r>
              <w:rPr>
                <w:rFonts w:ascii="Cambria" w:hAnsi="Cambria"/>
                <w:sz w:val="18"/>
                <w:szCs w:val="18"/>
              </w:rPr>
              <w:t>No</w:t>
            </w:r>
          </w:p>
        </w:tc>
        <w:tc>
          <w:tcPr>
            <w:tcW w:w="2322" w:type="dxa"/>
          </w:tcPr>
          <w:p w:rsidR="00AE7868" w:rsidRDefault="00FF2B57">
            <w:pPr>
              <w:spacing w:before="20" w:after="20" w:line="240" w:lineRule="auto"/>
              <w:rPr>
                <w:rFonts w:ascii="Cambria" w:hAnsi="Cambria"/>
                <w:sz w:val="18"/>
                <w:szCs w:val="18"/>
              </w:rPr>
            </w:pPr>
            <w:r>
              <w:rPr>
                <w:rFonts w:ascii="Cambria" w:hAnsi="Cambria"/>
                <w:sz w:val="18"/>
                <w:szCs w:val="18"/>
              </w:rPr>
              <w:t>No</w:t>
            </w:r>
          </w:p>
        </w:tc>
      </w:tr>
      <w:tr w:rsidR="00AE7868">
        <w:tc>
          <w:tcPr>
            <w:tcW w:w="9286" w:type="dxa"/>
            <w:gridSpan w:val="4"/>
          </w:tcPr>
          <w:p w:rsidR="00AE7868" w:rsidRDefault="00FF2B57">
            <w:pPr>
              <w:spacing w:before="20" w:after="20" w:line="240" w:lineRule="auto"/>
              <w:rPr>
                <w:rFonts w:ascii="Cambria" w:hAnsi="Cambria"/>
                <w:sz w:val="20"/>
                <w:szCs w:val="20"/>
              </w:rPr>
            </w:pPr>
            <w:r>
              <w:rPr>
                <w:rFonts w:ascii="Cambria" w:hAnsi="Cambria"/>
                <w:b/>
                <w:sz w:val="20"/>
                <w:szCs w:val="20"/>
              </w:rPr>
              <w:t>Post-border</w:t>
            </w:r>
          </w:p>
        </w:tc>
      </w:tr>
      <w:tr w:rsidR="00AE7868">
        <w:tc>
          <w:tcPr>
            <w:tcW w:w="2321" w:type="dxa"/>
          </w:tcPr>
          <w:p w:rsidR="00AE7868" w:rsidRDefault="00FF2B57">
            <w:pPr>
              <w:spacing w:before="20" w:after="20" w:line="240" w:lineRule="auto"/>
              <w:rPr>
                <w:rFonts w:ascii="Cambria" w:hAnsi="Cambria"/>
                <w:sz w:val="18"/>
                <w:szCs w:val="18"/>
              </w:rPr>
            </w:pPr>
            <w:r>
              <w:rPr>
                <w:rFonts w:ascii="Cambria" w:hAnsi="Cambria"/>
                <w:sz w:val="18"/>
                <w:szCs w:val="18"/>
              </w:rPr>
              <w:t>Growth in PEQ</w:t>
            </w:r>
          </w:p>
        </w:tc>
        <w:tc>
          <w:tcPr>
            <w:tcW w:w="2321" w:type="dxa"/>
          </w:tcPr>
          <w:p w:rsidR="00AE7868" w:rsidRDefault="00FF2B57">
            <w:pPr>
              <w:spacing w:before="20" w:after="20" w:line="240" w:lineRule="auto"/>
              <w:rPr>
                <w:rFonts w:ascii="Cambria" w:hAnsi="Cambria"/>
                <w:sz w:val="18"/>
                <w:szCs w:val="18"/>
              </w:rPr>
            </w:pPr>
            <w:r>
              <w:rPr>
                <w:rFonts w:ascii="Cambria" w:hAnsi="Cambria"/>
                <w:sz w:val="18"/>
                <w:szCs w:val="18"/>
              </w:rPr>
              <w:t>No</w:t>
            </w:r>
          </w:p>
        </w:tc>
        <w:tc>
          <w:tcPr>
            <w:tcW w:w="2322" w:type="dxa"/>
          </w:tcPr>
          <w:p w:rsidR="00AE7868" w:rsidRDefault="00FF2B57">
            <w:pPr>
              <w:spacing w:before="20" w:after="20" w:line="240" w:lineRule="auto"/>
              <w:rPr>
                <w:rFonts w:ascii="Cambria" w:hAnsi="Cambria"/>
                <w:sz w:val="18"/>
                <w:szCs w:val="18"/>
              </w:rPr>
            </w:pPr>
            <w:r>
              <w:rPr>
                <w:rFonts w:ascii="Cambria" w:hAnsi="Cambria"/>
                <w:sz w:val="18"/>
                <w:szCs w:val="18"/>
              </w:rPr>
              <w:t>No</w:t>
            </w:r>
          </w:p>
        </w:tc>
        <w:tc>
          <w:tcPr>
            <w:tcW w:w="2322" w:type="dxa"/>
          </w:tcPr>
          <w:p w:rsidR="00AE7868" w:rsidRDefault="00FF2B57">
            <w:pPr>
              <w:spacing w:before="20" w:after="20" w:line="240" w:lineRule="auto"/>
              <w:rPr>
                <w:rFonts w:ascii="Cambria" w:hAnsi="Cambria"/>
                <w:sz w:val="18"/>
                <w:szCs w:val="18"/>
              </w:rPr>
            </w:pPr>
            <w:r>
              <w:rPr>
                <w:rFonts w:ascii="Cambria" w:hAnsi="Cambria"/>
                <w:b/>
                <w:sz w:val="18"/>
                <w:szCs w:val="18"/>
              </w:rPr>
              <w:t>Yes</w:t>
            </w:r>
          </w:p>
        </w:tc>
      </w:tr>
      <w:tr w:rsidR="00AE7868">
        <w:tc>
          <w:tcPr>
            <w:tcW w:w="2321" w:type="dxa"/>
          </w:tcPr>
          <w:p w:rsidR="00AE7868" w:rsidRDefault="00FF2B57">
            <w:pPr>
              <w:spacing w:before="20" w:after="20" w:line="240" w:lineRule="auto"/>
              <w:rPr>
                <w:rFonts w:ascii="Cambria" w:hAnsi="Cambria"/>
                <w:sz w:val="18"/>
                <w:szCs w:val="18"/>
              </w:rPr>
            </w:pPr>
            <w:r>
              <w:rPr>
                <w:rFonts w:ascii="Cambria" w:hAnsi="Cambria"/>
                <w:sz w:val="18"/>
                <w:szCs w:val="18"/>
              </w:rPr>
              <w:t>Disease screening during PEQ</w:t>
            </w:r>
          </w:p>
        </w:tc>
        <w:tc>
          <w:tcPr>
            <w:tcW w:w="2321" w:type="dxa"/>
          </w:tcPr>
          <w:p w:rsidR="00AE7868" w:rsidRDefault="00FF2B57">
            <w:pPr>
              <w:spacing w:before="20" w:after="20" w:line="240" w:lineRule="auto"/>
              <w:rPr>
                <w:rFonts w:ascii="Cambria" w:hAnsi="Cambria"/>
                <w:sz w:val="18"/>
                <w:szCs w:val="18"/>
              </w:rPr>
            </w:pPr>
            <w:r>
              <w:rPr>
                <w:rFonts w:ascii="Cambria" w:hAnsi="Cambria"/>
                <w:sz w:val="18"/>
                <w:szCs w:val="18"/>
              </w:rPr>
              <w:t>No</w:t>
            </w:r>
          </w:p>
        </w:tc>
        <w:tc>
          <w:tcPr>
            <w:tcW w:w="2322" w:type="dxa"/>
          </w:tcPr>
          <w:p w:rsidR="00AE7868" w:rsidRDefault="00AE7868">
            <w:pPr>
              <w:spacing w:before="20" w:after="20" w:line="240" w:lineRule="auto"/>
              <w:rPr>
                <w:rFonts w:ascii="Cambria" w:hAnsi="Cambria"/>
                <w:sz w:val="18"/>
                <w:szCs w:val="18"/>
              </w:rPr>
            </w:pPr>
          </w:p>
        </w:tc>
        <w:tc>
          <w:tcPr>
            <w:tcW w:w="2322" w:type="dxa"/>
          </w:tcPr>
          <w:p w:rsidR="00AE7868" w:rsidRDefault="00FF2B57">
            <w:pPr>
              <w:spacing w:before="20" w:after="20" w:line="240" w:lineRule="auto"/>
              <w:rPr>
                <w:rFonts w:ascii="Cambria" w:hAnsi="Cambria"/>
                <w:b/>
                <w:sz w:val="18"/>
                <w:szCs w:val="18"/>
              </w:rPr>
            </w:pPr>
            <w:r>
              <w:rPr>
                <w:rFonts w:ascii="Cambria" w:hAnsi="Cambria"/>
                <w:b/>
                <w:sz w:val="18"/>
                <w:szCs w:val="18"/>
              </w:rPr>
              <w:t>Yes</w:t>
            </w:r>
          </w:p>
        </w:tc>
      </w:tr>
      <w:tr w:rsidR="00AE7868">
        <w:tc>
          <w:tcPr>
            <w:tcW w:w="2321" w:type="dxa"/>
          </w:tcPr>
          <w:p w:rsidR="00AE7868" w:rsidRDefault="00FF2B57">
            <w:pPr>
              <w:spacing w:before="20" w:after="20" w:line="240" w:lineRule="auto"/>
              <w:rPr>
                <w:rFonts w:ascii="Cambria" w:hAnsi="Cambria"/>
                <w:sz w:val="18"/>
                <w:szCs w:val="18"/>
              </w:rPr>
            </w:pPr>
            <w:r>
              <w:rPr>
                <w:rFonts w:ascii="Cambria" w:hAnsi="Cambria"/>
                <w:sz w:val="18"/>
                <w:szCs w:val="18"/>
              </w:rPr>
              <w:t>On-shore testing during PEQ</w:t>
            </w:r>
          </w:p>
        </w:tc>
        <w:tc>
          <w:tcPr>
            <w:tcW w:w="2321" w:type="dxa"/>
          </w:tcPr>
          <w:p w:rsidR="00AE7868" w:rsidRDefault="00FF2B57">
            <w:pPr>
              <w:spacing w:before="20" w:after="20" w:line="240" w:lineRule="auto"/>
              <w:rPr>
                <w:rFonts w:ascii="Cambria" w:hAnsi="Cambria"/>
                <w:sz w:val="18"/>
                <w:szCs w:val="18"/>
              </w:rPr>
            </w:pPr>
            <w:r>
              <w:rPr>
                <w:rFonts w:ascii="Cambria" w:hAnsi="Cambria"/>
                <w:sz w:val="18"/>
                <w:szCs w:val="18"/>
              </w:rPr>
              <w:t>No</w:t>
            </w:r>
          </w:p>
        </w:tc>
        <w:tc>
          <w:tcPr>
            <w:tcW w:w="2322" w:type="dxa"/>
          </w:tcPr>
          <w:p w:rsidR="00AE7868" w:rsidRDefault="00AE7868">
            <w:pPr>
              <w:spacing w:before="20" w:after="20" w:line="240" w:lineRule="auto"/>
              <w:rPr>
                <w:rFonts w:ascii="Cambria" w:hAnsi="Cambria"/>
                <w:sz w:val="18"/>
                <w:szCs w:val="18"/>
              </w:rPr>
            </w:pPr>
          </w:p>
        </w:tc>
        <w:tc>
          <w:tcPr>
            <w:tcW w:w="2322" w:type="dxa"/>
          </w:tcPr>
          <w:p w:rsidR="00AE7868" w:rsidRDefault="00FF2B57">
            <w:pPr>
              <w:spacing w:before="20" w:after="20" w:line="240" w:lineRule="auto"/>
              <w:rPr>
                <w:rFonts w:ascii="Cambria" w:hAnsi="Cambria"/>
                <w:sz w:val="18"/>
                <w:szCs w:val="18"/>
              </w:rPr>
            </w:pPr>
            <w:r>
              <w:rPr>
                <w:rFonts w:ascii="Cambria" w:hAnsi="Cambria"/>
                <w:b/>
                <w:sz w:val="18"/>
                <w:szCs w:val="18"/>
              </w:rPr>
              <w:t>Yes</w:t>
            </w:r>
            <w:r>
              <w:rPr>
                <w:rFonts w:ascii="Cambria" w:hAnsi="Cambria"/>
                <w:sz w:val="18"/>
                <w:szCs w:val="18"/>
              </w:rPr>
              <w:t xml:space="preserve"> (PCR test)</w:t>
            </w:r>
          </w:p>
        </w:tc>
      </w:tr>
    </w:tbl>
    <w:p w:rsidR="00AE7868" w:rsidRDefault="00FF2B57">
      <w:pPr>
        <w:spacing w:before="200"/>
        <w:rPr>
          <w:rFonts w:asciiTheme="majorHAnsi" w:hAnsiTheme="majorHAnsi"/>
        </w:rPr>
      </w:pPr>
      <w:r>
        <w:t xml:space="preserve">* </w:t>
      </w:r>
      <w:r>
        <w:rPr>
          <w:rFonts w:asciiTheme="majorHAnsi" w:hAnsiTheme="majorHAnsi"/>
        </w:rPr>
        <w:t>Carrot seeds for sowing must be subject to either mandatory heat treatment or mandatory PCR testing. Heat treatment or PCR testing may be conducted off-shore or on-shore. A Phytosanitary Certificate is only required for consignments that have been subject to off-shore PCR testing or off-shore heat treatment.</w:t>
      </w:r>
    </w:p>
    <w:p w:rsidR="00AE7868" w:rsidRDefault="00AE7868">
      <w:pPr>
        <w:spacing w:before="200"/>
        <w:sectPr w:rsidR="00AE7868">
          <w:headerReference w:type="default" r:id="rId51"/>
          <w:pgSz w:w="11906" w:h="16838"/>
          <w:pgMar w:top="1418" w:right="1418" w:bottom="1418" w:left="1418" w:header="567" w:footer="283" w:gutter="0"/>
          <w:cols w:space="708"/>
          <w:docGrid w:linePitch="360"/>
        </w:sectPr>
      </w:pPr>
    </w:p>
    <w:p w:rsidR="00AE7868" w:rsidRDefault="00FF2B57">
      <w:pPr>
        <w:pStyle w:val="Heading1"/>
        <w:pageBreakBefore w:val="0"/>
        <w:numPr>
          <w:ilvl w:val="0"/>
          <w:numId w:val="21"/>
        </w:numPr>
        <w:tabs>
          <w:tab w:val="clear" w:pos="432"/>
        </w:tabs>
        <w:spacing w:before="480" w:after="120"/>
        <w:ind w:left="567" w:hanging="567"/>
        <w:rPr>
          <w:rFonts w:eastAsiaTheme="majorEastAsia" w:cstheme="majorBidi"/>
          <w:b/>
          <w:color w:val="D52B1E"/>
          <w:sz w:val="34"/>
        </w:rPr>
      </w:pPr>
      <w:bookmarkStart w:id="439" w:name="_Toc437356045"/>
      <w:r>
        <w:rPr>
          <w:rFonts w:eastAsiaTheme="majorEastAsia" w:cstheme="majorBidi"/>
          <w:b/>
          <w:color w:val="D52B1E"/>
          <w:sz w:val="34"/>
        </w:rPr>
        <w:lastRenderedPageBreak/>
        <w:t>Conclusion</w:t>
      </w:r>
      <w:bookmarkEnd w:id="439"/>
    </w:p>
    <w:p w:rsidR="00AE7868" w:rsidRDefault="00FF2B57">
      <w:pPr>
        <w:autoSpaceDE w:val="0"/>
        <w:autoSpaceDN w:val="0"/>
        <w:adjustRightInd w:val="0"/>
        <w:spacing w:before="200"/>
        <w:rPr>
          <w:rFonts w:ascii="Cambria" w:eastAsia="Cambria" w:hAnsi="Cambria" w:cs="Arial"/>
        </w:rPr>
      </w:pPr>
      <w:r>
        <w:rPr>
          <w:rFonts w:ascii="Cambria" w:eastAsia="Calibri" w:hAnsi="Cambria" w:cs="Times New Roman"/>
        </w:rPr>
        <w:t xml:space="preserve">The findings of this pest-initiated risk analysis </w:t>
      </w:r>
      <w:r>
        <w:rPr>
          <w:rFonts w:ascii="Cambria" w:hAnsi="Cambria"/>
        </w:rPr>
        <w:t xml:space="preserve">are </w:t>
      </w:r>
      <w:r>
        <w:rPr>
          <w:rFonts w:ascii="Cambria" w:eastAsia="Calibri" w:hAnsi="Cambria" w:cs="Times New Roman"/>
        </w:rPr>
        <w:t>based on a comprehensive analysis of relevant scientific and other appropriate literature on ‘</w:t>
      </w:r>
      <w:r>
        <w:rPr>
          <w:rFonts w:ascii="Cambria" w:eastAsia="Calibri" w:hAnsi="Cambria"/>
          <w:i/>
        </w:rPr>
        <w:t xml:space="preserve">Ca. </w:t>
      </w:r>
      <w:r>
        <w:rPr>
          <w:rFonts w:ascii="Cambria" w:hAnsi="Cambria"/>
        </w:rPr>
        <w:t>L. solanacearum’</w:t>
      </w:r>
      <w:r>
        <w:rPr>
          <w:rFonts w:ascii="Cambria" w:eastAsia="Calibri" w:hAnsi="Cambria"/>
        </w:rPr>
        <w:t xml:space="preserve"> </w:t>
      </w:r>
      <w:r>
        <w:rPr>
          <w:rFonts w:ascii="Cambria" w:hAnsi="Cambria"/>
        </w:rPr>
        <w:t>associated with apiaceous crops</w:t>
      </w:r>
      <w:r>
        <w:rPr>
          <w:rFonts w:ascii="Cambria" w:eastAsia="Calibri" w:hAnsi="Cambria" w:cs="Times New Roman"/>
        </w:rPr>
        <w:t>. ‘</w:t>
      </w:r>
      <w:r>
        <w:rPr>
          <w:rFonts w:ascii="Cambria" w:eastAsia="Calibri" w:hAnsi="Cambria"/>
          <w:i/>
        </w:rPr>
        <w:t xml:space="preserve">Ca. </w:t>
      </w:r>
      <w:r>
        <w:rPr>
          <w:rFonts w:ascii="Cambria" w:hAnsi="Cambria"/>
        </w:rPr>
        <w:t>L. solanacearum’</w:t>
      </w:r>
      <w:r>
        <w:rPr>
          <w:rFonts w:ascii="Cambria" w:eastAsia="Calibri" w:hAnsi="Cambria"/>
        </w:rPr>
        <w:t xml:space="preserve"> </w:t>
      </w:r>
      <w:r>
        <w:rPr>
          <w:rFonts w:ascii="Cambria" w:hAnsi="Cambria" w:cstheme="minorHAnsi"/>
        </w:rPr>
        <w:t xml:space="preserve">meets the IPPC </w:t>
      </w:r>
      <w:r>
        <w:rPr>
          <w:rFonts w:ascii="Cambria" w:hAnsi="Cambria" w:cs="Helvetica"/>
        </w:rPr>
        <w:t>definitions of a quarantine pest, that is ‘</w:t>
      </w:r>
      <w:r>
        <w:rPr>
          <w:rFonts w:ascii="Cambria" w:hAnsi="Cambria" w:cs="Helvetica"/>
          <w:i/>
          <w:iCs/>
        </w:rPr>
        <w:t>potential economic importance</w:t>
      </w:r>
      <w:r>
        <w:rPr>
          <w:rFonts w:ascii="Cambria" w:hAnsi="Cambria" w:cs="Helvetica"/>
        </w:rPr>
        <w:t xml:space="preserve"> </w:t>
      </w:r>
      <w:r>
        <w:rPr>
          <w:rFonts w:ascii="Cambria" w:hAnsi="Cambria" w:cs="Helvetica"/>
          <w:i/>
        </w:rPr>
        <w:t>to the area endangered thereby and</w:t>
      </w:r>
      <w:r>
        <w:rPr>
          <w:rFonts w:ascii="Cambria" w:hAnsi="Cambria" w:cs="Helvetica"/>
        </w:rPr>
        <w:t xml:space="preserve"> </w:t>
      </w:r>
      <w:r>
        <w:rPr>
          <w:rFonts w:ascii="Cambria" w:hAnsi="Cambria" w:cs="Helvetica"/>
          <w:i/>
          <w:iCs/>
        </w:rPr>
        <w:t>not yet present there</w:t>
      </w:r>
      <w:r>
        <w:rPr>
          <w:rFonts w:ascii="Cambria" w:hAnsi="Cambria" w:cs="Helvetica"/>
        </w:rPr>
        <w:t xml:space="preserve">, or </w:t>
      </w:r>
      <w:r>
        <w:rPr>
          <w:rFonts w:ascii="Cambria" w:hAnsi="Cambria" w:cs="Helvetica"/>
          <w:i/>
          <w:iCs/>
        </w:rPr>
        <w:t xml:space="preserve">present but not widely distributed and being officially controlled’ </w:t>
      </w:r>
      <w:r>
        <w:rPr>
          <w:rFonts w:ascii="Cambria" w:hAnsi="Cambria" w:cs="Helvetica"/>
          <w:iCs/>
        </w:rPr>
        <w:t>(FAO 2015)</w:t>
      </w:r>
      <w:r>
        <w:rPr>
          <w:rFonts w:ascii="Cambria" w:hAnsi="Cambria" w:cs="Helvetica"/>
        </w:rPr>
        <w:t xml:space="preserve">. </w:t>
      </w:r>
      <w:r>
        <w:rPr>
          <w:rFonts w:ascii="Cambria" w:hAnsi="Cambria"/>
        </w:rPr>
        <w:t xml:space="preserve">The PRA provides technical justification that this bacterium </w:t>
      </w:r>
      <w:r>
        <w:rPr>
          <w:rFonts w:ascii="Cambria" w:hAnsi="Cambria" w:cstheme="minorHAnsi"/>
        </w:rPr>
        <w:t xml:space="preserve">meets the IPPC </w:t>
      </w:r>
      <w:r w:rsidR="00BB4B16">
        <w:rPr>
          <w:rFonts w:ascii="Cambria" w:hAnsi="Cambria" w:cs="Helvetica"/>
        </w:rPr>
        <w:t>definition</w:t>
      </w:r>
      <w:r>
        <w:rPr>
          <w:rFonts w:ascii="Cambria" w:hAnsi="Cambria" w:cs="Helvetica"/>
        </w:rPr>
        <w:t xml:space="preserve"> of a quarantine pest and that the introduction of emergency measures were in accordance with </w:t>
      </w:r>
      <w:r w:rsidR="00BB4B16">
        <w:rPr>
          <w:rFonts w:ascii="Cambria" w:hAnsi="Cambria" w:cs="Helvetica"/>
        </w:rPr>
        <w:t>international phytosanitary standards</w:t>
      </w:r>
      <w:r>
        <w:rPr>
          <w:rFonts w:ascii="Cambria" w:hAnsi="Cambria" w:cs="Helvetica"/>
        </w:rPr>
        <w:t>.</w:t>
      </w:r>
    </w:p>
    <w:p w:rsidR="00AE7868" w:rsidRDefault="00FF2B57">
      <w:pPr>
        <w:pStyle w:val="AQISText"/>
        <w:spacing w:before="200" w:line="276" w:lineRule="auto"/>
        <w:jc w:val="left"/>
        <w:rPr>
          <w:rFonts w:ascii="Cambria" w:hAnsi="Cambria"/>
        </w:rPr>
      </w:pPr>
      <w:r>
        <w:rPr>
          <w:rFonts w:ascii="Cambria" w:hAnsi="Cambria"/>
        </w:rPr>
        <w:t xml:space="preserve">The department considers that the emergency measures are adequate to mitigate the risk posed by </w:t>
      </w:r>
      <w:r>
        <w:rPr>
          <w:rFonts w:ascii="Cambria" w:eastAsia="Calibri" w:hAnsi="Cambria"/>
          <w:szCs w:val="22"/>
        </w:rPr>
        <w:t>‘</w:t>
      </w:r>
      <w:r>
        <w:rPr>
          <w:rFonts w:ascii="Cambria" w:eastAsia="Calibri" w:hAnsi="Cambria"/>
          <w:i/>
          <w:szCs w:val="22"/>
        </w:rPr>
        <w:t xml:space="preserve">Ca. </w:t>
      </w:r>
      <w:r>
        <w:rPr>
          <w:rFonts w:ascii="Cambria" w:hAnsi="Cambria"/>
          <w:szCs w:val="22"/>
        </w:rPr>
        <w:t>L. solanacearum’</w:t>
      </w:r>
      <w:r>
        <w:rPr>
          <w:rFonts w:ascii="Cambria" w:eastAsia="Calibri" w:hAnsi="Cambria"/>
          <w:szCs w:val="22"/>
        </w:rPr>
        <w:t xml:space="preserve"> </w:t>
      </w:r>
      <w:r>
        <w:rPr>
          <w:rFonts w:ascii="Cambria" w:hAnsi="Cambria"/>
        </w:rPr>
        <w:t>associated with seed (carrot) and tissue cultures (carrot</w:t>
      </w:r>
      <w:r w:rsidR="008F7063">
        <w:rPr>
          <w:rFonts w:ascii="Cambria" w:hAnsi="Cambria"/>
        </w:rPr>
        <w:t xml:space="preserve"> and</w:t>
      </w:r>
      <w:r>
        <w:rPr>
          <w:rFonts w:ascii="Cambria" w:hAnsi="Cambria"/>
        </w:rPr>
        <w:t xml:space="preserve"> celery). More recently, parsnip was reported as a natural host of </w:t>
      </w:r>
      <w:r>
        <w:rPr>
          <w:rFonts w:ascii="Cambria" w:eastAsia="Calibri" w:hAnsi="Cambria"/>
          <w:szCs w:val="22"/>
        </w:rPr>
        <w:t>‘</w:t>
      </w:r>
      <w:r>
        <w:rPr>
          <w:rFonts w:ascii="Cambria" w:eastAsia="Calibri" w:hAnsi="Cambria"/>
          <w:i/>
          <w:szCs w:val="22"/>
        </w:rPr>
        <w:t xml:space="preserve">Ca. </w:t>
      </w:r>
      <w:r>
        <w:rPr>
          <w:rFonts w:ascii="Cambria" w:hAnsi="Cambria"/>
          <w:szCs w:val="22"/>
        </w:rPr>
        <w:t xml:space="preserve">L. solanacearum’; consequently, </w:t>
      </w:r>
      <w:r>
        <w:rPr>
          <w:rFonts w:ascii="Cambria" w:hAnsi="Cambria"/>
        </w:rPr>
        <w:t xml:space="preserve">these emergency measures are extended to parsnip tissue cultures. </w:t>
      </w:r>
    </w:p>
    <w:p w:rsidR="00AE7868" w:rsidRDefault="00FF2B57">
      <w:pPr>
        <w:spacing w:before="200"/>
        <w:rPr>
          <w:rFonts w:ascii="Cambria" w:hAnsi="Cambria"/>
        </w:rPr>
      </w:pPr>
      <w:r>
        <w:rPr>
          <w:rFonts w:ascii="Cambria" w:hAnsi="Cambria"/>
        </w:rPr>
        <w:t xml:space="preserve">The emergency measures are proposed to become the standard conditions to import carrot, celery and parsnip propagative material into Australia. </w:t>
      </w:r>
      <w:r>
        <w:rPr>
          <w:rFonts w:ascii="Cambria" w:hAnsi="Cambria" w:cs="Arial"/>
        </w:rPr>
        <w:t xml:space="preserve">The only proposed changes to the emergency measures is to </w:t>
      </w:r>
      <w:r>
        <w:rPr>
          <w:rFonts w:ascii="Cambria" w:hAnsi="Cambria" w:cs="Arial"/>
        </w:rPr>
        <w:lastRenderedPageBreak/>
        <w:t>provide the option for small seed lots to be tested off-shore</w:t>
      </w:r>
      <w:r w:rsidR="00BB4B16">
        <w:rPr>
          <w:rFonts w:ascii="Cambria" w:hAnsi="Cambria" w:cs="Arial"/>
        </w:rPr>
        <w:t>;</w:t>
      </w:r>
      <w:r>
        <w:rPr>
          <w:rFonts w:ascii="Cambria" w:hAnsi="Cambria" w:cs="Arial"/>
        </w:rPr>
        <w:t xml:space="preserve"> and alternative conditions for tissue cultures of unknown health status. </w:t>
      </w:r>
      <w:r>
        <w:rPr>
          <w:rFonts w:ascii="Cambria" w:hAnsi="Cambria"/>
        </w:rPr>
        <w:t>The proposed import conditions for carrot, celery and parsnip propagative material are summari</w:t>
      </w:r>
      <w:r w:rsidR="008F7063">
        <w:rPr>
          <w:rFonts w:ascii="Cambria" w:hAnsi="Cambria"/>
        </w:rPr>
        <w:t>s</w:t>
      </w:r>
      <w:r>
        <w:rPr>
          <w:rFonts w:ascii="Cambria" w:hAnsi="Cambria"/>
        </w:rPr>
        <w:t>ed below.</w:t>
      </w:r>
    </w:p>
    <w:p w:rsidR="00AE7868" w:rsidRDefault="00FF2B57">
      <w:pPr>
        <w:spacing w:before="120" w:after="80" w:line="280" w:lineRule="atLeast"/>
        <w:rPr>
          <w:rFonts w:ascii="Cambria" w:hAnsi="Cambria"/>
        </w:rPr>
      </w:pPr>
      <w:r>
        <w:rPr>
          <w:rFonts w:ascii="Cambria" w:hAnsi="Cambria"/>
          <w:b/>
        </w:rPr>
        <w:t xml:space="preserve">Seeds for sowing </w:t>
      </w:r>
      <w:r w:rsidR="00EE6A5D">
        <w:rPr>
          <w:rFonts w:ascii="Cambria" w:hAnsi="Cambria"/>
          <w:b/>
        </w:rPr>
        <w:t>(</w:t>
      </w:r>
      <w:r w:rsidR="003A4BDF">
        <w:rPr>
          <w:rFonts w:ascii="Cambria" w:hAnsi="Cambria"/>
          <w:b/>
        </w:rPr>
        <w:t>commercial lots</w:t>
      </w:r>
      <w:r w:rsidR="00EE6A5D">
        <w:rPr>
          <w:rFonts w:ascii="Cambria" w:hAnsi="Cambria"/>
          <w:b/>
        </w:rPr>
        <w:t>) (carrot)</w:t>
      </w:r>
      <w:r>
        <w:rPr>
          <w:rFonts w:ascii="Cambria" w:hAnsi="Cambria"/>
          <w:b/>
        </w:rPr>
        <w:t xml:space="preserve">: </w:t>
      </w:r>
      <w:r>
        <w:rPr>
          <w:rFonts w:ascii="Cambria" w:hAnsi="Cambria"/>
        </w:rPr>
        <w:t>mandatory off-shore or on-shore molecular testing</w:t>
      </w:r>
      <w:r w:rsidR="003A4BDF">
        <w:rPr>
          <w:rFonts w:ascii="Cambria" w:hAnsi="Cambria"/>
        </w:rPr>
        <w:t xml:space="preserve"> (using 20,000 seeds)</w:t>
      </w:r>
      <w:r>
        <w:rPr>
          <w:rFonts w:ascii="Cambria" w:hAnsi="Cambria"/>
        </w:rPr>
        <w:t xml:space="preserve"> </w:t>
      </w:r>
      <w:r>
        <w:rPr>
          <w:rFonts w:ascii="Cambria" w:hAnsi="Cambria"/>
          <w:b/>
        </w:rPr>
        <w:t>OR</w:t>
      </w:r>
      <w:r>
        <w:rPr>
          <w:rFonts w:ascii="Cambria" w:hAnsi="Cambria"/>
        </w:rPr>
        <w:t xml:space="preserve"> mandatory off-shore or on-shore heat treatment</w:t>
      </w:r>
      <w:r w:rsidR="003A4BDF">
        <w:rPr>
          <w:rFonts w:ascii="Cambria" w:hAnsi="Cambria"/>
        </w:rPr>
        <w:t xml:space="preserve"> (50 °C for 20 minutes)</w:t>
      </w:r>
      <w:r>
        <w:rPr>
          <w:rFonts w:ascii="Cambria" w:hAnsi="Cambria"/>
        </w:rPr>
        <w:t xml:space="preserve">; </w:t>
      </w:r>
      <w:r>
        <w:rPr>
          <w:rFonts w:ascii="Cambria" w:hAnsi="Cambria"/>
          <w:b/>
        </w:rPr>
        <w:t>AND</w:t>
      </w:r>
      <w:r>
        <w:rPr>
          <w:rFonts w:ascii="Cambria" w:hAnsi="Cambria"/>
        </w:rPr>
        <w:t xml:space="preserve"> </w:t>
      </w:r>
      <w:r w:rsidR="00BB4B16">
        <w:rPr>
          <w:rFonts w:ascii="Cambria" w:hAnsi="Cambria"/>
        </w:rPr>
        <w:t xml:space="preserve">a </w:t>
      </w:r>
      <w:r>
        <w:rPr>
          <w:rFonts w:ascii="Cambria" w:hAnsi="Cambria"/>
        </w:rPr>
        <w:t xml:space="preserve">Phytosanitary Certificate with the additional declaration that the mandatory treatment or testing has been conducted in accordance with Australia’s requirements. </w:t>
      </w:r>
    </w:p>
    <w:p w:rsidR="003A4BDF" w:rsidRDefault="003A4BDF" w:rsidP="003A4BDF">
      <w:pPr>
        <w:spacing w:before="120" w:after="80" w:line="280" w:lineRule="atLeast"/>
        <w:rPr>
          <w:rFonts w:ascii="Cambria" w:hAnsi="Cambria"/>
        </w:rPr>
      </w:pPr>
      <w:r w:rsidRPr="00D15C23">
        <w:rPr>
          <w:rFonts w:ascii="Cambria" w:hAnsi="Cambria"/>
          <w:b/>
        </w:rPr>
        <w:t xml:space="preserve">Seeds for sowing </w:t>
      </w:r>
      <w:r w:rsidR="00EE6A5D" w:rsidRPr="00D15C23">
        <w:rPr>
          <w:rFonts w:ascii="Cambria" w:hAnsi="Cambria"/>
          <w:b/>
        </w:rPr>
        <w:t>(</w:t>
      </w:r>
      <w:r w:rsidRPr="00D15C23">
        <w:rPr>
          <w:rFonts w:ascii="Cambria" w:hAnsi="Cambria"/>
          <w:b/>
        </w:rPr>
        <w:t>small lots</w:t>
      </w:r>
      <w:r w:rsidR="005A2152" w:rsidRPr="00D15C23">
        <w:rPr>
          <w:rFonts w:ascii="Cambria" w:hAnsi="Cambria"/>
          <w:b/>
        </w:rPr>
        <w:t xml:space="preserve"> [250 grams or less]</w:t>
      </w:r>
      <w:r w:rsidR="00EE6A5D" w:rsidRPr="00D15C23">
        <w:rPr>
          <w:rFonts w:ascii="Cambria" w:hAnsi="Cambria"/>
          <w:b/>
        </w:rPr>
        <w:t>) (carrot)</w:t>
      </w:r>
      <w:r w:rsidRPr="00D15C23">
        <w:rPr>
          <w:rFonts w:ascii="Cambria" w:hAnsi="Cambria"/>
          <w:b/>
        </w:rPr>
        <w:t xml:space="preserve">: </w:t>
      </w:r>
      <w:r w:rsidRPr="00D15C23">
        <w:rPr>
          <w:rFonts w:ascii="Cambria" w:hAnsi="Cambria"/>
        </w:rPr>
        <w:t xml:space="preserve">mandatory off-shore or on-shore molecular testing (using 20 percent of the seed lot weight or 20,000 seeds) </w:t>
      </w:r>
      <w:r w:rsidRPr="00D15C23">
        <w:rPr>
          <w:rFonts w:ascii="Cambria" w:hAnsi="Cambria"/>
          <w:b/>
        </w:rPr>
        <w:t>OR</w:t>
      </w:r>
      <w:r w:rsidRPr="00D15C23">
        <w:rPr>
          <w:rFonts w:ascii="Cambria" w:hAnsi="Cambria"/>
        </w:rPr>
        <w:t xml:space="preserve"> mandatory off-shore or on-shore heat treatment (50 °C for 20 minutes); </w:t>
      </w:r>
      <w:r w:rsidRPr="00D15C23">
        <w:rPr>
          <w:rFonts w:ascii="Cambria" w:hAnsi="Cambria"/>
          <w:b/>
        </w:rPr>
        <w:t>AND</w:t>
      </w:r>
      <w:r w:rsidRPr="00D15C23">
        <w:rPr>
          <w:rFonts w:ascii="Cambria" w:hAnsi="Cambria"/>
        </w:rPr>
        <w:t xml:space="preserve"> a Phytosanitary Certificate with the additional declaration that the mandatory treatment or testing has been conducted in accordance with Australia’s requirements.</w:t>
      </w:r>
    </w:p>
    <w:p w:rsidR="00AE7868" w:rsidRDefault="00FF2B57">
      <w:pPr>
        <w:spacing w:before="120" w:after="80" w:line="280" w:lineRule="atLeast"/>
        <w:rPr>
          <w:rFonts w:ascii="Cambria" w:hAnsi="Cambria"/>
        </w:rPr>
      </w:pPr>
      <w:r>
        <w:rPr>
          <w:rFonts w:ascii="Cambria" w:hAnsi="Cambria"/>
          <w:b/>
        </w:rPr>
        <w:t>Tissue cultures of known health</w:t>
      </w:r>
      <w:r w:rsidR="00CA7BDD">
        <w:rPr>
          <w:rFonts w:ascii="Cambria" w:hAnsi="Cambria"/>
          <w:b/>
        </w:rPr>
        <w:t xml:space="preserve"> (carrot, celery and parsnip)</w:t>
      </w:r>
      <w:r>
        <w:rPr>
          <w:rFonts w:ascii="Cambria" w:hAnsi="Cambria"/>
          <w:b/>
        </w:rPr>
        <w:t xml:space="preserve">: </w:t>
      </w:r>
      <w:r>
        <w:rPr>
          <w:rFonts w:ascii="Cambria" w:hAnsi="Cambria"/>
        </w:rPr>
        <w:t xml:space="preserve">mandatory off-shore molecular testing; </w:t>
      </w:r>
      <w:r>
        <w:rPr>
          <w:rFonts w:ascii="Cambria" w:hAnsi="Cambria"/>
          <w:b/>
        </w:rPr>
        <w:t>AND</w:t>
      </w:r>
      <w:r>
        <w:rPr>
          <w:rFonts w:ascii="Cambria" w:hAnsi="Cambria"/>
        </w:rPr>
        <w:t xml:space="preserve"> </w:t>
      </w:r>
      <w:r w:rsidR="00BB4B16">
        <w:rPr>
          <w:rFonts w:ascii="Cambria" w:hAnsi="Cambria"/>
        </w:rPr>
        <w:t xml:space="preserve">a </w:t>
      </w:r>
      <w:r>
        <w:rPr>
          <w:rFonts w:ascii="Cambria" w:hAnsi="Cambria"/>
        </w:rPr>
        <w:t>Phytosanitary Certificate with the additional declaration that the testing has been conducted in accordance with Australia’s requirements.</w:t>
      </w:r>
    </w:p>
    <w:p w:rsidR="00AE7868" w:rsidRDefault="00FF2B57">
      <w:pPr>
        <w:spacing w:before="120" w:after="80" w:line="280" w:lineRule="atLeast"/>
        <w:rPr>
          <w:rFonts w:ascii="Cambria" w:hAnsi="Cambria"/>
        </w:rPr>
      </w:pPr>
      <w:r>
        <w:rPr>
          <w:rFonts w:ascii="Cambria" w:hAnsi="Cambria"/>
          <w:b/>
        </w:rPr>
        <w:t>Tissue cultures of unknown health</w:t>
      </w:r>
      <w:r w:rsidR="00CA7BDD">
        <w:rPr>
          <w:rFonts w:ascii="Cambria" w:hAnsi="Cambria"/>
          <w:b/>
        </w:rPr>
        <w:t xml:space="preserve"> (carrot, celery and parsnip)</w:t>
      </w:r>
      <w:r>
        <w:rPr>
          <w:rFonts w:ascii="Cambria" w:hAnsi="Cambria"/>
          <w:b/>
        </w:rPr>
        <w:t xml:space="preserve">: </w:t>
      </w:r>
      <w:r>
        <w:rPr>
          <w:rFonts w:ascii="Cambria" w:hAnsi="Cambria"/>
        </w:rPr>
        <w:t xml:space="preserve">mandatory growth in a closed government post-entry quarantine (PEQ) facility for disease screening; </w:t>
      </w:r>
      <w:r>
        <w:rPr>
          <w:rFonts w:ascii="Cambria" w:hAnsi="Cambria"/>
          <w:b/>
        </w:rPr>
        <w:t xml:space="preserve">AND </w:t>
      </w:r>
      <w:r>
        <w:rPr>
          <w:rFonts w:ascii="Cambria" w:hAnsi="Cambria"/>
        </w:rPr>
        <w:t>mandatory PCR testing for freedom from ‘</w:t>
      </w:r>
      <w:r>
        <w:rPr>
          <w:rFonts w:ascii="Cambria" w:hAnsi="Cambria"/>
          <w:i/>
          <w:iCs/>
        </w:rPr>
        <w:t xml:space="preserve">Ca. </w:t>
      </w:r>
      <w:r>
        <w:rPr>
          <w:rFonts w:ascii="Cambria" w:hAnsi="Cambria"/>
          <w:iCs/>
        </w:rPr>
        <w:t>L. solanacearum’</w:t>
      </w:r>
      <w:r>
        <w:rPr>
          <w:rFonts w:ascii="Cambria" w:hAnsi="Cambria"/>
        </w:rPr>
        <w:t>.</w:t>
      </w:r>
    </w:p>
    <w:p w:rsidR="00AE7868" w:rsidRDefault="00AE7868">
      <w:pPr>
        <w:spacing w:before="200"/>
        <w:rPr>
          <w:rFonts w:ascii="Cambria" w:hAnsi="Cambria"/>
        </w:rPr>
      </w:pPr>
    </w:p>
    <w:p w:rsidR="00AE7868" w:rsidRDefault="00AE7868">
      <w:pPr>
        <w:spacing w:before="200"/>
        <w:rPr>
          <w:rFonts w:ascii="Cambria" w:hAnsi="Cambria"/>
        </w:rPr>
        <w:sectPr w:rsidR="00AE7868">
          <w:headerReference w:type="default" r:id="rId52"/>
          <w:pgSz w:w="11906" w:h="16838"/>
          <w:pgMar w:top="1418" w:right="1418" w:bottom="1418" w:left="1418" w:header="567" w:footer="283" w:gutter="0"/>
          <w:cols w:space="708"/>
          <w:docGrid w:linePitch="360"/>
        </w:sectPr>
      </w:pPr>
    </w:p>
    <w:p w:rsidR="00AE7868" w:rsidRDefault="00FF2B57">
      <w:pPr>
        <w:pStyle w:val="Heading1nonumbers"/>
        <w:rPr>
          <w:lang w:val="en-AU"/>
        </w:rPr>
      </w:pPr>
      <w:bookmarkStart w:id="440" w:name="_Toc437356046"/>
      <w:r>
        <w:rPr>
          <w:lang w:val="en-AU"/>
        </w:rPr>
        <w:lastRenderedPageBreak/>
        <w:t>Appendix A: Stakeholders comments on emergency measures</w:t>
      </w:r>
      <w:bookmarkEnd w:id="440"/>
    </w:p>
    <w:p w:rsidR="00AE7868" w:rsidRDefault="00FF2B57">
      <w:pPr>
        <w:spacing w:before="200"/>
        <w:rPr>
          <w:rFonts w:ascii="Cambria" w:hAnsi="Cambria"/>
        </w:rPr>
      </w:pPr>
      <w:r>
        <w:rPr>
          <w:rFonts w:ascii="Cambria" w:hAnsi="Cambria"/>
        </w:rPr>
        <w:t>The Department of Agriculture and Water Resources notified international trading partners on 21 August 2014 that emergency measures against ‘</w:t>
      </w:r>
      <w:r>
        <w:rPr>
          <w:rFonts w:ascii="Cambria" w:hAnsi="Cambria"/>
          <w:i/>
        </w:rPr>
        <w:t xml:space="preserve">Ca. </w:t>
      </w:r>
      <w:r>
        <w:rPr>
          <w:rFonts w:ascii="Cambria" w:hAnsi="Cambria"/>
        </w:rPr>
        <w:t>L. solanacearum’ associated with carrot and celery propagative material from all countries would be in place from 20 October 2014 (</w:t>
      </w:r>
      <w:r>
        <w:rPr>
          <w:rFonts w:ascii="Cambria" w:hAnsi="Cambria"/>
          <w:iCs/>
        </w:rPr>
        <w:t>G/SPS/N/AUS/345</w:t>
      </w:r>
      <w:r>
        <w:rPr>
          <w:rFonts w:ascii="Cambria" w:hAnsi="Cambria"/>
        </w:rPr>
        <w:t>).</w:t>
      </w:r>
      <w:r>
        <w:rPr>
          <w:rFonts w:ascii="Cambria" w:eastAsia="Calibri" w:hAnsi="Cambria"/>
        </w:rPr>
        <w:t xml:space="preserve"> </w:t>
      </w:r>
      <w:r>
        <w:rPr>
          <w:rFonts w:ascii="Cambria" w:hAnsi="Cambria"/>
        </w:rPr>
        <w:t xml:space="preserve">The Department of Agriculture and Water Resources </w:t>
      </w:r>
      <w:r>
        <w:rPr>
          <w:rFonts w:ascii="Cambria" w:eastAsia="Calibri" w:hAnsi="Cambria"/>
        </w:rPr>
        <w:t xml:space="preserve">received </w:t>
      </w:r>
      <w:r>
        <w:rPr>
          <w:rFonts w:ascii="Cambria" w:hAnsi="Cambria"/>
        </w:rPr>
        <w:t xml:space="preserve">several </w:t>
      </w:r>
      <w:r>
        <w:rPr>
          <w:rFonts w:ascii="Cambria" w:eastAsia="Calibri" w:hAnsi="Cambria"/>
        </w:rPr>
        <w:t xml:space="preserve">written responses from stakeholders, including seed companies, </w:t>
      </w:r>
      <w:r>
        <w:rPr>
          <w:rFonts w:ascii="Cambria" w:hAnsi="Cambria"/>
        </w:rPr>
        <w:t xml:space="preserve">international and domestic seed federations and National Plant Protection Organizations (NPPOs). </w:t>
      </w:r>
    </w:p>
    <w:p w:rsidR="00AE7868" w:rsidRDefault="00FF2B57">
      <w:pPr>
        <w:spacing w:before="200"/>
        <w:rPr>
          <w:rFonts w:ascii="Cambria" w:eastAsia="Calibri" w:hAnsi="Cambria"/>
        </w:rPr>
      </w:pPr>
      <w:r>
        <w:rPr>
          <w:rFonts w:ascii="Cambria" w:hAnsi="Cambria"/>
        </w:rPr>
        <w:t>A summary of issues raised by stakeholders is provided below.</w:t>
      </w:r>
    </w:p>
    <w:p w:rsidR="00AE7868" w:rsidRDefault="00FF2B57">
      <w:pPr>
        <w:pStyle w:val="Heading2"/>
        <w:numPr>
          <w:ilvl w:val="0"/>
          <w:numId w:val="0"/>
        </w:numPr>
        <w:spacing w:before="200" w:after="120"/>
        <w:ind w:left="357" w:hanging="357"/>
        <w:rPr>
          <w:rFonts w:eastAsiaTheme="majorEastAsia" w:cstheme="majorBidi"/>
          <w:color w:val="773141"/>
          <w:sz w:val="28"/>
        </w:rPr>
      </w:pPr>
      <w:bookmarkStart w:id="441" w:name="_Toc437356047"/>
      <w:r>
        <w:rPr>
          <w:rFonts w:eastAsiaTheme="majorEastAsia" w:cstheme="majorBidi"/>
          <w:color w:val="773141"/>
          <w:sz w:val="28"/>
        </w:rPr>
        <w:t>Issues raised by stakeholders in response to emergency measures</w:t>
      </w:r>
      <w:bookmarkEnd w:id="441"/>
    </w:p>
    <w:p w:rsidR="00AE7868" w:rsidRDefault="00FF2B57">
      <w:pPr>
        <w:pStyle w:val="Heading3"/>
        <w:keepLines/>
        <w:spacing w:before="200" w:after="200"/>
        <w:rPr>
          <w:rFonts w:ascii="Calibri" w:hAnsi="Calibri" w:cstheme="minorBidi"/>
          <w:sz w:val="24"/>
          <w:szCs w:val="22"/>
        </w:rPr>
      </w:pPr>
      <w:bookmarkStart w:id="442" w:name="_Toc437356048"/>
      <w:r>
        <w:rPr>
          <w:rFonts w:ascii="Calibri" w:hAnsi="Calibri" w:cstheme="minorBidi"/>
          <w:sz w:val="24"/>
          <w:szCs w:val="22"/>
        </w:rPr>
        <w:t xml:space="preserve">Questions in relation to </w:t>
      </w:r>
      <w:r>
        <w:rPr>
          <w:rFonts w:ascii="Calibri" w:hAnsi="Calibri" w:cstheme="minorBidi"/>
          <w:i/>
          <w:sz w:val="24"/>
          <w:szCs w:val="22"/>
        </w:rPr>
        <w:t>‘Candidatus</w:t>
      </w:r>
      <w:r>
        <w:rPr>
          <w:rFonts w:ascii="Calibri" w:hAnsi="Calibri" w:cstheme="minorBidi"/>
          <w:sz w:val="24"/>
          <w:szCs w:val="22"/>
        </w:rPr>
        <w:t xml:space="preserve"> Liberibacter solanacearum’</w:t>
      </w:r>
      <w:bookmarkEnd w:id="442"/>
    </w:p>
    <w:p w:rsidR="00AE7868" w:rsidRDefault="00FF2B57">
      <w:pPr>
        <w:pStyle w:val="Heading4"/>
        <w:numPr>
          <w:ilvl w:val="0"/>
          <w:numId w:val="42"/>
        </w:numPr>
        <w:spacing w:before="200"/>
        <w:ind w:left="284" w:hanging="284"/>
      </w:pPr>
      <w:r>
        <w:t>Geographical distribution of ‘</w:t>
      </w:r>
      <w:r>
        <w:rPr>
          <w:i/>
        </w:rPr>
        <w:t>Ca.</w:t>
      </w:r>
      <w:r>
        <w:t xml:space="preserve"> L.</w:t>
      </w:r>
      <w:r>
        <w:rPr>
          <w:rFonts w:ascii="Cambria" w:eastAsia="Cambria" w:hAnsi="Cambria" w:cs="MeridienLTStd-Roman"/>
        </w:rPr>
        <w:t xml:space="preserve"> </w:t>
      </w:r>
      <w:r>
        <w:t>solanacearum’ associated with apiaceous crops</w:t>
      </w:r>
    </w:p>
    <w:p w:rsidR="00AE7868" w:rsidRDefault="00FF2B57">
      <w:pPr>
        <w:pStyle w:val="AQISText"/>
        <w:spacing w:before="200" w:line="276" w:lineRule="auto"/>
        <w:jc w:val="left"/>
        <w:rPr>
          <w:rFonts w:ascii="Cambria" w:eastAsia="Cambria" w:hAnsi="Cambria" w:cs="MeridienLTStd-Roman"/>
        </w:rPr>
      </w:pPr>
      <w:r>
        <w:rPr>
          <w:rFonts w:ascii="Cambria" w:eastAsia="Cambria" w:hAnsi="Cambria" w:cs="MeridienLTStd-Roman"/>
        </w:rPr>
        <w:t>‘</w:t>
      </w:r>
      <w:r>
        <w:rPr>
          <w:rFonts w:ascii="Cambria" w:eastAsia="Cambria" w:hAnsi="Cambria" w:cs="MeridienLTStd-Roman"/>
          <w:i/>
        </w:rPr>
        <w:t>Candidatus</w:t>
      </w:r>
      <w:r>
        <w:rPr>
          <w:rFonts w:ascii="Cambria" w:eastAsia="Cambria" w:hAnsi="Cambria" w:cs="MeridienLTStd-Roman"/>
        </w:rPr>
        <w:t xml:space="preserve"> </w:t>
      </w:r>
      <w:r>
        <w:rPr>
          <w:rFonts w:ascii="Cambria" w:eastAsia="Calibri" w:hAnsi="Cambria"/>
          <w:szCs w:val="22"/>
        </w:rPr>
        <w:t>Liberibacter</w:t>
      </w:r>
      <w:r>
        <w:rPr>
          <w:rFonts w:ascii="Cambria" w:eastAsia="Cambria" w:hAnsi="Cambria" w:cs="MeridienLTStd-Roman"/>
        </w:rPr>
        <w:t xml:space="preserve"> solanacearum’ associated with apiaceous crops was first reported to occur in Finland (Munyaneza et al. 2010a),</w:t>
      </w:r>
      <w:r>
        <w:rPr>
          <w:rFonts w:ascii="Cambria" w:hAnsi="Cambria"/>
        </w:rPr>
        <w:t xml:space="preserve"> </w:t>
      </w:r>
      <w:r>
        <w:rPr>
          <w:rFonts w:ascii="Cambria" w:eastAsia="Cambria" w:hAnsi="Cambria" w:cs="MeridienLTStd-Roman"/>
        </w:rPr>
        <w:lastRenderedPageBreak/>
        <w:t xml:space="preserve">Sweden (Munyaneza </w:t>
      </w:r>
      <w:r>
        <w:rPr>
          <w:rFonts w:ascii="Cambria" w:eastAsia="Cambria" w:hAnsi="Cambria" w:cs="MeridienLTStd-Italic"/>
          <w:iCs/>
        </w:rPr>
        <w:t>et al.</w:t>
      </w:r>
      <w:r>
        <w:rPr>
          <w:rFonts w:ascii="Cambria" w:eastAsia="Cambria" w:hAnsi="Cambria" w:cs="MeridienLTStd-Roman"/>
        </w:rPr>
        <w:t xml:space="preserve"> 2012</w:t>
      </w:r>
      <w:r>
        <w:rPr>
          <w:rFonts w:ascii="Cambria" w:eastAsia="Cambria" w:hAnsi="Cambria" w:cs="MeridienLTStd-Italic"/>
          <w:iCs/>
        </w:rPr>
        <w:t>b</w:t>
      </w:r>
      <w:r>
        <w:rPr>
          <w:rFonts w:ascii="Cambria" w:eastAsia="Cambria" w:hAnsi="Cambria" w:cs="MeridienLTStd-Roman"/>
        </w:rPr>
        <w:t xml:space="preserve">) and Norway (Munyaneza </w:t>
      </w:r>
      <w:r>
        <w:rPr>
          <w:rFonts w:ascii="Cambria" w:eastAsia="Cambria" w:hAnsi="Cambria" w:cs="MeridienLTStd-Italic"/>
          <w:iCs/>
        </w:rPr>
        <w:t>et al.</w:t>
      </w:r>
      <w:r>
        <w:rPr>
          <w:rFonts w:ascii="Cambria" w:eastAsia="Cambria" w:hAnsi="Cambria" w:cs="MeridienLTStd-Roman"/>
        </w:rPr>
        <w:t xml:space="preserve"> 2012</w:t>
      </w:r>
      <w:r>
        <w:rPr>
          <w:rFonts w:ascii="Cambria" w:eastAsia="Cambria" w:hAnsi="Cambria" w:cs="MeridienLTStd-Italic"/>
          <w:iCs/>
        </w:rPr>
        <w:t>c</w:t>
      </w:r>
      <w:r>
        <w:rPr>
          <w:rFonts w:ascii="Cambria" w:eastAsia="Cambria" w:hAnsi="Cambria" w:cs="MeridienLTStd-Roman"/>
        </w:rPr>
        <w:t xml:space="preserve">). </w:t>
      </w:r>
      <w:r>
        <w:rPr>
          <w:rFonts w:ascii="Cambria" w:hAnsi="Cambria"/>
        </w:rPr>
        <w:t>These were the first reports of ‘</w:t>
      </w:r>
      <w:r>
        <w:rPr>
          <w:rFonts w:ascii="Cambria" w:hAnsi="Cambria"/>
          <w:i/>
          <w:iCs/>
        </w:rPr>
        <w:t>Ca.</w:t>
      </w:r>
      <w:r>
        <w:rPr>
          <w:rFonts w:ascii="Cambria" w:hAnsi="Cambria"/>
        </w:rPr>
        <w:t xml:space="preserve"> L. solanacearum’ being associated with non-solanaceous species and the first reports of this pathogen outside of North America, Central America and New Zealand. Subsequently, ‘</w:t>
      </w:r>
      <w:r>
        <w:rPr>
          <w:rFonts w:ascii="Cambria" w:hAnsi="Cambria"/>
          <w:i/>
        </w:rPr>
        <w:t>Ca</w:t>
      </w:r>
      <w:r>
        <w:rPr>
          <w:rFonts w:ascii="Cambria" w:hAnsi="Cambria"/>
        </w:rPr>
        <w:t xml:space="preserve">. L. solanacearum’ was reported </w:t>
      </w:r>
      <w:r>
        <w:rPr>
          <w:rFonts w:ascii="Cambria" w:eastAsia="Cambria" w:hAnsi="Cambria" w:cs="MeridienLTStd-Roman"/>
        </w:rPr>
        <w:t xml:space="preserve">on </w:t>
      </w:r>
      <w:r>
        <w:rPr>
          <w:rFonts w:ascii="Cambria" w:hAnsi="Cambria"/>
        </w:rPr>
        <w:t xml:space="preserve">carrot from </w:t>
      </w:r>
      <w:r>
        <w:rPr>
          <w:rFonts w:ascii="Cambria" w:eastAsia="Cambria" w:hAnsi="Cambria" w:cs="MeridienLTStd-Roman"/>
        </w:rPr>
        <w:t xml:space="preserve">the Canary Islands and mainland Spain (Alfaro-Fernández </w:t>
      </w:r>
      <w:r>
        <w:rPr>
          <w:rFonts w:ascii="Cambria" w:eastAsia="Cambria" w:hAnsi="Cambria" w:cs="MeridienLTStd-Italic"/>
          <w:iCs/>
        </w:rPr>
        <w:t>et al.</w:t>
      </w:r>
      <w:r>
        <w:rPr>
          <w:rFonts w:ascii="Cambria" w:eastAsia="Cambria" w:hAnsi="Cambria" w:cs="MeridienLTStd-Roman"/>
        </w:rPr>
        <w:t xml:space="preserve"> 2012</w:t>
      </w:r>
      <w:r>
        <w:rPr>
          <w:rFonts w:ascii="Cambria" w:eastAsia="Cambria" w:hAnsi="Cambria" w:cs="MeridienLTStd-Italic"/>
          <w:iCs/>
        </w:rPr>
        <w:t>a</w:t>
      </w:r>
      <w:r>
        <w:rPr>
          <w:rFonts w:ascii="Cambria" w:eastAsia="Cambria" w:hAnsi="Cambria" w:cs="MeridienLTStd-Roman"/>
        </w:rPr>
        <w:t xml:space="preserve">, </w:t>
      </w:r>
      <w:r>
        <w:rPr>
          <w:rFonts w:ascii="Cambria" w:eastAsia="Cambria" w:hAnsi="Cambria" w:cs="MeridienLTStd-Italic"/>
          <w:iCs/>
        </w:rPr>
        <w:t>b</w:t>
      </w:r>
      <w:r>
        <w:rPr>
          <w:rFonts w:ascii="Cambria" w:eastAsia="Cambria" w:hAnsi="Cambria" w:cs="MeridienLTStd-Roman"/>
        </w:rPr>
        <w:t xml:space="preserve">). The same pathogen was reported on celery in Spain (EPPO 2012; Teresani </w:t>
      </w:r>
      <w:r>
        <w:rPr>
          <w:rFonts w:ascii="Cambria" w:eastAsia="Cambria" w:hAnsi="Cambria" w:cs="MeridienLTStd-Italic"/>
          <w:iCs/>
        </w:rPr>
        <w:t>et al.</w:t>
      </w:r>
      <w:r>
        <w:rPr>
          <w:rFonts w:ascii="Cambria" w:eastAsia="Cambria" w:hAnsi="Cambria" w:cs="MeridienLTStd-Roman"/>
        </w:rPr>
        <w:t xml:space="preserve"> 2014b). More recently, ‘</w:t>
      </w:r>
      <w:r>
        <w:rPr>
          <w:rFonts w:ascii="Cambria" w:eastAsia="Cambria" w:hAnsi="Cambria" w:cs="MeridienLTStd-Roman"/>
          <w:i/>
        </w:rPr>
        <w:t>Ca</w:t>
      </w:r>
      <w:r>
        <w:rPr>
          <w:rFonts w:ascii="Cambria" w:eastAsia="Cambria" w:hAnsi="Cambria" w:cs="MeridienLTStd-Roman"/>
        </w:rPr>
        <w:t xml:space="preserve">. L. solanacearum’ was detected in carrots in Morocco (Tahzima </w:t>
      </w:r>
      <w:r>
        <w:rPr>
          <w:rFonts w:ascii="Cambria" w:eastAsia="Cambria" w:hAnsi="Cambria" w:cs="MeridienLTStd-Italic"/>
          <w:iCs/>
        </w:rPr>
        <w:t>et al.</w:t>
      </w:r>
      <w:r>
        <w:rPr>
          <w:rFonts w:ascii="Cambria" w:eastAsia="Cambria" w:hAnsi="Cambria" w:cs="MeridienLTStd-Roman"/>
        </w:rPr>
        <w:t xml:space="preserve"> 2014), France (Loiseau </w:t>
      </w:r>
      <w:r>
        <w:rPr>
          <w:rFonts w:ascii="Cambria" w:eastAsia="Cambria" w:hAnsi="Cambria" w:cs="MeridienLTStd-Italic"/>
          <w:iCs/>
        </w:rPr>
        <w:t>et al.</w:t>
      </w:r>
      <w:r>
        <w:rPr>
          <w:rFonts w:ascii="Cambria" w:eastAsia="Cambria" w:hAnsi="Cambria" w:cs="MeridienLTStd-Roman"/>
        </w:rPr>
        <w:t xml:space="preserve"> 2014) Germany (Munyaneza </w:t>
      </w:r>
      <w:r>
        <w:rPr>
          <w:rFonts w:ascii="Cambria" w:eastAsia="Cambria" w:hAnsi="Cambria" w:cs="MeridienLTStd-Italic"/>
          <w:iCs/>
        </w:rPr>
        <w:t>et al.</w:t>
      </w:r>
      <w:r>
        <w:rPr>
          <w:rFonts w:ascii="Cambria" w:eastAsia="Cambria" w:hAnsi="Cambria" w:cs="MeridienLTStd-Roman"/>
        </w:rPr>
        <w:t xml:space="preserve"> 2015) and </w:t>
      </w:r>
      <w:r>
        <w:rPr>
          <w:rFonts w:ascii="Cambria" w:hAnsi="Cambria"/>
        </w:rPr>
        <w:t>Austria (</w:t>
      </w:r>
      <w:r>
        <w:rPr>
          <w:rFonts w:ascii="Cambria" w:eastAsia="Cambria" w:hAnsi="Cambria" w:cs="Arial"/>
        </w:rPr>
        <w:t>EPPO Reporting Service 2015</w:t>
      </w:r>
      <w:r>
        <w:rPr>
          <w:rFonts w:ascii="Cambria" w:hAnsi="Cambria"/>
        </w:rPr>
        <w:t>)</w:t>
      </w:r>
      <w:r>
        <w:rPr>
          <w:rFonts w:ascii="Cambria" w:eastAsia="Cambria" w:hAnsi="Cambria" w:cs="MeridienLTStd-Roman"/>
        </w:rPr>
        <w:t xml:space="preserve"> and parsnip in Spain (Cambra et al. 2015).</w:t>
      </w:r>
    </w:p>
    <w:p w:rsidR="00AE7868" w:rsidRDefault="00FF2B57">
      <w:pPr>
        <w:pStyle w:val="AQISText"/>
        <w:spacing w:before="200" w:line="276" w:lineRule="auto"/>
        <w:jc w:val="left"/>
        <w:rPr>
          <w:rFonts w:ascii="Cambria" w:eastAsia="Cambria" w:hAnsi="Cambria" w:cs="SimonciniGaramondStd"/>
        </w:rPr>
      </w:pPr>
      <w:r>
        <w:rPr>
          <w:rFonts w:ascii="Cambria" w:eastAsia="Cambria" w:hAnsi="Cambria" w:cs="MeridienLTStd-Roman"/>
        </w:rPr>
        <w:t xml:space="preserve">The </w:t>
      </w:r>
      <w:r>
        <w:rPr>
          <w:rFonts w:ascii="Cambria" w:eastAsia="Calibri" w:hAnsi="Cambria"/>
          <w:szCs w:val="22"/>
        </w:rPr>
        <w:t>isolates</w:t>
      </w:r>
      <w:r>
        <w:rPr>
          <w:rFonts w:ascii="Cambria" w:eastAsia="Cambria" w:hAnsi="Cambria" w:cs="MeridienLTStd-Roman"/>
        </w:rPr>
        <w:t xml:space="preserve"> of ‘</w:t>
      </w:r>
      <w:r>
        <w:rPr>
          <w:rFonts w:ascii="Cambria" w:eastAsia="Cambria" w:hAnsi="Cambria" w:cs="MeridienLTStd-Roman"/>
          <w:i/>
        </w:rPr>
        <w:t>Ca</w:t>
      </w:r>
      <w:r>
        <w:rPr>
          <w:rFonts w:ascii="Cambria" w:eastAsia="Cambria" w:hAnsi="Cambria" w:cs="MeridienLTStd-Roman"/>
        </w:rPr>
        <w:t>. L. solanacearum’ from different geographical areas were found to represent different haplotypes (</w:t>
      </w:r>
      <w:r>
        <w:rPr>
          <w:rFonts w:ascii="Cambria" w:hAnsi="Cambria"/>
        </w:rPr>
        <w:t>Nelson et al. 2011)</w:t>
      </w:r>
      <w:r>
        <w:rPr>
          <w:rFonts w:ascii="Cambria" w:eastAsia="Cambria" w:hAnsi="Cambria" w:cs="MeridienLTStd-Roman"/>
        </w:rPr>
        <w:t xml:space="preserve">. </w:t>
      </w:r>
      <w:r>
        <w:rPr>
          <w:rFonts w:ascii="Cambria" w:hAnsi="Cambria"/>
        </w:rPr>
        <w:t>Based on molecular studies, five haplotypes of ‘</w:t>
      </w:r>
      <w:r>
        <w:rPr>
          <w:rFonts w:ascii="Cambria" w:hAnsi="Cambria"/>
          <w:i/>
        </w:rPr>
        <w:t>Ca</w:t>
      </w:r>
      <w:r>
        <w:rPr>
          <w:rFonts w:ascii="Cambria" w:hAnsi="Cambria"/>
        </w:rPr>
        <w:t>. L. solanacearum’ have been characterised (Nelson et al. 2011; 2012). ‘</w:t>
      </w:r>
      <w:r>
        <w:rPr>
          <w:rFonts w:ascii="Cambria" w:hAnsi="Cambria"/>
          <w:i/>
        </w:rPr>
        <w:t>Ca</w:t>
      </w:r>
      <w:r>
        <w:rPr>
          <w:rFonts w:ascii="Cambria" w:hAnsi="Cambria"/>
        </w:rPr>
        <w:t xml:space="preserve">. L. solanacearum’ </w:t>
      </w:r>
      <w:r>
        <w:rPr>
          <w:rFonts w:ascii="Cambria" w:eastAsia="Cambria" w:hAnsi="Cambria" w:cs="MeridienLTStd-Roman"/>
        </w:rPr>
        <w:t xml:space="preserve">isolates from North and Central America represent haplotypes A and B, which infect solanaceous plants and are transmitted by </w:t>
      </w:r>
      <w:r>
        <w:rPr>
          <w:rFonts w:ascii="Cambria" w:eastAsia="Cambria" w:hAnsi="Cambria" w:cs="MeridienLTStd-Italic"/>
          <w:i/>
          <w:iCs/>
        </w:rPr>
        <w:t>B. cockerelli</w:t>
      </w:r>
      <w:r>
        <w:rPr>
          <w:rFonts w:ascii="Cambria" w:eastAsia="Cambria" w:hAnsi="Cambria" w:cs="MeridienLTStd-Roman"/>
        </w:rPr>
        <w:t xml:space="preserve"> (Hansen et al. 2008). The isolates from New Zealand belong to the western North American haplotype A. ‘</w:t>
      </w:r>
      <w:r>
        <w:rPr>
          <w:rFonts w:ascii="Cambria" w:eastAsia="Cambria" w:hAnsi="Cambria" w:cs="MeridienLTStd-Roman"/>
          <w:i/>
        </w:rPr>
        <w:t>Ca</w:t>
      </w:r>
      <w:r>
        <w:rPr>
          <w:rFonts w:ascii="Cambria" w:eastAsia="Cambria" w:hAnsi="Cambria" w:cs="MeridienLTStd-Roman"/>
        </w:rPr>
        <w:t xml:space="preserve">. L. solanacearum’ associated with a carrot disease in Northern Europe represent haplotype C (Nelson </w:t>
      </w:r>
      <w:r>
        <w:rPr>
          <w:rFonts w:ascii="Cambria" w:eastAsia="Cambria" w:hAnsi="Cambria" w:cs="MeridienLTStd-Italic"/>
          <w:iCs/>
        </w:rPr>
        <w:t>et al.</w:t>
      </w:r>
      <w:r>
        <w:rPr>
          <w:rFonts w:ascii="Cambria" w:eastAsia="Cambria" w:hAnsi="Cambria" w:cs="MeridienLTStd-Roman"/>
        </w:rPr>
        <w:t xml:space="preserve"> 2011; 2013), and ‘</w:t>
      </w:r>
      <w:r>
        <w:rPr>
          <w:rFonts w:ascii="Cambria" w:eastAsia="Cambria" w:hAnsi="Cambria" w:cs="MeridienLTStd-Roman"/>
          <w:i/>
        </w:rPr>
        <w:t>Ca</w:t>
      </w:r>
      <w:r>
        <w:rPr>
          <w:rFonts w:ascii="Cambria" w:eastAsia="Cambria" w:hAnsi="Cambria" w:cs="MeridienLTStd-Roman"/>
        </w:rPr>
        <w:t xml:space="preserve">. L. solanacearum’ isolates from carrot and celery plants in Spain and Morocco represent haplotypes D and E (Nelson </w:t>
      </w:r>
      <w:r>
        <w:rPr>
          <w:rFonts w:ascii="Cambria" w:eastAsia="Cambria" w:hAnsi="Cambria" w:cs="MeridienLTStd-Italic"/>
          <w:iCs/>
        </w:rPr>
        <w:t>et al.</w:t>
      </w:r>
      <w:r>
        <w:rPr>
          <w:rFonts w:ascii="Cambria" w:eastAsia="Cambria" w:hAnsi="Cambria" w:cs="MeridienLTStd-Roman"/>
        </w:rPr>
        <w:t xml:space="preserve"> 2013; Tahzima </w:t>
      </w:r>
      <w:r>
        <w:rPr>
          <w:rFonts w:ascii="Cambria" w:eastAsia="Cambria" w:hAnsi="Cambria" w:cs="MeridienLTStd-Italic"/>
          <w:iCs/>
        </w:rPr>
        <w:t>et al.</w:t>
      </w:r>
      <w:r>
        <w:rPr>
          <w:rFonts w:ascii="Cambria" w:eastAsia="Cambria" w:hAnsi="Cambria" w:cs="MeridienLTStd-Roman"/>
        </w:rPr>
        <w:t xml:space="preserve"> 2014; Teresani </w:t>
      </w:r>
      <w:r>
        <w:rPr>
          <w:rFonts w:ascii="Cambria" w:eastAsia="Cambria" w:hAnsi="Cambria" w:cs="MeridienLTStd-Italic"/>
          <w:iCs/>
        </w:rPr>
        <w:t>et al.</w:t>
      </w:r>
      <w:r>
        <w:rPr>
          <w:rFonts w:ascii="Cambria" w:eastAsia="Cambria" w:hAnsi="Cambria" w:cs="MeridienLTStd-Roman"/>
        </w:rPr>
        <w:t xml:space="preserve"> 2014b). </w:t>
      </w:r>
      <w:r>
        <w:rPr>
          <w:rFonts w:ascii="Cambria" w:eastAsia="Calibri" w:hAnsi="Cambria"/>
        </w:rPr>
        <w:t xml:space="preserve">It is </w:t>
      </w:r>
      <w:r>
        <w:rPr>
          <w:rFonts w:ascii="Cambria" w:eastAsia="Calibri" w:hAnsi="Cambria"/>
        </w:rPr>
        <w:lastRenderedPageBreak/>
        <w:t>suspected that ‘</w:t>
      </w:r>
      <w:r>
        <w:rPr>
          <w:rFonts w:ascii="Cambria" w:eastAsia="Calibri" w:hAnsi="Cambria"/>
          <w:i/>
        </w:rPr>
        <w:t>Ca</w:t>
      </w:r>
      <w:r>
        <w:rPr>
          <w:rFonts w:ascii="Cambria" w:eastAsia="Calibri" w:hAnsi="Cambria"/>
        </w:rPr>
        <w:t>. L. solanacearum’ associated with apiaceous crops is likely to be more widespread in parts of Northern and Central Europe where psyllid vectors (</w:t>
      </w:r>
      <w:r>
        <w:rPr>
          <w:rFonts w:ascii="Cambria" w:eastAsia="Calibri" w:hAnsi="Cambria"/>
          <w:i/>
        </w:rPr>
        <w:t>Bactericera</w:t>
      </w:r>
      <w:r>
        <w:rPr>
          <w:rFonts w:ascii="Cambria" w:eastAsia="Calibri" w:hAnsi="Cambria"/>
        </w:rPr>
        <w:t xml:space="preserve"> species and </w:t>
      </w:r>
      <w:r>
        <w:rPr>
          <w:rFonts w:ascii="Cambria" w:eastAsia="Calibri" w:hAnsi="Cambria"/>
          <w:i/>
        </w:rPr>
        <w:t>Trioza apicalis</w:t>
      </w:r>
      <w:r>
        <w:rPr>
          <w:rFonts w:ascii="Cambria" w:eastAsia="Calibri" w:hAnsi="Cambria"/>
        </w:rPr>
        <w:t>) occur.</w:t>
      </w:r>
    </w:p>
    <w:p w:rsidR="00AE7868" w:rsidRDefault="00FF2B57">
      <w:pPr>
        <w:pStyle w:val="Heading4"/>
        <w:numPr>
          <w:ilvl w:val="0"/>
          <w:numId w:val="42"/>
        </w:numPr>
        <w:spacing w:before="200"/>
        <w:ind w:left="284" w:hanging="284"/>
      </w:pPr>
      <w:r>
        <w:t>Role of seeds in spreading ‘</w:t>
      </w:r>
      <w:r>
        <w:rPr>
          <w:i/>
        </w:rPr>
        <w:t>Ca</w:t>
      </w:r>
      <w:r>
        <w:t>. L. solanacearum’</w:t>
      </w:r>
    </w:p>
    <w:p w:rsidR="00AE7868" w:rsidRDefault="00FF2B57">
      <w:pPr>
        <w:spacing w:before="200"/>
        <w:rPr>
          <w:rFonts w:ascii="Cambria" w:hAnsi="Cambria"/>
        </w:rPr>
      </w:pPr>
      <w:r>
        <w:rPr>
          <w:rFonts w:ascii="Cambria" w:hAnsi="Cambria"/>
        </w:rPr>
        <w:t>The bacterium was first detected in Finland in 2010 (Munyaneza et al. 2010a) and since then has been reported from Austria (</w:t>
      </w:r>
      <w:r>
        <w:rPr>
          <w:rFonts w:ascii="Cambria" w:eastAsia="Cambria" w:hAnsi="Cambria" w:cs="Arial"/>
        </w:rPr>
        <w:t>EPPO Reporting Service 2015</w:t>
      </w:r>
      <w:r>
        <w:rPr>
          <w:rFonts w:ascii="Cambria" w:hAnsi="Cambria"/>
        </w:rPr>
        <w:t>), France (</w:t>
      </w:r>
      <w:r>
        <w:rPr>
          <w:rFonts w:ascii="Cambria" w:eastAsia="Cambria" w:hAnsi="Cambria" w:cs="MeridienLTStd-Roman"/>
        </w:rPr>
        <w:t xml:space="preserve">Loiseau </w:t>
      </w:r>
      <w:r>
        <w:rPr>
          <w:rFonts w:ascii="Cambria" w:eastAsia="Cambria" w:hAnsi="Cambria" w:cs="MeridienLTStd-Italic"/>
          <w:iCs/>
        </w:rPr>
        <w:t>et al.</w:t>
      </w:r>
      <w:r>
        <w:rPr>
          <w:rFonts w:ascii="Cambria" w:eastAsia="Cambria" w:hAnsi="Cambria" w:cs="MeridienLTStd-Roman"/>
        </w:rPr>
        <w:t xml:space="preserve"> 2014</w:t>
      </w:r>
      <w:r>
        <w:rPr>
          <w:rFonts w:ascii="Cambria" w:hAnsi="Cambria"/>
        </w:rPr>
        <w:t>), Germany (Munyaneza et al. 2015), Morocco (</w:t>
      </w:r>
      <w:r>
        <w:rPr>
          <w:rFonts w:ascii="Cambria" w:hAnsi="Cambria" w:cs="Arial"/>
        </w:rPr>
        <w:t>Tahzima et al. 2014</w:t>
      </w:r>
      <w:r>
        <w:rPr>
          <w:rFonts w:ascii="Cambria" w:hAnsi="Cambria"/>
        </w:rPr>
        <w:t>), Norway (</w:t>
      </w:r>
      <w:r>
        <w:rPr>
          <w:rFonts w:ascii="Cambria" w:eastAsia="Cambria" w:hAnsi="Cambria" w:cs="Arial"/>
        </w:rPr>
        <w:t>Munyaneza 2012</w:t>
      </w:r>
      <w:r>
        <w:rPr>
          <w:rFonts w:ascii="Cambria" w:hAnsi="Cambria"/>
        </w:rPr>
        <w:t>), Spain (</w:t>
      </w:r>
      <w:r>
        <w:rPr>
          <w:rFonts w:ascii="Cambria" w:eastAsia="Cambria" w:hAnsi="Cambria" w:cs="Arial"/>
        </w:rPr>
        <w:t xml:space="preserve">Alfaro-Fernández </w:t>
      </w:r>
      <w:r>
        <w:rPr>
          <w:rFonts w:ascii="Cambria" w:eastAsia="Cambria" w:hAnsi="Cambria" w:cs="Arial"/>
          <w:iCs/>
        </w:rPr>
        <w:t>et al</w:t>
      </w:r>
      <w:r>
        <w:rPr>
          <w:rFonts w:ascii="Cambria" w:eastAsia="Cambria" w:hAnsi="Cambria" w:cs="Arial"/>
          <w:i/>
          <w:iCs/>
        </w:rPr>
        <w:t xml:space="preserve">. </w:t>
      </w:r>
      <w:r>
        <w:rPr>
          <w:rFonts w:ascii="Cambria" w:eastAsia="Cambria" w:hAnsi="Cambria" w:cs="Arial"/>
        </w:rPr>
        <w:t>2012a</w:t>
      </w:r>
      <w:r>
        <w:rPr>
          <w:rFonts w:ascii="Cambria" w:hAnsi="Cambria"/>
        </w:rPr>
        <w:t>) and Sweden (</w:t>
      </w:r>
      <w:r>
        <w:rPr>
          <w:rFonts w:ascii="Cambria" w:eastAsia="Cambria" w:hAnsi="Cambria" w:cs="Arial"/>
        </w:rPr>
        <w:t xml:space="preserve">Munyaneza </w:t>
      </w:r>
      <w:r>
        <w:rPr>
          <w:rFonts w:ascii="Cambria" w:eastAsia="Cambria" w:hAnsi="Cambria" w:cs="Arial"/>
          <w:iCs/>
        </w:rPr>
        <w:t>et al</w:t>
      </w:r>
      <w:r>
        <w:rPr>
          <w:rFonts w:ascii="Cambria" w:eastAsia="Cambria" w:hAnsi="Cambria" w:cs="Arial"/>
          <w:i/>
          <w:iCs/>
        </w:rPr>
        <w:t xml:space="preserve">. </w:t>
      </w:r>
      <w:r>
        <w:rPr>
          <w:rFonts w:ascii="Cambria" w:eastAsia="Cambria" w:hAnsi="Cambria" w:cs="Arial"/>
        </w:rPr>
        <w:t>2012b</w:t>
      </w:r>
      <w:r>
        <w:rPr>
          <w:rFonts w:ascii="Cambria" w:hAnsi="Cambria"/>
        </w:rPr>
        <w:t>). Infection of carrots with ‘</w:t>
      </w:r>
      <w:r>
        <w:rPr>
          <w:rFonts w:ascii="Cambria" w:hAnsi="Cambria"/>
          <w:i/>
        </w:rPr>
        <w:t>Ca</w:t>
      </w:r>
      <w:r>
        <w:rPr>
          <w:rFonts w:ascii="Cambria" w:hAnsi="Cambria"/>
        </w:rPr>
        <w:t>. L. solanacearum’ in geographically distant areas and countries in Europe suggests that carrot seeds might be the first source of inoculum in these countries.</w:t>
      </w:r>
    </w:p>
    <w:p w:rsidR="00AE7868" w:rsidRDefault="00FF2B57">
      <w:pPr>
        <w:spacing w:before="200"/>
        <w:rPr>
          <w:rFonts w:ascii="Cambria" w:eastAsia="Cambria" w:hAnsi="Cambria" w:cs="MeridienLTStd-Roman"/>
        </w:rPr>
      </w:pPr>
      <w:r>
        <w:rPr>
          <w:rFonts w:ascii="Cambria" w:eastAsia="Cambria" w:hAnsi="Cambria" w:cs="TimesNewRomanPSMT"/>
        </w:rPr>
        <w:t>Australia acknowledges that psyllids are highly</w:t>
      </w:r>
      <w:r>
        <w:rPr>
          <w:rFonts w:ascii="AdvP497E2" w:eastAsia="AdvP497E2" w:hAnsi="Cambria" w:cs="AdvP497E2"/>
        </w:rPr>
        <w:t xml:space="preserve"> </w:t>
      </w:r>
      <w:r>
        <w:rPr>
          <w:rFonts w:ascii="Cambria" w:eastAsia="Cambria" w:hAnsi="Cambria" w:cs="TimesNewRomanPSMT"/>
        </w:rPr>
        <w:t xml:space="preserve">effective dispersers over both short and long distances, although in almost all cases psyllid dispersal is wind assisted. </w:t>
      </w:r>
      <w:r>
        <w:rPr>
          <w:rFonts w:ascii="Cambria" w:eastAsia="Cambria" w:hAnsi="Cambria" w:cs="TimesNewRomanPSMT"/>
          <w:i/>
        </w:rPr>
        <w:t>Trioza apicalis</w:t>
      </w:r>
      <w:r>
        <w:rPr>
          <w:rFonts w:ascii="Cambria" w:eastAsia="Cambria" w:hAnsi="Cambria" w:cs="TimesNewRomanPSMT"/>
        </w:rPr>
        <w:t xml:space="preserve"> moves up to one kilometre (Kristoffersen &amp; Anderbrant 2007),</w:t>
      </w:r>
      <w:r>
        <w:rPr>
          <w:rFonts w:ascii="Cambria" w:eastAsia="Cambria" w:hAnsi="Cambria" w:cs="MeridienLTStd-Roman"/>
        </w:rPr>
        <w:t xml:space="preserve"> indicating the psyllid is able to spread the disease from infected plants to healthy ones. The maximum distance that the carrot psyllid can fly is not known (Kristoffersen &amp; Anderbrant 2007). However, it is unlikely that the bacterium was spread by psyllids carrying the bacterium to all of these countries. Therefore, </w:t>
      </w:r>
      <w:r>
        <w:rPr>
          <w:rFonts w:ascii="Cambria" w:hAnsi="Cambria"/>
        </w:rPr>
        <w:t>carrot seeds are likely be the first source of inoculum in these countries.</w:t>
      </w:r>
    </w:p>
    <w:p w:rsidR="00AE7868" w:rsidRDefault="00FF2B57">
      <w:pPr>
        <w:pStyle w:val="Heading4"/>
        <w:numPr>
          <w:ilvl w:val="0"/>
          <w:numId w:val="42"/>
        </w:numPr>
        <w:spacing w:before="200"/>
        <w:ind w:left="284" w:hanging="284"/>
      </w:pPr>
      <w:r>
        <w:lastRenderedPageBreak/>
        <w:t>Seed transmission of ‘</w:t>
      </w:r>
      <w:r>
        <w:rPr>
          <w:i/>
        </w:rPr>
        <w:t>Ca</w:t>
      </w:r>
      <w:r>
        <w:t>. L. solanacearum’ in carrot</w:t>
      </w:r>
    </w:p>
    <w:p w:rsidR="00AE7868" w:rsidRDefault="00FF2B57">
      <w:pPr>
        <w:spacing w:before="200"/>
        <w:rPr>
          <w:rFonts w:ascii="Cambria" w:eastAsia="Cambria" w:hAnsi="Cambria" w:cs="AdvPSHV-L"/>
        </w:rPr>
      </w:pPr>
      <w:r>
        <w:rPr>
          <w:rFonts w:ascii="Cambria" w:hAnsi="Cambria"/>
        </w:rPr>
        <w:t>‘</w:t>
      </w:r>
      <w:r>
        <w:rPr>
          <w:rFonts w:ascii="Cambria" w:hAnsi="Cambria"/>
          <w:i/>
        </w:rPr>
        <w:t xml:space="preserve">Candidatus </w:t>
      </w:r>
      <w:r>
        <w:rPr>
          <w:rFonts w:ascii="Cambria" w:hAnsi="Cambria"/>
        </w:rPr>
        <w:t xml:space="preserve">Liberibacter </w:t>
      </w:r>
      <w:r>
        <w:rPr>
          <w:rFonts w:ascii="Cambria" w:eastAsia="Cambria" w:hAnsi="Cambria" w:cs="MeridienLTStd-Roman"/>
        </w:rPr>
        <w:t>solanacearum’</w:t>
      </w:r>
      <w:r>
        <w:rPr>
          <w:rFonts w:ascii="Cambria" w:hAnsi="Cambria"/>
        </w:rPr>
        <w:t xml:space="preserve"> associated with carrot is transmitted by seeds (Bertolini et al. 2014). ‘</w:t>
      </w:r>
      <w:r>
        <w:rPr>
          <w:rFonts w:ascii="Cambria" w:hAnsi="Cambria"/>
          <w:i/>
        </w:rPr>
        <w:t xml:space="preserve">Candidatus </w:t>
      </w:r>
      <w:r>
        <w:rPr>
          <w:rFonts w:ascii="Cambria" w:hAnsi="Cambria"/>
        </w:rPr>
        <w:t xml:space="preserve">Liberibacter solanacearum’ was detected in several commercial seed lots produced in France and Spain (Table 13). The detection in various cultivars indicates that the bacterium is widespread and can persist in the seed for a long time, as the bacterium was tested in seed lots produced in different years </w:t>
      </w:r>
      <w:r>
        <w:rPr>
          <w:rFonts w:ascii="Cambria" w:eastAsia="Cambria" w:hAnsi="Cambria" w:cs="AdvPSHV-L"/>
        </w:rPr>
        <w:t>(Bertolini et al. 2015).</w:t>
      </w:r>
    </w:p>
    <w:p w:rsidR="00AE7868" w:rsidRDefault="00FF2B57">
      <w:pPr>
        <w:pStyle w:val="Caption"/>
        <w:keepNext w:val="0"/>
        <w:spacing w:before="120"/>
        <w:rPr>
          <w:rFonts w:asciiTheme="majorHAnsi" w:eastAsiaTheme="majorEastAsia" w:hAnsiTheme="majorHAnsi" w:cstheme="majorBidi"/>
          <w:color w:val="595959" w:themeColor="text1" w:themeTint="A6"/>
          <w:sz w:val="20"/>
        </w:rPr>
      </w:pPr>
      <w:bookmarkStart w:id="443" w:name="_Toc418712824"/>
      <w:bookmarkStart w:id="444" w:name="_Toc418712928"/>
      <w:bookmarkStart w:id="445" w:name="_Toc421786710"/>
      <w:bookmarkStart w:id="446" w:name="_Toc428786328"/>
      <w:bookmarkStart w:id="447" w:name="_Toc429494627"/>
      <w:bookmarkStart w:id="448" w:name="_Toc430256540"/>
      <w:bookmarkStart w:id="449" w:name="_Toc433707339"/>
      <w:bookmarkStart w:id="450" w:name="_Toc433796503"/>
      <w:bookmarkStart w:id="451" w:name="_Toc437355966"/>
      <w:bookmarkStart w:id="452" w:name="_Toc437355998"/>
      <w:r>
        <w:rPr>
          <w:rFonts w:asciiTheme="majorHAnsi" w:eastAsiaTheme="majorEastAsia" w:hAnsiTheme="majorHAnsi" w:cstheme="majorBidi"/>
          <w:color w:val="595959" w:themeColor="text1" w:themeTint="A6"/>
          <w:sz w:val="20"/>
        </w:rPr>
        <w:t>Table 13 Detection of ‘</w:t>
      </w:r>
      <w:r>
        <w:rPr>
          <w:rFonts w:asciiTheme="majorHAnsi" w:eastAsiaTheme="majorEastAsia" w:hAnsiTheme="majorHAnsi" w:cstheme="majorBidi"/>
          <w:i/>
          <w:color w:val="595959" w:themeColor="text1" w:themeTint="A6"/>
          <w:sz w:val="20"/>
        </w:rPr>
        <w:t>Candidatus</w:t>
      </w:r>
      <w:r>
        <w:rPr>
          <w:rFonts w:asciiTheme="majorHAnsi" w:eastAsiaTheme="majorEastAsia" w:hAnsiTheme="majorHAnsi" w:cstheme="majorBidi"/>
          <w:color w:val="595959" w:themeColor="text1" w:themeTint="A6"/>
          <w:sz w:val="20"/>
        </w:rPr>
        <w:t xml:space="preserve"> Liberibacter solanacearum’ in different seed lots</w:t>
      </w:r>
      <w:bookmarkEnd w:id="443"/>
      <w:bookmarkEnd w:id="444"/>
      <w:bookmarkEnd w:id="445"/>
      <w:bookmarkEnd w:id="446"/>
      <w:bookmarkEnd w:id="447"/>
      <w:bookmarkEnd w:id="448"/>
      <w:bookmarkEnd w:id="449"/>
      <w:bookmarkEnd w:id="450"/>
      <w:bookmarkEnd w:id="451"/>
      <w:bookmarkEnd w:id="452"/>
    </w:p>
    <w:tbl>
      <w:tblPr>
        <w:tblW w:w="4885" w:type="pct"/>
        <w:tblInd w:w="108" w:type="dxa"/>
        <w:tblBorders>
          <w:top w:val="single" w:sz="12" w:space="0" w:color="990000"/>
          <w:bottom w:val="single" w:sz="12" w:space="0" w:color="990000"/>
        </w:tblBorders>
        <w:tblLook w:val="04A0" w:firstRow="1" w:lastRow="0" w:firstColumn="1" w:lastColumn="0" w:noHBand="0" w:noVBand="1"/>
      </w:tblPr>
      <w:tblGrid>
        <w:gridCol w:w="3185"/>
        <w:gridCol w:w="2493"/>
        <w:gridCol w:w="3183"/>
      </w:tblGrid>
      <w:tr w:rsidR="00AE7868">
        <w:trPr>
          <w:tblHeader/>
        </w:trPr>
        <w:tc>
          <w:tcPr>
            <w:tcW w:w="1797" w:type="pct"/>
            <w:tcBorders>
              <w:top w:val="single" w:sz="4" w:space="0" w:color="auto"/>
              <w:bottom w:val="nil"/>
            </w:tcBorders>
          </w:tcPr>
          <w:p w:rsidR="00AE7868" w:rsidRDefault="00FF2B57">
            <w:pPr>
              <w:pStyle w:val="TableHeading"/>
              <w:rPr>
                <w:rFonts w:ascii="Cambria" w:hAnsi="Cambria"/>
                <w:sz w:val="16"/>
                <w:szCs w:val="16"/>
              </w:rPr>
            </w:pPr>
            <w:r>
              <w:rPr>
                <w:rFonts w:ascii="Cambria" w:hAnsi="Cambria"/>
                <w:iCs/>
                <w:sz w:val="16"/>
                <w:szCs w:val="16"/>
              </w:rPr>
              <w:t>Seed lot</w:t>
            </w:r>
          </w:p>
        </w:tc>
        <w:tc>
          <w:tcPr>
            <w:tcW w:w="1407" w:type="pct"/>
            <w:tcBorders>
              <w:top w:val="single" w:sz="4" w:space="0" w:color="auto"/>
              <w:bottom w:val="nil"/>
            </w:tcBorders>
          </w:tcPr>
          <w:p w:rsidR="00AE7868" w:rsidRDefault="00FF2B57">
            <w:pPr>
              <w:pStyle w:val="TableHeading"/>
              <w:rPr>
                <w:rFonts w:ascii="Cambria" w:hAnsi="Cambria"/>
                <w:sz w:val="16"/>
                <w:szCs w:val="16"/>
              </w:rPr>
            </w:pPr>
            <w:r>
              <w:rPr>
                <w:rFonts w:ascii="Cambria" w:hAnsi="Cambria"/>
                <w:sz w:val="16"/>
                <w:szCs w:val="16"/>
              </w:rPr>
              <w:t xml:space="preserve">Production area </w:t>
            </w:r>
          </w:p>
        </w:tc>
        <w:tc>
          <w:tcPr>
            <w:tcW w:w="1796" w:type="pct"/>
            <w:tcBorders>
              <w:top w:val="single" w:sz="4" w:space="0" w:color="auto"/>
              <w:bottom w:val="nil"/>
            </w:tcBorders>
          </w:tcPr>
          <w:p w:rsidR="00AE7868" w:rsidRDefault="00FF2B57">
            <w:pPr>
              <w:pStyle w:val="TableHeading"/>
              <w:rPr>
                <w:rFonts w:ascii="Cambria" w:hAnsi="Cambria"/>
                <w:sz w:val="16"/>
                <w:szCs w:val="16"/>
              </w:rPr>
            </w:pPr>
            <w:r>
              <w:rPr>
                <w:rFonts w:ascii="Cambria" w:hAnsi="Cambria"/>
                <w:sz w:val="16"/>
                <w:szCs w:val="16"/>
              </w:rPr>
              <w:t xml:space="preserve">Cultivar </w:t>
            </w:r>
          </w:p>
        </w:tc>
      </w:tr>
      <w:tr w:rsidR="00AE7868">
        <w:tc>
          <w:tcPr>
            <w:tcW w:w="179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06/2013</w:t>
            </w:r>
          </w:p>
        </w:tc>
        <w:tc>
          <w:tcPr>
            <w:tcW w:w="140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Spain</w:t>
            </w:r>
          </w:p>
        </w:tc>
        <w:tc>
          <w:tcPr>
            <w:tcW w:w="1796"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Bangor</w:t>
            </w:r>
          </w:p>
        </w:tc>
      </w:tr>
      <w:tr w:rsidR="00AE7868">
        <w:tc>
          <w:tcPr>
            <w:tcW w:w="179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09/2013</w:t>
            </w:r>
          </w:p>
        </w:tc>
        <w:tc>
          <w:tcPr>
            <w:tcW w:w="140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Spain</w:t>
            </w:r>
          </w:p>
        </w:tc>
        <w:tc>
          <w:tcPr>
            <w:tcW w:w="1796"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Bolero</w:t>
            </w:r>
          </w:p>
        </w:tc>
      </w:tr>
      <w:tr w:rsidR="00AE7868">
        <w:tc>
          <w:tcPr>
            <w:tcW w:w="179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10/2012</w:t>
            </w:r>
          </w:p>
        </w:tc>
        <w:tc>
          <w:tcPr>
            <w:tcW w:w="140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France</w:t>
            </w:r>
          </w:p>
        </w:tc>
        <w:tc>
          <w:tcPr>
            <w:tcW w:w="1796"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CAC 3075</w:t>
            </w:r>
          </w:p>
        </w:tc>
      </w:tr>
      <w:tr w:rsidR="00AE7868">
        <w:tc>
          <w:tcPr>
            <w:tcW w:w="179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11/2012</w:t>
            </w:r>
          </w:p>
        </w:tc>
        <w:tc>
          <w:tcPr>
            <w:tcW w:w="140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France</w:t>
            </w:r>
          </w:p>
        </w:tc>
        <w:tc>
          <w:tcPr>
            <w:tcW w:w="1796"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Amsterdam</w:t>
            </w:r>
          </w:p>
        </w:tc>
      </w:tr>
      <w:tr w:rsidR="00AE7868">
        <w:tc>
          <w:tcPr>
            <w:tcW w:w="179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13/2012</w:t>
            </w:r>
          </w:p>
        </w:tc>
        <w:tc>
          <w:tcPr>
            <w:tcW w:w="140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Spain</w:t>
            </w:r>
          </w:p>
        </w:tc>
        <w:tc>
          <w:tcPr>
            <w:tcW w:w="1796"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Carboli</w:t>
            </w:r>
          </w:p>
        </w:tc>
      </w:tr>
      <w:tr w:rsidR="00AE7868">
        <w:tc>
          <w:tcPr>
            <w:tcW w:w="179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16/2013</w:t>
            </w:r>
          </w:p>
        </w:tc>
        <w:tc>
          <w:tcPr>
            <w:tcW w:w="140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Spain</w:t>
            </w:r>
          </w:p>
        </w:tc>
        <w:tc>
          <w:tcPr>
            <w:tcW w:w="1796"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Elegance</w:t>
            </w:r>
          </w:p>
        </w:tc>
      </w:tr>
      <w:tr w:rsidR="00AE7868">
        <w:tc>
          <w:tcPr>
            <w:tcW w:w="179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20/2013</w:t>
            </w:r>
          </w:p>
        </w:tc>
        <w:tc>
          <w:tcPr>
            <w:tcW w:w="140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Spain</w:t>
            </w:r>
          </w:p>
        </w:tc>
        <w:tc>
          <w:tcPr>
            <w:tcW w:w="1796"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Exelso</w:t>
            </w:r>
          </w:p>
        </w:tc>
      </w:tr>
      <w:tr w:rsidR="00AE7868">
        <w:tc>
          <w:tcPr>
            <w:tcW w:w="179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23/2010</w:t>
            </w:r>
          </w:p>
        </w:tc>
        <w:tc>
          <w:tcPr>
            <w:tcW w:w="140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Spain</w:t>
            </w:r>
          </w:p>
        </w:tc>
        <w:tc>
          <w:tcPr>
            <w:tcW w:w="1796"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Maestro</w:t>
            </w:r>
          </w:p>
        </w:tc>
      </w:tr>
      <w:tr w:rsidR="00AE7868">
        <w:tc>
          <w:tcPr>
            <w:tcW w:w="179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30/2012</w:t>
            </w:r>
          </w:p>
        </w:tc>
        <w:tc>
          <w:tcPr>
            <w:tcW w:w="140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Spain</w:t>
            </w:r>
          </w:p>
        </w:tc>
        <w:tc>
          <w:tcPr>
            <w:tcW w:w="1796"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Maestro</w:t>
            </w:r>
          </w:p>
        </w:tc>
      </w:tr>
      <w:tr w:rsidR="00AE7868">
        <w:tc>
          <w:tcPr>
            <w:tcW w:w="179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34/2013</w:t>
            </w:r>
          </w:p>
        </w:tc>
        <w:tc>
          <w:tcPr>
            <w:tcW w:w="140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Spain</w:t>
            </w:r>
          </w:p>
        </w:tc>
        <w:tc>
          <w:tcPr>
            <w:tcW w:w="1796"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Maestro</w:t>
            </w:r>
          </w:p>
        </w:tc>
      </w:tr>
      <w:tr w:rsidR="00AE7868">
        <w:tc>
          <w:tcPr>
            <w:tcW w:w="179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37/2013</w:t>
            </w:r>
          </w:p>
        </w:tc>
        <w:tc>
          <w:tcPr>
            <w:tcW w:w="140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Spain</w:t>
            </w:r>
          </w:p>
        </w:tc>
        <w:tc>
          <w:tcPr>
            <w:tcW w:w="1796"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Musico</w:t>
            </w:r>
          </w:p>
        </w:tc>
      </w:tr>
      <w:tr w:rsidR="00AE7868">
        <w:tc>
          <w:tcPr>
            <w:tcW w:w="179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43/2013</w:t>
            </w:r>
          </w:p>
        </w:tc>
        <w:tc>
          <w:tcPr>
            <w:tcW w:w="140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Spain</w:t>
            </w:r>
          </w:p>
        </w:tc>
        <w:tc>
          <w:tcPr>
            <w:tcW w:w="1796"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Newhall</w:t>
            </w:r>
          </w:p>
        </w:tc>
      </w:tr>
      <w:tr w:rsidR="00AE7868">
        <w:tc>
          <w:tcPr>
            <w:tcW w:w="179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52/2013</w:t>
            </w:r>
          </w:p>
        </w:tc>
        <w:tc>
          <w:tcPr>
            <w:tcW w:w="1407"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Spain</w:t>
            </w:r>
          </w:p>
        </w:tc>
        <w:tc>
          <w:tcPr>
            <w:tcW w:w="1796" w:type="pct"/>
            <w:tcBorders>
              <w:top w:val="nil"/>
              <w:bottom w:val="nil"/>
            </w:tcBorders>
          </w:tcPr>
          <w:p w:rsidR="00AE7868" w:rsidRDefault="00FF2B57">
            <w:pPr>
              <w:spacing w:before="20" w:after="20" w:line="240" w:lineRule="atLeast"/>
              <w:rPr>
                <w:rFonts w:ascii="Cambria" w:hAnsi="Cambria"/>
                <w:iCs/>
                <w:sz w:val="18"/>
                <w:szCs w:val="18"/>
              </w:rPr>
            </w:pPr>
            <w:r>
              <w:rPr>
                <w:rFonts w:ascii="Cambria" w:hAnsi="Cambria"/>
                <w:iCs/>
                <w:sz w:val="18"/>
                <w:szCs w:val="18"/>
              </w:rPr>
              <w:t>Soprano</w:t>
            </w:r>
          </w:p>
        </w:tc>
      </w:tr>
      <w:tr w:rsidR="00AE7868">
        <w:tc>
          <w:tcPr>
            <w:tcW w:w="1797" w:type="pct"/>
            <w:tcBorders>
              <w:top w:val="nil"/>
              <w:bottom w:val="single" w:sz="4" w:space="0" w:color="auto"/>
            </w:tcBorders>
          </w:tcPr>
          <w:p w:rsidR="00AE7868" w:rsidRDefault="00FF2B57">
            <w:pPr>
              <w:spacing w:before="20" w:after="20" w:line="240" w:lineRule="atLeast"/>
              <w:rPr>
                <w:rFonts w:ascii="Cambria" w:hAnsi="Cambria"/>
                <w:iCs/>
                <w:sz w:val="18"/>
                <w:szCs w:val="18"/>
              </w:rPr>
            </w:pPr>
            <w:r>
              <w:rPr>
                <w:rFonts w:ascii="Cambria" w:hAnsi="Cambria"/>
                <w:iCs/>
                <w:sz w:val="18"/>
                <w:szCs w:val="18"/>
              </w:rPr>
              <w:t>54/2013</w:t>
            </w:r>
          </w:p>
        </w:tc>
        <w:tc>
          <w:tcPr>
            <w:tcW w:w="1407" w:type="pct"/>
            <w:tcBorders>
              <w:top w:val="nil"/>
              <w:bottom w:val="single" w:sz="4" w:space="0" w:color="auto"/>
            </w:tcBorders>
          </w:tcPr>
          <w:p w:rsidR="00AE7868" w:rsidRDefault="00FF2B57">
            <w:pPr>
              <w:spacing w:before="20" w:after="20" w:line="240" w:lineRule="atLeast"/>
              <w:rPr>
                <w:rFonts w:ascii="Cambria" w:hAnsi="Cambria"/>
                <w:iCs/>
                <w:sz w:val="18"/>
                <w:szCs w:val="18"/>
              </w:rPr>
            </w:pPr>
            <w:r>
              <w:rPr>
                <w:rFonts w:ascii="Cambria" w:hAnsi="Cambria"/>
                <w:iCs/>
                <w:sz w:val="18"/>
                <w:szCs w:val="18"/>
              </w:rPr>
              <w:t>Spain</w:t>
            </w:r>
          </w:p>
        </w:tc>
        <w:tc>
          <w:tcPr>
            <w:tcW w:w="1796" w:type="pct"/>
            <w:tcBorders>
              <w:top w:val="nil"/>
              <w:bottom w:val="single" w:sz="4" w:space="0" w:color="auto"/>
            </w:tcBorders>
          </w:tcPr>
          <w:p w:rsidR="00AE7868" w:rsidRDefault="00FF2B57">
            <w:pPr>
              <w:spacing w:before="20" w:after="20" w:line="240" w:lineRule="atLeast"/>
              <w:rPr>
                <w:rFonts w:ascii="Cambria" w:hAnsi="Cambria"/>
                <w:iCs/>
                <w:sz w:val="18"/>
                <w:szCs w:val="18"/>
              </w:rPr>
            </w:pPr>
            <w:r>
              <w:rPr>
                <w:rFonts w:ascii="Cambria" w:hAnsi="Cambria"/>
                <w:iCs/>
                <w:sz w:val="18"/>
                <w:szCs w:val="18"/>
              </w:rPr>
              <w:t>Yaya</w:t>
            </w:r>
          </w:p>
        </w:tc>
      </w:tr>
    </w:tbl>
    <w:p w:rsidR="00AE7868" w:rsidRDefault="00FF2B57">
      <w:pPr>
        <w:spacing w:before="200"/>
        <w:rPr>
          <w:rFonts w:ascii="Cambria" w:eastAsia="Cambria" w:hAnsi="Cambria" w:cs="AdvPSSAB-R"/>
          <w:sz w:val="20"/>
          <w:szCs w:val="20"/>
        </w:rPr>
      </w:pPr>
      <w:r>
        <w:rPr>
          <w:rFonts w:ascii="Cambria" w:eastAsia="Cambria" w:hAnsi="Cambria" w:cs="AdvPSSAB-R"/>
          <w:sz w:val="20"/>
          <w:szCs w:val="20"/>
        </w:rPr>
        <w:t>Modified from Bertolini et al. 2015</w:t>
      </w:r>
    </w:p>
    <w:p w:rsidR="00AE7868" w:rsidRDefault="00FF2B57">
      <w:pPr>
        <w:spacing w:before="200"/>
        <w:rPr>
          <w:rFonts w:ascii="Cambria" w:eastAsia="Cambria" w:hAnsi="Cambria" w:cs="AdvPSSAB-R"/>
        </w:rPr>
      </w:pPr>
      <w:r>
        <w:rPr>
          <w:rFonts w:ascii="Cambria" w:eastAsia="Cambria" w:hAnsi="Cambria" w:cs="AdvPSSAB-R"/>
        </w:rPr>
        <w:lastRenderedPageBreak/>
        <w:t xml:space="preserve">In a study by Bertolini et al. (2015), PCR positive seed lots were grown in insect-proof P2 level containment greenhouses to study seed to seedling transmission. </w:t>
      </w:r>
      <w:r>
        <w:rPr>
          <w:rFonts w:ascii="Cambria" w:hAnsi="Cambria"/>
        </w:rPr>
        <w:t xml:space="preserve">Seed to seedling transmission was demonstrated in three cultivars namely </w:t>
      </w:r>
      <w:r>
        <w:rPr>
          <w:rFonts w:ascii="Cambria" w:eastAsia="Cambria" w:hAnsi="Cambria" w:cs="AdvPSSAB-R"/>
        </w:rPr>
        <w:t>Maestro, Amsterdam and CAC 3075 (Bertolini et al. 2015). ‘</w:t>
      </w:r>
      <w:r>
        <w:rPr>
          <w:rFonts w:ascii="Cambria" w:eastAsia="Cambria" w:hAnsi="Cambria" w:cs="AdvPSSAB-R"/>
          <w:i/>
        </w:rPr>
        <w:t>Candidatus</w:t>
      </w:r>
      <w:r>
        <w:rPr>
          <w:rFonts w:ascii="Cambria" w:eastAsia="Cambria" w:hAnsi="Cambria" w:cs="AdvPSSAB-R"/>
        </w:rPr>
        <w:t xml:space="preserve"> Liberibacter solanacearum’ was consistently detected in all four seed lots tested after 150 days cultivation in the glasshouse (Bertolini et al. 2014). Therefore, ‘</w:t>
      </w:r>
      <w:r>
        <w:rPr>
          <w:rFonts w:ascii="Cambria" w:eastAsia="Cambria" w:hAnsi="Cambria" w:cs="AdvPSSAB-R"/>
          <w:i/>
        </w:rPr>
        <w:t>Ca</w:t>
      </w:r>
      <w:r>
        <w:rPr>
          <w:rFonts w:ascii="Cambria" w:eastAsia="Cambria" w:hAnsi="Cambria" w:cs="AdvPSSAB-R"/>
        </w:rPr>
        <w:t xml:space="preserve"> L. solanacearum’ is able to be transmitted to the next generation by infected seeds. </w:t>
      </w:r>
    </w:p>
    <w:p w:rsidR="00AE7868" w:rsidRDefault="00FF2B57">
      <w:pPr>
        <w:pStyle w:val="Heading4"/>
        <w:numPr>
          <w:ilvl w:val="0"/>
          <w:numId w:val="42"/>
        </w:numPr>
        <w:spacing w:before="200"/>
        <w:ind w:left="284" w:hanging="284"/>
      </w:pPr>
      <w:r>
        <w:t>Host range of ‘</w:t>
      </w:r>
      <w:r>
        <w:rPr>
          <w:i/>
        </w:rPr>
        <w:t>Ca</w:t>
      </w:r>
      <w:r>
        <w:t>. L. solanacearum’</w:t>
      </w:r>
    </w:p>
    <w:p w:rsidR="00AE7868" w:rsidRDefault="00FF2B57">
      <w:pPr>
        <w:spacing w:before="200"/>
        <w:rPr>
          <w:rFonts w:ascii="Cambria" w:hAnsi="Cambria"/>
        </w:rPr>
      </w:pPr>
      <w:r>
        <w:rPr>
          <w:rFonts w:ascii="Cambria" w:hAnsi="Cambria"/>
        </w:rPr>
        <w:t>‘</w:t>
      </w:r>
      <w:r>
        <w:rPr>
          <w:rFonts w:ascii="Cambria" w:hAnsi="Cambria"/>
          <w:i/>
        </w:rPr>
        <w:t>Ca</w:t>
      </w:r>
      <w:r>
        <w:rPr>
          <w:rFonts w:ascii="Cambria" w:hAnsi="Cambria"/>
        </w:rPr>
        <w:t>. L. solanacearum’ is an obligate parasite of plants (carrot, celery and parsnip) and psyllids (</w:t>
      </w:r>
      <w:r>
        <w:rPr>
          <w:rFonts w:ascii="Cambria" w:hAnsi="Cambria"/>
          <w:i/>
        </w:rPr>
        <w:t>Bactericera</w:t>
      </w:r>
      <w:r>
        <w:rPr>
          <w:rFonts w:ascii="Cambria" w:hAnsi="Cambria"/>
        </w:rPr>
        <w:t xml:space="preserve"> species and </w:t>
      </w:r>
      <w:r>
        <w:rPr>
          <w:rFonts w:ascii="Cambria" w:hAnsi="Cambria"/>
          <w:i/>
        </w:rPr>
        <w:t>Trioza apicalis</w:t>
      </w:r>
      <w:r>
        <w:rPr>
          <w:rFonts w:ascii="Cambria" w:hAnsi="Cambria"/>
        </w:rPr>
        <w:t xml:space="preserve">); and is only able to multiply inside its eukaryotic hosts (Haapalainen 2014). </w:t>
      </w:r>
      <w:r>
        <w:rPr>
          <w:rFonts w:ascii="Cambria" w:hAnsi="Cambria"/>
          <w:i/>
        </w:rPr>
        <w:t xml:space="preserve">‘Candidatus </w:t>
      </w:r>
      <w:r>
        <w:rPr>
          <w:rFonts w:ascii="Cambria" w:hAnsi="Cambria"/>
        </w:rPr>
        <w:t xml:space="preserve">Liberibacter’ species life cycle includes alternating between the plant and insect hosts. Insect hosts are infected by feeding on the phloem of an infected plant. Once in the insect host, </w:t>
      </w:r>
      <w:r>
        <w:rPr>
          <w:rFonts w:ascii="Cambria" w:hAnsi="Cambria"/>
          <w:i/>
        </w:rPr>
        <w:t xml:space="preserve">‘Candidatus </w:t>
      </w:r>
      <w:r>
        <w:rPr>
          <w:rFonts w:ascii="Cambria" w:hAnsi="Cambria"/>
        </w:rPr>
        <w:t>Liberibacter’ species move from the gut to haemolymph and then to the salivary glands, infected vectors then infect a new plant host during feeding.</w:t>
      </w:r>
    </w:p>
    <w:p w:rsidR="00AE7868" w:rsidRDefault="00FF2B57">
      <w:pPr>
        <w:pStyle w:val="Heading4"/>
        <w:numPr>
          <w:ilvl w:val="0"/>
          <w:numId w:val="42"/>
        </w:numPr>
        <w:spacing w:before="200"/>
        <w:ind w:left="284" w:hanging="284"/>
      </w:pPr>
      <w:r>
        <w:t>Psyllid vectors and their role in spreading ‘</w:t>
      </w:r>
      <w:r>
        <w:rPr>
          <w:i/>
        </w:rPr>
        <w:t>Ca</w:t>
      </w:r>
      <w:r>
        <w:t>. L. solanacearum’</w:t>
      </w:r>
    </w:p>
    <w:p w:rsidR="00AE7868" w:rsidRDefault="00FF2B57">
      <w:pPr>
        <w:spacing w:before="200"/>
        <w:rPr>
          <w:rFonts w:ascii="Cambria" w:eastAsia="Cambria" w:hAnsi="Cambria" w:cs="TimesNewRomanPSMT"/>
        </w:rPr>
      </w:pPr>
      <w:r>
        <w:rPr>
          <w:rFonts w:ascii="Cambria" w:hAnsi="Cambria"/>
        </w:rPr>
        <w:t>‘</w:t>
      </w:r>
      <w:r>
        <w:rPr>
          <w:rFonts w:ascii="Cambria" w:hAnsi="Cambria"/>
          <w:i/>
        </w:rPr>
        <w:t>Candidatus</w:t>
      </w:r>
      <w:r>
        <w:rPr>
          <w:rFonts w:ascii="Cambria" w:hAnsi="Cambria"/>
        </w:rPr>
        <w:t xml:space="preserve"> Liberibacter solanacearum’ associated with apiaceous crops is transmitted by different psyllid species </w:t>
      </w:r>
      <w:r>
        <w:rPr>
          <w:rFonts w:ascii="Cambria" w:hAnsi="Cambria"/>
          <w:bCs/>
        </w:rPr>
        <w:t>(</w:t>
      </w:r>
      <w:r>
        <w:rPr>
          <w:rFonts w:ascii="Cambria" w:hAnsi="Cambria"/>
        </w:rPr>
        <w:t xml:space="preserve">Munyaneza et al. </w:t>
      </w:r>
      <w:r>
        <w:rPr>
          <w:rFonts w:ascii="Cambria" w:hAnsi="Cambria"/>
        </w:rPr>
        <w:lastRenderedPageBreak/>
        <w:t>2011; 2012a, b;</w:t>
      </w:r>
      <w:r>
        <w:rPr>
          <w:rFonts w:ascii="Cambria" w:hAnsi="Cambria" w:cs="Arial"/>
        </w:rPr>
        <w:t xml:space="preserve"> Alfaro-Fernández et al. 2012a, b;</w:t>
      </w:r>
      <w:r>
        <w:rPr>
          <w:rFonts w:ascii="Cambria" w:hAnsi="Cambria"/>
          <w:bCs/>
        </w:rPr>
        <w:t xml:space="preserve"> Haapalian 2014). In Northern and Central Europe, ‘</w:t>
      </w:r>
      <w:r>
        <w:rPr>
          <w:rFonts w:ascii="Cambria" w:hAnsi="Cambria"/>
          <w:bCs/>
          <w:i/>
        </w:rPr>
        <w:t>Ca</w:t>
      </w:r>
      <w:r>
        <w:rPr>
          <w:rFonts w:ascii="Cambria" w:hAnsi="Cambria"/>
          <w:bCs/>
        </w:rPr>
        <w:t xml:space="preserve">. L. solanacearum’ is transmitted by </w:t>
      </w:r>
      <w:r>
        <w:rPr>
          <w:rFonts w:ascii="Cambria" w:hAnsi="Cambria"/>
          <w:bCs/>
          <w:i/>
        </w:rPr>
        <w:t xml:space="preserve">Trioza apicalis </w:t>
      </w:r>
      <w:r>
        <w:rPr>
          <w:rFonts w:ascii="Cambria" w:hAnsi="Cambria"/>
          <w:bCs/>
        </w:rPr>
        <w:t xml:space="preserve">(Nelson et al. 2011) and </w:t>
      </w:r>
      <w:r>
        <w:rPr>
          <w:rFonts w:ascii="Cambria" w:eastAsia="Calibri" w:hAnsi="Cambria"/>
        </w:rPr>
        <w:t xml:space="preserve">in Mediterranean regions it is transmitted by </w:t>
      </w:r>
      <w:r>
        <w:rPr>
          <w:rFonts w:ascii="Cambria" w:hAnsi="Cambria"/>
          <w:i/>
        </w:rPr>
        <w:t xml:space="preserve">Bactericera trigonica </w:t>
      </w:r>
      <w:r>
        <w:rPr>
          <w:rFonts w:ascii="Cambria" w:hAnsi="Cambria"/>
        </w:rPr>
        <w:t>(</w:t>
      </w:r>
      <w:r>
        <w:rPr>
          <w:rFonts w:ascii="Cambria" w:hAnsi="Cambria" w:cs="Arial"/>
        </w:rPr>
        <w:t xml:space="preserve">Alfaro-Fernández et al. 2012b; Nelson et al. 2012; </w:t>
      </w:r>
      <w:r>
        <w:rPr>
          <w:rFonts w:ascii="Cambria" w:eastAsia="Cambria" w:hAnsi="Cambria" w:cs="TimesNewRomanPS-ItalicMT"/>
          <w:iCs/>
        </w:rPr>
        <w:t xml:space="preserve">Teresani et al. </w:t>
      </w:r>
      <w:r>
        <w:rPr>
          <w:rFonts w:ascii="Cambria" w:eastAsia="Cambria" w:hAnsi="Cambria" w:cs="TimesNewRomanPSMT"/>
        </w:rPr>
        <w:t>2014a, b</w:t>
      </w:r>
      <w:r>
        <w:rPr>
          <w:rFonts w:ascii="Cambria" w:hAnsi="Cambria"/>
        </w:rPr>
        <w:t xml:space="preserve">). </w:t>
      </w:r>
      <w:r>
        <w:rPr>
          <w:rFonts w:ascii="Cambria" w:eastAsia="Calibri" w:hAnsi="Cambria"/>
        </w:rPr>
        <w:t>‘</w:t>
      </w:r>
      <w:r>
        <w:rPr>
          <w:rFonts w:ascii="Cambria" w:eastAsia="Calibri" w:hAnsi="Cambria"/>
          <w:i/>
        </w:rPr>
        <w:t>Candidatus</w:t>
      </w:r>
      <w:r>
        <w:rPr>
          <w:rFonts w:ascii="Cambria" w:eastAsia="Calibri" w:hAnsi="Cambria"/>
        </w:rPr>
        <w:t xml:space="preserve"> Liberibacter solanacearum’ has also been detected in </w:t>
      </w:r>
      <w:r>
        <w:rPr>
          <w:rFonts w:ascii="Cambria" w:eastAsia="Cambria" w:hAnsi="Cambria" w:cs="TimesNewRomanPS-ItalicMT"/>
          <w:i/>
          <w:iCs/>
        </w:rPr>
        <w:t>B. nigricornis</w:t>
      </w:r>
      <w:r>
        <w:rPr>
          <w:rFonts w:ascii="Cambria" w:eastAsia="Cambria" w:hAnsi="Cambria" w:cs="TimesNewRomanPS-ItalicMT"/>
          <w:iCs/>
        </w:rPr>
        <w:t xml:space="preserve"> and </w:t>
      </w:r>
      <w:r>
        <w:rPr>
          <w:rFonts w:ascii="Cambria" w:eastAsia="Cambria" w:hAnsi="Cambria" w:cs="TimesNewRomanPS-ItalicMT"/>
          <w:i/>
          <w:iCs/>
        </w:rPr>
        <w:t>B. tremblayi</w:t>
      </w:r>
      <w:r>
        <w:rPr>
          <w:rFonts w:ascii="Cambria" w:eastAsia="Cambria" w:hAnsi="Cambria" w:cs="TimesNewRomanPSMT"/>
        </w:rPr>
        <w:t xml:space="preserve"> collected from carrot and celery fields where the bacterium is present </w:t>
      </w:r>
      <w:r>
        <w:rPr>
          <w:rFonts w:ascii="Cambria" w:eastAsia="Cambria" w:hAnsi="Cambria" w:cs="TimesNewRomanPS-ItalicMT"/>
          <w:iCs/>
        </w:rPr>
        <w:t xml:space="preserve">(Teresani et al. </w:t>
      </w:r>
      <w:r>
        <w:rPr>
          <w:rFonts w:ascii="Cambria" w:eastAsia="Cambria" w:hAnsi="Cambria" w:cs="TimesNewRomanPSMT"/>
        </w:rPr>
        <w:t>2015</w:t>
      </w:r>
      <w:r>
        <w:rPr>
          <w:rFonts w:ascii="Cambria" w:eastAsia="Cambria" w:hAnsi="Cambria" w:cs="TimesNewRomanPS-ItalicMT"/>
          <w:iCs/>
        </w:rPr>
        <w:t>); therefore, these psyllids</w:t>
      </w:r>
      <w:r>
        <w:rPr>
          <w:rFonts w:ascii="Cambria" w:eastAsia="Cambria" w:hAnsi="Cambria" w:cs="TimesNewRomanPSMT"/>
        </w:rPr>
        <w:t xml:space="preserve"> are potential vectors of the bacterium </w:t>
      </w:r>
      <w:r>
        <w:rPr>
          <w:rFonts w:ascii="Cambria" w:eastAsia="Cambria" w:hAnsi="Cambria" w:cs="TimesNewRomanPS-ItalicMT"/>
          <w:iCs/>
        </w:rPr>
        <w:t xml:space="preserve">(Teresani et al. </w:t>
      </w:r>
      <w:r>
        <w:rPr>
          <w:rFonts w:ascii="Cambria" w:eastAsia="Cambria" w:hAnsi="Cambria" w:cs="TimesNewRomanPSMT"/>
        </w:rPr>
        <w:t>2015</w:t>
      </w:r>
      <w:r>
        <w:rPr>
          <w:rFonts w:ascii="Cambria" w:eastAsia="Cambria" w:hAnsi="Cambria" w:cs="TimesNewRomanPS-ItalicMT"/>
          <w:iCs/>
        </w:rPr>
        <w:t xml:space="preserve">). </w:t>
      </w:r>
      <w:r>
        <w:rPr>
          <w:rFonts w:ascii="Cambria" w:eastAsia="Cambria" w:hAnsi="Cambria" w:cs="TimesNewRomanPSMT"/>
        </w:rPr>
        <w:t>The association of ‘</w:t>
      </w:r>
      <w:r>
        <w:rPr>
          <w:rFonts w:ascii="Cambria" w:eastAsia="Cambria" w:hAnsi="Cambria" w:cs="TimesNewRomanPSMT"/>
          <w:i/>
        </w:rPr>
        <w:t>Ca</w:t>
      </w:r>
      <w:r>
        <w:rPr>
          <w:rFonts w:ascii="Cambria" w:eastAsia="Cambria" w:hAnsi="Cambria" w:cs="TimesNewRomanPSMT"/>
        </w:rPr>
        <w:t>. L. solanacearum’ with other psyllids suggests that this bacterium is likely to have more insect vectors than is currently known.</w:t>
      </w:r>
    </w:p>
    <w:p w:rsidR="00AE7868" w:rsidRDefault="00FF2B57">
      <w:pPr>
        <w:autoSpaceDE w:val="0"/>
        <w:autoSpaceDN w:val="0"/>
        <w:adjustRightInd w:val="0"/>
        <w:spacing w:before="200"/>
        <w:rPr>
          <w:rFonts w:ascii="Cambria" w:eastAsia="Cambria" w:hAnsi="Cambria" w:cs="AdvPSSAB-R"/>
        </w:rPr>
      </w:pPr>
      <w:r>
        <w:rPr>
          <w:rFonts w:ascii="Cambria" w:eastAsia="Calibri" w:hAnsi="Cambria"/>
        </w:rPr>
        <w:t>Psyllids acquire the bacterium</w:t>
      </w:r>
      <w:r>
        <w:rPr>
          <w:rFonts w:ascii="Cambria" w:eastAsia="Calibri" w:hAnsi="Cambria"/>
          <w:i/>
          <w:iCs/>
        </w:rPr>
        <w:t xml:space="preserve"> </w:t>
      </w:r>
      <w:r>
        <w:rPr>
          <w:rFonts w:ascii="Cambria" w:eastAsia="Calibri" w:hAnsi="Cambria"/>
        </w:rPr>
        <w:t>while feeding on infected plants (Haapalainen et al. 2014) and are infected with the bacterium</w:t>
      </w:r>
      <w:r>
        <w:rPr>
          <w:rFonts w:ascii="Cambria" w:hAnsi="Cambria"/>
          <w:lang w:val="en-GB"/>
        </w:rPr>
        <w:t xml:space="preserve"> within two hours of colonising the plant (Munyaneza 2010). The bacterium multiplies in the psyllid and</w:t>
      </w:r>
      <w:r>
        <w:rPr>
          <w:rFonts w:ascii="Cambria" w:eastAsia="Cambria" w:hAnsi="Cambria" w:cs="MeridienLTStd-Roman"/>
        </w:rPr>
        <w:t xml:space="preserve"> transmission is able to occur within three days (Nissinen et al. 2014). </w:t>
      </w:r>
      <w:r>
        <w:rPr>
          <w:rFonts w:ascii="Cambria" w:eastAsia="Calibri" w:hAnsi="Cambria"/>
        </w:rPr>
        <w:t xml:space="preserve">Once the psyllid has acquired the bacterium from infected hosts, the vector is likely to maintain the ability to spread the bacterium in a persistent manner (Teresani et al. 2015). </w:t>
      </w:r>
    </w:p>
    <w:p w:rsidR="00AE7868" w:rsidRDefault="00FF2B57">
      <w:pPr>
        <w:autoSpaceDE w:val="0"/>
        <w:autoSpaceDN w:val="0"/>
        <w:adjustRightInd w:val="0"/>
        <w:spacing w:before="200"/>
        <w:rPr>
          <w:rFonts w:ascii="Cambria" w:eastAsia="Calibri" w:hAnsi="Cambria"/>
        </w:rPr>
      </w:pPr>
      <w:r>
        <w:rPr>
          <w:rFonts w:ascii="Cambria" w:eastAsia="Cambria" w:hAnsi="Cambria" w:cs="TimesNewRomanPS-ItalicMT"/>
          <w:iCs/>
        </w:rPr>
        <w:t>The ‘</w:t>
      </w:r>
      <w:r>
        <w:rPr>
          <w:rFonts w:ascii="Cambria" w:eastAsia="Cambria" w:hAnsi="Cambria" w:cs="TimesNewRomanPS-ItalicMT"/>
          <w:i/>
          <w:iCs/>
        </w:rPr>
        <w:t xml:space="preserve">B. nigricornis </w:t>
      </w:r>
      <w:r>
        <w:rPr>
          <w:rFonts w:ascii="Cambria" w:eastAsia="Cambria" w:hAnsi="Cambria" w:cs="TimesNewRomanPS-ItalicMT"/>
          <w:iCs/>
        </w:rPr>
        <w:t xml:space="preserve">group’ </w:t>
      </w:r>
      <w:r>
        <w:rPr>
          <w:rFonts w:ascii="Cambria" w:eastAsia="Cambria" w:hAnsi="Cambria" w:cs="TimesNewRomanPSMT"/>
        </w:rPr>
        <w:t xml:space="preserve">is polyphagous and its members have overlapping areas of distribution throughout the Mediterranean region (Hodkinson 1981; Ouvrard 2015). This group feeds on a variety of herbaceous plants, including beet, cabbage, carrot, onion, parsley, potato and celery (Burckhardt &amp; Lauterer 1997; Alfaro-Fernández </w:t>
      </w:r>
      <w:r>
        <w:rPr>
          <w:rFonts w:ascii="Cambria" w:eastAsia="Cambria" w:hAnsi="Cambria" w:cs="TimesNewRomanPS-ItalicMT"/>
          <w:iCs/>
        </w:rPr>
        <w:t>et al.</w:t>
      </w:r>
      <w:r>
        <w:rPr>
          <w:rFonts w:ascii="Cambria" w:eastAsia="Cambria" w:hAnsi="Cambria" w:cs="TimesNewRomanPSMT"/>
        </w:rPr>
        <w:t xml:space="preserve"> 2012a; Bertolini et al. 2015). </w:t>
      </w:r>
      <w:r>
        <w:rPr>
          <w:rFonts w:ascii="Cambria" w:eastAsia="Calibri" w:hAnsi="Cambria"/>
        </w:rPr>
        <w:t xml:space="preserve">Spread of the bacterium in the presence </w:t>
      </w:r>
      <w:r>
        <w:rPr>
          <w:rFonts w:ascii="Cambria" w:eastAsia="Calibri" w:hAnsi="Cambria"/>
        </w:rPr>
        <w:lastRenderedPageBreak/>
        <w:t>of the vector can be dramatic. For example, in the presence of the vector (</w:t>
      </w:r>
      <w:r>
        <w:rPr>
          <w:rFonts w:ascii="Cambria" w:eastAsia="Calibri" w:hAnsi="Cambria"/>
          <w:i/>
        </w:rPr>
        <w:t>B. trigonica</w:t>
      </w:r>
      <w:r>
        <w:rPr>
          <w:rFonts w:ascii="Cambria" w:eastAsia="Calibri" w:hAnsi="Cambria"/>
        </w:rPr>
        <w:t>), the disease incidence increased from two percent to 100 percent after six months of carrot cultivation (Bertolini et al. 2015).</w:t>
      </w:r>
    </w:p>
    <w:p w:rsidR="00AE7868" w:rsidRDefault="00FF2B57">
      <w:pPr>
        <w:pStyle w:val="Heading4"/>
        <w:numPr>
          <w:ilvl w:val="0"/>
          <w:numId w:val="42"/>
        </w:numPr>
        <w:spacing w:before="200"/>
        <w:ind w:left="284" w:hanging="284"/>
      </w:pPr>
      <w:r>
        <w:t>Risk of ‘</w:t>
      </w:r>
      <w:r>
        <w:rPr>
          <w:i/>
        </w:rPr>
        <w:t>Ca</w:t>
      </w:r>
      <w:r>
        <w:t>. L. solanacearum’ in symptomless plants</w:t>
      </w:r>
    </w:p>
    <w:p w:rsidR="00AE7868" w:rsidRDefault="00FF2B57">
      <w:pPr>
        <w:autoSpaceDE w:val="0"/>
        <w:autoSpaceDN w:val="0"/>
        <w:adjustRightInd w:val="0"/>
        <w:spacing w:before="200"/>
        <w:rPr>
          <w:rFonts w:ascii="Cambria" w:hAnsi="Cambria"/>
          <w:lang w:val="en-GB"/>
        </w:rPr>
      </w:pPr>
      <w:r>
        <w:rPr>
          <w:rFonts w:ascii="Cambria" w:hAnsi="Cambria"/>
          <w:lang w:val="en-GB"/>
        </w:rPr>
        <w:t>‘</w:t>
      </w:r>
      <w:r>
        <w:rPr>
          <w:rFonts w:ascii="Cambria" w:hAnsi="Cambria"/>
          <w:i/>
          <w:lang w:val="en-GB"/>
        </w:rPr>
        <w:t xml:space="preserve">Candidatus </w:t>
      </w:r>
      <w:r>
        <w:rPr>
          <w:rFonts w:ascii="Cambria" w:hAnsi="Cambria"/>
          <w:lang w:val="en-GB"/>
        </w:rPr>
        <w:t>Liberibacter solanacearum’ associated with apiaceous crops has been detected in symptomless plants (Loiseau et al. 2014). ‘</w:t>
      </w:r>
      <w:r>
        <w:rPr>
          <w:rFonts w:ascii="Cambria" w:hAnsi="Cambria"/>
          <w:i/>
          <w:lang w:val="en-GB"/>
        </w:rPr>
        <w:t xml:space="preserve">Candidatus </w:t>
      </w:r>
      <w:r>
        <w:rPr>
          <w:rFonts w:ascii="Cambria" w:hAnsi="Cambria"/>
          <w:lang w:val="en-GB"/>
        </w:rPr>
        <w:t>Liberibacter solanacearum’ was detected in seeds produced in France where the bacterium was detected in both symptomatic and asymptomatic plants. Therefore, the risk of ‘</w:t>
      </w:r>
      <w:r>
        <w:rPr>
          <w:rFonts w:ascii="Cambria" w:hAnsi="Cambria"/>
          <w:i/>
          <w:lang w:val="en-GB"/>
        </w:rPr>
        <w:t>Ca</w:t>
      </w:r>
      <w:r>
        <w:rPr>
          <w:rFonts w:ascii="Cambria" w:hAnsi="Cambria"/>
          <w:lang w:val="en-GB"/>
        </w:rPr>
        <w:t>. L. solanacearum’ in asymptomatic plants may be higher as the symptomless nature of ‘</w:t>
      </w:r>
      <w:r>
        <w:rPr>
          <w:rFonts w:ascii="Cambria" w:hAnsi="Cambria"/>
          <w:i/>
          <w:lang w:val="en-GB"/>
        </w:rPr>
        <w:t>Ca</w:t>
      </w:r>
      <w:r>
        <w:rPr>
          <w:rFonts w:ascii="Cambria" w:hAnsi="Cambria"/>
          <w:lang w:val="en-GB"/>
        </w:rPr>
        <w:t>. L. solanacearum’ may contribute to the inadvertent propagation and distribution of infected material that may help spread ‘</w:t>
      </w:r>
      <w:r>
        <w:rPr>
          <w:rFonts w:ascii="Cambria" w:hAnsi="Cambria"/>
          <w:i/>
          <w:lang w:val="en-GB"/>
        </w:rPr>
        <w:t>Ca</w:t>
      </w:r>
      <w:r>
        <w:rPr>
          <w:rFonts w:ascii="Cambria" w:hAnsi="Cambria"/>
          <w:lang w:val="en-GB"/>
        </w:rPr>
        <w:t>. L. solanacearum’ to other countries.</w:t>
      </w:r>
    </w:p>
    <w:p w:rsidR="00AE7868" w:rsidRDefault="00FF2B57">
      <w:pPr>
        <w:pStyle w:val="Heading4"/>
        <w:numPr>
          <w:ilvl w:val="0"/>
          <w:numId w:val="42"/>
        </w:numPr>
        <w:spacing w:before="200"/>
        <w:ind w:left="284" w:hanging="284"/>
      </w:pPr>
      <w:r>
        <w:t>Koch’s postulates for ‘</w:t>
      </w:r>
      <w:r>
        <w:rPr>
          <w:i/>
        </w:rPr>
        <w:t>Ca</w:t>
      </w:r>
      <w:r>
        <w:t>. L. solanacearum’</w:t>
      </w:r>
    </w:p>
    <w:p w:rsidR="00AE7868" w:rsidRDefault="00FF2B57">
      <w:pPr>
        <w:spacing w:before="200"/>
        <w:rPr>
          <w:rFonts w:ascii="Cambria" w:hAnsi="Cambria"/>
        </w:rPr>
      </w:pPr>
      <w:r>
        <w:rPr>
          <w:rFonts w:ascii="Cambria" w:hAnsi="Cambria"/>
        </w:rPr>
        <w:t>Koch’s postulates to identify the causative agent of a particular disease include:</w:t>
      </w:r>
    </w:p>
    <w:p w:rsidR="00AE7868" w:rsidRDefault="00FF2B57">
      <w:pPr>
        <w:numPr>
          <w:ilvl w:val="0"/>
          <w:numId w:val="38"/>
        </w:numPr>
        <w:shd w:val="clear" w:color="auto" w:fill="FFFFFF"/>
        <w:spacing w:before="200"/>
        <w:ind w:left="351" w:hanging="357"/>
        <w:rPr>
          <w:rFonts w:ascii="Cambria" w:hAnsi="Cambria" w:cs="Arial"/>
          <w:color w:val="111111"/>
        </w:rPr>
      </w:pPr>
      <w:r>
        <w:rPr>
          <w:rFonts w:ascii="Cambria" w:hAnsi="Cambria" w:cs="Arial"/>
          <w:color w:val="111111"/>
        </w:rPr>
        <w:t>The organism must be regularly associated with the disease;</w:t>
      </w:r>
    </w:p>
    <w:p w:rsidR="00AE7868" w:rsidRDefault="00FF2B57">
      <w:pPr>
        <w:numPr>
          <w:ilvl w:val="0"/>
          <w:numId w:val="38"/>
        </w:numPr>
        <w:shd w:val="clear" w:color="auto" w:fill="FFFFFF"/>
        <w:spacing w:before="200"/>
        <w:ind w:left="351" w:hanging="357"/>
        <w:rPr>
          <w:rFonts w:ascii="Cambria" w:hAnsi="Cambria" w:cs="Arial"/>
          <w:color w:val="111111"/>
        </w:rPr>
      </w:pPr>
      <w:r>
        <w:rPr>
          <w:rFonts w:ascii="Cambria" w:hAnsi="Cambria" w:cs="Arial"/>
          <w:color w:val="111111"/>
        </w:rPr>
        <w:t>The organism must be isolated from the diseased host and grown in culture;</w:t>
      </w:r>
    </w:p>
    <w:p w:rsidR="00AE7868" w:rsidRDefault="00FF2B57">
      <w:pPr>
        <w:numPr>
          <w:ilvl w:val="0"/>
          <w:numId w:val="38"/>
        </w:numPr>
        <w:shd w:val="clear" w:color="auto" w:fill="FFFFFF"/>
        <w:spacing w:before="200"/>
        <w:ind w:left="351" w:hanging="357"/>
        <w:rPr>
          <w:rFonts w:ascii="Cambria" w:hAnsi="Cambria" w:cs="Arial"/>
          <w:color w:val="111111"/>
        </w:rPr>
      </w:pPr>
      <w:r>
        <w:rPr>
          <w:rFonts w:ascii="Cambria" w:hAnsi="Cambria" w:cs="Arial"/>
          <w:color w:val="111111"/>
        </w:rPr>
        <w:lastRenderedPageBreak/>
        <w:t xml:space="preserve">The disease must be reproduced when a pure culture of the organism is introduced into a healthy, susceptible host; and </w:t>
      </w:r>
    </w:p>
    <w:p w:rsidR="00AE7868" w:rsidRDefault="00FF2B57">
      <w:pPr>
        <w:numPr>
          <w:ilvl w:val="0"/>
          <w:numId w:val="38"/>
        </w:numPr>
        <w:shd w:val="clear" w:color="auto" w:fill="FFFFFF"/>
        <w:spacing w:before="200"/>
        <w:ind w:left="351" w:hanging="357"/>
        <w:rPr>
          <w:rFonts w:ascii="Cambria" w:hAnsi="Cambria" w:cs="Arial"/>
          <w:color w:val="111111"/>
        </w:rPr>
      </w:pPr>
      <w:r>
        <w:rPr>
          <w:rFonts w:ascii="Cambria" w:hAnsi="Cambria" w:cs="Arial"/>
          <w:color w:val="111111"/>
        </w:rPr>
        <w:t>The same organism must be re-isolated from the experimentally infected host.</w:t>
      </w:r>
    </w:p>
    <w:p w:rsidR="00AE7868" w:rsidRDefault="00FF2B57">
      <w:pPr>
        <w:spacing w:before="200"/>
        <w:rPr>
          <w:rFonts w:ascii="Cambria" w:hAnsi="Cambria"/>
        </w:rPr>
      </w:pPr>
      <w:r>
        <w:rPr>
          <w:rFonts w:ascii="Cambria" w:hAnsi="Cambria"/>
        </w:rPr>
        <w:t xml:space="preserve">Despite the importance of Koch’s postulates in the identification of causative agents, there are certain limitations. For example, the application of nucleic acid-based methods of microbial identification has made Koch’s postulates less applicable. Nucleic acid-based methods, such as PCR, are very sensitive and can detect small numbers of microbes, even if they occur in the absence of disease symptoms. </w:t>
      </w:r>
    </w:p>
    <w:p w:rsidR="00AE7868" w:rsidRDefault="00FF2B57">
      <w:pPr>
        <w:spacing w:before="200"/>
        <w:rPr>
          <w:rFonts w:ascii="Cambria" w:hAnsi="Cambria"/>
        </w:rPr>
      </w:pPr>
      <w:r>
        <w:rPr>
          <w:rFonts w:ascii="Cambria" w:hAnsi="Cambria"/>
        </w:rPr>
        <w:t xml:space="preserve">Australia recognises that traditional Koch’s postulates for this pathogen have not been conclusively fulfilled.  The prefix </w:t>
      </w:r>
      <w:r>
        <w:rPr>
          <w:rFonts w:ascii="Cambria" w:hAnsi="Cambria"/>
          <w:i/>
        </w:rPr>
        <w:t>‘Candidatus</w:t>
      </w:r>
      <w:r>
        <w:rPr>
          <w:rFonts w:ascii="Cambria" w:hAnsi="Cambria"/>
        </w:rPr>
        <w:t xml:space="preserve">’ is used in a unique trinomial name system, which indicates that the bacterium is unculturable </w:t>
      </w:r>
      <w:r>
        <w:rPr>
          <w:rFonts w:ascii="Cambria" w:hAnsi="Cambria"/>
          <w:lang w:val="en-GB"/>
        </w:rPr>
        <w:t xml:space="preserve">(Jagoueix </w:t>
      </w:r>
      <w:r>
        <w:rPr>
          <w:rFonts w:ascii="Cambria" w:hAnsi="Cambria"/>
          <w:iCs/>
          <w:lang w:val="en-GB"/>
        </w:rPr>
        <w:t>et al.</w:t>
      </w:r>
      <w:r>
        <w:rPr>
          <w:rFonts w:ascii="Cambria" w:hAnsi="Cambria"/>
          <w:lang w:val="en-GB"/>
        </w:rPr>
        <w:t xml:space="preserve"> 1996)</w:t>
      </w:r>
      <w:r>
        <w:rPr>
          <w:rFonts w:ascii="Cambria" w:hAnsi="Cambria"/>
        </w:rPr>
        <w:t>. Therefore, postulate numbers two, three and four cannot be fulfilled for ‘</w:t>
      </w:r>
      <w:r>
        <w:rPr>
          <w:rFonts w:ascii="Cambria" w:hAnsi="Cambria"/>
          <w:i/>
        </w:rPr>
        <w:t>Ca</w:t>
      </w:r>
      <w:r>
        <w:rPr>
          <w:rFonts w:ascii="Cambria" w:hAnsi="Cambria"/>
        </w:rPr>
        <w:t xml:space="preserve">. L.’ species as these bacteria are to-date non-culturable </w:t>
      </w:r>
      <w:r>
        <w:rPr>
          <w:rFonts w:ascii="Cambria" w:hAnsi="Cambria"/>
          <w:i/>
        </w:rPr>
        <w:t>in vitro</w:t>
      </w:r>
      <w:r>
        <w:rPr>
          <w:rFonts w:ascii="Cambria" w:hAnsi="Cambria"/>
        </w:rPr>
        <w:t xml:space="preserve"> (</w:t>
      </w:r>
      <w:r>
        <w:rPr>
          <w:rFonts w:ascii="Cambria" w:eastAsia="Cambria" w:hAnsi="Cambria" w:cs="AdvPSSAB-R"/>
        </w:rPr>
        <w:t>Munyaneza 2012</w:t>
      </w:r>
      <w:r>
        <w:rPr>
          <w:rFonts w:ascii="Cambria" w:hAnsi="Cambria"/>
        </w:rPr>
        <w:t xml:space="preserve">). However, modified Koch’s postulates support the etiological role of </w:t>
      </w:r>
      <w:r>
        <w:rPr>
          <w:rFonts w:ascii="Cambria" w:hAnsi="Cambria"/>
          <w:i/>
        </w:rPr>
        <w:t xml:space="preserve">‘Ca. </w:t>
      </w:r>
      <w:r>
        <w:rPr>
          <w:rFonts w:ascii="Cambria" w:hAnsi="Cambria"/>
        </w:rPr>
        <w:t>L. solanacearum’ associated with apiaceous crops. This bacterium is consistently associated with diseases in carrot and celery (Munyaneza et al. 2011; 2012a, b;</w:t>
      </w:r>
      <w:r>
        <w:rPr>
          <w:rFonts w:ascii="Cambria" w:hAnsi="Cambria" w:cs="Arial"/>
        </w:rPr>
        <w:t xml:space="preserve"> Alfaro-Fernández et al. 2012a, b;</w:t>
      </w:r>
      <w:r>
        <w:rPr>
          <w:rFonts w:ascii="Cambria" w:hAnsi="Cambria"/>
          <w:bCs/>
        </w:rPr>
        <w:t xml:space="preserve"> Haapalian 2014</w:t>
      </w:r>
      <w:r>
        <w:rPr>
          <w:rFonts w:ascii="Cambria" w:hAnsi="Cambria"/>
        </w:rPr>
        <w:t>). Psyllids have been collected from ‘</w:t>
      </w:r>
      <w:r>
        <w:rPr>
          <w:rFonts w:ascii="Cambria" w:hAnsi="Cambria"/>
          <w:i/>
        </w:rPr>
        <w:t>Ca</w:t>
      </w:r>
      <w:r>
        <w:rPr>
          <w:rFonts w:ascii="Cambria" w:hAnsi="Cambria"/>
        </w:rPr>
        <w:t xml:space="preserve">. L. solanacearum’-infected apiaceous crops and celery fields and have been used to infect healthy hosts (Nelson et al. 2011; Teresani et al. 2015). The bacterium has </w:t>
      </w:r>
      <w:r>
        <w:rPr>
          <w:rFonts w:ascii="Cambria" w:hAnsi="Cambria"/>
        </w:rPr>
        <w:lastRenderedPageBreak/>
        <w:t>been detected by PCR in plant hosts and psyllid vectors, and the bacterium has been observed in phloem tissue through Transmission and Scanning Electron Microscopes (TEM and SEM). Therefore, Australia considers that modified Koch’s postulates have been fulfilled.</w:t>
      </w:r>
    </w:p>
    <w:p w:rsidR="00AE7868" w:rsidRDefault="00FF2B57">
      <w:pPr>
        <w:pStyle w:val="Heading4"/>
        <w:numPr>
          <w:ilvl w:val="0"/>
          <w:numId w:val="42"/>
        </w:numPr>
        <w:spacing w:before="200"/>
        <w:ind w:left="284" w:hanging="284"/>
      </w:pPr>
      <w:r>
        <w:t>Demonstration of seed transmission of ‘</w:t>
      </w:r>
      <w:r>
        <w:rPr>
          <w:i/>
        </w:rPr>
        <w:t>Ca.</w:t>
      </w:r>
      <w:r>
        <w:t xml:space="preserve"> L. solanacearum’</w:t>
      </w:r>
    </w:p>
    <w:p w:rsidR="00AE7868" w:rsidRDefault="00FF2B57">
      <w:pPr>
        <w:spacing w:before="200"/>
        <w:rPr>
          <w:rFonts w:ascii="Cambria" w:eastAsia="Cambria" w:hAnsi="Cambria" w:cs="AdvPSSAB-R"/>
        </w:rPr>
      </w:pPr>
      <w:r>
        <w:rPr>
          <w:rFonts w:ascii="Cambria" w:eastAsia="Cambria" w:hAnsi="Cambria" w:cs="Highland-Roman"/>
        </w:rPr>
        <w:t>‘</w:t>
      </w:r>
      <w:r>
        <w:rPr>
          <w:rFonts w:ascii="Cambria" w:eastAsia="Cambria" w:hAnsi="Cambria" w:cs="Highland-Roman"/>
          <w:i/>
        </w:rPr>
        <w:t xml:space="preserve">Candidatus </w:t>
      </w:r>
      <w:r>
        <w:rPr>
          <w:rFonts w:ascii="Cambria" w:eastAsia="Cambria" w:hAnsi="Cambria" w:cs="Highland-Roman"/>
        </w:rPr>
        <w:t>Liberibacter solanacearum’ has been demonstrated to be seed transmitted in carrots. PCR</w:t>
      </w:r>
      <w:r>
        <w:rPr>
          <w:rFonts w:ascii="Cambria" w:hAnsi="Cambria"/>
        </w:rPr>
        <w:t xml:space="preserve"> </w:t>
      </w:r>
      <w:r>
        <w:rPr>
          <w:rFonts w:ascii="Cambria" w:eastAsia="Cambria" w:hAnsi="Cambria" w:cs="AdvPSSAB-R"/>
        </w:rPr>
        <w:t>positive carrot seed lots grown in insect-proof P2 level containment greenhouses resulted in infected seedlings (Bertolini et al. 2015). ‘</w:t>
      </w:r>
      <w:r>
        <w:rPr>
          <w:rFonts w:ascii="Cambria" w:eastAsia="Cambria" w:hAnsi="Cambria" w:cs="AdvPSSAB-R"/>
          <w:i/>
        </w:rPr>
        <w:t>Candidatus</w:t>
      </w:r>
      <w:r>
        <w:rPr>
          <w:rFonts w:ascii="Cambria" w:eastAsia="Cambria" w:hAnsi="Cambria" w:cs="AdvPSSAB-R"/>
        </w:rPr>
        <w:t xml:space="preserve"> Liberibacter solanacearum’ was consistently detected in all four seed lots tested after 150 days cultivation in the glasshouse (Bertolini et al. 2014). </w:t>
      </w:r>
      <w:r>
        <w:rPr>
          <w:rFonts w:ascii="Cambria" w:eastAsia="Cambria" w:hAnsi="Cambria" w:cs="Highland-Roman"/>
        </w:rPr>
        <w:t>Full symptoms have also been shown to occur in carrot plants grown from seeds that test positive to ‘</w:t>
      </w:r>
      <w:r>
        <w:rPr>
          <w:rFonts w:ascii="Cambria" w:eastAsia="Cambria" w:hAnsi="Cambria" w:cs="Highland-Roman"/>
          <w:i/>
        </w:rPr>
        <w:t>Ca</w:t>
      </w:r>
      <w:r>
        <w:rPr>
          <w:rFonts w:ascii="Cambria" w:eastAsia="Cambria" w:hAnsi="Cambria" w:cs="Highland-Roman"/>
        </w:rPr>
        <w:t xml:space="preserve">. L. solanacearum’ (Bertolini et al. 2015). </w:t>
      </w:r>
      <w:r>
        <w:rPr>
          <w:rFonts w:ascii="Cambria" w:eastAsia="Cambria" w:hAnsi="Cambria" w:cs="AdvPSSAB-R"/>
        </w:rPr>
        <w:t>Therefore, transmission has been demonstrated for carrot seeds. This type of transmission is called ‘direct transmission’, as the bacterium is carried by the seeds and is transmitted to next generation.</w:t>
      </w:r>
    </w:p>
    <w:p w:rsidR="00AE7868" w:rsidRDefault="00FF2B57">
      <w:pPr>
        <w:pStyle w:val="Heading4"/>
        <w:numPr>
          <w:ilvl w:val="0"/>
          <w:numId w:val="42"/>
        </w:numPr>
        <w:spacing w:before="200"/>
        <w:ind w:left="284" w:hanging="284"/>
      </w:pPr>
      <w:r>
        <w:t>Inoculum density of ‘</w:t>
      </w:r>
      <w:r>
        <w:rPr>
          <w:i/>
        </w:rPr>
        <w:t>Ca.</w:t>
      </w:r>
      <w:r>
        <w:t xml:space="preserve"> L. solanacearum’ and symptom expression</w:t>
      </w:r>
    </w:p>
    <w:p w:rsidR="00AE7868" w:rsidRDefault="00FF2B57">
      <w:pPr>
        <w:spacing w:before="200"/>
        <w:rPr>
          <w:rFonts w:ascii="Cambria" w:hAnsi="Cambria"/>
          <w:lang w:val="en-GB"/>
        </w:rPr>
      </w:pPr>
      <w:r>
        <w:rPr>
          <w:rFonts w:ascii="Cambria" w:eastAsia="Cambria" w:hAnsi="Cambria" w:cs="Highland-Roman"/>
        </w:rPr>
        <w:t>‘</w:t>
      </w:r>
      <w:r>
        <w:rPr>
          <w:rFonts w:ascii="Cambria" w:eastAsia="Cambria" w:hAnsi="Cambria" w:cs="Highland-Roman"/>
          <w:i/>
        </w:rPr>
        <w:t>Candidatus</w:t>
      </w:r>
      <w:r>
        <w:rPr>
          <w:rFonts w:ascii="Cambria" w:eastAsia="Cambria" w:hAnsi="Cambria" w:cs="Highland-Roman"/>
        </w:rPr>
        <w:t xml:space="preserve"> L. solanacearum’ has been shown to cause curling and discolouration of carrot leaves, and overall reduction of plant and root growth. </w:t>
      </w:r>
      <w:r>
        <w:rPr>
          <w:rFonts w:ascii="Cambria" w:eastAsia="Cambria" w:hAnsi="Cambria" w:cs="SimonciniGaramond"/>
        </w:rPr>
        <w:t>Leaf discolouration and root size reduction symptoms are correlated with colonisation of the carrot phloem vessels by the bacte</w:t>
      </w:r>
      <w:r>
        <w:rPr>
          <w:rFonts w:ascii="Cambria" w:eastAsia="Cambria" w:hAnsi="Cambria" w:cs="SimonciniGaramond"/>
        </w:rPr>
        <w:lastRenderedPageBreak/>
        <w:t>rium. The bacteria systemically colonise the phloem vessels throughout the plant, and proliferate to high density, filling the sieve cells (Haapalainen et al. 2014). However, the carrot plants response to the bacteria is variable. While some plants seem to be able to resist the infection, some of the infected plants show few visible symptoms while others show very clear discolouration symptoms and yield reduction (Haapalainen et al. 2014).</w:t>
      </w:r>
    </w:p>
    <w:p w:rsidR="00AE7868" w:rsidRDefault="00FF2B57">
      <w:pPr>
        <w:pStyle w:val="Heading3"/>
        <w:keepLines/>
        <w:spacing w:before="200" w:after="200"/>
        <w:rPr>
          <w:rFonts w:ascii="Calibri" w:hAnsi="Calibri" w:cstheme="minorBidi"/>
          <w:sz w:val="24"/>
          <w:szCs w:val="22"/>
        </w:rPr>
      </w:pPr>
      <w:bookmarkStart w:id="453" w:name="_Toc437356049"/>
      <w:r>
        <w:rPr>
          <w:rFonts w:ascii="Calibri" w:hAnsi="Calibri" w:cstheme="minorBidi"/>
          <w:sz w:val="24"/>
          <w:szCs w:val="22"/>
        </w:rPr>
        <w:t>Questions in relation to risk and impact</w:t>
      </w:r>
      <w:bookmarkEnd w:id="453"/>
    </w:p>
    <w:p w:rsidR="00AE7868" w:rsidRDefault="00FF2B57">
      <w:pPr>
        <w:pStyle w:val="Heading4"/>
        <w:numPr>
          <w:ilvl w:val="0"/>
          <w:numId w:val="43"/>
        </w:numPr>
        <w:spacing w:before="200"/>
        <w:ind w:left="284" w:hanging="284"/>
      </w:pPr>
      <w:r>
        <w:t>Symptoms caused by the psyllid and ‘</w:t>
      </w:r>
      <w:r>
        <w:rPr>
          <w:i/>
        </w:rPr>
        <w:t>Ca.</w:t>
      </w:r>
      <w:r>
        <w:t xml:space="preserve"> L. solanacearum’</w:t>
      </w:r>
    </w:p>
    <w:p w:rsidR="00AE7868" w:rsidRDefault="00FF2B57">
      <w:pPr>
        <w:spacing w:before="200"/>
        <w:contextualSpacing/>
        <w:rPr>
          <w:rFonts w:ascii="Cambria" w:eastAsia="Cambria" w:hAnsi="Cambria" w:cs="SimonciniGaramondStd"/>
        </w:rPr>
      </w:pPr>
      <w:r>
        <w:rPr>
          <w:rFonts w:ascii="Cambria" w:eastAsia="Cambria" w:hAnsi="Cambria" w:cs="SimonciniGaramondStd"/>
        </w:rPr>
        <w:t xml:space="preserve">For decades, </w:t>
      </w:r>
      <w:r>
        <w:rPr>
          <w:rFonts w:ascii="Cambria" w:eastAsia="Cambria" w:hAnsi="Cambria" w:cs="SimonciniGaramondStd-Italic"/>
          <w:i/>
          <w:iCs/>
        </w:rPr>
        <w:t xml:space="preserve">T. apicalis </w:t>
      </w:r>
      <w:r>
        <w:rPr>
          <w:rFonts w:ascii="Cambria" w:eastAsia="Cambria" w:hAnsi="Cambria" w:cs="SimonciniGaramondStd"/>
        </w:rPr>
        <w:t xml:space="preserve">has been a serious pest of carrots in northern and central Europe (Nissinen </w:t>
      </w:r>
      <w:r>
        <w:rPr>
          <w:rFonts w:ascii="Cambria" w:eastAsia="Cambria" w:hAnsi="Cambria" w:cs="SimonciniGaramondStd-Italic"/>
          <w:iCs/>
        </w:rPr>
        <w:t>et al.</w:t>
      </w:r>
      <w:r>
        <w:rPr>
          <w:rFonts w:ascii="Cambria" w:eastAsia="Cambria" w:hAnsi="Cambria" w:cs="SimonciniGaramondStd"/>
        </w:rPr>
        <w:t xml:space="preserve"> 2007; Meadow 2010; Munyaneza 2010). </w:t>
      </w:r>
      <w:r>
        <w:rPr>
          <w:rFonts w:ascii="Cambria" w:eastAsia="WarnockPro-Regular" w:hAnsi="Cambria" w:cs="WarnockPro-Regular"/>
        </w:rPr>
        <w:t>Insecticide treatment is an economic necessity in Norway, Sweden, Denmark (where carrot growing was impossible in the 1920s) and Latvia (where about 70 percent of the crop was lost in 1922; Ozols 1925 cited in Láska 2011). In central Europe, Germany has experienced up to 50 percent crop loss and some districts of Czechoslovakia have seen up to 83 percent crop loss (Láska 1974). In Switzerland, the recommendation is that one spray during the season is sufficient (Fischer &amp; Terettaz 2002). Similarly, o</w:t>
      </w:r>
      <w:r>
        <w:rPr>
          <w:rFonts w:ascii="Cambria" w:eastAsia="Cambria" w:hAnsi="Cambria" w:cs="MeridienLTStd-Roman"/>
        </w:rPr>
        <w:t xml:space="preserve">utbreaks of yellows disease were observed in different regions of Spain, including the Canary Islands (Font et al. 1999). Carrot fields in the Canary Islands were heavily infested with the psyllid </w:t>
      </w:r>
      <w:r>
        <w:rPr>
          <w:rFonts w:ascii="Cambria" w:eastAsia="Cambria" w:hAnsi="Cambria" w:cs="MeridienLTStd-Roman"/>
          <w:i/>
        </w:rPr>
        <w:t xml:space="preserve">B. trigonica </w:t>
      </w:r>
      <w:r>
        <w:rPr>
          <w:rFonts w:ascii="Cambria" w:eastAsia="Cambria" w:hAnsi="Cambria" w:cs="MeridienLTStd-Roman"/>
        </w:rPr>
        <w:t xml:space="preserve">(Font et al. 1999). Plant </w:t>
      </w:r>
      <w:r>
        <w:rPr>
          <w:rFonts w:ascii="Cambria" w:eastAsia="Cambria" w:hAnsi="Cambria" w:cs="MeridienLTStd-Roman"/>
        </w:rPr>
        <w:lastRenderedPageBreak/>
        <w:t xml:space="preserve">symptoms included small leaves with yellowing and reddening discolouration, proliferation of leaves and small roots; and deformation, reduction and early senescence of roots. </w:t>
      </w:r>
      <w:r>
        <w:rPr>
          <w:rFonts w:ascii="Cambria" w:eastAsia="Cambria" w:hAnsi="Cambria" w:cs="SimonciniGaramondStd"/>
        </w:rPr>
        <w:t>However, little was known on the mechanisms by which psyllids (</w:t>
      </w:r>
      <w:r>
        <w:rPr>
          <w:rFonts w:ascii="Cambria" w:eastAsia="Cambria" w:hAnsi="Cambria" w:cs="MeridienLTStd-Roman"/>
          <w:i/>
        </w:rPr>
        <w:t xml:space="preserve">B. trigonica </w:t>
      </w:r>
      <w:r>
        <w:rPr>
          <w:rFonts w:ascii="Cambria" w:eastAsia="Cambria" w:hAnsi="Cambria" w:cs="MeridienLTStd-Roman"/>
        </w:rPr>
        <w:t>and</w:t>
      </w:r>
      <w:r>
        <w:rPr>
          <w:rFonts w:ascii="Cambria" w:eastAsia="Cambria" w:hAnsi="Cambria" w:cs="SimonciniGaramondStd"/>
          <w:i/>
        </w:rPr>
        <w:t xml:space="preserve"> T. apicalis</w:t>
      </w:r>
      <w:r>
        <w:rPr>
          <w:rFonts w:ascii="Cambria" w:eastAsia="Cambria" w:hAnsi="Cambria" w:cs="MeridienLTStd-Roman"/>
        </w:rPr>
        <w:t>)</w:t>
      </w:r>
      <w:r>
        <w:rPr>
          <w:rFonts w:ascii="Cambria" w:eastAsia="Cambria" w:hAnsi="Cambria" w:cs="MeridienLTStd-Roman"/>
          <w:i/>
        </w:rPr>
        <w:t xml:space="preserve"> </w:t>
      </w:r>
      <w:r>
        <w:rPr>
          <w:rFonts w:ascii="Cambria" w:eastAsia="Cambria" w:hAnsi="Cambria" w:cs="SimonciniGaramondStd"/>
        </w:rPr>
        <w:t>cause damage to carrots.</w:t>
      </w:r>
    </w:p>
    <w:p w:rsidR="00AE7868" w:rsidRDefault="00AE7868">
      <w:pPr>
        <w:spacing w:before="200"/>
        <w:contextualSpacing/>
        <w:rPr>
          <w:rFonts w:ascii="Cambria" w:eastAsia="Cambria" w:hAnsi="Cambria" w:cs="SimonciniGaramondStd"/>
        </w:rPr>
      </w:pPr>
    </w:p>
    <w:p w:rsidR="00AE7868" w:rsidRDefault="00FF2B57">
      <w:pPr>
        <w:spacing w:before="200"/>
        <w:rPr>
          <w:rFonts w:ascii="Cambria" w:eastAsia="Cambria" w:hAnsi="Cambria" w:cs="MeridienLTStd-Roman"/>
        </w:rPr>
      </w:pPr>
      <w:r>
        <w:rPr>
          <w:rFonts w:ascii="Cambria" w:eastAsia="Cambria" w:hAnsi="Cambria" w:cs="SimonciniGaramondStd"/>
        </w:rPr>
        <w:t xml:space="preserve">It was widely believed that psyllids affect carrots by injecting toxic saliva into the plants (Markkula &amp; Laurema 1971; Markkula </w:t>
      </w:r>
      <w:r>
        <w:rPr>
          <w:rFonts w:ascii="Cambria" w:eastAsia="Cambria" w:hAnsi="Cambria" w:cs="SimonciniGaramondStd-Italic"/>
          <w:iCs/>
        </w:rPr>
        <w:t>et al.</w:t>
      </w:r>
      <w:r>
        <w:rPr>
          <w:rFonts w:ascii="Cambria" w:eastAsia="Cambria" w:hAnsi="Cambria" w:cs="SimonciniGaramondStd"/>
        </w:rPr>
        <w:t xml:space="preserve"> 1976; Nehlin </w:t>
      </w:r>
      <w:r>
        <w:rPr>
          <w:rFonts w:ascii="Cambria" w:eastAsia="Cambria" w:hAnsi="Cambria" w:cs="SimonciniGaramondStd-Italic"/>
          <w:iCs/>
        </w:rPr>
        <w:t>et al.</w:t>
      </w:r>
      <w:r>
        <w:rPr>
          <w:rFonts w:ascii="Cambria" w:eastAsia="Cambria" w:hAnsi="Cambria" w:cs="SimonciniGaramondStd"/>
        </w:rPr>
        <w:t xml:space="preserve"> 1994). However, it was recently discovered that psyllids were the vectors of ‘</w:t>
      </w:r>
      <w:r>
        <w:rPr>
          <w:rFonts w:ascii="Cambria" w:eastAsia="Cambria" w:hAnsi="Cambria" w:cs="SimonciniGaramondStd-Italic"/>
          <w:i/>
          <w:iCs/>
        </w:rPr>
        <w:t xml:space="preserve">Ca. </w:t>
      </w:r>
      <w:r>
        <w:rPr>
          <w:rFonts w:ascii="Cambria" w:eastAsia="Cambria" w:hAnsi="Cambria" w:cs="SimonciniGaramondStd"/>
        </w:rPr>
        <w:t xml:space="preserve">L. solanacearum’ (Munyaneza </w:t>
      </w:r>
      <w:r>
        <w:rPr>
          <w:rFonts w:ascii="Cambria" w:eastAsia="Cambria" w:hAnsi="Cambria" w:cs="SimonciniGaramondStd-Italic"/>
          <w:iCs/>
        </w:rPr>
        <w:t>et al.</w:t>
      </w:r>
      <w:r>
        <w:rPr>
          <w:rFonts w:ascii="Cambria" w:eastAsia="Cambria" w:hAnsi="Cambria" w:cs="SimonciniGaramondStd-Italic"/>
          <w:i/>
          <w:iCs/>
        </w:rPr>
        <w:t xml:space="preserve"> </w:t>
      </w:r>
      <w:r>
        <w:rPr>
          <w:rFonts w:ascii="Cambria" w:eastAsia="Cambria" w:hAnsi="Cambria" w:cs="SimonciniGaramondStd"/>
        </w:rPr>
        <w:t xml:space="preserve">2010a, b; Munyaneza </w:t>
      </w:r>
      <w:r>
        <w:rPr>
          <w:rFonts w:ascii="Cambria" w:eastAsia="Cambria" w:hAnsi="Cambria" w:cs="SimonciniGaramondStd-Italic"/>
          <w:iCs/>
        </w:rPr>
        <w:t>et al.</w:t>
      </w:r>
      <w:r>
        <w:rPr>
          <w:rFonts w:ascii="Cambria" w:eastAsia="Cambria" w:hAnsi="Cambria" w:cs="SimonciniGaramondStd-Italic"/>
          <w:i/>
          <w:iCs/>
        </w:rPr>
        <w:t xml:space="preserve"> </w:t>
      </w:r>
      <w:r>
        <w:rPr>
          <w:rFonts w:ascii="Cambria" w:eastAsia="Cambria" w:hAnsi="Cambria" w:cs="SimonciniGaramondStd"/>
        </w:rPr>
        <w:t xml:space="preserve">2012a, b). </w:t>
      </w:r>
      <w:r>
        <w:rPr>
          <w:rFonts w:ascii="Cambria" w:eastAsia="Cambria" w:hAnsi="Cambria" w:cs="MeridienLTStd-Roman"/>
        </w:rPr>
        <w:t xml:space="preserve">Symptomatic plants and </w:t>
      </w:r>
      <w:r>
        <w:rPr>
          <w:rFonts w:ascii="Cambria" w:eastAsia="Cambria" w:hAnsi="Cambria" w:cs="MeridienLTStd-Roman"/>
          <w:i/>
        </w:rPr>
        <w:t xml:space="preserve">Bactericera trigonica </w:t>
      </w:r>
      <w:r>
        <w:rPr>
          <w:rFonts w:ascii="Cambria" w:eastAsia="Cambria" w:hAnsi="Cambria" w:cs="MeridienLTStd-Roman"/>
        </w:rPr>
        <w:t>collected from carrot fields showing yellows disease from the Canary Islands (Font et al. 1999) were not tested for this liberibacter, as this bacterium was not suspected to be present then (</w:t>
      </w:r>
      <w:r>
        <w:rPr>
          <w:rFonts w:ascii="Cambria" w:eastAsia="Cambria" w:hAnsi="Cambria" w:cs="Highland-Roman"/>
        </w:rPr>
        <w:t>Munyaneza et al. 2010a</w:t>
      </w:r>
      <w:r>
        <w:rPr>
          <w:rFonts w:ascii="Cambria" w:eastAsia="Cambria" w:hAnsi="Cambria" w:cs="MeridienLTStd-Roman"/>
        </w:rPr>
        <w:t>). However, recent studies have reported ‘</w:t>
      </w:r>
      <w:r>
        <w:rPr>
          <w:rFonts w:ascii="Cambria" w:eastAsia="Cambria" w:hAnsi="Cambria" w:cs="MeridienLTStd-Roman"/>
          <w:i/>
        </w:rPr>
        <w:t xml:space="preserve">Ca. </w:t>
      </w:r>
      <w:r>
        <w:rPr>
          <w:rFonts w:ascii="Cambria" w:eastAsia="Cambria" w:hAnsi="Cambria" w:cs="MeridienLTStd-Roman"/>
        </w:rPr>
        <w:t xml:space="preserve">L. solanacearum’ in carrot crops and </w:t>
      </w:r>
      <w:r>
        <w:rPr>
          <w:rFonts w:ascii="Cambria" w:eastAsia="Cambria" w:hAnsi="Cambria" w:cs="MeridienLTStd-Roman"/>
          <w:i/>
        </w:rPr>
        <w:t xml:space="preserve">B. trigonica </w:t>
      </w:r>
      <w:r>
        <w:rPr>
          <w:rFonts w:ascii="Cambria" w:eastAsia="Cambria" w:hAnsi="Cambria" w:cs="MeridienLTStd-Roman"/>
        </w:rPr>
        <w:t>in the Canary Islands and other areas in Spain (</w:t>
      </w:r>
      <w:r>
        <w:rPr>
          <w:rFonts w:ascii="Cambria" w:eastAsia="Cambria" w:hAnsi="Cambria" w:cs="Arial"/>
        </w:rPr>
        <w:t xml:space="preserve">Alfaro-Fernández </w:t>
      </w:r>
      <w:r>
        <w:rPr>
          <w:rFonts w:ascii="Cambria" w:eastAsia="Cambria" w:hAnsi="Cambria" w:cs="Arial"/>
          <w:iCs/>
        </w:rPr>
        <w:t>et al.</w:t>
      </w:r>
      <w:r>
        <w:rPr>
          <w:rFonts w:ascii="Cambria" w:eastAsia="Cambria" w:hAnsi="Cambria" w:cs="Arial"/>
          <w:i/>
          <w:iCs/>
        </w:rPr>
        <w:t xml:space="preserve"> </w:t>
      </w:r>
      <w:r>
        <w:rPr>
          <w:rFonts w:ascii="Cambria" w:eastAsia="Cambria" w:hAnsi="Cambria" w:cs="Arial"/>
        </w:rPr>
        <w:t xml:space="preserve">2012a; Teresani </w:t>
      </w:r>
      <w:r>
        <w:rPr>
          <w:rFonts w:ascii="Cambria" w:eastAsia="Cambria" w:hAnsi="Cambria" w:cs="Arial"/>
          <w:iCs/>
        </w:rPr>
        <w:t>et al</w:t>
      </w:r>
      <w:r>
        <w:rPr>
          <w:rFonts w:ascii="Cambria" w:eastAsia="Cambria" w:hAnsi="Cambria" w:cs="Arial"/>
        </w:rPr>
        <w:t>. 2014b</w:t>
      </w:r>
      <w:r>
        <w:rPr>
          <w:rFonts w:ascii="Cambria" w:eastAsia="Cambria" w:hAnsi="Cambria" w:cs="MeridienLTStd-Roman"/>
        </w:rPr>
        <w:t xml:space="preserve">). Symptoms observed in carrots in the Canary Islands (Font et al. 1999) are very similar to those often observed in </w:t>
      </w:r>
      <w:r>
        <w:rPr>
          <w:rFonts w:ascii="Cambria" w:eastAsia="Cambria" w:hAnsi="Cambria" w:cs="MeridienLTStd-Roman"/>
          <w:i/>
        </w:rPr>
        <w:t>T. apicalis</w:t>
      </w:r>
      <w:r>
        <w:rPr>
          <w:rFonts w:ascii="Cambria" w:eastAsia="Cambria" w:hAnsi="Cambria" w:cs="MeridienLTStd-Roman"/>
        </w:rPr>
        <w:t>–‘</w:t>
      </w:r>
      <w:r>
        <w:rPr>
          <w:rFonts w:ascii="Cambria" w:eastAsia="Cambria" w:hAnsi="Cambria" w:cs="MeridienLTStd-Roman"/>
          <w:i/>
        </w:rPr>
        <w:t>Ca</w:t>
      </w:r>
      <w:r>
        <w:rPr>
          <w:rFonts w:ascii="Cambria" w:eastAsia="Cambria" w:hAnsi="Cambria" w:cs="MeridienLTStd-Roman"/>
        </w:rPr>
        <w:t>. L.’ affected carrots in Finland (</w:t>
      </w:r>
      <w:r>
        <w:rPr>
          <w:rFonts w:ascii="Cambria" w:eastAsia="Cambria" w:hAnsi="Cambria" w:cs="Highland-Roman"/>
        </w:rPr>
        <w:t>Munyaneza et al. 2010a</w:t>
      </w:r>
      <w:r>
        <w:rPr>
          <w:rFonts w:ascii="Cambria" w:eastAsia="Cambria" w:hAnsi="Cambria" w:cs="MeridienLTStd-Roman"/>
        </w:rPr>
        <w:t xml:space="preserve">). </w:t>
      </w:r>
      <w:r>
        <w:rPr>
          <w:rFonts w:ascii="Cambria" w:eastAsia="Cambria" w:hAnsi="Cambria" w:cs="SimonciniGaramondStd"/>
        </w:rPr>
        <w:t xml:space="preserve">These results suggest that plant symptoms observed in the surveyed fields are most likely associated with </w:t>
      </w:r>
      <w:r>
        <w:rPr>
          <w:rFonts w:ascii="Cambria" w:eastAsia="Cambria" w:hAnsi="Cambria" w:cs="SimonciniGaramondStd"/>
          <w:i/>
        </w:rPr>
        <w:t>T. apicalis</w:t>
      </w:r>
      <w:r>
        <w:rPr>
          <w:rFonts w:ascii="Cambria" w:eastAsia="Cambria" w:hAnsi="Cambria" w:cs="SimonciniGaramondStd"/>
        </w:rPr>
        <w:t xml:space="preserve"> feeding and ‘</w:t>
      </w:r>
      <w:r>
        <w:rPr>
          <w:rFonts w:ascii="Cambria" w:eastAsia="Cambria" w:hAnsi="Cambria" w:cs="SimonciniGaramondStd"/>
          <w:i/>
        </w:rPr>
        <w:t>Ca</w:t>
      </w:r>
      <w:r>
        <w:rPr>
          <w:rFonts w:ascii="Cambria" w:eastAsia="Cambria" w:hAnsi="Cambria" w:cs="SimonciniGaramondStd"/>
        </w:rPr>
        <w:t>. L. solanacearum’ infection.</w:t>
      </w:r>
    </w:p>
    <w:p w:rsidR="00AE7868" w:rsidRDefault="00FF2B57">
      <w:pPr>
        <w:pStyle w:val="Heading4"/>
        <w:numPr>
          <w:ilvl w:val="0"/>
          <w:numId w:val="43"/>
        </w:numPr>
        <w:spacing w:before="200"/>
        <w:ind w:left="284" w:hanging="284"/>
      </w:pPr>
      <w:r>
        <w:lastRenderedPageBreak/>
        <w:t>Absence of known vectors in Australia and emergency measures for the risk</w:t>
      </w:r>
    </w:p>
    <w:p w:rsidR="00AE7868" w:rsidRDefault="00FF2B57">
      <w:pPr>
        <w:spacing w:before="200"/>
        <w:rPr>
          <w:rFonts w:ascii="Cambria" w:eastAsia="Cambria" w:hAnsi="Cambria" w:cs="TimesNewRomanPSMT"/>
        </w:rPr>
      </w:pPr>
      <w:r>
        <w:rPr>
          <w:rFonts w:ascii="Cambria" w:hAnsi="Cambria"/>
          <w:bCs/>
        </w:rPr>
        <w:t xml:space="preserve">Australia </w:t>
      </w:r>
      <w:r>
        <w:rPr>
          <w:rFonts w:ascii="Cambria" w:eastAsia="Cambria" w:hAnsi="Cambria" w:cs="MeridienLTStd-Roman"/>
        </w:rPr>
        <w:t>acknowledges</w:t>
      </w:r>
      <w:r>
        <w:rPr>
          <w:rFonts w:ascii="Cambria" w:hAnsi="Cambria"/>
          <w:bCs/>
        </w:rPr>
        <w:t xml:space="preserve"> that the known vectors (</w:t>
      </w:r>
      <w:r>
        <w:rPr>
          <w:rFonts w:ascii="Cambria" w:eastAsia="Cambria" w:hAnsi="Cambria" w:cs="MeridienLTStd-Roman"/>
          <w:i/>
        </w:rPr>
        <w:t xml:space="preserve">B. trigonica </w:t>
      </w:r>
      <w:r>
        <w:rPr>
          <w:rFonts w:ascii="Cambria" w:eastAsia="Cambria" w:hAnsi="Cambria" w:cs="MeridienLTStd-Roman"/>
        </w:rPr>
        <w:t xml:space="preserve">and </w:t>
      </w:r>
      <w:r>
        <w:rPr>
          <w:rFonts w:ascii="Cambria" w:hAnsi="Cambria"/>
          <w:bCs/>
          <w:i/>
        </w:rPr>
        <w:t>T. apicalis</w:t>
      </w:r>
      <w:r>
        <w:rPr>
          <w:rFonts w:ascii="Cambria" w:eastAsia="Cambria" w:hAnsi="Cambria" w:cs="MeridienLTStd-Roman"/>
        </w:rPr>
        <w:t>) of ‘</w:t>
      </w:r>
      <w:r>
        <w:rPr>
          <w:rFonts w:ascii="Cambria" w:eastAsia="Cambria" w:hAnsi="Cambria" w:cs="MeridienLTStd-Roman"/>
          <w:i/>
        </w:rPr>
        <w:t>Ca</w:t>
      </w:r>
      <w:r>
        <w:rPr>
          <w:rFonts w:ascii="Cambria" w:eastAsia="Cambria" w:hAnsi="Cambria" w:cs="MeridienLTStd-Roman"/>
        </w:rPr>
        <w:t>. L. solanacearum’ are absent from Australia. ‘</w:t>
      </w:r>
      <w:r>
        <w:rPr>
          <w:rFonts w:ascii="Cambria" w:eastAsia="Cambria" w:hAnsi="Cambria" w:cs="MeridienLTStd-Roman"/>
          <w:i/>
        </w:rPr>
        <w:t>Candidatus</w:t>
      </w:r>
      <w:r>
        <w:rPr>
          <w:rFonts w:ascii="Cambria" w:eastAsia="Cambria" w:hAnsi="Cambria" w:cs="MeridienLTStd-Roman"/>
        </w:rPr>
        <w:t xml:space="preserve"> Liberibacter solanacearum’ </w:t>
      </w:r>
      <w:r>
        <w:rPr>
          <w:rFonts w:ascii="Cambria" w:hAnsi="Cambria"/>
        </w:rPr>
        <w:t xml:space="preserve">has also been detected in other psyllids, including </w:t>
      </w:r>
      <w:r>
        <w:rPr>
          <w:rFonts w:ascii="Cambria" w:hAnsi="Cambria"/>
          <w:i/>
        </w:rPr>
        <w:t>B. nigricornis</w:t>
      </w:r>
      <w:r>
        <w:rPr>
          <w:rFonts w:ascii="Cambria" w:hAnsi="Cambria"/>
        </w:rPr>
        <w:t xml:space="preserve"> and </w:t>
      </w:r>
      <w:r>
        <w:rPr>
          <w:rFonts w:ascii="Cambria" w:hAnsi="Cambria"/>
          <w:i/>
        </w:rPr>
        <w:t>B. tremblayi</w:t>
      </w:r>
      <w:r>
        <w:rPr>
          <w:rFonts w:ascii="Cambria" w:hAnsi="Cambria"/>
        </w:rPr>
        <w:t xml:space="preserve">, indicating that </w:t>
      </w:r>
      <w:r>
        <w:rPr>
          <w:rFonts w:ascii="Cambria" w:eastAsia="Cambria" w:hAnsi="Cambria" w:cs="TimesNewRomanPSMT"/>
        </w:rPr>
        <w:t>this bacterium is likely to have more insect vectors than are currently known. T</w:t>
      </w:r>
      <w:r>
        <w:rPr>
          <w:rFonts w:ascii="Cambria" w:hAnsi="Cambria"/>
        </w:rPr>
        <w:t>here are several species of psyllids that are native to Australia that may be potential vectors of ‘</w:t>
      </w:r>
      <w:r>
        <w:rPr>
          <w:rFonts w:ascii="Cambria" w:hAnsi="Cambria"/>
          <w:i/>
        </w:rPr>
        <w:t>Ca</w:t>
      </w:r>
      <w:r>
        <w:rPr>
          <w:rFonts w:ascii="Cambria" w:hAnsi="Cambria"/>
        </w:rPr>
        <w:t xml:space="preserve">. L. solanacearum’. Furthermore, </w:t>
      </w:r>
      <w:r>
        <w:rPr>
          <w:rFonts w:ascii="Cambria" w:eastAsia="Cambria" w:hAnsi="Cambria" w:cs="TimesNewRomanPSMT"/>
        </w:rPr>
        <w:t>there are psyllid species present in Australia that belong to the same genera as the vectors identified overseas.</w:t>
      </w:r>
    </w:p>
    <w:p w:rsidR="00AE7868" w:rsidRDefault="00FF2B57">
      <w:pPr>
        <w:spacing w:before="200"/>
        <w:rPr>
          <w:rFonts w:ascii="Cambria" w:eastAsia="Cambria" w:hAnsi="Cambria" w:cs="TimesNewRomanPSMT"/>
        </w:rPr>
      </w:pPr>
      <w:r>
        <w:rPr>
          <w:rFonts w:ascii="Cambria" w:eastAsia="Cambria" w:hAnsi="Cambria" w:cs="TimesNewRomanPSMT"/>
        </w:rPr>
        <w:t>The emergency measures currently in place are considered appropriate to mitigate the risk of accidental introduction of ‘</w:t>
      </w:r>
      <w:r>
        <w:rPr>
          <w:rFonts w:ascii="Cambria" w:eastAsia="Cambria" w:hAnsi="Cambria" w:cs="TimesNewRomanPSMT"/>
          <w:i/>
        </w:rPr>
        <w:t>Ca</w:t>
      </w:r>
      <w:r>
        <w:rPr>
          <w:rFonts w:ascii="Cambria" w:eastAsia="Cambria" w:hAnsi="Cambria" w:cs="TimesNewRomanPSMT"/>
        </w:rPr>
        <w:t>. L. solanacearum’ associated with apiaceous crops into Australia. Australia already has measures in place to prevent the introduction of other bacterial pathogens of quarantine concern, regardless of whether the vectors are present, or not (for example Citrus greening (‘</w:t>
      </w:r>
      <w:r>
        <w:rPr>
          <w:rFonts w:ascii="Cambria" w:eastAsia="Cambria" w:hAnsi="Cambria" w:cs="TimesNewRomanPSMT"/>
          <w:i/>
        </w:rPr>
        <w:t xml:space="preserve">Ca. </w:t>
      </w:r>
      <w:r>
        <w:rPr>
          <w:rFonts w:ascii="Cambria" w:eastAsia="Cambria" w:hAnsi="Cambria" w:cs="TimesNewRomanPSMT"/>
        </w:rPr>
        <w:t>L.’ species) and Zebra chip (‘</w:t>
      </w:r>
      <w:r>
        <w:rPr>
          <w:rFonts w:ascii="Cambria" w:eastAsia="Cambria" w:hAnsi="Cambria" w:cs="TimesNewRomanPSMT"/>
          <w:i/>
        </w:rPr>
        <w:t xml:space="preserve">Ca. </w:t>
      </w:r>
      <w:r>
        <w:rPr>
          <w:rFonts w:ascii="Cambria" w:eastAsia="Cambria" w:hAnsi="Cambria" w:cs="TimesNewRomanPSMT"/>
        </w:rPr>
        <w:t>L. solanacearum’)).</w:t>
      </w:r>
    </w:p>
    <w:p w:rsidR="00AE7868" w:rsidRDefault="00FF2B57">
      <w:pPr>
        <w:pStyle w:val="Heading3"/>
        <w:keepLines/>
        <w:spacing w:before="200" w:after="200"/>
        <w:rPr>
          <w:rFonts w:ascii="Calibri" w:hAnsi="Calibri" w:cstheme="minorBidi"/>
          <w:sz w:val="24"/>
          <w:szCs w:val="22"/>
        </w:rPr>
      </w:pPr>
      <w:bookmarkStart w:id="454" w:name="_Toc437356050"/>
      <w:r>
        <w:rPr>
          <w:rFonts w:ascii="Calibri" w:hAnsi="Calibri" w:cstheme="minorBidi"/>
          <w:sz w:val="24"/>
          <w:szCs w:val="22"/>
        </w:rPr>
        <w:t>Questions in relation to detection methods</w:t>
      </w:r>
      <w:bookmarkEnd w:id="454"/>
    </w:p>
    <w:p w:rsidR="00AE7868" w:rsidRDefault="00FF2B57">
      <w:pPr>
        <w:pStyle w:val="Heading4"/>
        <w:numPr>
          <w:ilvl w:val="0"/>
          <w:numId w:val="44"/>
        </w:numPr>
        <w:spacing w:before="200"/>
        <w:ind w:left="284" w:hanging="284"/>
      </w:pPr>
      <w:r>
        <w:t>Detection and differentiation of dead and alive bacterial cells</w:t>
      </w:r>
    </w:p>
    <w:p w:rsidR="00AE7868" w:rsidRDefault="00FF2B57">
      <w:pPr>
        <w:spacing w:before="200"/>
        <w:rPr>
          <w:rFonts w:ascii="Cambria" w:eastAsia="Cambria" w:hAnsi="Cambria" w:cs="AdvPSSAB-R"/>
        </w:rPr>
      </w:pPr>
      <w:r>
        <w:rPr>
          <w:rFonts w:ascii="Cambria" w:eastAsia="Cambria" w:hAnsi="Cambria" w:cs="AdvPSSAB-R"/>
        </w:rPr>
        <w:t xml:space="preserve">Australia acknowledges that PCR can detect and quantify the bacterial genome but does not differentiate between alive or dead bacterial </w:t>
      </w:r>
      <w:r>
        <w:rPr>
          <w:rFonts w:ascii="Cambria" w:eastAsia="Cambria" w:hAnsi="Cambria" w:cs="AdvPSSAB-R"/>
        </w:rPr>
        <w:lastRenderedPageBreak/>
        <w:t>cells. However, DNA intercalating dyes such as ethidium monoazide (EMA) or propid</w:t>
      </w:r>
      <w:r w:rsidR="00022B2C">
        <w:rPr>
          <w:rFonts w:ascii="Cambria" w:eastAsia="Cambria" w:hAnsi="Cambria" w:cs="AdvPSSAB-R"/>
        </w:rPr>
        <w:t>i</w:t>
      </w:r>
      <w:r>
        <w:rPr>
          <w:rFonts w:ascii="Cambria" w:eastAsia="Cambria" w:hAnsi="Cambria" w:cs="AdvPSSAB-R"/>
        </w:rPr>
        <w:t>um monoazide (PMA) have been used to detect and quantify DNA from only live cells (Nocker &amp; Camper 2006; Trivedi et al. 2009; Nocker et al. 2007; Temple et al. 2013). Bertolini et al. (2015) used PMA to quantify live ‘</w:t>
      </w:r>
      <w:r>
        <w:rPr>
          <w:rFonts w:ascii="Cambria" w:eastAsia="Cambria" w:hAnsi="Cambria" w:cs="AdvPSSAB-R"/>
          <w:i/>
        </w:rPr>
        <w:t>Ca</w:t>
      </w:r>
      <w:r>
        <w:rPr>
          <w:rFonts w:ascii="Cambria" w:eastAsia="Cambria" w:hAnsi="Cambria" w:cs="AdvPSSAB-R"/>
        </w:rPr>
        <w:t>. L. solanacearum’ cells in carrot seeds. This study found that the majority (about 95 percent) of the seeds’ bacterial population was dead. However, the live cells (5 percent) were enough to cause infection in carrot seedlings germinated from infected seeds (Bertolini et al. 2015). Similar results have been reported for ‘</w:t>
      </w:r>
      <w:r>
        <w:rPr>
          <w:rFonts w:ascii="Cambria" w:eastAsia="Cambria" w:hAnsi="Cambria" w:cs="AdvPSSAB-R"/>
          <w:i/>
        </w:rPr>
        <w:t>Ca</w:t>
      </w:r>
      <w:r>
        <w:rPr>
          <w:rFonts w:ascii="Cambria" w:eastAsia="Cambria" w:hAnsi="Cambria" w:cs="AdvPSSAB-R"/>
        </w:rPr>
        <w:t>. L. asiaticus’ (83 percent dead cells) after treatment with ethidium monoazide (Trivedi et al. 2009). This also suggests that the detection of dead bacterial cells in a sample can be an indication that low levels of live bacterial cells are present. Therefore, Australia considers that it is not appropriate to differentiate between live and dead cells when testing for the presence of ‘</w:t>
      </w:r>
      <w:r>
        <w:rPr>
          <w:rFonts w:ascii="Cambria" w:eastAsia="Cambria" w:hAnsi="Cambria" w:cs="AdvPSSAB-R"/>
          <w:i/>
        </w:rPr>
        <w:t xml:space="preserve">Ca. </w:t>
      </w:r>
      <w:r>
        <w:rPr>
          <w:rFonts w:ascii="Cambria" w:eastAsia="Cambria" w:hAnsi="Cambria" w:cs="AdvPSSAB-R"/>
        </w:rPr>
        <w:t>L. solanacearum’ in carrot seeds.</w:t>
      </w:r>
    </w:p>
    <w:p w:rsidR="00AE7868" w:rsidRDefault="00FF2B57">
      <w:pPr>
        <w:pStyle w:val="Heading3"/>
        <w:keepLines/>
        <w:spacing w:before="200" w:after="200"/>
        <w:rPr>
          <w:rFonts w:ascii="Calibri" w:hAnsi="Calibri" w:cstheme="minorBidi"/>
          <w:sz w:val="24"/>
          <w:szCs w:val="22"/>
        </w:rPr>
      </w:pPr>
      <w:bookmarkStart w:id="455" w:name="_Toc437356051"/>
      <w:r>
        <w:rPr>
          <w:rFonts w:ascii="Calibri" w:hAnsi="Calibri" w:cstheme="minorBidi"/>
          <w:sz w:val="24"/>
          <w:szCs w:val="22"/>
        </w:rPr>
        <w:t>Questions in relation to emergency measures</w:t>
      </w:r>
      <w:bookmarkEnd w:id="455"/>
    </w:p>
    <w:p w:rsidR="00AE7868" w:rsidRDefault="00FF2B57">
      <w:pPr>
        <w:pStyle w:val="Heading4"/>
        <w:numPr>
          <w:ilvl w:val="0"/>
          <w:numId w:val="45"/>
        </w:numPr>
        <w:spacing w:before="200"/>
        <w:ind w:left="284" w:hanging="284"/>
      </w:pPr>
      <w:r>
        <w:t>Sample size of 20,000 seeds to verify freedom from ‘</w:t>
      </w:r>
      <w:r>
        <w:rPr>
          <w:i/>
        </w:rPr>
        <w:t>Ca.</w:t>
      </w:r>
      <w:r>
        <w:t xml:space="preserve"> L. solanacearum’</w:t>
      </w:r>
    </w:p>
    <w:p w:rsidR="00AE7868" w:rsidRDefault="00FF2B57">
      <w:pPr>
        <w:spacing w:before="200"/>
        <w:rPr>
          <w:rFonts w:ascii="Cambria" w:hAnsi="Cambria"/>
        </w:rPr>
      </w:pPr>
      <w:r>
        <w:rPr>
          <w:rFonts w:ascii="Cambria" w:hAnsi="Cambria"/>
        </w:rPr>
        <w:t>In accordance with ISPM 7, 12 and 23, Australia asked trading partners to inspect carrot seed shipments and to certify that the shipment is free from ‘</w:t>
      </w:r>
      <w:r>
        <w:rPr>
          <w:rFonts w:ascii="Cambria" w:hAnsi="Cambria"/>
          <w:i/>
        </w:rPr>
        <w:t>Ca</w:t>
      </w:r>
      <w:r>
        <w:rPr>
          <w:rFonts w:ascii="Cambria" w:hAnsi="Cambria"/>
        </w:rPr>
        <w:t xml:space="preserve">. L. solanacearum’. Inspection is a practical measure for visible pests or for pests which produce visible symptoms. However, </w:t>
      </w:r>
      <w:r>
        <w:rPr>
          <w:rFonts w:ascii="Cambria" w:hAnsi="Cambria"/>
          <w:iCs/>
        </w:rPr>
        <w:lastRenderedPageBreak/>
        <w:t>‘</w:t>
      </w:r>
      <w:r>
        <w:rPr>
          <w:rFonts w:ascii="Cambria" w:hAnsi="Cambria"/>
          <w:i/>
          <w:iCs/>
        </w:rPr>
        <w:t>Ca</w:t>
      </w:r>
      <w:r>
        <w:rPr>
          <w:rFonts w:ascii="Cambria" w:hAnsi="Cambria"/>
          <w:iCs/>
        </w:rPr>
        <w:t xml:space="preserve">. L. solanacearum’ </w:t>
      </w:r>
      <w:r>
        <w:rPr>
          <w:rFonts w:ascii="Cambria" w:hAnsi="Cambria"/>
        </w:rPr>
        <w:t>infects the seed without visual symptoms; therefore, visual inspection is insufficient. Consistent with ISPM 11 (FAO 2013), Australia selected pathogen testing of a sample drawn from the consignment to verify freedom from ‘</w:t>
      </w:r>
      <w:r>
        <w:rPr>
          <w:rFonts w:ascii="Cambria" w:hAnsi="Cambria"/>
          <w:i/>
        </w:rPr>
        <w:t>Ca</w:t>
      </w:r>
      <w:r>
        <w:rPr>
          <w:rFonts w:ascii="Cambria" w:hAnsi="Cambria"/>
        </w:rPr>
        <w:t>. L. solanacearum’ associated with carrot seeds. Seed health testing is an important means of reducing the introduction of pathogens. Direct testing (isolation of the pathogen) or indirect testing (detection of proteins [serological] or detection of nucleic acid [PCR]) methods are used for seed health testing. Australia opted for PCR as a sensitive and less time consuming procedure for the detection of ‘</w:t>
      </w:r>
      <w:r>
        <w:rPr>
          <w:rFonts w:ascii="Cambria" w:hAnsi="Cambria"/>
          <w:i/>
        </w:rPr>
        <w:t>Ca</w:t>
      </w:r>
      <w:r>
        <w:rPr>
          <w:rFonts w:ascii="Cambria" w:hAnsi="Cambria"/>
        </w:rPr>
        <w:t>. L. solanacearum’ in carrot seeds.</w:t>
      </w:r>
    </w:p>
    <w:p w:rsidR="00AE7868" w:rsidRDefault="00FF2B57">
      <w:pPr>
        <w:pStyle w:val="SPStalkingpoint"/>
        <w:spacing w:before="200" w:after="200"/>
      </w:pPr>
      <w:r>
        <w:t>It is expected that some infected seed lots will contain very few infected seeds and consist mostly of healthy seeds. To detect the infected seeds in these lots, substantial seed samples need to be tested. Any infected seeds can introduce the pathogen to new areas. Therefore, t</w:t>
      </w:r>
      <w:r>
        <w:rPr>
          <w:rFonts w:cstheme="minorHAnsi"/>
        </w:rPr>
        <w:t xml:space="preserve">ests for seed-borne pathogens are frequently done on samples of 10,000 to 50,000 seeds. For example, testing </w:t>
      </w:r>
      <w:r>
        <w:t xml:space="preserve">samples of 30,000 crucifer seeds is the industry standard for detecting </w:t>
      </w:r>
      <w:r>
        <w:rPr>
          <w:i/>
        </w:rPr>
        <w:t>Xanthomonas campestris</w:t>
      </w:r>
      <w:r>
        <w:t xml:space="preserve"> pv. </w:t>
      </w:r>
      <w:r>
        <w:rPr>
          <w:i/>
        </w:rPr>
        <w:t>c</w:t>
      </w:r>
      <w:r>
        <w:t>ampestris,</w:t>
      </w:r>
      <w:r>
        <w:rPr>
          <w:rFonts w:cstheme="minorHAnsi"/>
        </w:rPr>
        <w:t xml:space="preserve"> and 10,000 to 20,000 carrot seeds is the standard for detecting </w:t>
      </w:r>
      <w:r>
        <w:rPr>
          <w:i/>
        </w:rPr>
        <w:t>Xanthomonas campestris</w:t>
      </w:r>
      <w:r>
        <w:t xml:space="preserve"> pv. </w:t>
      </w:r>
      <w:r>
        <w:rPr>
          <w:i/>
        </w:rPr>
        <w:t>carotae</w:t>
      </w:r>
      <w:r>
        <w:t xml:space="preserve"> (APHIS 2001;</w:t>
      </w:r>
      <w:r>
        <w:rPr>
          <w:rFonts w:cstheme="minorHAnsi"/>
        </w:rPr>
        <w:t xml:space="preserve"> De Boer et al. 2007</w:t>
      </w:r>
      <w:r>
        <w:t>)</w:t>
      </w:r>
      <w:r>
        <w:rPr>
          <w:i/>
        </w:rPr>
        <w:t xml:space="preserve">. </w:t>
      </w:r>
      <w:r>
        <w:t xml:space="preserve">Testing samples of 20,000 bean seeds is the standard for detecting </w:t>
      </w:r>
      <w:r>
        <w:rPr>
          <w:i/>
        </w:rPr>
        <w:t>Pseudomonas</w:t>
      </w:r>
      <w:r>
        <w:t xml:space="preserve"> </w:t>
      </w:r>
      <w:r>
        <w:rPr>
          <w:i/>
        </w:rPr>
        <w:t>syringae</w:t>
      </w:r>
      <w:r>
        <w:t xml:space="preserve"> pv. </w:t>
      </w:r>
      <w:r>
        <w:rPr>
          <w:i/>
        </w:rPr>
        <w:t xml:space="preserve">phaseolicola </w:t>
      </w:r>
      <w:r>
        <w:t>(</w:t>
      </w:r>
      <w:r>
        <w:rPr>
          <w:rFonts w:cs="Arial"/>
        </w:rPr>
        <w:t>Agarwal &amp; Sinclair 1996</w:t>
      </w:r>
      <w:r>
        <w:t xml:space="preserve">). A test of 10,000 to 50,000 tomato seeds is routinely used to detect </w:t>
      </w:r>
      <w:r>
        <w:rPr>
          <w:i/>
        </w:rPr>
        <w:t>Clavibacter</w:t>
      </w:r>
      <w:r>
        <w:t xml:space="preserve"> </w:t>
      </w:r>
      <w:r>
        <w:rPr>
          <w:i/>
        </w:rPr>
        <w:t>michiganensis</w:t>
      </w:r>
      <w:r>
        <w:t xml:space="preserve"> subsp. </w:t>
      </w:r>
      <w:r>
        <w:rPr>
          <w:i/>
        </w:rPr>
        <w:t>michiganensis</w:t>
      </w:r>
      <w:r>
        <w:t xml:space="preserve"> (</w:t>
      </w:r>
      <w:r>
        <w:rPr>
          <w:rFonts w:cs="Arial"/>
        </w:rPr>
        <w:t>van Vaerenbergh 2013</w:t>
      </w:r>
      <w:r>
        <w:t xml:space="preserve">). A test of 30,000 lettuce seeds is used by other NPPOs </w:t>
      </w:r>
      <w:r>
        <w:lastRenderedPageBreak/>
        <w:t xml:space="preserve">to detect </w:t>
      </w:r>
      <w:r>
        <w:rPr>
          <w:i/>
        </w:rPr>
        <w:t>Lettuce</w:t>
      </w:r>
      <w:r>
        <w:t xml:space="preserve"> </w:t>
      </w:r>
      <w:r>
        <w:rPr>
          <w:i/>
        </w:rPr>
        <w:t>mosaic</w:t>
      </w:r>
      <w:r>
        <w:t xml:space="preserve"> </w:t>
      </w:r>
      <w:r>
        <w:rPr>
          <w:i/>
        </w:rPr>
        <w:t>virus</w:t>
      </w:r>
      <w:r>
        <w:t xml:space="preserve"> (APHIS 2001). Monsanto tests vegetable seeds for bacterial and viral pathogens using samples of 30,000 or 50,000 seeds (Monsanto 2014). Australian laboratories test tomato and capsicum seeds for viroids using samples of 20,000 seeds.</w:t>
      </w:r>
      <w:r>
        <w:rPr>
          <w:rFonts w:asciiTheme="minorHAnsi" w:hAnsiTheme="minorHAnsi" w:cstheme="minorBidi"/>
        </w:rPr>
        <w:t xml:space="preserve"> </w:t>
      </w:r>
    </w:p>
    <w:p w:rsidR="00AE7868" w:rsidRDefault="00FF2B57">
      <w:pPr>
        <w:pStyle w:val="SPStalkingpoint"/>
        <w:spacing w:before="200" w:after="200"/>
      </w:pPr>
      <w:r>
        <w:t>Australia therefore considers that using a 20,000 seed sample to detect a low level of ‘</w:t>
      </w:r>
      <w:r>
        <w:rPr>
          <w:i/>
        </w:rPr>
        <w:t>Ca</w:t>
      </w:r>
      <w:r>
        <w:t>. L. solanacearum’ in carrot seeds is considered justified.</w:t>
      </w:r>
    </w:p>
    <w:p w:rsidR="00AE7868" w:rsidRDefault="00FF2B57">
      <w:pPr>
        <w:pStyle w:val="Heading4"/>
        <w:numPr>
          <w:ilvl w:val="0"/>
          <w:numId w:val="45"/>
        </w:numPr>
        <w:spacing w:before="200"/>
        <w:ind w:left="284" w:hanging="284"/>
      </w:pPr>
      <w:r>
        <w:t>Heat treatment (50 °C</w:t>
      </w:r>
      <w:r>
        <w:rPr>
          <w:vertAlign w:val="superscript"/>
        </w:rPr>
        <w:t xml:space="preserve"> </w:t>
      </w:r>
      <w:r>
        <w:t>for 20 minutes) for carrot seeds</w:t>
      </w:r>
    </w:p>
    <w:p w:rsidR="00AE7868" w:rsidRDefault="00FF2B57">
      <w:pPr>
        <w:autoSpaceDE w:val="0"/>
        <w:autoSpaceDN w:val="0"/>
        <w:adjustRightInd w:val="0"/>
        <w:spacing w:before="200"/>
        <w:rPr>
          <w:rFonts w:ascii="Cambria" w:hAnsi="Cambria"/>
        </w:rPr>
      </w:pPr>
      <w:r>
        <w:rPr>
          <w:rFonts w:ascii="Cambria" w:hAnsi="Cambria"/>
        </w:rPr>
        <w:t>ISPM 5 defines treatment as an ‘</w:t>
      </w:r>
      <w:r>
        <w:rPr>
          <w:rFonts w:ascii="Cambria" w:eastAsia="Cambria" w:hAnsi="Cambria" w:cs="Times-Bold"/>
          <w:bCs/>
        </w:rPr>
        <w:t xml:space="preserve">official </w:t>
      </w:r>
      <w:r>
        <w:rPr>
          <w:rFonts w:ascii="Cambria" w:eastAsia="Cambria" w:hAnsi="Cambria" w:cs="Times-Roman"/>
        </w:rPr>
        <w:t xml:space="preserve">procedure for the killing, </w:t>
      </w:r>
      <w:r>
        <w:rPr>
          <w:rFonts w:ascii="Cambria" w:eastAsia="Cambria" w:hAnsi="Cambria" w:cs="Times-Bold"/>
          <w:bCs/>
        </w:rPr>
        <w:t xml:space="preserve">inactivation </w:t>
      </w:r>
      <w:r>
        <w:rPr>
          <w:rFonts w:ascii="Cambria" w:eastAsia="Cambria" w:hAnsi="Cambria" w:cs="Times-Roman"/>
        </w:rPr>
        <w:t xml:space="preserve">or removal of </w:t>
      </w:r>
      <w:r>
        <w:rPr>
          <w:rFonts w:ascii="Cambria" w:eastAsia="Cambria" w:hAnsi="Cambria" w:cs="Times-Bold"/>
          <w:bCs/>
        </w:rPr>
        <w:t>pests</w:t>
      </w:r>
      <w:r>
        <w:rPr>
          <w:rFonts w:ascii="Cambria" w:eastAsia="Cambria" w:hAnsi="Cambria" w:cs="Times-Roman"/>
        </w:rPr>
        <w:t xml:space="preserve">, or for rendering </w:t>
      </w:r>
      <w:r>
        <w:rPr>
          <w:rFonts w:ascii="Cambria" w:eastAsia="Cambria" w:hAnsi="Cambria" w:cs="Times-Bold"/>
          <w:bCs/>
        </w:rPr>
        <w:t xml:space="preserve">pests </w:t>
      </w:r>
      <w:r>
        <w:rPr>
          <w:rFonts w:ascii="Cambria" w:eastAsia="Cambria" w:hAnsi="Cambria" w:cs="Times-Roman"/>
        </w:rPr>
        <w:t xml:space="preserve">infertile or for </w:t>
      </w:r>
      <w:r>
        <w:rPr>
          <w:rFonts w:ascii="Cambria" w:eastAsia="Cambria" w:hAnsi="Cambria" w:cs="Times-Bold"/>
          <w:bCs/>
        </w:rPr>
        <w:t xml:space="preserve">devitalisation’ </w:t>
      </w:r>
      <w:r>
        <w:rPr>
          <w:rFonts w:ascii="Cambria" w:hAnsi="Cambria"/>
        </w:rPr>
        <w:t>(FAO 2015)</w:t>
      </w:r>
      <w:r>
        <w:rPr>
          <w:rFonts w:ascii="Cambria" w:eastAsia="Cambria" w:hAnsi="Cambria" w:cs="Times-Bold"/>
          <w:bCs/>
        </w:rPr>
        <w:t>.</w:t>
      </w:r>
      <w:r>
        <w:rPr>
          <w:rFonts w:ascii="Cambria" w:eastAsia="Cambria" w:hAnsi="Cambria" w:cs="Times-Bold"/>
          <w:b/>
          <w:bCs/>
        </w:rPr>
        <w:t xml:space="preserve"> </w:t>
      </w:r>
      <w:r>
        <w:rPr>
          <w:rFonts w:ascii="Cambria" w:eastAsia="Cambria" w:hAnsi="Cambria" w:cs="Times-Bold"/>
          <w:bCs/>
        </w:rPr>
        <w:t xml:space="preserve">Consistent with ISPM 5, </w:t>
      </w:r>
      <w:r>
        <w:rPr>
          <w:rFonts w:ascii="Cambria" w:hAnsi="Cambria"/>
        </w:rPr>
        <w:t xml:space="preserve">Australia introduced heat treatment as a measure applied to consignments prior to export or on-arrival. The requirement or application of phytosanitary treatments to regulated articles is a phytosanitary measure used to prevent the introduction and spread of regulated pests. ISPM 28 </w:t>
      </w:r>
      <w:r>
        <w:rPr>
          <w:rFonts w:ascii="Cambria" w:hAnsi="Cambria"/>
          <w:i/>
        </w:rPr>
        <w:t xml:space="preserve">Phytosanitary treatments for regulated pests </w:t>
      </w:r>
      <w:r>
        <w:rPr>
          <w:rFonts w:ascii="Cambria" w:hAnsi="Cambria"/>
        </w:rPr>
        <w:t>provides guidelines on the use of treatments to manage pest risk.</w:t>
      </w:r>
    </w:p>
    <w:p w:rsidR="00AE7868" w:rsidRDefault="00FF2B57">
      <w:pPr>
        <w:pStyle w:val="SPStalkingpoint"/>
        <w:spacing w:before="200" w:after="200"/>
      </w:pPr>
      <w:r>
        <w:t>Australia acknowledges that there is no specific scientific publication indicating that heat treatment is effective in eliminating ‘</w:t>
      </w:r>
      <w:r>
        <w:rPr>
          <w:i/>
        </w:rPr>
        <w:t>Ca</w:t>
      </w:r>
      <w:r>
        <w:t xml:space="preserve">. L. solanacearum’ from the carrot seeds. However, temperature has a significant effect on the development of </w:t>
      </w:r>
      <w:r>
        <w:rPr>
          <w:i/>
        </w:rPr>
        <w:t xml:space="preserve">‘Ca. </w:t>
      </w:r>
      <w:r>
        <w:t>L.’ species. Generally, ‘</w:t>
      </w:r>
      <w:r>
        <w:rPr>
          <w:i/>
        </w:rPr>
        <w:t>Ca</w:t>
      </w:r>
      <w:r>
        <w:t xml:space="preserve">. L.’ species are heat sensitive (Aubert 1987; Bové et al. 2008; Lopes et al. </w:t>
      </w:r>
      <w:r>
        <w:lastRenderedPageBreak/>
        <w:t>2009), except for ‘</w:t>
      </w:r>
      <w:r>
        <w:rPr>
          <w:i/>
        </w:rPr>
        <w:t>Ca</w:t>
      </w:r>
      <w:r>
        <w:t>. L. asiaticus’, which is heat-tolerant (Lopes et al. 2009). Studies indicate that ‘</w:t>
      </w:r>
      <w:r>
        <w:rPr>
          <w:i/>
        </w:rPr>
        <w:t>Ca</w:t>
      </w:r>
      <w:r>
        <w:t>. L. solanacearum’ is heat sensitive and the pathogen was not detected in plants grown at temperature regimes of 32 to 35 °C and 35 to 40 °C (Munyaneza et al. 2012a). Based on these studies, Australia introduced heat treatment for carrot seeds.</w:t>
      </w:r>
    </w:p>
    <w:p w:rsidR="00AE7868" w:rsidRDefault="00FF2B57">
      <w:pPr>
        <w:pStyle w:val="SPStalkingpoint"/>
        <w:spacing w:before="200" w:after="200"/>
      </w:pPr>
      <w:r>
        <w:t>Australia currently uses hot water treatment at 50 °C for at least 20 minutes to treat ‘</w:t>
      </w:r>
      <w:r>
        <w:rPr>
          <w:i/>
        </w:rPr>
        <w:t xml:space="preserve">Ca. </w:t>
      </w:r>
      <w:r>
        <w:t xml:space="preserve">L.’ species in citrus seeds. Carrot seeds are generally treated at 50 °C for 20 minutes to control </w:t>
      </w:r>
      <w:r>
        <w:rPr>
          <w:i/>
        </w:rPr>
        <w:t xml:space="preserve">Alternaria </w:t>
      </w:r>
      <w:r>
        <w:t xml:space="preserve">species and bacterial blight (Floyd &amp; Melvin-Carter 2005). McGrath (2005) also recommends hot water treatment of carrot seeds for 50 °C for 20 minutes to control bacterial pathogens. </w:t>
      </w:r>
    </w:p>
    <w:p w:rsidR="00AE7868" w:rsidRDefault="00FF2B57">
      <w:pPr>
        <w:pStyle w:val="SPStalkingpoint"/>
        <w:spacing w:before="200" w:after="200"/>
      </w:pPr>
      <w:r>
        <w:t>Australia therefore considers that using heat treatment (50 °C for 20 minutes) as an alternative to PCR testing of carrot seeds is considered justified.</w:t>
      </w:r>
    </w:p>
    <w:p w:rsidR="00AE7868" w:rsidRDefault="00FF2B57">
      <w:pPr>
        <w:pStyle w:val="Heading4"/>
        <w:numPr>
          <w:ilvl w:val="0"/>
          <w:numId w:val="45"/>
        </w:numPr>
        <w:spacing w:before="200"/>
        <w:ind w:left="284" w:hanging="284"/>
      </w:pPr>
      <w:r>
        <w:t>Emergency measures to cover carrot seeds from all countries</w:t>
      </w:r>
    </w:p>
    <w:p w:rsidR="00AE7868" w:rsidRDefault="00FF2B57">
      <w:pPr>
        <w:autoSpaceDE w:val="0"/>
        <w:autoSpaceDN w:val="0"/>
        <w:adjustRightInd w:val="0"/>
        <w:spacing w:before="200"/>
        <w:rPr>
          <w:rFonts w:ascii="Cambria" w:eastAsia="Cambria" w:hAnsi="Cambria" w:cs="MeridienLTStd-Roman"/>
        </w:rPr>
      </w:pPr>
      <w:r>
        <w:rPr>
          <w:rFonts w:ascii="Cambria" w:eastAsia="Cambria" w:hAnsi="Cambria" w:cs="MeridienLTStd-Roman"/>
        </w:rPr>
        <w:t xml:space="preserve">Outbreaks of yellows disease were observed in different regions of Spain, including the Canary Islands (Font et al. 1999). Carrot fields in the Canary Islands were heavily infested with the psyllid </w:t>
      </w:r>
      <w:r>
        <w:rPr>
          <w:rFonts w:ascii="Cambria" w:eastAsia="Cambria" w:hAnsi="Cambria" w:cs="MeridienLTStd-Roman"/>
          <w:i/>
        </w:rPr>
        <w:t xml:space="preserve">Bactericera trigonica </w:t>
      </w:r>
      <w:r>
        <w:rPr>
          <w:rFonts w:ascii="Cambria" w:eastAsia="Cambria" w:hAnsi="Cambria" w:cs="MeridienLTStd-Roman"/>
        </w:rPr>
        <w:t xml:space="preserve">(Font et al. 1999). Plant symptoms included small leaves with yellowing and reddening discolouration; proliferation of leaves and small roots; and deformation, reduction and early senescence of roots. Symptoms observed on carrots in the Canary Islands (Font et al. 1999) </w:t>
      </w:r>
      <w:r>
        <w:rPr>
          <w:rFonts w:ascii="Cambria" w:eastAsia="Cambria" w:hAnsi="Cambria" w:cs="MeridienLTStd-Roman"/>
        </w:rPr>
        <w:lastRenderedPageBreak/>
        <w:t xml:space="preserve">were very similar to often observed in </w:t>
      </w:r>
      <w:r>
        <w:rPr>
          <w:rFonts w:ascii="Cambria" w:eastAsia="Cambria" w:hAnsi="Cambria" w:cs="MeridienLTStd-Roman"/>
          <w:i/>
        </w:rPr>
        <w:t>T. apicalis–</w:t>
      </w:r>
      <w:r>
        <w:rPr>
          <w:rFonts w:ascii="Cambria" w:eastAsia="Cambria" w:hAnsi="Cambria" w:cs="MeridienLTStd-Roman"/>
        </w:rPr>
        <w:t>‘</w:t>
      </w:r>
      <w:r>
        <w:rPr>
          <w:rFonts w:ascii="Cambria" w:eastAsia="Cambria" w:hAnsi="Cambria" w:cs="MeridienLTStd-Roman"/>
          <w:i/>
        </w:rPr>
        <w:t>Ca</w:t>
      </w:r>
      <w:r>
        <w:rPr>
          <w:rFonts w:ascii="Cambria" w:eastAsia="Cambria" w:hAnsi="Cambria" w:cs="MeridienLTStd-Roman"/>
        </w:rPr>
        <w:t>. L.’ affected carrots in Finland (</w:t>
      </w:r>
      <w:r>
        <w:rPr>
          <w:rFonts w:ascii="Cambria" w:eastAsia="Cambria" w:hAnsi="Cambria" w:cs="Highland-Roman"/>
          <w:color w:val="231F20"/>
        </w:rPr>
        <w:t>Munyaneza et al. 2010a</w:t>
      </w:r>
      <w:r>
        <w:rPr>
          <w:rFonts w:ascii="Cambria" w:eastAsia="Cambria" w:hAnsi="Cambria" w:cs="MeridienLTStd-Roman"/>
        </w:rPr>
        <w:t xml:space="preserve">). Symptomatic plants and </w:t>
      </w:r>
      <w:r>
        <w:rPr>
          <w:rFonts w:ascii="Cambria" w:eastAsia="Cambria" w:hAnsi="Cambria" w:cs="MeridienLTStd-Roman"/>
          <w:i/>
        </w:rPr>
        <w:t xml:space="preserve">B. trigonica </w:t>
      </w:r>
      <w:r>
        <w:rPr>
          <w:rFonts w:ascii="Cambria" w:eastAsia="Cambria" w:hAnsi="Cambria" w:cs="MeridienLTStd-Roman"/>
        </w:rPr>
        <w:t>collected from carrot fields showing yellows disease from the Canary Islands (Font et al. 1999) were not tested for this liberibacter, as this bacterium was not suspected to be present then (</w:t>
      </w:r>
      <w:r>
        <w:rPr>
          <w:rFonts w:ascii="Cambria" w:eastAsia="Cambria" w:hAnsi="Cambria" w:cs="Highland-Roman"/>
          <w:color w:val="231F20"/>
        </w:rPr>
        <w:t>Munyaneza et al. 2010a</w:t>
      </w:r>
      <w:r>
        <w:rPr>
          <w:rFonts w:ascii="Cambria" w:eastAsia="Cambria" w:hAnsi="Cambria" w:cs="MeridienLTStd-Roman"/>
        </w:rPr>
        <w:t>). However, recent studies detected ‘</w:t>
      </w:r>
      <w:r>
        <w:rPr>
          <w:rFonts w:ascii="Cambria" w:eastAsia="Cambria" w:hAnsi="Cambria" w:cs="MeridienLTStd-Roman"/>
          <w:i/>
        </w:rPr>
        <w:t>Ca</w:t>
      </w:r>
      <w:r>
        <w:rPr>
          <w:rFonts w:ascii="Cambria" w:eastAsia="Cambria" w:hAnsi="Cambria" w:cs="MeridienLTStd-Roman"/>
        </w:rPr>
        <w:t xml:space="preserve">. L. solanacearum’ in carrot crops and </w:t>
      </w:r>
      <w:r>
        <w:rPr>
          <w:rFonts w:ascii="Cambria" w:eastAsia="Cambria" w:hAnsi="Cambria" w:cs="MeridienLTStd-Roman"/>
          <w:i/>
        </w:rPr>
        <w:t xml:space="preserve">B. trigonica </w:t>
      </w:r>
      <w:r>
        <w:rPr>
          <w:rFonts w:ascii="Cambria" w:eastAsia="Cambria" w:hAnsi="Cambria" w:cs="MeridienLTStd-Roman"/>
        </w:rPr>
        <w:t>in the Canary Islands and other areas in Spain (</w:t>
      </w:r>
      <w:r>
        <w:rPr>
          <w:rFonts w:ascii="Cambria" w:eastAsia="Cambria" w:hAnsi="Cambria" w:cs="Arial"/>
        </w:rPr>
        <w:t xml:space="preserve">Alfaro-Fernández </w:t>
      </w:r>
      <w:r>
        <w:rPr>
          <w:rFonts w:ascii="Cambria" w:eastAsia="Cambria" w:hAnsi="Cambria" w:cs="Arial"/>
          <w:iCs/>
        </w:rPr>
        <w:t>et al</w:t>
      </w:r>
      <w:r>
        <w:rPr>
          <w:rFonts w:ascii="Cambria" w:eastAsia="Cambria" w:hAnsi="Cambria" w:cs="Arial"/>
          <w:i/>
          <w:iCs/>
        </w:rPr>
        <w:t xml:space="preserve">. </w:t>
      </w:r>
      <w:r>
        <w:rPr>
          <w:rFonts w:ascii="Cambria" w:eastAsia="Cambria" w:hAnsi="Cambria" w:cs="Arial"/>
        </w:rPr>
        <w:t xml:space="preserve">2012a; Teresani </w:t>
      </w:r>
      <w:r>
        <w:rPr>
          <w:rFonts w:ascii="Cambria" w:eastAsia="Cambria" w:hAnsi="Cambria" w:cs="Arial"/>
          <w:iCs/>
        </w:rPr>
        <w:t>et al</w:t>
      </w:r>
      <w:r>
        <w:rPr>
          <w:rFonts w:ascii="Cambria" w:eastAsia="Cambria" w:hAnsi="Cambria" w:cs="Arial"/>
        </w:rPr>
        <w:t>. 2014b</w:t>
      </w:r>
      <w:r>
        <w:rPr>
          <w:rFonts w:ascii="Cambria" w:eastAsia="Cambria" w:hAnsi="Cambria" w:cs="MeridienLTStd-Roman"/>
        </w:rPr>
        <w:t xml:space="preserve">). </w:t>
      </w:r>
    </w:p>
    <w:p w:rsidR="00AE7868" w:rsidRDefault="00FF2B57">
      <w:pPr>
        <w:pStyle w:val="SPStalkingpoint"/>
        <w:spacing w:before="200" w:after="200"/>
      </w:pPr>
      <w:r>
        <w:t>‘</w:t>
      </w:r>
      <w:r>
        <w:rPr>
          <w:i/>
        </w:rPr>
        <w:t>Ca</w:t>
      </w:r>
      <w:r>
        <w:t>. L. solanacearum’ associated with carrot is seed-borne and seed transmissible (Bertolini et al. 2015). The bacterium was first detected in Finland in 2010 (Munyaneza et al. 2010a) and since then has been reported from Austria (</w:t>
      </w:r>
      <w:r>
        <w:rPr>
          <w:rFonts w:eastAsia="Cambria" w:cs="Arial"/>
          <w:lang w:eastAsia="en-AU"/>
        </w:rPr>
        <w:t>EPPO Reporting Service 2015</w:t>
      </w:r>
      <w:r>
        <w:t>), France (</w:t>
      </w:r>
      <w:r>
        <w:rPr>
          <w:rFonts w:eastAsia="Cambria" w:cs="MeridienLTStd-Roman"/>
          <w:lang w:eastAsia="en-AU"/>
        </w:rPr>
        <w:t xml:space="preserve">Loiseau </w:t>
      </w:r>
      <w:r>
        <w:rPr>
          <w:rFonts w:eastAsia="Cambria" w:cs="MeridienLTStd-Italic"/>
          <w:iCs/>
          <w:lang w:eastAsia="en-AU"/>
        </w:rPr>
        <w:t>et al.</w:t>
      </w:r>
      <w:r>
        <w:rPr>
          <w:rFonts w:eastAsia="Cambria" w:cs="MeridienLTStd-Roman"/>
          <w:lang w:eastAsia="en-AU"/>
        </w:rPr>
        <w:t xml:space="preserve"> 2014</w:t>
      </w:r>
      <w:r>
        <w:t>), Germany (Munyaneza et al. 2015), Morocco (</w:t>
      </w:r>
      <w:r>
        <w:rPr>
          <w:rFonts w:cs="Arial"/>
          <w:lang w:eastAsia="en-AU"/>
        </w:rPr>
        <w:t>Tahzima et al. 2014</w:t>
      </w:r>
      <w:r>
        <w:t>), Norway (</w:t>
      </w:r>
      <w:r>
        <w:rPr>
          <w:rFonts w:eastAsia="Cambria" w:cs="Arial"/>
          <w:lang w:eastAsia="en-AU"/>
        </w:rPr>
        <w:t>Munyaneza 2012</w:t>
      </w:r>
      <w:r>
        <w:t>), Spain (</w:t>
      </w:r>
      <w:r>
        <w:rPr>
          <w:rFonts w:eastAsia="Cambria" w:cs="Arial"/>
          <w:lang w:eastAsia="en-AU"/>
        </w:rPr>
        <w:t xml:space="preserve">Alfaro-Fernández </w:t>
      </w:r>
      <w:r>
        <w:rPr>
          <w:rFonts w:eastAsia="Cambria" w:cs="Arial"/>
          <w:iCs/>
          <w:lang w:eastAsia="en-AU"/>
        </w:rPr>
        <w:t>et al</w:t>
      </w:r>
      <w:r>
        <w:rPr>
          <w:rFonts w:eastAsia="Cambria" w:cs="Arial"/>
          <w:i/>
          <w:iCs/>
          <w:lang w:eastAsia="en-AU"/>
        </w:rPr>
        <w:t xml:space="preserve">. </w:t>
      </w:r>
      <w:r>
        <w:rPr>
          <w:rFonts w:eastAsia="Cambria" w:cs="Arial"/>
          <w:lang w:eastAsia="en-AU"/>
        </w:rPr>
        <w:t>2012a</w:t>
      </w:r>
      <w:r>
        <w:t>) and Sweden (</w:t>
      </w:r>
      <w:r>
        <w:rPr>
          <w:rFonts w:eastAsia="Cambria" w:cs="Arial"/>
          <w:lang w:eastAsia="en-AU"/>
        </w:rPr>
        <w:t xml:space="preserve">Munyaneza </w:t>
      </w:r>
      <w:r>
        <w:rPr>
          <w:rFonts w:eastAsia="Cambria" w:cs="Arial"/>
          <w:iCs/>
          <w:lang w:eastAsia="en-AU"/>
        </w:rPr>
        <w:t>et al</w:t>
      </w:r>
      <w:r>
        <w:rPr>
          <w:rFonts w:eastAsia="Cambria" w:cs="Arial"/>
          <w:i/>
          <w:iCs/>
          <w:lang w:eastAsia="en-AU"/>
        </w:rPr>
        <w:t xml:space="preserve">. </w:t>
      </w:r>
      <w:r>
        <w:rPr>
          <w:rFonts w:eastAsia="Cambria" w:cs="Arial"/>
          <w:lang w:eastAsia="en-AU"/>
        </w:rPr>
        <w:t>2012b</w:t>
      </w:r>
      <w:r>
        <w:t>). This indicates that the bacterium is likelt to have spread to these areas with carrot seeds. The origin and exact distribution of this bacterium is difficult to determine, with an increasing number of countries reporting the detection of this bacterium in carrot and celery crops.</w:t>
      </w:r>
    </w:p>
    <w:p w:rsidR="00AE7868" w:rsidRDefault="00FF2B57">
      <w:pPr>
        <w:pStyle w:val="SPStalkingpoint"/>
        <w:spacing w:before="200" w:after="200"/>
      </w:pPr>
      <w:r>
        <w:t xml:space="preserve">Carrot seeds are regularly traded internationally and production (breeding, testing, multiplication and counter seasonal multiplication) normally occurs at multiple locations. Global trade in seeds and propagative material increases the potential for the introduction of new </w:t>
      </w:r>
      <w:r>
        <w:lastRenderedPageBreak/>
        <w:t>pathogens. Movement of seeds between countries may result in the unintentional spread of this bacterium, particularly if other countries do not have measures in place to address this bacterium. Therefore, Australia applied emergency measures for carrot seeds from all countries.</w:t>
      </w:r>
    </w:p>
    <w:p w:rsidR="00AE7868" w:rsidRDefault="00AE7868">
      <w:pPr>
        <w:pStyle w:val="SPStalkingpoint"/>
        <w:spacing w:before="200" w:after="200"/>
      </w:pPr>
    </w:p>
    <w:p w:rsidR="00AE7868" w:rsidRDefault="00AE7868">
      <w:pPr>
        <w:pStyle w:val="SPStalkingpoint"/>
        <w:spacing w:before="200" w:after="200"/>
        <w:sectPr w:rsidR="00AE7868">
          <w:headerReference w:type="default" r:id="rId53"/>
          <w:type w:val="oddPage"/>
          <w:pgSz w:w="11906" w:h="16838"/>
          <w:pgMar w:top="1418" w:right="1418" w:bottom="1418" w:left="1418" w:header="567" w:footer="283" w:gutter="0"/>
          <w:cols w:space="708"/>
          <w:docGrid w:linePitch="360"/>
        </w:sectPr>
      </w:pPr>
    </w:p>
    <w:p w:rsidR="00AE7868" w:rsidRDefault="00FF2B57">
      <w:pPr>
        <w:pStyle w:val="Heading1nonumbers"/>
        <w:rPr>
          <w:lang w:val="en-AU"/>
        </w:rPr>
      </w:pPr>
      <w:bookmarkStart w:id="456" w:name="_Toc392488736"/>
      <w:bookmarkStart w:id="457" w:name="_Toc437356052"/>
      <w:r>
        <w:rPr>
          <w:lang w:val="en-AU"/>
        </w:rPr>
        <w:lastRenderedPageBreak/>
        <w:t>Appendix B: Additional quarantine pest data</w:t>
      </w:r>
      <w:bookmarkEnd w:id="456"/>
      <w:bookmarkEnd w:id="457"/>
    </w:p>
    <w:tbl>
      <w:tblPr>
        <w:tblW w:w="5000" w:type="pct"/>
        <w:tblBorders>
          <w:top w:val="single" w:sz="4" w:space="0" w:color="auto"/>
          <w:bottom w:val="single" w:sz="4" w:space="0" w:color="auto"/>
        </w:tblBorders>
        <w:tblLook w:val="04A0" w:firstRow="1" w:lastRow="0" w:firstColumn="1" w:lastColumn="0" w:noHBand="0" w:noVBand="1"/>
      </w:tblPr>
      <w:tblGrid>
        <w:gridCol w:w="1941"/>
        <w:gridCol w:w="7129"/>
      </w:tblGrid>
      <w:tr w:rsidR="00AE7868">
        <w:tc>
          <w:tcPr>
            <w:tcW w:w="1070" w:type="pct"/>
            <w:tcBorders>
              <w:top w:val="single" w:sz="4" w:space="0" w:color="D9D9D9" w:themeColor="background1" w:themeShade="D9"/>
              <w:bottom w:val="nil"/>
            </w:tcBorders>
          </w:tcPr>
          <w:p w:rsidR="00AE7868" w:rsidRDefault="00FF2B57">
            <w:pPr>
              <w:pStyle w:val="TableHeading"/>
              <w:rPr>
                <w:rFonts w:ascii="Cambria" w:hAnsi="Cambria"/>
                <w:szCs w:val="18"/>
              </w:rPr>
            </w:pPr>
            <w:r>
              <w:rPr>
                <w:rFonts w:ascii="Cambria" w:hAnsi="Cambria"/>
                <w:szCs w:val="18"/>
              </w:rPr>
              <w:t>Quarantine pest</w:t>
            </w:r>
          </w:p>
        </w:tc>
        <w:tc>
          <w:tcPr>
            <w:tcW w:w="3930" w:type="pct"/>
            <w:tcBorders>
              <w:top w:val="single" w:sz="4" w:space="0" w:color="D9D9D9" w:themeColor="background1" w:themeShade="D9"/>
              <w:bottom w:val="nil"/>
            </w:tcBorders>
            <w:vAlign w:val="center"/>
          </w:tcPr>
          <w:p w:rsidR="00AE7868" w:rsidRDefault="00FF2B57">
            <w:pPr>
              <w:pStyle w:val="TableText0"/>
              <w:keepNext w:val="0"/>
              <w:rPr>
                <w:rFonts w:ascii="Cambria" w:hAnsi="Cambria"/>
                <w:bCs/>
                <w:sz w:val="18"/>
                <w:szCs w:val="18"/>
              </w:rPr>
            </w:pPr>
            <w:r>
              <w:rPr>
                <w:rFonts w:ascii="Cambria" w:hAnsi="Cambria"/>
                <w:bCs/>
                <w:sz w:val="18"/>
                <w:szCs w:val="18"/>
              </w:rPr>
              <w:t>‘</w:t>
            </w:r>
            <w:r>
              <w:rPr>
                <w:rFonts w:ascii="Cambria" w:hAnsi="Cambria"/>
                <w:bCs/>
                <w:i/>
                <w:sz w:val="18"/>
                <w:szCs w:val="18"/>
              </w:rPr>
              <w:t>Candidatus</w:t>
            </w:r>
            <w:r>
              <w:rPr>
                <w:rFonts w:ascii="Cambria" w:hAnsi="Cambria"/>
                <w:bCs/>
                <w:sz w:val="18"/>
                <w:szCs w:val="18"/>
              </w:rPr>
              <w:t xml:space="preserve"> Liberibacter solanacearum’ Leifting et al. (haplotypes C, D and E) [Rhizobiales: Rhizobiaceae]</w:t>
            </w:r>
          </w:p>
        </w:tc>
      </w:tr>
      <w:tr w:rsidR="00AE7868">
        <w:tc>
          <w:tcPr>
            <w:tcW w:w="1070" w:type="pct"/>
            <w:tcBorders>
              <w:top w:val="nil"/>
            </w:tcBorders>
          </w:tcPr>
          <w:p w:rsidR="00AE7868" w:rsidRDefault="00FF2B57">
            <w:pPr>
              <w:pStyle w:val="TableText"/>
              <w:rPr>
                <w:rFonts w:ascii="Cambria" w:hAnsi="Cambria"/>
                <w:szCs w:val="18"/>
                <w:highlight w:val="yellow"/>
              </w:rPr>
            </w:pPr>
            <w:r>
              <w:rPr>
                <w:rFonts w:ascii="Cambria" w:hAnsi="Cambria"/>
                <w:szCs w:val="18"/>
              </w:rPr>
              <w:t>Synonyms</w:t>
            </w:r>
          </w:p>
        </w:tc>
        <w:tc>
          <w:tcPr>
            <w:tcW w:w="3930" w:type="pct"/>
            <w:tcBorders>
              <w:top w:val="nil"/>
            </w:tcBorders>
            <w:vAlign w:val="center"/>
          </w:tcPr>
          <w:p w:rsidR="00AE7868" w:rsidRDefault="00AE7868">
            <w:pPr>
              <w:pStyle w:val="TableText0"/>
              <w:keepNext w:val="0"/>
              <w:rPr>
                <w:rFonts w:ascii="Cambria" w:hAnsi="Cambria"/>
                <w:szCs w:val="18"/>
                <w:highlight w:val="yellow"/>
              </w:rPr>
            </w:pPr>
          </w:p>
        </w:tc>
      </w:tr>
      <w:tr w:rsidR="00AE7868">
        <w:tc>
          <w:tcPr>
            <w:tcW w:w="1070" w:type="pct"/>
          </w:tcPr>
          <w:p w:rsidR="00AE7868" w:rsidRDefault="00FF2B57">
            <w:pPr>
              <w:pStyle w:val="TableText"/>
              <w:rPr>
                <w:rFonts w:ascii="Cambria" w:hAnsi="Cambria"/>
                <w:szCs w:val="18"/>
              </w:rPr>
            </w:pPr>
            <w:r>
              <w:rPr>
                <w:rFonts w:ascii="Cambria" w:hAnsi="Cambria"/>
                <w:szCs w:val="18"/>
              </w:rPr>
              <w:t>Common name(s)</w:t>
            </w:r>
          </w:p>
        </w:tc>
        <w:tc>
          <w:tcPr>
            <w:tcW w:w="3930" w:type="pct"/>
            <w:vAlign w:val="center"/>
          </w:tcPr>
          <w:p w:rsidR="00AE7868" w:rsidRDefault="00FF2B57">
            <w:pPr>
              <w:pStyle w:val="TableText"/>
              <w:rPr>
                <w:rFonts w:ascii="Cambria" w:hAnsi="Cambria"/>
                <w:szCs w:val="18"/>
              </w:rPr>
            </w:pPr>
            <w:r>
              <w:rPr>
                <w:rFonts w:ascii="Cambria" w:hAnsi="Cambria"/>
                <w:szCs w:val="18"/>
              </w:rPr>
              <w:t>Yellows decline and vegetative disorders</w:t>
            </w:r>
          </w:p>
        </w:tc>
      </w:tr>
      <w:tr w:rsidR="00AE7868">
        <w:tc>
          <w:tcPr>
            <w:tcW w:w="1070" w:type="pct"/>
          </w:tcPr>
          <w:p w:rsidR="00AE7868" w:rsidRDefault="00FF2B57">
            <w:pPr>
              <w:pStyle w:val="TableText"/>
              <w:rPr>
                <w:rFonts w:ascii="Cambria" w:hAnsi="Cambria"/>
                <w:szCs w:val="18"/>
              </w:rPr>
            </w:pPr>
            <w:r>
              <w:rPr>
                <w:rFonts w:ascii="Cambria" w:hAnsi="Cambria"/>
                <w:szCs w:val="18"/>
              </w:rPr>
              <w:t>Main hosts</w:t>
            </w:r>
          </w:p>
        </w:tc>
        <w:tc>
          <w:tcPr>
            <w:tcW w:w="3930" w:type="pct"/>
            <w:vAlign w:val="center"/>
          </w:tcPr>
          <w:p w:rsidR="00AE7868" w:rsidRDefault="00FF2B57">
            <w:pPr>
              <w:pStyle w:val="TableText"/>
              <w:rPr>
                <w:rFonts w:ascii="Cambria" w:hAnsi="Cambria"/>
                <w:szCs w:val="18"/>
              </w:rPr>
            </w:pPr>
            <w:r>
              <w:rPr>
                <w:rFonts w:ascii="Cambria" w:hAnsi="Cambria"/>
                <w:i/>
                <w:iCs/>
                <w:szCs w:val="18"/>
              </w:rPr>
              <w:t>Apium graveolens</w:t>
            </w:r>
            <w:r>
              <w:rPr>
                <w:rFonts w:ascii="Cambria" w:hAnsi="Cambria"/>
                <w:szCs w:val="18"/>
              </w:rPr>
              <w:t xml:space="preserve">, </w:t>
            </w:r>
            <w:r>
              <w:rPr>
                <w:rFonts w:ascii="Cambria" w:hAnsi="Cambria"/>
                <w:i/>
                <w:szCs w:val="18"/>
              </w:rPr>
              <w:t>Daucus carota</w:t>
            </w:r>
            <w:r>
              <w:rPr>
                <w:rFonts w:ascii="Cambria" w:hAnsi="Cambria"/>
                <w:szCs w:val="18"/>
              </w:rPr>
              <w:t xml:space="preserve">, </w:t>
            </w:r>
            <w:r>
              <w:rPr>
                <w:rFonts w:ascii="Cambria" w:hAnsi="Cambria"/>
                <w:i/>
                <w:iCs/>
                <w:szCs w:val="18"/>
              </w:rPr>
              <w:t>Pastinaca sativa</w:t>
            </w:r>
          </w:p>
        </w:tc>
      </w:tr>
      <w:tr w:rsidR="00AE7868">
        <w:tc>
          <w:tcPr>
            <w:tcW w:w="1070" w:type="pct"/>
            <w:tcBorders>
              <w:bottom w:val="single" w:sz="4" w:space="0" w:color="D9D9D9" w:themeColor="background1" w:themeShade="D9"/>
            </w:tcBorders>
          </w:tcPr>
          <w:p w:rsidR="00AE7868" w:rsidRDefault="00FF2B57">
            <w:pPr>
              <w:pStyle w:val="TableText"/>
              <w:rPr>
                <w:rFonts w:ascii="Cambria" w:hAnsi="Cambria"/>
                <w:szCs w:val="18"/>
                <w:highlight w:val="yellow"/>
              </w:rPr>
            </w:pPr>
            <w:r>
              <w:rPr>
                <w:rFonts w:ascii="Cambria" w:hAnsi="Cambria"/>
                <w:szCs w:val="18"/>
              </w:rPr>
              <w:t>Distribution</w:t>
            </w:r>
          </w:p>
        </w:tc>
        <w:tc>
          <w:tcPr>
            <w:tcW w:w="3930" w:type="pct"/>
            <w:tcBorders>
              <w:bottom w:val="single" w:sz="4" w:space="0" w:color="D9D9D9" w:themeColor="background1" w:themeShade="D9"/>
            </w:tcBorders>
            <w:vAlign w:val="center"/>
          </w:tcPr>
          <w:p w:rsidR="00AE7868" w:rsidRDefault="00FF2B57">
            <w:pPr>
              <w:rPr>
                <w:rFonts w:ascii="Cambria" w:hAnsi="Cambria" w:cs="Helvetica"/>
                <w:sz w:val="18"/>
                <w:szCs w:val="18"/>
                <w:highlight w:val="yellow"/>
              </w:rPr>
            </w:pPr>
            <w:r>
              <w:rPr>
                <w:rFonts w:ascii="Cambria" w:hAnsi="Cambria"/>
                <w:sz w:val="18"/>
                <w:szCs w:val="18"/>
              </w:rPr>
              <w:t>Austria, Finland, France, Germany, Morocco, Norway, Spain and Sweden</w:t>
            </w:r>
          </w:p>
        </w:tc>
      </w:tr>
    </w:tbl>
    <w:p w:rsidR="00AE7868" w:rsidRDefault="00AE7868">
      <w:pPr>
        <w:pStyle w:val="SPStalkingpoint"/>
        <w:spacing w:before="200" w:after="200"/>
      </w:pPr>
    </w:p>
    <w:p w:rsidR="00AE7868" w:rsidRDefault="00AE7868">
      <w:pPr>
        <w:pStyle w:val="SPStalkingpoint"/>
        <w:spacing w:before="200" w:after="200"/>
      </w:pPr>
    </w:p>
    <w:p w:rsidR="00AE7868" w:rsidRDefault="00AE7868">
      <w:pPr>
        <w:pStyle w:val="Heading1"/>
        <w:sectPr w:rsidR="00AE7868">
          <w:headerReference w:type="default" r:id="rId54"/>
          <w:pgSz w:w="11906" w:h="16838"/>
          <w:pgMar w:top="1418" w:right="1418" w:bottom="1418" w:left="1418" w:header="567" w:footer="283" w:gutter="0"/>
          <w:cols w:space="708"/>
          <w:docGrid w:linePitch="360"/>
        </w:sectPr>
      </w:pPr>
      <w:bookmarkStart w:id="458" w:name="_Toc387412877"/>
    </w:p>
    <w:p w:rsidR="00AE7868" w:rsidRDefault="00FF2B57">
      <w:pPr>
        <w:pStyle w:val="Heading1nonumbers"/>
        <w:rPr>
          <w:lang w:val="en-AU"/>
        </w:rPr>
      </w:pPr>
      <w:bookmarkStart w:id="459" w:name="_Toc392488738"/>
      <w:bookmarkStart w:id="460" w:name="_Toc437356053"/>
      <w:r>
        <w:rPr>
          <w:lang w:val="en-AU"/>
        </w:rPr>
        <w:lastRenderedPageBreak/>
        <w:t>Glossary</w:t>
      </w:r>
      <w:bookmarkEnd w:id="458"/>
      <w:bookmarkEnd w:id="459"/>
      <w:bookmarkEnd w:id="460"/>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AE7868">
        <w:trPr>
          <w:tblHeader/>
        </w:trPr>
        <w:tc>
          <w:tcPr>
            <w:tcW w:w="1509" w:type="pct"/>
          </w:tcPr>
          <w:p w:rsidR="00AE7868" w:rsidRDefault="00FF2B57">
            <w:pPr>
              <w:pStyle w:val="TableHeading"/>
              <w:rPr>
                <w:rFonts w:ascii="Cambria" w:hAnsi="Cambria"/>
                <w:szCs w:val="18"/>
              </w:rPr>
            </w:pPr>
            <w:r>
              <w:rPr>
                <w:rFonts w:ascii="Cambria" w:hAnsi="Cambria"/>
                <w:szCs w:val="18"/>
              </w:rPr>
              <w:t>Term or abbreviation</w:t>
            </w:r>
          </w:p>
        </w:tc>
        <w:tc>
          <w:tcPr>
            <w:tcW w:w="3491" w:type="pct"/>
          </w:tcPr>
          <w:p w:rsidR="00AE7868" w:rsidRDefault="00FF2B57">
            <w:pPr>
              <w:pStyle w:val="TableHeading"/>
              <w:rPr>
                <w:rFonts w:ascii="Cambria" w:hAnsi="Cambria"/>
                <w:szCs w:val="18"/>
              </w:rPr>
            </w:pPr>
            <w:r>
              <w:rPr>
                <w:rFonts w:ascii="Cambria" w:hAnsi="Cambria"/>
                <w:szCs w:val="18"/>
              </w:rPr>
              <w:t>Definition</w:t>
            </w:r>
          </w:p>
        </w:tc>
      </w:tr>
      <w:tr w:rsidR="00AE7868">
        <w:tc>
          <w:tcPr>
            <w:tcW w:w="1509" w:type="pct"/>
          </w:tcPr>
          <w:p w:rsidR="00AE7868" w:rsidRDefault="00FF2B57">
            <w:pPr>
              <w:pStyle w:val="TableText"/>
              <w:rPr>
                <w:rFonts w:ascii="Cambria" w:hAnsi="Cambria"/>
                <w:szCs w:val="18"/>
              </w:rPr>
            </w:pPr>
            <w:r>
              <w:rPr>
                <w:rFonts w:ascii="Cambria" w:hAnsi="Cambria"/>
                <w:szCs w:val="18"/>
              </w:rPr>
              <w:t>Additional declaration</w:t>
            </w:r>
          </w:p>
        </w:tc>
        <w:tc>
          <w:tcPr>
            <w:tcW w:w="3491" w:type="pct"/>
          </w:tcPr>
          <w:p w:rsidR="00AE7868" w:rsidRDefault="00FF2B57">
            <w:pPr>
              <w:pStyle w:val="TableText"/>
              <w:rPr>
                <w:rFonts w:ascii="Cambria" w:hAnsi="Cambria"/>
                <w:szCs w:val="18"/>
              </w:rPr>
            </w:pPr>
            <w:r>
              <w:rPr>
                <w:rFonts w:ascii="Cambria" w:hAnsi="Cambria"/>
                <w:szCs w:val="18"/>
              </w:rPr>
              <w:t xml:space="preserve">A statement that is required by an importing country to be entered on a phytosanitary certificate and which provides specific additional information on a consignment in relation to regulated pests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Appropriate level of protection (ALOP)</w:t>
            </w:r>
          </w:p>
        </w:tc>
        <w:tc>
          <w:tcPr>
            <w:tcW w:w="3491" w:type="pct"/>
          </w:tcPr>
          <w:p w:rsidR="00AE7868" w:rsidRDefault="00FF2B57">
            <w:pPr>
              <w:pStyle w:val="TableText"/>
              <w:rPr>
                <w:rFonts w:ascii="Cambria" w:hAnsi="Cambria"/>
                <w:szCs w:val="18"/>
              </w:rPr>
            </w:pPr>
            <w:r>
              <w:rPr>
                <w:rFonts w:ascii="Cambria" w:hAnsi="Cambria"/>
                <w:szCs w:val="18"/>
              </w:rPr>
              <w:t xml:space="preserve">The level of protection deemed appropriate by the Member establishing a sanitary or phytosanitary measure to protect human, animal or plant life or health within its territory </w:t>
            </w:r>
            <w:r w:rsidR="00652C73">
              <w:rPr>
                <w:rFonts w:ascii="Cambria" w:hAnsi="Cambria"/>
                <w:szCs w:val="18"/>
              </w:rPr>
              <w:fldChar w:fldCharType="begin"/>
            </w:r>
            <w:r>
              <w:rPr>
                <w:rFonts w:ascii="Cambria" w:hAnsi="Cambria"/>
                <w:szCs w:val="18"/>
              </w:rPr>
              <w:instrText xml:space="preserve"> ADDIN REFMGR.CITE &lt;Refman&gt;&lt;Cite&gt;&lt;Author&gt;WTO&lt;/Author&gt;&lt;Year&gt;1995&lt;/Year&gt;&lt;RecNum&gt;70051&lt;/RecNum&gt;&lt;IDText&gt;Agreement on the application of sanitary and phytosanitary measures&lt;/IDText&gt;&lt;MDL Ref_Type="Generic"&gt;&lt;Ref_Type&gt;Generic&lt;/Ref_Type&gt;&lt;Ref_ID&gt;70051&lt;/Ref_ID&gt;&lt;Title_Primary&gt;Agreement on the application of sanitary and phytosanitary measures&lt;/Title_Primary&gt;&lt;Authors_Primary&gt;WTO&lt;/Authors_Primary&gt;&lt;Date_Primary&gt;1995&lt;/Date_Primary&gt;&lt;Keywords&gt;Phytosanitary&lt;/Keywords&gt;&lt;Keywords&gt;Phytosanitary measures&lt;/Keywords&gt;&lt;Keywords&gt;Measures&lt;/Keywords&gt;&lt;Pub_Place&gt;Geneva&lt;/Pub_Place&gt;&lt;Publisher&gt;World Trade Organization&lt;/Publisher&gt;&lt;User_Def_1&gt;China table grapes sp Mexican avocados Pineapples from Malaysia Drosophila Canadian blueberries European grapevine moth jc PSTVd Unshu mandarins &lt;i&gt;Candidatus&lt;/i&gt; Liberibacter psyllarous sp&lt;/User_Def_1&gt;&lt;Web_URL&gt;&lt;u&gt;http://www.wto.org/english/docs_e/legal_e/15-sps.pdf&lt;/u&gt;&lt;/Web_URL&gt;&lt;Web_URL_Link1&gt;&lt;u&gt;J:\E Library\Plant Catalogue\W&lt;/u&gt;&lt;/Web_URL_Link1&gt;&lt;ZZ_WorkformID&gt;33&lt;/ZZ_WorkformID&gt;&lt;/MDL&gt;&lt;/Cite&gt;&lt;/Refman&gt;</w:instrText>
            </w:r>
            <w:r w:rsidR="00652C73">
              <w:rPr>
                <w:rFonts w:ascii="Cambria" w:hAnsi="Cambria"/>
                <w:szCs w:val="18"/>
              </w:rPr>
              <w:fldChar w:fldCharType="separate"/>
            </w:r>
            <w:r>
              <w:rPr>
                <w:rFonts w:ascii="Cambria" w:hAnsi="Cambria"/>
                <w:szCs w:val="18"/>
              </w:rPr>
              <w:t>(WTO 1995)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Area</w:t>
            </w:r>
          </w:p>
        </w:tc>
        <w:tc>
          <w:tcPr>
            <w:tcW w:w="3491" w:type="pct"/>
          </w:tcPr>
          <w:p w:rsidR="00AE7868" w:rsidRDefault="00FF2B57">
            <w:pPr>
              <w:pStyle w:val="TableText"/>
              <w:rPr>
                <w:rFonts w:ascii="Cambria" w:hAnsi="Cambria"/>
                <w:szCs w:val="18"/>
              </w:rPr>
            </w:pPr>
            <w:r>
              <w:rPr>
                <w:rFonts w:ascii="Cambria" w:hAnsi="Cambria"/>
                <w:szCs w:val="18"/>
              </w:rPr>
              <w:t xml:space="preserve">An officially defined country, part of a country or all or parts of several countries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Area of low pest prevalence</w:t>
            </w:r>
          </w:p>
        </w:tc>
        <w:tc>
          <w:tcPr>
            <w:tcW w:w="3491" w:type="pct"/>
          </w:tcPr>
          <w:p w:rsidR="00AE7868" w:rsidRDefault="00FF2B57">
            <w:pPr>
              <w:pStyle w:val="TableText"/>
              <w:rPr>
                <w:rFonts w:ascii="Cambria" w:hAnsi="Cambria"/>
                <w:szCs w:val="18"/>
              </w:rPr>
            </w:pPr>
            <w:r>
              <w:rPr>
                <w:rFonts w:ascii="Cambria" w:hAnsi="Cambria"/>
                <w:szCs w:val="18"/>
              </w:rPr>
              <w:t xml:space="preserve">An area, whether all of a country, part of a country, or all parts of several countries, as identified by the competent authorities, in which a specific pest occurs at low levels and which is subject to effective surveillance, control or eradication measures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Arthropod</w:t>
            </w:r>
          </w:p>
        </w:tc>
        <w:tc>
          <w:tcPr>
            <w:tcW w:w="3491" w:type="pct"/>
          </w:tcPr>
          <w:p w:rsidR="00AE7868" w:rsidRDefault="00FF2B57">
            <w:pPr>
              <w:pStyle w:val="TableText"/>
              <w:rPr>
                <w:rFonts w:ascii="Cambria" w:hAnsi="Cambria"/>
                <w:szCs w:val="18"/>
              </w:rPr>
            </w:pPr>
            <w:r>
              <w:rPr>
                <w:rFonts w:ascii="Cambria" w:hAnsi="Cambria"/>
                <w:szCs w:val="18"/>
              </w:rPr>
              <w:t>The largest phylum of animals, including the insects, arachnids and crustaceans.</w:t>
            </w:r>
          </w:p>
        </w:tc>
      </w:tr>
      <w:tr w:rsidR="00AE7868">
        <w:tc>
          <w:tcPr>
            <w:tcW w:w="1509" w:type="pct"/>
          </w:tcPr>
          <w:p w:rsidR="00AE7868" w:rsidRDefault="00FF2B57">
            <w:pPr>
              <w:pStyle w:val="TableText"/>
              <w:tabs>
                <w:tab w:val="center" w:pos="1286"/>
              </w:tabs>
              <w:rPr>
                <w:rFonts w:ascii="Cambria" w:hAnsi="Cambria"/>
                <w:szCs w:val="18"/>
              </w:rPr>
            </w:pPr>
            <w:r>
              <w:rPr>
                <w:rFonts w:ascii="Cambria" w:hAnsi="Cambria"/>
                <w:szCs w:val="18"/>
              </w:rPr>
              <w:t>Casual plant</w:t>
            </w:r>
          </w:p>
        </w:tc>
        <w:tc>
          <w:tcPr>
            <w:tcW w:w="3491" w:type="pct"/>
          </w:tcPr>
          <w:p w:rsidR="00AE7868" w:rsidRDefault="00FF2B57">
            <w:pPr>
              <w:pStyle w:val="TableText"/>
              <w:rPr>
                <w:rFonts w:ascii="Cambria" w:hAnsi="Cambria"/>
                <w:szCs w:val="18"/>
              </w:rPr>
            </w:pPr>
            <w:r>
              <w:rPr>
                <w:rFonts w:ascii="Cambria" w:hAnsi="Cambria"/>
                <w:szCs w:val="18"/>
              </w:rPr>
              <w:t>A plant on which adult psyllids land actively or passively, and on which adults may probe the plant but do not feed.</w:t>
            </w:r>
          </w:p>
        </w:tc>
      </w:tr>
      <w:tr w:rsidR="00AE7868">
        <w:tc>
          <w:tcPr>
            <w:tcW w:w="1509" w:type="pct"/>
          </w:tcPr>
          <w:p w:rsidR="00AE7868" w:rsidRDefault="00FF2B57">
            <w:pPr>
              <w:pStyle w:val="TableText"/>
              <w:rPr>
                <w:rFonts w:ascii="Cambria" w:hAnsi="Cambria"/>
                <w:szCs w:val="18"/>
              </w:rPr>
            </w:pPr>
            <w:r>
              <w:rPr>
                <w:rFonts w:ascii="Cambria" w:hAnsi="Cambria"/>
                <w:szCs w:val="18"/>
              </w:rPr>
              <w:t>Consignment</w:t>
            </w:r>
          </w:p>
        </w:tc>
        <w:tc>
          <w:tcPr>
            <w:tcW w:w="3491" w:type="pct"/>
          </w:tcPr>
          <w:p w:rsidR="00AE7868" w:rsidRDefault="00FF2B57">
            <w:pPr>
              <w:pStyle w:val="TableText"/>
              <w:rPr>
                <w:rFonts w:ascii="Cambria" w:hAnsi="Cambria"/>
                <w:szCs w:val="18"/>
              </w:rPr>
            </w:pPr>
            <w:r>
              <w:rPr>
                <w:rFonts w:ascii="Cambria" w:hAnsi="Cambria"/>
                <w:szCs w:val="18"/>
              </w:rPr>
              <w:t xml:space="preserve">A quantity of plants, plant products or other articles being moved from one country to another and covered, when required, by a single phytosanitary certificate (a consignment may be composed of one or more commodities or lots)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Control (of a pest)</w:t>
            </w:r>
          </w:p>
        </w:tc>
        <w:tc>
          <w:tcPr>
            <w:tcW w:w="3491" w:type="pct"/>
          </w:tcPr>
          <w:p w:rsidR="00AE7868" w:rsidRDefault="00FF2B57">
            <w:pPr>
              <w:pStyle w:val="TableText"/>
              <w:rPr>
                <w:rFonts w:ascii="Cambria" w:hAnsi="Cambria"/>
                <w:szCs w:val="18"/>
              </w:rPr>
            </w:pPr>
            <w:r>
              <w:rPr>
                <w:rFonts w:ascii="Cambria" w:hAnsi="Cambria"/>
                <w:szCs w:val="18"/>
              </w:rPr>
              <w:t xml:space="preserve">Suppression, containment or eradication of a pest population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Endangered area</w:t>
            </w:r>
          </w:p>
        </w:tc>
        <w:tc>
          <w:tcPr>
            <w:tcW w:w="3491" w:type="pct"/>
          </w:tcPr>
          <w:p w:rsidR="00AE7868" w:rsidRDefault="00FF2B57">
            <w:pPr>
              <w:pStyle w:val="TableText"/>
              <w:rPr>
                <w:rFonts w:ascii="Cambria" w:hAnsi="Cambria"/>
                <w:szCs w:val="18"/>
              </w:rPr>
            </w:pPr>
            <w:r>
              <w:rPr>
                <w:rFonts w:ascii="Cambria" w:hAnsi="Cambria"/>
                <w:szCs w:val="18"/>
              </w:rPr>
              <w:t xml:space="preserve">An area where ecological factors favour the establishment of a pest whose presence in the area will result in economically important loss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Endemic</w:t>
            </w:r>
          </w:p>
        </w:tc>
        <w:tc>
          <w:tcPr>
            <w:tcW w:w="3491" w:type="pct"/>
          </w:tcPr>
          <w:p w:rsidR="00AE7868" w:rsidRDefault="00FF2B57">
            <w:pPr>
              <w:pStyle w:val="TableText"/>
              <w:rPr>
                <w:rFonts w:ascii="Cambria" w:hAnsi="Cambria"/>
                <w:szCs w:val="18"/>
              </w:rPr>
            </w:pPr>
            <w:r>
              <w:rPr>
                <w:rFonts w:ascii="Cambria" w:hAnsi="Cambria"/>
                <w:szCs w:val="18"/>
              </w:rPr>
              <w:t>Belonging to, native to, or prevalent in a particular geography, area or environment.</w:t>
            </w:r>
          </w:p>
        </w:tc>
      </w:tr>
      <w:tr w:rsidR="00AE7868">
        <w:tc>
          <w:tcPr>
            <w:tcW w:w="1509" w:type="pct"/>
          </w:tcPr>
          <w:p w:rsidR="00AE7868" w:rsidRDefault="00FF2B57">
            <w:pPr>
              <w:pStyle w:val="TableText"/>
              <w:rPr>
                <w:rFonts w:ascii="Cambria" w:hAnsi="Cambria"/>
                <w:szCs w:val="18"/>
              </w:rPr>
            </w:pPr>
            <w:r>
              <w:rPr>
                <w:rFonts w:ascii="Cambria" w:hAnsi="Cambria"/>
                <w:szCs w:val="18"/>
              </w:rPr>
              <w:t>Entry (of a pest)</w:t>
            </w:r>
          </w:p>
        </w:tc>
        <w:tc>
          <w:tcPr>
            <w:tcW w:w="3491" w:type="pct"/>
          </w:tcPr>
          <w:p w:rsidR="00AE7868" w:rsidRDefault="00FF2B57">
            <w:pPr>
              <w:pStyle w:val="TableText"/>
              <w:rPr>
                <w:rFonts w:ascii="Cambria" w:hAnsi="Cambria"/>
                <w:szCs w:val="18"/>
              </w:rPr>
            </w:pPr>
            <w:r>
              <w:rPr>
                <w:rFonts w:ascii="Cambria" w:hAnsi="Cambria"/>
                <w:szCs w:val="18"/>
              </w:rPr>
              <w:t xml:space="preserve">Movement of a pest into an area where it is not yet present, or present but not widely distributed and being officially controlled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Equivalence (of phytosanitary terms)</w:t>
            </w:r>
          </w:p>
        </w:tc>
        <w:tc>
          <w:tcPr>
            <w:tcW w:w="3491" w:type="pct"/>
          </w:tcPr>
          <w:p w:rsidR="00AE7868" w:rsidRDefault="00FF2B57">
            <w:pPr>
              <w:pStyle w:val="TableText"/>
              <w:rPr>
                <w:rFonts w:ascii="Cambria" w:hAnsi="Cambria"/>
                <w:szCs w:val="18"/>
              </w:rPr>
            </w:pPr>
            <w:r>
              <w:rPr>
                <w:rFonts w:ascii="Cambria" w:hAnsi="Cambria"/>
                <w:szCs w:val="18"/>
              </w:rPr>
              <w:t>The situation where, for a specified pest, different phytosanitary measures achieve a contracting party’s appropriate level of protection (FAO 2015).</w:t>
            </w:r>
          </w:p>
        </w:tc>
      </w:tr>
      <w:tr w:rsidR="00AE7868">
        <w:tc>
          <w:tcPr>
            <w:tcW w:w="1509" w:type="pct"/>
          </w:tcPr>
          <w:p w:rsidR="00AE7868" w:rsidRDefault="00FF2B57">
            <w:pPr>
              <w:pStyle w:val="TableText"/>
              <w:rPr>
                <w:rFonts w:ascii="Cambria" w:hAnsi="Cambria"/>
                <w:szCs w:val="18"/>
              </w:rPr>
            </w:pPr>
            <w:r>
              <w:rPr>
                <w:rFonts w:ascii="Cambria" w:hAnsi="Cambria"/>
                <w:szCs w:val="18"/>
              </w:rPr>
              <w:lastRenderedPageBreak/>
              <w:t>Establishment (of a pest)</w:t>
            </w:r>
          </w:p>
        </w:tc>
        <w:tc>
          <w:tcPr>
            <w:tcW w:w="3491" w:type="pct"/>
          </w:tcPr>
          <w:p w:rsidR="00AE7868" w:rsidRDefault="00FF2B57">
            <w:pPr>
              <w:pStyle w:val="TableText"/>
              <w:rPr>
                <w:rFonts w:ascii="Cambria" w:hAnsi="Cambria"/>
                <w:szCs w:val="18"/>
              </w:rPr>
            </w:pPr>
            <w:r>
              <w:rPr>
                <w:rFonts w:ascii="Cambria" w:hAnsi="Cambria"/>
                <w:szCs w:val="18"/>
              </w:rPr>
              <w:t xml:space="preserve">Perpetuation, for the foreseeable future, of a pest within an area after entry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tabs>
                <w:tab w:val="center" w:pos="1286"/>
              </w:tabs>
              <w:rPr>
                <w:rFonts w:ascii="Cambria" w:hAnsi="Cambria"/>
                <w:szCs w:val="18"/>
              </w:rPr>
            </w:pPr>
            <w:r>
              <w:rPr>
                <w:rFonts w:ascii="Cambria" w:hAnsi="Cambria"/>
                <w:szCs w:val="18"/>
              </w:rPr>
              <w:t>Food plant</w:t>
            </w:r>
          </w:p>
        </w:tc>
        <w:tc>
          <w:tcPr>
            <w:tcW w:w="3491" w:type="pct"/>
          </w:tcPr>
          <w:p w:rsidR="00AE7868" w:rsidRDefault="00FF2B57">
            <w:pPr>
              <w:pStyle w:val="TableText"/>
              <w:rPr>
                <w:rFonts w:ascii="Cambria" w:hAnsi="Cambria"/>
                <w:szCs w:val="18"/>
              </w:rPr>
            </w:pPr>
            <w:r>
              <w:rPr>
                <w:rFonts w:ascii="Cambria" w:hAnsi="Cambria"/>
                <w:szCs w:val="18"/>
              </w:rPr>
              <w:t>A plant on which adult psyllids feed, but do not breed and do not spend an extended period of time (e.g. diapause or winter season).</w:t>
            </w:r>
          </w:p>
        </w:tc>
      </w:tr>
      <w:tr w:rsidR="00AE7868">
        <w:tc>
          <w:tcPr>
            <w:tcW w:w="1509" w:type="pct"/>
          </w:tcPr>
          <w:p w:rsidR="00AE7868" w:rsidRDefault="00FF2B57">
            <w:pPr>
              <w:pStyle w:val="TableText"/>
              <w:rPr>
                <w:rFonts w:ascii="Cambria" w:hAnsi="Cambria"/>
                <w:szCs w:val="18"/>
              </w:rPr>
            </w:pPr>
            <w:r>
              <w:rPr>
                <w:rFonts w:ascii="Cambria" w:hAnsi="Cambria"/>
                <w:szCs w:val="18"/>
              </w:rPr>
              <w:t>Fumigation</w:t>
            </w:r>
          </w:p>
        </w:tc>
        <w:tc>
          <w:tcPr>
            <w:tcW w:w="3491" w:type="pct"/>
          </w:tcPr>
          <w:p w:rsidR="00AE7868" w:rsidRDefault="00FF2B57">
            <w:pPr>
              <w:pStyle w:val="TableText"/>
              <w:rPr>
                <w:rFonts w:ascii="Cambria" w:hAnsi="Cambria"/>
                <w:szCs w:val="18"/>
              </w:rPr>
            </w:pPr>
            <w:r>
              <w:rPr>
                <w:rFonts w:ascii="Cambria" w:hAnsi="Cambria"/>
                <w:szCs w:val="18"/>
              </w:rPr>
              <w:t>A method of pest control that completely fills an area with gaseous pesticides to suffocate or poison the pests within.</w:t>
            </w:r>
          </w:p>
        </w:tc>
      </w:tr>
      <w:tr w:rsidR="00AE7868">
        <w:tc>
          <w:tcPr>
            <w:tcW w:w="1509" w:type="pct"/>
          </w:tcPr>
          <w:p w:rsidR="00AE7868" w:rsidRDefault="00FF2B57">
            <w:pPr>
              <w:pStyle w:val="TableText"/>
              <w:rPr>
                <w:rFonts w:ascii="Cambria" w:hAnsi="Cambria"/>
                <w:szCs w:val="18"/>
              </w:rPr>
            </w:pPr>
            <w:r>
              <w:rPr>
                <w:rFonts w:ascii="Cambria" w:hAnsi="Cambria"/>
                <w:szCs w:val="18"/>
              </w:rPr>
              <w:t>Host</w:t>
            </w:r>
          </w:p>
        </w:tc>
        <w:tc>
          <w:tcPr>
            <w:tcW w:w="3491" w:type="pct"/>
          </w:tcPr>
          <w:p w:rsidR="00AE7868" w:rsidRDefault="00FF2B57">
            <w:pPr>
              <w:pStyle w:val="TableText"/>
              <w:rPr>
                <w:rFonts w:ascii="Cambria" w:hAnsi="Cambria"/>
                <w:szCs w:val="18"/>
              </w:rPr>
            </w:pPr>
            <w:r>
              <w:rPr>
                <w:rFonts w:ascii="Cambria" w:hAnsi="Cambria"/>
                <w:szCs w:val="18"/>
              </w:rPr>
              <w:t>An organism that harbours a parasite, mutual partner, or commensal partner, typically providing nourishment and shelter.</w:t>
            </w:r>
          </w:p>
        </w:tc>
      </w:tr>
      <w:tr w:rsidR="00AE7868">
        <w:tc>
          <w:tcPr>
            <w:tcW w:w="1509" w:type="pct"/>
          </w:tcPr>
          <w:p w:rsidR="00AE7868" w:rsidRDefault="00FF2B57">
            <w:pPr>
              <w:pStyle w:val="TableText"/>
              <w:tabs>
                <w:tab w:val="center" w:pos="1286"/>
              </w:tabs>
              <w:rPr>
                <w:rFonts w:ascii="Cambria" w:hAnsi="Cambria"/>
                <w:szCs w:val="18"/>
              </w:rPr>
            </w:pPr>
            <w:r>
              <w:rPr>
                <w:rFonts w:ascii="Cambria" w:hAnsi="Cambria"/>
                <w:szCs w:val="18"/>
              </w:rPr>
              <w:t>Host plant</w:t>
            </w:r>
          </w:p>
        </w:tc>
        <w:tc>
          <w:tcPr>
            <w:tcW w:w="3491" w:type="pct"/>
          </w:tcPr>
          <w:p w:rsidR="00AE7868" w:rsidRDefault="00FF2B57">
            <w:pPr>
              <w:pStyle w:val="TableText"/>
              <w:rPr>
                <w:rFonts w:ascii="Cambria" w:hAnsi="Cambria"/>
                <w:szCs w:val="18"/>
              </w:rPr>
            </w:pPr>
            <w:r>
              <w:rPr>
                <w:rFonts w:ascii="Cambria" w:hAnsi="Cambria"/>
                <w:szCs w:val="18"/>
              </w:rPr>
              <w:t>A plant on which a psyllid species completes its immature to adult life cycle.</w:t>
            </w:r>
          </w:p>
        </w:tc>
      </w:tr>
      <w:tr w:rsidR="00AE7868">
        <w:tc>
          <w:tcPr>
            <w:tcW w:w="1509" w:type="pct"/>
          </w:tcPr>
          <w:p w:rsidR="00AE7868" w:rsidRDefault="00FF2B57">
            <w:pPr>
              <w:pStyle w:val="TableText"/>
              <w:rPr>
                <w:rFonts w:ascii="Cambria" w:hAnsi="Cambria"/>
                <w:szCs w:val="18"/>
              </w:rPr>
            </w:pPr>
            <w:r>
              <w:rPr>
                <w:rFonts w:ascii="Cambria" w:hAnsi="Cambria"/>
                <w:szCs w:val="18"/>
              </w:rPr>
              <w:t>Host range</w:t>
            </w:r>
          </w:p>
        </w:tc>
        <w:tc>
          <w:tcPr>
            <w:tcW w:w="3491" w:type="pct"/>
          </w:tcPr>
          <w:p w:rsidR="00AE7868" w:rsidRDefault="00FF2B57">
            <w:pPr>
              <w:pStyle w:val="TableText"/>
              <w:rPr>
                <w:rFonts w:ascii="Cambria" w:hAnsi="Cambria"/>
                <w:szCs w:val="18"/>
              </w:rPr>
            </w:pPr>
            <w:r>
              <w:rPr>
                <w:rFonts w:ascii="Cambria" w:hAnsi="Cambria"/>
                <w:szCs w:val="18"/>
              </w:rPr>
              <w:t xml:space="preserve">Species capable, under natural conditions, of sustaining a specific pest or other organism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Import permit</w:t>
            </w:r>
          </w:p>
        </w:tc>
        <w:tc>
          <w:tcPr>
            <w:tcW w:w="3491" w:type="pct"/>
          </w:tcPr>
          <w:p w:rsidR="00AE7868" w:rsidRDefault="00FF2B57">
            <w:pPr>
              <w:pStyle w:val="TableText"/>
              <w:rPr>
                <w:rFonts w:ascii="Cambria" w:hAnsi="Cambria"/>
                <w:szCs w:val="18"/>
              </w:rPr>
            </w:pPr>
            <w:r>
              <w:rPr>
                <w:rFonts w:ascii="Cambria" w:hAnsi="Cambria"/>
                <w:szCs w:val="18"/>
              </w:rPr>
              <w:t xml:space="preserve">Official document authorising importation of a commodity in accordance with specified phytosanitary import requirements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Import risk analysis</w:t>
            </w:r>
          </w:p>
        </w:tc>
        <w:tc>
          <w:tcPr>
            <w:tcW w:w="3491" w:type="pct"/>
          </w:tcPr>
          <w:p w:rsidR="00AE7868" w:rsidRDefault="00FF2B57">
            <w:pPr>
              <w:pStyle w:val="TableText"/>
              <w:rPr>
                <w:rFonts w:ascii="Cambria" w:hAnsi="Cambria"/>
                <w:szCs w:val="18"/>
              </w:rPr>
            </w:pPr>
            <w:r>
              <w:rPr>
                <w:rFonts w:ascii="Cambria" w:hAnsi="Cambria"/>
                <w:szCs w:val="18"/>
              </w:rPr>
              <w:t>An administrative process through which quarantine policy is developed or reviewed, incorporating risk assessment, risk management and risk communication.</w:t>
            </w:r>
          </w:p>
        </w:tc>
      </w:tr>
      <w:tr w:rsidR="00AE7868">
        <w:tc>
          <w:tcPr>
            <w:tcW w:w="1509" w:type="pct"/>
          </w:tcPr>
          <w:p w:rsidR="00AE7868" w:rsidRDefault="00FF2B57">
            <w:pPr>
              <w:pStyle w:val="TableText"/>
              <w:rPr>
                <w:rFonts w:ascii="Cambria" w:hAnsi="Cambria"/>
                <w:szCs w:val="18"/>
              </w:rPr>
            </w:pPr>
            <w:r>
              <w:rPr>
                <w:rFonts w:ascii="Cambria" w:hAnsi="Cambria"/>
                <w:szCs w:val="18"/>
              </w:rPr>
              <w:t>Infection</w:t>
            </w:r>
          </w:p>
        </w:tc>
        <w:tc>
          <w:tcPr>
            <w:tcW w:w="3491" w:type="pct"/>
          </w:tcPr>
          <w:p w:rsidR="00AE7868" w:rsidRDefault="00FF2B57">
            <w:pPr>
              <w:pStyle w:val="TableText"/>
              <w:rPr>
                <w:rFonts w:ascii="Cambria" w:hAnsi="Cambria"/>
                <w:szCs w:val="18"/>
              </w:rPr>
            </w:pPr>
            <w:r>
              <w:rPr>
                <w:rFonts w:ascii="Cambria" w:hAnsi="Cambria"/>
                <w:szCs w:val="18"/>
              </w:rPr>
              <w:t>The internal ‘endophytic’ colonisation of a plant, or plant organ, and is generally associated with the development of disease symptoms as the integrity of cells and/or biological processes are disrupted.</w:t>
            </w:r>
          </w:p>
        </w:tc>
      </w:tr>
      <w:tr w:rsidR="00AE7868">
        <w:tc>
          <w:tcPr>
            <w:tcW w:w="1509" w:type="pct"/>
          </w:tcPr>
          <w:p w:rsidR="00AE7868" w:rsidRDefault="00FF2B57">
            <w:pPr>
              <w:pStyle w:val="TableText"/>
              <w:rPr>
                <w:rFonts w:ascii="Cambria" w:hAnsi="Cambria"/>
                <w:szCs w:val="18"/>
              </w:rPr>
            </w:pPr>
            <w:r>
              <w:rPr>
                <w:rFonts w:ascii="Cambria" w:hAnsi="Cambria"/>
                <w:szCs w:val="18"/>
              </w:rPr>
              <w:t>Infestation (of a commodity)</w:t>
            </w:r>
          </w:p>
        </w:tc>
        <w:tc>
          <w:tcPr>
            <w:tcW w:w="3491" w:type="pct"/>
          </w:tcPr>
          <w:p w:rsidR="00AE7868" w:rsidRDefault="00FF2B57">
            <w:pPr>
              <w:pStyle w:val="TableText"/>
              <w:rPr>
                <w:rFonts w:ascii="Cambria" w:hAnsi="Cambria"/>
                <w:szCs w:val="18"/>
              </w:rPr>
            </w:pPr>
            <w:r>
              <w:rPr>
                <w:rFonts w:ascii="Cambria" w:hAnsi="Cambria"/>
                <w:szCs w:val="18"/>
              </w:rPr>
              <w:t xml:space="preserve">Presence in a commodity of a living pest of the plant or plant product concerned. Infestation includes infection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Inspection</w:t>
            </w:r>
          </w:p>
        </w:tc>
        <w:tc>
          <w:tcPr>
            <w:tcW w:w="3491" w:type="pct"/>
          </w:tcPr>
          <w:p w:rsidR="00AE7868" w:rsidRDefault="00FF2B57">
            <w:pPr>
              <w:pStyle w:val="TableText"/>
              <w:rPr>
                <w:rFonts w:ascii="Cambria" w:hAnsi="Cambria"/>
                <w:szCs w:val="18"/>
              </w:rPr>
            </w:pPr>
            <w:r>
              <w:rPr>
                <w:rFonts w:ascii="Cambria" w:hAnsi="Cambria"/>
                <w:szCs w:val="18"/>
              </w:rPr>
              <w:t xml:space="preserve">Official visual examination of plants, plant products or other regulated articles to determine if pests are present or to determine compliance with phytosanitary regulations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Intended use</w:t>
            </w:r>
          </w:p>
        </w:tc>
        <w:tc>
          <w:tcPr>
            <w:tcW w:w="3491" w:type="pct"/>
          </w:tcPr>
          <w:p w:rsidR="00AE7868" w:rsidRDefault="00FF2B57">
            <w:pPr>
              <w:pStyle w:val="TableText"/>
              <w:rPr>
                <w:rFonts w:ascii="Cambria" w:hAnsi="Cambria"/>
                <w:szCs w:val="18"/>
              </w:rPr>
            </w:pPr>
            <w:r>
              <w:rPr>
                <w:rFonts w:ascii="Cambria" w:hAnsi="Cambria"/>
                <w:szCs w:val="18"/>
              </w:rPr>
              <w:t xml:space="preserve">Declared purpose for which plants, plant products, or other regulated articles are imported, produced or used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Interception (of a pest)</w:t>
            </w:r>
          </w:p>
        </w:tc>
        <w:tc>
          <w:tcPr>
            <w:tcW w:w="3491" w:type="pct"/>
          </w:tcPr>
          <w:p w:rsidR="00AE7868" w:rsidRDefault="00FF2B57">
            <w:pPr>
              <w:pStyle w:val="TableText"/>
              <w:rPr>
                <w:rFonts w:ascii="Cambria" w:hAnsi="Cambria"/>
                <w:szCs w:val="18"/>
              </w:rPr>
            </w:pPr>
            <w:r>
              <w:rPr>
                <w:rFonts w:ascii="Cambria" w:hAnsi="Cambria"/>
                <w:szCs w:val="18"/>
              </w:rPr>
              <w:t xml:space="preserve">The detection of a pest during inspection or testing of an imported consignment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International Plant Protection Convention (IPPC)</w:t>
            </w:r>
          </w:p>
        </w:tc>
        <w:tc>
          <w:tcPr>
            <w:tcW w:w="3491" w:type="pct"/>
          </w:tcPr>
          <w:p w:rsidR="00AE7868" w:rsidRDefault="00FF2B57">
            <w:pPr>
              <w:pStyle w:val="TableText"/>
              <w:rPr>
                <w:rFonts w:ascii="Cambria" w:hAnsi="Cambria"/>
                <w:szCs w:val="18"/>
              </w:rPr>
            </w:pPr>
            <w:r>
              <w:rPr>
                <w:rFonts w:ascii="Cambria" w:hAnsi="Cambria"/>
                <w:szCs w:val="18"/>
              </w:rPr>
              <w:t>A multilateral treaty for international cooperation in plant protection (WTO 2015)</w:t>
            </w:r>
          </w:p>
        </w:tc>
      </w:tr>
      <w:tr w:rsidR="00AE7868">
        <w:tc>
          <w:tcPr>
            <w:tcW w:w="1509" w:type="pct"/>
          </w:tcPr>
          <w:p w:rsidR="00AE7868" w:rsidRDefault="00FF2B57">
            <w:pPr>
              <w:pStyle w:val="TableText"/>
              <w:rPr>
                <w:rFonts w:ascii="Cambria" w:hAnsi="Cambria"/>
                <w:szCs w:val="18"/>
              </w:rPr>
            </w:pPr>
            <w:r>
              <w:rPr>
                <w:rFonts w:ascii="Cambria" w:hAnsi="Cambria"/>
                <w:szCs w:val="18"/>
              </w:rPr>
              <w:t>International Standard for Phytosanitary Measures (ISPM)</w:t>
            </w:r>
          </w:p>
        </w:tc>
        <w:tc>
          <w:tcPr>
            <w:tcW w:w="3491" w:type="pct"/>
          </w:tcPr>
          <w:p w:rsidR="00AE7868" w:rsidRDefault="00FF2B57">
            <w:pPr>
              <w:pStyle w:val="TableText"/>
              <w:rPr>
                <w:rFonts w:ascii="Cambria" w:hAnsi="Cambria"/>
                <w:szCs w:val="18"/>
              </w:rPr>
            </w:pPr>
            <w:r>
              <w:rPr>
                <w:rFonts w:ascii="Cambria" w:hAnsi="Cambria"/>
                <w:szCs w:val="18"/>
              </w:rPr>
              <w:t xml:space="preserve">An international standard adopted by the Conference of the Food and Agriculture Organization, the Interim Commission on Phytosanitary Measures </w:t>
            </w:r>
            <w:r>
              <w:rPr>
                <w:rFonts w:ascii="Cambria" w:hAnsi="Cambria"/>
                <w:szCs w:val="18"/>
              </w:rPr>
              <w:lastRenderedPageBreak/>
              <w:t xml:space="preserve">or the Commission on Phytosanitary Measures, established under the IPPC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lastRenderedPageBreak/>
              <w:t>Introduction (of a pest)</w:t>
            </w:r>
          </w:p>
        </w:tc>
        <w:tc>
          <w:tcPr>
            <w:tcW w:w="3491" w:type="pct"/>
          </w:tcPr>
          <w:p w:rsidR="00AE7868" w:rsidRDefault="00FF2B57">
            <w:pPr>
              <w:pStyle w:val="TableText"/>
              <w:rPr>
                <w:rFonts w:ascii="Cambria" w:hAnsi="Cambria"/>
                <w:szCs w:val="18"/>
              </w:rPr>
            </w:pPr>
            <w:r>
              <w:rPr>
                <w:rFonts w:ascii="Cambria" w:hAnsi="Cambria"/>
                <w:szCs w:val="18"/>
              </w:rPr>
              <w:t xml:space="preserve">The entry of a pest resulting in its establishment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Life cycle</w:t>
            </w:r>
          </w:p>
        </w:tc>
        <w:tc>
          <w:tcPr>
            <w:tcW w:w="3491" w:type="pct"/>
          </w:tcPr>
          <w:p w:rsidR="00AE7868" w:rsidRDefault="00FF2B57">
            <w:pPr>
              <w:pStyle w:val="TableText"/>
              <w:rPr>
                <w:rFonts w:ascii="Cambria" w:hAnsi="Cambria"/>
                <w:szCs w:val="18"/>
              </w:rPr>
            </w:pPr>
            <w:r>
              <w:rPr>
                <w:rFonts w:ascii="Cambria" w:hAnsi="Cambria"/>
                <w:szCs w:val="18"/>
              </w:rPr>
              <w:t>Cyclical progression of stages in the growth and development of an organism (plant, animal, or pathogen) that occur between the appearance and reappearance of the same stage of the organism (Shurtleff &amp; Averre 1997).</w:t>
            </w:r>
          </w:p>
        </w:tc>
      </w:tr>
      <w:tr w:rsidR="00AE7868">
        <w:tc>
          <w:tcPr>
            <w:tcW w:w="1509" w:type="pct"/>
          </w:tcPr>
          <w:p w:rsidR="00AE7868" w:rsidRDefault="00FF2B57">
            <w:pPr>
              <w:pStyle w:val="TableText"/>
              <w:rPr>
                <w:rFonts w:ascii="Cambria" w:hAnsi="Cambria"/>
                <w:szCs w:val="18"/>
              </w:rPr>
            </w:pPr>
            <w:r>
              <w:rPr>
                <w:rFonts w:ascii="Cambria" w:hAnsi="Cambria"/>
                <w:szCs w:val="18"/>
              </w:rPr>
              <w:t>National Plant Protection Organization (NPPO)</w:t>
            </w:r>
          </w:p>
        </w:tc>
        <w:tc>
          <w:tcPr>
            <w:tcW w:w="3491" w:type="pct"/>
          </w:tcPr>
          <w:p w:rsidR="00AE7868" w:rsidRDefault="00FF2B57">
            <w:pPr>
              <w:pStyle w:val="TableText"/>
              <w:rPr>
                <w:rFonts w:ascii="Cambria" w:hAnsi="Cambria"/>
                <w:szCs w:val="18"/>
              </w:rPr>
            </w:pPr>
            <w:r>
              <w:rPr>
                <w:rFonts w:ascii="Cambria" w:hAnsi="Cambria"/>
                <w:szCs w:val="18"/>
              </w:rPr>
              <w:t xml:space="preserve">Official service established by a government to discharge the functions specified by the IPPC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Official control</w:t>
            </w:r>
          </w:p>
        </w:tc>
        <w:tc>
          <w:tcPr>
            <w:tcW w:w="3491" w:type="pct"/>
          </w:tcPr>
          <w:p w:rsidR="00AE7868" w:rsidRDefault="00FF2B57">
            <w:pPr>
              <w:pStyle w:val="TableText"/>
              <w:rPr>
                <w:rFonts w:ascii="Cambria" w:hAnsi="Cambria"/>
                <w:szCs w:val="18"/>
              </w:rPr>
            </w:pPr>
            <w:r>
              <w:rPr>
                <w:rFonts w:ascii="Cambria" w:hAnsi="Cambria"/>
                <w:szCs w:val="18"/>
              </w:rPr>
              <w:t xml:space="preserve">The active enforcement of mandatory phytosanitary regulations and the application of mandatory phytosanitary procedures with the objective of eradication or containment of quarantine pests or for the management of regulated non-quarantine pests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tabs>
                <w:tab w:val="center" w:pos="1286"/>
              </w:tabs>
              <w:rPr>
                <w:rFonts w:ascii="Cambria" w:hAnsi="Cambria"/>
                <w:szCs w:val="18"/>
              </w:rPr>
            </w:pPr>
            <w:r>
              <w:rPr>
                <w:rFonts w:ascii="Cambria" w:hAnsi="Cambria"/>
                <w:szCs w:val="18"/>
              </w:rPr>
              <w:t>Overwintering or shelter plant</w:t>
            </w:r>
          </w:p>
        </w:tc>
        <w:tc>
          <w:tcPr>
            <w:tcW w:w="3491" w:type="pct"/>
          </w:tcPr>
          <w:p w:rsidR="00AE7868" w:rsidRDefault="00FF2B57">
            <w:pPr>
              <w:pStyle w:val="TableText"/>
              <w:rPr>
                <w:rFonts w:ascii="Cambria" w:hAnsi="Cambria"/>
                <w:szCs w:val="18"/>
              </w:rPr>
            </w:pPr>
            <w:r>
              <w:rPr>
                <w:rFonts w:ascii="Cambria" w:hAnsi="Cambria"/>
                <w:szCs w:val="18"/>
              </w:rPr>
              <w:t>A plant on which adult psyllids overwinter, and on which they may feed.</w:t>
            </w:r>
          </w:p>
        </w:tc>
      </w:tr>
      <w:tr w:rsidR="00AE7868">
        <w:tc>
          <w:tcPr>
            <w:tcW w:w="1509" w:type="pct"/>
          </w:tcPr>
          <w:p w:rsidR="00AE7868" w:rsidRDefault="00FF2B57">
            <w:pPr>
              <w:pStyle w:val="TableText"/>
              <w:rPr>
                <w:rFonts w:ascii="Cambria" w:hAnsi="Cambria"/>
                <w:szCs w:val="18"/>
              </w:rPr>
            </w:pPr>
            <w:r>
              <w:rPr>
                <w:rFonts w:ascii="Cambria" w:hAnsi="Cambria"/>
                <w:szCs w:val="18"/>
              </w:rPr>
              <w:t>Pathogen</w:t>
            </w:r>
          </w:p>
        </w:tc>
        <w:tc>
          <w:tcPr>
            <w:tcW w:w="3491" w:type="pct"/>
          </w:tcPr>
          <w:p w:rsidR="00AE7868" w:rsidRDefault="00FF2B57">
            <w:pPr>
              <w:pStyle w:val="TableText"/>
              <w:rPr>
                <w:rFonts w:ascii="Cambria" w:hAnsi="Cambria"/>
                <w:szCs w:val="18"/>
              </w:rPr>
            </w:pPr>
            <w:r>
              <w:rPr>
                <w:rFonts w:ascii="Cambria" w:hAnsi="Cambria"/>
                <w:szCs w:val="18"/>
              </w:rPr>
              <w:t>A biological agent that can cause disease to its host.</w:t>
            </w:r>
          </w:p>
        </w:tc>
      </w:tr>
      <w:tr w:rsidR="00AE7868">
        <w:tc>
          <w:tcPr>
            <w:tcW w:w="1509" w:type="pct"/>
          </w:tcPr>
          <w:p w:rsidR="00AE7868" w:rsidRDefault="00FF2B57">
            <w:pPr>
              <w:pStyle w:val="TableText"/>
              <w:rPr>
                <w:rFonts w:ascii="Cambria" w:hAnsi="Cambria"/>
                <w:szCs w:val="18"/>
              </w:rPr>
            </w:pPr>
            <w:r>
              <w:rPr>
                <w:rFonts w:ascii="Cambria" w:hAnsi="Cambria"/>
                <w:szCs w:val="18"/>
              </w:rPr>
              <w:t>Pathway</w:t>
            </w:r>
          </w:p>
        </w:tc>
        <w:tc>
          <w:tcPr>
            <w:tcW w:w="3491" w:type="pct"/>
          </w:tcPr>
          <w:p w:rsidR="00AE7868" w:rsidRDefault="00FF2B57">
            <w:pPr>
              <w:pStyle w:val="TableText"/>
              <w:rPr>
                <w:rFonts w:ascii="Cambria" w:hAnsi="Cambria"/>
                <w:szCs w:val="18"/>
              </w:rPr>
            </w:pPr>
            <w:r>
              <w:rPr>
                <w:rFonts w:ascii="Cambria" w:hAnsi="Cambria"/>
                <w:szCs w:val="18"/>
              </w:rPr>
              <w:t xml:space="preserve">Any means that allows the entry or spread of a pest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Pest</w:t>
            </w:r>
          </w:p>
        </w:tc>
        <w:tc>
          <w:tcPr>
            <w:tcW w:w="3491" w:type="pct"/>
          </w:tcPr>
          <w:p w:rsidR="00AE7868" w:rsidRDefault="00FF2B57">
            <w:pPr>
              <w:pStyle w:val="TableText"/>
              <w:rPr>
                <w:rFonts w:ascii="Cambria" w:hAnsi="Cambria"/>
                <w:szCs w:val="18"/>
              </w:rPr>
            </w:pPr>
            <w:r>
              <w:rPr>
                <w:rFonts w:ascii="Cambria" w:hAnsi="Cambria"/>
                <w:szCs w:val="18"/>
              </w:rPr>
              <w:t xml:space="preserve">Any species, strain or biotype of plant, animal, or pathogenic agent injurious to plants or plant products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Pest categorisation</w:t>
            </w:r>
          </w:p>
        </w:tc>
        <w:tc>
          <w:tcPr>
            <w:tcW w:w="3491" w:type="pct"/>
          </w:tcPr>
          <w:p w:rsidR="00AE7868" w:rsidRDefault="00FF2B57">
            <w:pPr>
              <w:pStyle w:val="TableText"/>
              <w:rPr>
                <w:rFonts w:ascii="Cambria" w:hAnsi="Cambria"/>
                <w:szCs w:val="18"/>
              </w:rPr>
            </w:pPr>
            <w:r>
              <w:rPr>
                <w:rFonts w:ascii="Cambria" w:hAnsi="Cambria"/>
                <w:szCs w:val="18"/>
              </w:rPr>
              <w:t xml:space="preserve">The process for determining whether a pest has or has not the characteristics of a quarantine pest or those of a regulated non-quarantine pest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Pest free area (PFA)</w:t>
            </w:r>
          </w:p>
        </w:tc>
        <w:tc>
          <w:tcPr>
            <w:tcW w:w="3491" w:type="pct"/>
          </w:tcPr>
          <w:p w:rsidR="00AE7868" w:rsidRDefault="00FF2B57">
            <w:pPr>
              <w:pStyle w:val="TableText"/>
              <w:rPr>
                <w:rFonts w:ascii="Cambria" w:hAnsi="Cambria"/>
                <w:szCs w:val="18"/>
              </w:rPr>
            </w:pPr>
            <w:r>
              <w:rPr>
                <w:rFonts w:ascii="Cambria" w:hAnsi="Cambria"/>
                <w:szCs w:val="18"/>
              </w:rPr>
              <w:t xml:space="preserve">An area in which a specific pest does not occur as demonstrated by scientific evidence and in which, where appropriate, this condition is being officially maintained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Pest free place of production</w:t>
            </w:r>
          </w:p>
        </w:tc>
        <w:tc>
          <w:tcPr>
            <w:tcW w:w="3491" w:type="pct"/>
          </w:tcPr>
          <w:p w:rsidR="00AE7868" w:rsidRDefault="00FF2B57">
            <w:pPr>
              <w:pStyle w:val="TableText"/>
              <w:rPr>
                <w:rFonts w:ascii="Cambria" w:hAnsi="Cambria"/>
                <w:szCs w:val="18"/>
              </w:rPr>
            </w:pPr>
            <w:r>
              <w:rPr>
                <w:rFonts w:ascii="Cambria" w:hAnsi="Cambria"/>
                <w:szCs w:val="18"/>
              </w:rPr>
              <w:t xml:space="preserve">Place of production in which a specific pest does not occur as demonstrated by scientific evidence and in which, where appropriate, this condition is being officially maintained for a defined period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Pest free production site</w:t>
            </w:r>
          </w:p>
        </w:tc>
        <w:tc>
          <w:tcPr>
            <w:tcW w:w="3491" w:type="pct"/>
          </w:tcPr>
          <w:p w:rsidR="00AE7868" w:rsidRDefault="00FF2B57">
            <w:pPr>
              <w:pStyle w:val="TableText"/>
              <w:rPr>
                <w:rFonts w:ascii="Cambria" w:hAnsi="Cambria"/>
                <w:szCs w:val="18"/>
              </w:rPr>
            </w:pPr>
            <w:r>
              <w:rPr>
                <w:rFonts w:ascii="Cambria" w:hAnsi="Cambria"/>
                <w:szCs w:val="18"/>
              </w:rPr>
              <w:t xml:space="preserve">A defined portion of a place of production in which a specific pest does not occur as demonstrated by scientific evidence and in which, where appropriate, this condition is being officially maintained for a defined period and that is managed as a separate unit in the same way as a pest free place of production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Pest risk analysis (PRA)</w:t>
            </w:r>
          </w:p>
        </w:tc>
        <w:tc>
          <w:tcPr>
            <w:tcW w:w="3491" w:type="pct"/>
          </w:tcPr>
          <w:p w:rsidR="00AE7868" w:rsidRDefault="00FF2B57">
            <w:pPr>
              <w:pStyle w:val="TableText"/>
              <w:rPr>
                <w:rFonts w:ascii="Cambria" w:hAnsi="Cambria"/>
                <w:szCs w:val="18"/>
              </w:rPr>
            </w:pPr>
            <w:r>
              <w:rPr>
                <w:rFonts w:ascii="Cambria" w:hAnsi="Cambria"/>
                <w:szCs w:val="18"/>
              </w:rPr>
              <w:t xml:space="preserve">The process of evaluating biological or other scientific and economic evidence to determine whether an organism is a pest, whether it should be regulated, </w:t>
            </w:r>
            <w:r>
              <w:rPr>
                <w:rFonts w:ascii="Cambria" w:hAnsi="Cambria"/>
                <w:szCs w:val="18"/>
              </w:rPr>
              <w:lastRenderedPageBreak/>
              <w:t xml:space="preserve">and the strength of any phytosanitary measures to be taken against it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lastRenderedPageBreak/>
              <w:t>Pest risk assessment (for quarantine pests)</w:t>
            </w:r>
          </w:p>
        </w:tc>
        <w:tc>
          <w:tcPr>
            <w:tcW w:w="3491" w:type="pct"/>
          </w:tcPr>
          <w:p w:rsidR="00AE7868" w:rsidRDefault="00FF2B57">
            <w:pPr>
              <w:pStyle w:val="TableText"/>
              <w:rPr>
                <w:rFonts w:ascii="Cambria" w:hAnsi="Cambria"/>
                <w:szCs w:val="18"/>
              </w:rPr>
            </w:pPr>
            <w:r>
              <w:rPr>
                <w:rFonts w:ascii="Cambria" w:hAnsi="Cambria"/>
                <w:szCs w:val="18"/>
              </w:rPr>
              <w:t xml:space="preserve">Evaluation of the probability of the introduction and spread of a pest and of the magnitude of the associated potential economic consequences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Pest risk assessment (for regulated non-quarantine pests)</w:t>
            </w:r>
          </w:p>
        </w:tc>
        <w:tc>
          <w:tcPr>
            <w:tcW w:w="3491" w:type="pct"/>
          </w:tcPr>
          <w:p w:rsidR="00AE7868" w:rsidRDefault="00FF2B57">
            <w:pPr>
              <w:pStyle w:val="TableText"/>
              <w:rPr>
                <w:rFonts w:ascii="Cambria" w:hAnsi="Cambria"/>
                <w:szCs w:val="18"/>
              </w:rPr>
            </w:pPr>
            <w:r>
              <w:rPr>
                <w:rFonts w:ascii="Cambria" w:hAnsi="Cambria"/>
                <w:szCs w:val="18"/>
              </w:rPr>
              <w:t xml:space="preserve">Evaluation of the probability that a pest in plants for planting affects the intended use of those plants with an economically unacceptable impact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Pest risk management (for quarantine pests)</w:t>
            </w:r>
          </w:p>
        </w:tc>
        <w:tc>
          <w:tcPr>
            <w:tcW w:w="3491" w:type="pct"/>
          </w:tcPr>
          <w:p w:rsidR="00AE7868" w:rsidRDefault="00FF2B57">
            <w:pPr>
              <w:pStyle w:val="TableText"/>
              <w:rPr>
                <w:rFonts w:ascii="Cambria" w:hAnsi="Cambria"/>
                <w:szCs w:val="18"/>
              </w:rPr>
            </w:pPr>
            <w:r>
              <w:rPr>
                <w:rFonts w:ascii="Cambria" w:hAnsi="Cambria"/>
                <w:szCs w:val="18"/>
              </w:rPr>
              <w:t xml:space="preserve">Evaluation and selection of options to reduce the risk of introduction and spread of a pest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Pest risk management (for regulated non-quarantine pests)</w:t>
            </w:r>
          </w:p>
        </w:tc>
        <w:tc>
          <w:tcPr>
            <w:tcW w:w="3491" w:type="pct"/>
          </w:tcPr>
          <w:p w:rsidR="00AE7868" w:rsidRDefault="00FF2B57">
            <w:pPr>
              <w:pStyle w:val="TableText"/>
              <w:rPr>
                <w:rFonts w:ascii="Cambria" w:hAnsi="Cambria"/>
                <w:szCs w:val="18"/>
              </w:rPr>
            </w:pPr>
            <w:r>
              <w:rPr>
                <w:rFonts w:ascii="Cambria" w:hAnsi="Cambria"/>
                <w:szCs w:val="18"/>
              </w:rPr>
              <w:t xml:space="preserve">Evaluation and selection of options to reduce the risk that a pest in plants for planting causes an economically unacceptable impact on the intended use of those plants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Pest status (in an area)</w:t>
            </w:r>
          </w:p>
        </w:tc>
        <w:tc>
          <w:tcPr>
            <w:tcW w:w="3491" w:type="pct"/>
          </w:tcPr>
          <w:p w:rsidR="00AE7868" w:rsidRDefault="00FF2B57">
            <w:pPr>
              <w:pStyle w:val="TableText"/>
              <w:rPr>
                <w:rFonts w:ascii="Cambria" w:hAnsi="Cambria"/>
                <w:szCs w:val="18"/>
              </w:rPr>
            </w:pPr>
            <w:r>
              <w:rPr>
                <w:rFonts w:ascii="Cambria" w:hAnsi="Cambria"/>
                <w:szCs w:val="18"/>
              </w:rPr>
              <w:t xml:space="preserve">Presence or absence, at the present time, of a pest in an area, including where appropriate its distribution, as officially determined using expert judgement on the basis of current and historical pest records and other information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Phytosanitary certificate</w:t>
            </w:r>
          </w:p>
        </w:tc>
        <w:tc>
          <w:tcPr>
            <w:tcW w:w="3491" w:type="pct"/>
          </w:tcPr>
          <w:p w:rsidR="00AE7868" w:rsidRDefault="00FF2B57">
            <w:pPr>
              <w:pStyle w:val="TableText"/>
              <w:rPr>
                <w:rFonts w:ascii="Cambria" w:hAnsi="Cambria"/>
                <w:szCs w:val="18"/>
              </w:rPr>
            </w:pPr>
            <w:r>
              <w:rPr>
                <w:rFonts w:ascii="Cambria" w:hAnsi="Cambria"/>
                <w:szCs w:val="18"/>
              </w:rPr>
              <w:t xml:space="preserve">An official paper document or its official electronic equivalent, consistent with the model of certificates of the IPPC, attesting that a consignment meets phytosanitary import requirements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Phytosanitary certification</w:t>
            </w:r>
          </w:p>
        </w:tc>
        <w:tc>
          <w:tcPr>
            <w:tcW w:w="3491" w:type="pct"/>
          </w:tcPr>
          <w:p w:rsidR="00AE7868" w:rsidRDefault="00FF2B57">
            <w:pPr>
              <w:pStyle w:val="TableText"/>
              <w:rPr>
                <w:rFonts w:ascii="Cambria" w:hAnsi="Cambria"/>
                <w:szCs w:val="18"/>
              </w:rPr>
            </w:pPr>
            <w:r>
              <w:rPr>
                <w:rFonts w:ascii="Cambria" w:hAnsi="Cambria"/>
                <w:szCs w:val="18"/>
              </w:rPr>
              <w:t xml:space="preserve">Use of phytosanitary procedures leading to the issue of a phytosanitary certificate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Phytosanitary measure</w:t>
            </w:r>
          </w:p>
        </w:tc>
        <w:tc>
          <w:tcPr>
            <w:tcW w:w="3491" w:type="pct"/>
          </w:tcPr>
          <w:p w:rsidR="00AE7868" w:rsidRDefault="00FF2B57">
            <w:pPr>
              <w:pStyle w:val="TableText"/>
              <w:rPr>
                <w:rFonts w:ascii="Cambria" w:hAnsi="Cambria"/>
                <w:szCs w:val="18"/>
              </w:rPr>
            </w:pPr>
            <w:r>
              <w:rPr>
                <w:rFonts w:ascii="Cambria" w:hAnsi="Cambria"/>
                <w:szCs w:val="18"/>
              </w:rPr>
              <w:t xml:space="preserve">Any legislation, regulation or official procedure having the purpose to prevent the introduction and/or spread of quarantine pests, or to limit the economic impact of regulated non-quarantine pests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Phytosanitary procedure</w:t>
            </w:r>
          </w:p>
        </w:tc>
        <w:tc>
          <w:tcPr>
            <w:tcW w:w="3491" w:type="pct"/>
          </w:tcPr>
          <w:p w:rsidR="00AE7868" w:rsidRDefault="00FF2B57">
            <w:pPr>
              <w:pStyle w:val="TableText"/>
              <w:rPr>
                <w:rFonts w:ascii="Cambria" w:hAnsi="Cambria"/>
                <w:szCs w:val="18"/>
              </w:rPr>
            </w:pPr>
            <w:r>
              <w:rPr>
                <w:rFonts w:ascii="Cambria" w:hAnsi="Cambria"/>
                <w:szCs w:val="18"/>
              </w:rPr>
              <w:t xml:space="preserve">Any official method for implementing phytosanitary measures including the performance of inspections, tests, surveillance or treatments in connection with regulated pests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Phytosanitary regulation</w:t>
            </w:r>
          </w:p>
        </w:tc>
        <w:tc>
          <w:tcPr>
            <w:tcW w:w="3491" w:type="pct"/>
          </w:tcPr>
          <w:p w:rsidR="00AE7868" w:rsidRDefault="00FF2B57">
            <w:pPr>
              <w:pStyle w:val="TableText"/>
              <w:rPr>
                <w:rFonts w:ascii="Cambria" w:hAnsi="Cambria"/>
                <w:szCs w:val="18"/>
              </w:rPr>
            </w:pPr>
            <w:r>
              <w:rPr>
                <w:rFonts w:ascii="Cambria" w:hAnsi="Cambria"/>
                <w:szCs w:val="18"/>
              </w:rPr>
              <w:t xml:space="preserve">Official rule to prevent the introduction and/or spread of quarantine pests, or to limit the economic impact of regulated non-quarantine pests, including establishment of procedures for phytosanitary certification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Polyphagous</w:t>
            </w:r>
          </w:p>
        </w:tc>
        <w:tc>
          <w:tcPr>
            <w:tcW w:w="3491" w:type="pct"/>
          </w:tcPr>
          <w:p w:rsidR="00AE7868" w:rsidRDefault="00FF2B57">
            <w:pPr>
              <w:pStyle w:val="TableText"/>
              <w:rPr>
                <w:rFonts w:ascii="Cambria" w:hAnsi="Cambria"/>
                <w:szCs w:val="18"/>
              </w:rPr>
            </w:pPr>
            <w:r>
              <w:rPr>
                <w:rFonts w:ascii="Cambria" w:hAnsi="Cambria"/>
                <w:szCs w:val="18"/>
              </w:rPr>
              <w:t>Feeding on a relatively large number of hosts from different plant family and/or genera.</w:t>
            </w:r>
          </w:p>
        </w:tc>
      </w:tr>
      <w:tr w:rsidR="00AE7868">
        <w:tc>
          <w:tcPr>
            <w:tcW w:w="1509" w:type="pct"/>
          </w:tcPr>
          <w:p w:rsidR="00AE7868" w:rsidRDefault="00FF2B57">
            <w:pPr>
              <w:pStyle w:val="TableText"/>
              <w:tabs>
                <w:tab w:val="left" w:pos="1174"/>
              </w:tabs>
              <w:rPr>
                <w:rFonts w:ascii="Cambria" w:hAnsi="Cambria"/>
                <w:szCs w:val="18"/>
              </w:rPr>
            </w:pPr>
            <w:r>
              <w:rPr>
                <w:rFonts w:ascii="Cambria" w:hAnsi="Cambria"/>
                <w:szCs w:val="18"/>
              </w:rPr>
              <w:t>PRA area</w:t>
            </w:r>
          </w:p>
        </w:tc>
        <w:tc>
          <w:tcPr>
            <w:tcW w:w="3491" w:type="pct"/>
          </w:tcPr>
          <w:p w:rsidR="00AE7868" w:rsidRDefault="00FF2B57">
            <w:pPr>
              <w:pStyle w:val="TableText"/>
              <w:rPr>
                <w:rFonts w:ascii="Cambria" w:hAnsi="Cambria"/>
                <w:szCs w:val="18"/>
              </w:rPr>
            </w:pPr>
            <w:r>
              <w:rPr>
                <w:rFonts w:ascii="Cambria" w:hAnsi="Cambria"/>
                <w:szCs w:val="18"/>
              </w:rPr>
              <w:t xml:space="preserve">Area in relation to which a pest risk analysis is conducted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lastRenderedPageBreak/>
              <w:t>Quarantine</w:t>
            </w:r>
          </w:p>
        </w:tc>
        <w:tc>
          <w:tcPr>
            <w:tcW w:w="3491" w:type="pct"/>
          </w:tcPr>
          <w:p w:rsidR="00AE7868" w:rsidRDefault="00FF2B57">
            <w:pPr>
              <w:pStyle w:val="TableText"/>
              <w:rPr>
                <w:rFonts w:ascii="Cambria" w:hAnsi="Cambria"/>
                <w:szCs w:val="18"/>
              </w:rPr>
            </w:pPr>
            <w:r>
              <w:rPr>
                <w:rFonts w:ascii="Cambria" w:hAnsi="Cambria"/>
                <w:szCs w:val="18"/>
              </w:rPr>
              <w:t xml:space="preserve">Official confinement of regulated articles for observation and research or for further inspection, testing or treatment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Quarantine pest</w:t>
            </w:r>
          </w:p>
        </w:tc>
        <w:tc>
          <w:tcPr>
            <w:tcW w:w="3491" w:type="pct"/>
          </w:tcPr>
          <w:p w:rsidR="00AE7868" w:rsidRDefault="00FF2B57">
            <w:pPr>
              <w:pStyle w:val="TableText"/>
              <w:rPr>
                <w:rFonts w:ascii="Cambria" w:hAnsi="Cambria"/>
                <w:szCs w:val="18"/>
              </w:rPr>
            </w:pPr>
            <w:r>
              <w:rPr>
                <w:rFonts w:ascii="Cambria" w:hAnsi="Cambria"/>
                <w:szCs w:val="18"/>
              </w:rPr>
              <w:t xml:space="preserve">A pest of potential economic importance to the area endangered thereby and not yet present there, or present but not widely distributed and being officially controlled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Regulated article</w:t>
            </w:r>
          </w:p>
        </w:tc>
        <w:tc>
          <w:tcPr>
            <w:tcW w:w="3491" w:type="pct"/>
          </w:tcPr>
          <w:p w:rsidR="00AE7868" w:rsidRDefault="00FF2B57">
            <w:pPr>
              <w:pStyle w:val="TableText"/>
              <w:rPr>
                <w:rFonts w:ascii="Cambria" w:hAnsi="Cambria"/>
                <w:szCs w:val="18"/>
              </w:rPr>
            </w:pPr>
            <w:r>
              <w:rPr>
                <w:rFonts w:ascii="Cambria" w:hAnsi="Cambria"/>
                <w:szCs w:val="18"/>
              </w:rPr>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Regulated non-quarantine pest</w:t>
            </w:r>
          </w:p>
        </w:tc>
        <w:tc>
          <w:tcPr>
            <w:tcW w:w="3491" w:type="pct"/>
          </w:tcPr>
          <w:p w:rsidR="00AE7868" w:rsidRDefault="00FF2B57">
            <w:pPr>
              <w:pStyle w:val="TableText"/>
              <w:rPr>
                <w:rFonts w:ascii="Cambria" w:hAnsi="Cambria"/>
                <w:szCs w:val="18"/>
              </w:rPr>
            </w:pPr>
            <w:r>
              <w:rPr>
                <w:rFonts w:ascii="Cambria" w:hAnsi="Cambria"/>
                <w:szCs w:val="18"/>
              </w:rPr>
              <w:t xml:space="preserve">A non-quarantine pest whose presence in plants for planting affects the intended use of those plants with an economically unacceptable impact and which is therefore regulated within the territory of the importing contracting party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Restricted risk</w:t>
            </w:r>
          </w:p>
        </w:tc>
        <w:tc>
          <w:tcPr>
            <w:tcW w:w="3491" w:type="pct"/>
          </w:tcPr>
          <w:p w:rsidR="00AE7868" w:rsidRDefault="00FF2B57">
            <w:pPr>
              <w:pStyle w:val="TableText"/>
              <w:rPr>
                <w:rFonts w:ascii="Cambria" w:hAnsi="Cambria"/>
                <w:szCs w:val="18"/>
              </w:rPr>
            </w:pPr>
            <w:r>
              <w:rPr>
                <w:rFonts w:ascii="Cambria" w:hAnsi="Cambria"/>
                <w:szCs w:val="18"/>
              </w:rPr>
              <w:t>Risk estimate with phytosanitary measure(s) applied.</w:t>
            </w:r>
          </w:p>
        </w:tc>
      </w:tr>
      <w:tr w:rsidR="00AE7868">
        <w:tc>
          <w:tcPr>
            <w:tcW w:w="1509" w:type="pct"/>
          </w:tcPr>
          <w:p w:rsidR="00AE7868" w:rsidRDefault="00FF2B57">
            <w:pPr>
              <w:pStyle w:val="TableText"/>
              <w:rPr>
                <w:rFonts w:ascii="Cambria" w:hAnsi="Cambria"/>
                <w:szCs w:val="18"/>
              </w:rPr>
            </w:pPr>
            <w:r>
              <w:rPr>
                <w:rFonts w:ascii="Cambria" w:hAnsi="Cambria"/>
                <w:szCs w:val="18"/>
              </w:rPr>
              <w:t>Spread (of a pest)</w:t>
            </w:r>
          </w:p>
        </w:tc>
        <w:tc>
          <w:tcPr>
            <w:tcW w:w="3491" w:type="pct"/>
          </w:tcPr>
          <w:p w:rsidR="00AE7868" w:rsidRDefault="00FF2B57">
            <w:pPr>
              <w:pStyle w:val="TableText"/>
              <w:rPr>
                <w:rFonts w:ascii="Cambria" w:hAnsi="Cambria"/>
                <w:szCs w:val="18"/>
              </w:rPr>
            </w:pPr>
            <w:r>
              <w:rPr>
                <w:rFonts w:ascii="Cambria" w:hAnsi="Cambria"/>
                <w:szCs w:val="18"/>
              </w:rPr>
              <w:t xml:space="preserve">Expansion of the geographical distribution of a pest within an area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SPS Agreement</w:t>
            </w:r>
          </w:p>
        </w:tc>
        <w:tc>
          <w:tcPr>
            <w:tcW w:w="3491" w:type="pct"/>
          </w:tcPr>
          <w:p w:rsidR="00AE7868" w:rsidRDefault="00FF2B57">
            <w:pPr>
              <w:pStyle w:val="TableText"/>
              <w:rPr>
                <w:rFonts w:ascii="Cambria" w:hAnsi="Cambria"/>
                <w:szCs w:val="18"/>
              </w:rPr>
            </w:pPr>
            <w:r>
              <w:rPr>
                <w:rFonts w:ascii="Cambria" w:hAnsi="Cambria"/>
                <w:szCs w:val="18"/>
              </w:rPr>
              <w:t>WTO Agreement on the Application of Sanitary and Phytosanitary Measures.</w:t>
            </w:r>
          </w:p>
        </w:tc>
      </w:tr>
      <w:tr w:rsidR="00AE7868">
        <w:tc>
          <w:tcPr>
            <w:tcW w:w="1509" w:type="pct"/>
          </w:tcPr>
          <w:p w:rsidR="00AE7868" w:rsidRDefault="00FF2B57">
            <w:pPr>
              <w:pStyle w:val="TableText"/>
              <w:rPr>
                <w:rFonts w:ascii="Cambria" w:hAnsi="Cambria"/>
                <w:szCs w:val="18"/>
              </w:rPr>
            </w:pPr>
            <w:r>
              <w:rPr>
                <w:rFonts w:ascii="Cambria" w:hAnsi="Cambria"/>
                <w:szCs w:val="18"/>
              </w:rPr>
              <w:t>Stakeholders</w:t>
            </w:r>
          </w:p>
        </w:tc>
        <w:tc>
          <w:tcPr>
            <w:tcW w:w="3491" w:type="pct"/>
          </w:tcPr>
          <w:p w:rsidR="00AE7868" w:rsidRDefault="00FF2B57">
            <w:pPr>
              <w:pStyle w:val="TableText"/>
              <w:rPr>
                <w:rFonts w:ascii="Cambria" w:hAnsi="Cambria"/>
                <w:szCs w:val="18"/>
              </w:rPr>
            </w:pPr>
            <w:r>
              <w:rPr>
                <w:rFonts w:ascii="Cambria" w:hAnsi="Cambria"/>
                <w:szCs w:val="18"/>
              </w:rPr>
              <w:t>Government agencies, individuals, community or industry groups or organizations, whether in Australia or overseas, including the proponent/applicant for a specific proposal, who have an interest in the policy issues.</w:t>
            </w:r>
          </w:p>
        </w:tc>
      </w:tr>
      <w:tr w:rsidR="00AE7868">
        <w:tc>
          <w:tcPr>
            <w:tcW w:w="1509" w:type="pct"/>
          </w:tcPr>
          <w:p w:rsidR="00AE7868" w:rsidRDefault="00FF2B57">
            <w:pPr>
              <w:pStyle w:val="TableText"/>
              <w:rPr>
                <w:rFonts w:ascii="Cambria" w:hAnsi="Cambria"/>
                <w:szCs w:val="18"/>
              </w:rPr>
            </w:pPr>
            <w:r>
              <w:rPr>
                <w:rFonts w:ascii="Cambria" w:hAnsi="Cambria"/>
                <w:szCs w:val="18"/>
              </w:rPr>
              <w:t>Surveillance</w:t>
            </w:r>
          </w:p>
        </w:tc>
        <w:tc>
          <w:tcPr>
            <w:tcW w:w="3491" w:type="pct"/>
          </w:tcPr>
          <w:p w:rsidR="00AE7868" w:rsidRDefault="00FF2B57">
            <w:pPr>
              <w:pStyle w:val="TableText"/>
              <w:rPr>
                <w:rFonts w:ascii="Cambria" w:hAnsi="Cambria"/>
                <w:szCs w:val="18"/>
              </w:rPr>
            </w:pPr>
            <w:r>
              <w:rPr>
                <w:rFonts w:ascii="Cambria" w:hAnsi="Cambria"/>
                <w:szCs w:val="18"/>
              </w:rPr>
              <w:t xml:space="preserve">An official process which collects and records data on pest occurrence or absence by surveying, monitoring or other procedures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t>Systems approach(es)</w:t>
            </w:r>
          </w:p>
        </w:tc>
        <w:tc>
          <w:tcPr>
            <w:tcW w:w="3491" w:type="pct"/>
          </w:tcPr>
          <w:p w:rsidR="00AE7868" w:rsidRDefault="00FF2B57">
            <w:pPr>
              <w:pStyle w:val="TableText"/>
              <w:rPr>
                <w:rFonts w:ascii="Cambria" w:hAnsi="Cambria"/>
                <w:szCs w:val="18"/>
              </w:rPr>
            </w:pPr>
            <w:r>
              <w:rPr>
                <w:rFonts w:ascii="Cambria" w:hAnsi="Cambria"/>
                <w:szCs w:val="18"/>
              </w:rPr>
              <w:t>The integration of different risk management measures, at least two of which act independently, and which cumulatively achieve the appropriate level of protection against regulated pests.</w:t>
            </w:r>
          </w:p>
        </w:tc>
      </w:tr>
      <w:tr w:rsidR="00AE7868">
        <w:tc>
          <w:tcPr>
            <w:tcW w:w="1509" w:type="pct"/>
          </w:tcPr>
          <w:p w:rsidR="00AE7868" w:rsidRDefault="00FF2B57">
            <w:pPr>
              <w:pStyle w:val="TableText"/>
              <w:rPr>
                <w:rFonts w:ascii="Cambria" w:hAnsi="Cambria"/>
                <w:szCs w:val="18"/>
              </w:rPr>
            </w:pPr>
            <w:r>
              <w:rPr>
                <w:rFonts w:ascii="Cambria" w:hAnsi="Cambria"/>
                <w:szCs w:val="18"/>
              </w:rPr>
              <w:t>The department</w:t>
            </w:r>
          </w:p>
        </w:tc>
        <w:tc>
          <w:tcPr>
            <w:tcW w:w="3491" w:type="pct"/>
          </w:tcPr>
          <w:p w:rsidR="00AE7868" w:rsidRDefault="00FF2B57">
            <w:pPr>
              <w:pStyle w:val="TableText"/>
              <w:rPr>
                <w:rFonts w:ascii="Cambria" w:hAnsi="Cambria"/>
                <w:szCs w:val="18"/>
              </w:rPr>
            </w:pPr>
            <w:r>
              <w:rPr>
                <w:rFonts w:ascii="Cambria" w:hAnsi="Cambria"/>
                <w:szCs w:val="18"/>
              </w:rPr>
              <w:t>The Australian Government Department of Agriculture and Water Resources.</w:t>
            </w:r>
          </w:p>
        </w:tc>
      </w:tr>
      <w:tr w:rsidR="00AE7868">
        <w:tc>
          <w:tcPr>
            <w:tcW w:w="1509" w:type="pct"/>
          </w:tcPr>
          <w:p w:rsidR="00AE7868" w:rsidRDefault="00FF2B57">
            <w:pPr>
              <w:pStyle w:val="TableText"/>
              <w:rPr>
                <w:rFonts w:ascii="Cambria" w:hAnsi="Cambria"/>
                <w:szCs w:val="18"/>
              </w:rPr>
            </w:pPr>
            <w:r>
              <w:rPr>
                <w:rFonts w:ascii="Cambria" w:hAnsi="Cambria"/>
                <w:szCs w:val="18"/>
              </w:rPr>
              <w:t>Tissue culture</w:t>
            </w:r>
          </w:p>
        </w:tc>
        <w:tc>
          <w:tcPr>
            <w:tcW w:w="3491" w:type="pct"/>
          </w:tcPr>
          <w:p w:rsidR="00AE7868" w:rsidRDefault="00FF2B57">
            <w:pPr>
              <w:pStyle w:val="TableText"/>
              <w:rPr>
                <w:rFonts w:ascii="Cambria" w:hAnsi="Cambria"/>
                <w:szCs w:val="18"/>
              </w:rPr>
            </w:pPr>
            <w:r>
              <w:rPr>
                <w:rFonts w:ascii="Cambria" w:hAnsi="Cambria"/>
                <w:szCs w:val="18"/>
              </w:rPr>
              <w:t>The products of ‘an in vitro technique of cultivating (propagating) cells, tissues, or organs in a sterile synthetic medium’ (Shurtleff &amp; Averre 1997); comprising plant cells, tissues or organs, sterile synthetic medium, and the vessel in which cells have been propagated.</w:t>
            </w:r>
          </w:p>
        </w:tc>
      </w:tr>
      <w:tr w:rsidR="00AE7868">
        <w:tc>
          <w:tcPr>
            <w:tcW w:w="1509" w:type="pct"/>
          </w:tcPr>
          <w:p w:rsidR="00AE7868" w:rsidRDefault="00FF2B57">
            <w:pPr>
              <w:pStyle w:val="TableText"/>
              <w:rPr>
                <w:rFonts w:ascii="Cambria" w:hAnsi="Cambria"/>
                <w:szCs w:val="18"/>
              </w:rPr>
            </w:pPr>
            <w:r>
              <w:rPr>
                <w:rFonts w:ascii="Cambria" w:hAnsi="Cambria"/>
                <w:szCs w:val="18"/>
              </w:rPr>
              <w:t>Treatment</w:t>
            </w:r>
          </w:p>
        </w:tc>
        <w:tc>
          <w:tcPr>
            <w:tcW w:w="3491" w:type="pct"/>
          </w:tcPr>
          <w:p w:rsidR="00AE7868" w:rsidRDefault="00FF2B57">
            <w:pPr>
              <w:pStyle w:val="TableText"/>
              <w:rPr>
                <w:rFonts w:ascii="Cambria" w:hAnsi="Cambria"/>
                <w:szCs w:val="18"/>
              </w:rPr>
            </w:pPr>
            <w:r>
              <w:rPr>
                <w:rFonts w:ascii="Cambria" w:hAnsi="Cambria"/>
                <w:szCs w:val="18"/>
              </w:rPr>
              <w:t xml:space="preserve">Official procedure for the killing, inactivation or removal of pests, or for rendering pests infertile or for devitalisation </w:t>
            </w:r>
            <w:r w:rsidR="00652C73">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652C73">
              <w:rPr>
                <w:rFonts w:ascii="Cambria" w:hAnsi="Cambria"/>
                <w:szCs w:val="18"/>
              </w:rPr>
              <w:fldChar w:fldCharType="separate"/>
            </w:r>
            <w:r>
              <w:rPr>
                <w:rFonts w:ascii="Cambria" w:hAnsi="Cambria"/>
                <w:szCs w:val="18"/>
              </w:rPr>
              <w:t>(FAO 2015)</w:t>
            </w:r>
            <w:r w:rsidR="00652C73">
              <w:rPr>
                <w:rFonts w:ascii="Cambria" w:hAnsi="Cambria"/>
                <w:szCs w:val="18"/>
              </w:rPr>
              <w:fldChar w:fldCharType="end"/>
            </w:r>
            <w:r>
              <w:rPr>
                <w:rFonts w:ascii="Cambria" w:hAnsi="Cambria"/>
                <w:szCs w:val="18"/>
              </w:rPr>
              <w:t>.</w:t>
            </w:r>
          </w:p>
        </w:tc>
      </w:tr>
      <w:tr w:rsidR="00AE7868">
        <w:tc>
          <w:tcPr>
            <w:tcW w:w="1509" w:type="pct"/>
          </w:tcPr>
          <w:p w:rsidR="00AE7868" w:rsidRDefault="00FF2B57">
            <w:pPr>
              <w:pStyle w:val="TableText"/>
              <w:rPr>
                <w:rFonts w:ascii="Cambria" w:hAnsi="Cambria"/>
                <w:szCs w:val="18"/>
              </w:rPr>
            </w:pPr>
            <w:r>
              <w:rPr>
                <w:rFonts w:ascii="Cambria" w:hAnsi="Cambria"/>
                <w:szCs w:val="18"/>
              </w:rPr>
              <w:lastRenderedPageBreak/>
              <w:t>Unrestricted risk</w:t>
            </w:r>
          </w:p>
        </w:tc>
        <w:tc>
          <w:tcPr>
            <w:tcW w:w="3491" w:type="pct"/>
          </w:tcPr>
          <w:p w:rsidR="00AE7868" w:rsidRDefault="00FF2B57">
            <w:pPr>
              <w:pStyle w:val="TableText"/>
              <w:rPr>
                <w:rFonts w:ascii="Cambria" w:hAnsi="Cambria"/>
                <w:szCs w:val="18"/>
              </w:rPr>
            </w:pPr>
            <w:r>
              <w:rPr>
                <w:rFonts w:ascii="Cambria" w:hAnsi="Cambria"/>
                <w:szCs w:val="18"/>
              </w:rPr>
              <w:t>Unrestricted risk estimates apply in the absence of risk mitigation measures.</w:t>
            </w:r>
          </w:p>
        </w:tc>
      </w:tr>
      <w:tr w:rsidR="00AE7868">
        <w:tc>
          <w:tcPr>
            <w:tcW w:w="1509" w:type="pct"/>
          </w:tcPr>
          <w:p w:rsidR="00AE7868" w:rsidRDefault="00FF2B57">
            <w:pPr>
              <w:pStyle w:val="TableText"/>
              <w:tabs>
                <w:tab w:val="center" w:pos="1286"/>
              </w:tabs>
              <w:rPr>
                <w:rFonts w:ascii="Cambria" w:hAnsi="Cambria"/>
                <w:szCs w:val="18"/>
              </w:rPr>
            </w:pPr>
            <w:r>
              <w:rPr>
                <w:rFonts w:ascii="Cambria" w:hAnsi="Cambria"/>
                <w:szCs w:val="18"/>
              </w:rPr>
              <w:t>Viable</w:t>
            </w:r>
          </w:p>
        </w:tc>
        <w:tc>
          <w:tcPr>
            <w:tcW w:w="3491" w:type="pct"/>
          </w:tcPr>
          <w:p w:rsidR="00AE7868" w:rsidRDefault="00FF2B57">
            <w:pPr>
              <w:pStyle w:val="TableText"/>
              <w:rPr>
                <w:rFonts w:ascii="Cambria" w:hAnsi="Cambria"/>
                <w:szCs w:val="18"/>
              </w:rPr>
            </w:pPr>
            <w:r>
              <w:rPr>
                <w:rFonts w:ascii="Cambria" w:hAnsi="Cambria"/>
                <w:szCs w:val="18"/>
              </w:rPr>
              <w:t>Alive, able to germinate or capable of growth.</w:t>
            </w:r>
          </w:p>
        </w:tc>
      </w:tr>
    </w:tbl>
    <w:p w:rsidR="00AE7868" w:rsidRDefault="00AE7868">
      <w:pPr>
        <w:pStyle w:val="TableText"/>
        <w:rPr>
          <w:rFonts w:ascii="Cambria" w:hAnsi="Cambria"/>
          <w:szCs w:val="18"/>
        </w:rPr>
        <w:sectPr w:rsidR="00AE7868">
          <w:headerReference w:type="default" r:id="rId55"/>
          <w:pgSz w:w="11906" w:h="16838"/>
          <w:pgMar w:top="1418" w:right="1418" w:bottom="1418" w:left="1418" w:header="567" w:footer="283" w:gutter="0"/>
          <w:cols w:space="708"/>
          <w:docGrid w:linePitch="360"/>
        </w:sectPr>
      </w:pPr>
    </w:p>
    <w:p w:rsidR="00AE7868" w:rsidRDefault="00FF2B57">
      <w:pPr>
        <w:pStyle w:val="Heading1nonumbers"/>
        <w:rPr>
          <w:lang w:val="en-AU"/>
        </w:rPr>
      </w:pPr>
      <w:bookmarkStart w:id="461" w:name="_Toc392488739"/>
      <w:bookmarkStart w:id="462" w:name="_Toc437356054"/>
      <w:r>
        <w:rPr>
          <w:lang w:val="en-AU"/>
        </w:rPr>
        <w:lastRenderedPageBreak/>
        <w:t>References</w:t>
      </w:r>
      <w:bookmarkEnd w:id="461"/>
      <w:bookmarkEnd w:id="462"/>
    </w:p>
    <w:p w:rsidR="00AE7868" w:rsidRDefault="00FF2B57">
      <w:pPr>
        <w:autoSpaceDE w:val="0"/>
        <w:autoSpaceDN w:val="0"/>
        <w:adjustRightInd w:val="0"/>
        <w:spacing w:before="120" w:after="120"/>
        <w:rPr>
          <w:rFonts w:ascii="Cambria" w:eastAsia="Cambria" w:hAnsi="Cambria" w:cs="AdvTT2acb703b"/>
        </w:rPr>
      </w:pPr>
      <w:r>
        <w:rPr>
          <w:rFonts w:ascii="Cambria" w:eastAsia="Cambria" w:hAnsi="Cambria" w:cs="AdvTT2acb703b"/>
        </w:rPr>
        <w:t xml:space="preserve">Abad, JA, Bandla, M, French-Monar, RD, Liefting, LW &amp; Clover, GRG 2009, ‘First report of the detection of </w:t>
      </w:r>
      <w:r>
        <w:rPr>
          <w:rFonts w:ascii="Cambria" w:eastAsia="AdvTT2acb703b+20" w:hAnsi="Cambria" w:cs="AdvTT2acb703b+20"/>
        </w:rPr>
        <w:t>‘</w:t>
      </w:r>
      <w:r>
        <w:rPr>
          <w:rFonts w:ascii="Cambria" w:eastAsia="Cambria" w:hAnsi="Cambria" w:cs="AdvTT59df095f.I"/>
          <w:i/>
        </w:rPr>
        <w:t>Candidatus</w:t>
      </w:r>
      <w:r>
        <w:rPr>
          <w:rFonts w:ascii="Cambria" w:eastAsia="Cambria" w:hAnsi="Cambria" w:cs="AdvTT59df095f.I"/>
        </w:rPr>
        <w:t xml:space="preserve"> </w:t>
      </w:r>
      <w:r>
        <w:rPr>
          <w:rFonts w:ascii="Cambria" w:eastAsia="Cambria" w:hAnsi="Cambria" w:cs="AdvTT2acb703b"/>
        </w:rPr>
        <w:t>Liberibacter</w:t>
      </w:r>
      <w:r>
        <w:rPr>
          <w:rFonts w:ascii="Cambria" w:eastAsia="AdvTT2acb703b+20" w:hAnsi="Cambria" w:cs="AdvTT2acb703b+20"/>
        </w:rPr>
        <w:t xml:space="preserve">’ </w:t>
      </w:r>
      <w:r>
        <w:rPr>
          <w:rFonts w:ascii="Cambria" w:eastAsia="Cambria" w:hAnsi="Cambria" w:cs="AdvTT2acb703b"/>
        </w:rPr>
        <w:t xml:space="preserve">species in Zebra Chip disease infected potato plants in the United States’, </w:t>
      </w:r>
      <w:r>
        <w:rPr>
          <w:rFonts w:ascii="Cambria" w:eastAsia="Cambria" w:hAnsi="Cambria" w:cs="AdvTT59df095f.I"/>
          <w:i/>
        </w:rPr>
        <w:t>Plant Disease,</w:t>
      </w:r>
      <w:r>
        <w:rPr>
          <w:rFonts w:ascii="Cambria" w:eastAsia="Cambria" w:hAnsi="Cambria" w:cs="AdvTT59df095f.I"/>
        </w:rPr>
        <w:t xml:space="preserve"> vol. 93, pp.</w:t>
      </w:r>
      <w:r>
        <w:rPr>
          <w:rFonts w:ascii="Cambria" w:eastAsia="Cambria" w:hAnsi="Cambria" w:cs="AdvTT2acb703b"/>
        </w:rPr>
        <w:t xml:space="preserve"> 108.</w:t>
      </w:r>
    </w:p>
    <w:p w:rsidR="00AE7868" w:rsidRDefault="00FF2B57">
      <w:pPr>
        <w:autoSpaceDE w:val="0"/>
        <w:autoSpaceDN w:val="0"/>
        <w:adjustRightInd w:val="0"/>
        <w:spacing w:before="120" w:after="120"/>
        <w:rPr>
          <w:rFonts w:ascii="Cambria" w:hAnsi="Cambria"/>
        </w:rPr>
      </w:pPr>
      <w:r>
        <w:rPr>
          <w:rFonts w:ascii="Cambria" w:eastAsia="Cambria" w:hAnsi="Cambria" w:cs="Highland-Roman"/>
        </w:rPr>
        <w:t>Agarwal,</w:t>
      </w:r>
      <w:r>
        <w:rPr>
          <w:rFonts w:ascii="Cambria" w:hAnsi="Cambria"/>
        </w:rPr>
        <w:t xml:space="preserve"> VK &amp; Sinclair, JB 1996, </w:t>
      </w:r>
      <w:r>
        <w:rPr>
          <w:rFonts w:ascii="Cambria" w:hAnsi="Cambria"/>
          <w:i/>
        </w:rPr>
        <w:t>Principles of Seed Pathology 2nd Edition</w:t>
      </w:r>
      <w:r>
        <w:rPr>
          <w:rFonts w:ascii="Cambria" w:hAnsi="Cambria"/>
        </w:rPr>
        <w:t>, Lewis Publishers, CRC Press, Boca Raton.</w:t>
      </w:r>
    </w:p>
    <w:p w:rsidR="00AE7868" w:rsidRDefault="00FF2B57">
      <w:pPr>
        <w:autoSpaceDE w:val="0"/>
        <w:autoSpaceDN w:val="0"/>
        <w:adjustRightInd w:val="0"/>
        <w:spacing w:before="120" w:after="120"/>
        <w:rPr>
          <w:rFonts w:ascii="Cambria" w:hAnsi="Cambria"/>
        </w:rPr>
      </w:pPr>
      <w:r>
        <w:rPr>
          <w:rFonts w:ascii="Cambria" w:hAnsi="Cambria"/>
        </w:rPr>
        <w:t>Aguilar, E, Segnoda, VG, Bextine, B, McCue, KF, Munyaneza, JE 2013, ‘First report of ‘</w:t>
      </w:r>
      <w:r>
        <w:rPr>
          <w:rFonts w:ascii="Cambria" w:hAnsi="Cambria"/>
          <w:i/>
        </w:rPr>
        <w:t>Candidatus</w:t>
      </w:r>
      <w:r>
        <w:rPr>
          <w:rFonts w:ascii="Cambria" w:hAnsi="Cambria"/>
        </w:rPr>
        <w:t xml:space="preserve"> Liberibacter solanacearum’ on tobacco in Honduras, </w:t>
      </w:r>
      <w:r>
        <w:rPr>
          <w:rFonts w:ascii="Cambria" w:hAnsi="Cambria"/>
          <w:i/>
        </w:rPr>
        <w:t>Plant Disease,</w:t>
      </w:r>
      <w:r>
        <w:rPr>
          <w:rFonts w:ascii="Cambria" w:hAnsi="Cambria"/>
        </w:rPr>
        <w:t xml:space="preserve"> vol. 97, pp. 1376.</w:t>
      </w:r>
    </w:p>
    <w:p w:rsidR="00AE7868" w:rsidRDefault="00FF2B57">
      <w:pPr>
        <w:autoSpaceDE w:val="0"/>
        <w:autoSpaceDN w:val="0"/>
        <w:adjustRightInd w:val="0"/>
        <w:spacing w:before="120" w:after="120"/>
        <w:rPr>
          <w:rFonts w:ascii="Cambria" w:hAnsi="Cambria"/>
        </w:rPr>
      </w:pPr>
      <w:r>
        <w:rPr>
          <w:rFonts w:ascii="Cambria" w:hAnsi="Cambria"/>
        </w:rPr>
        <w:t xml:space="preserve">Albrecht, U &amp; Bowman, KD 2012, ‘Tolerance of trifoliate citrus rootstock hybrids to </w:t>
      </w:r>
      <w:r>
        <w:rPr>
          <w:rFonts w:ascii="Cambria" w:hAnsi="Cambria"/>
          <w:i/>
        </w:rPr>
        <w:t>Candidatus</w:t>
      </w:r>
      <w:r>
        <w:rPr>
          <w:rFonts w:ascii="Cambria" w:hAnsi="Cambria"/>
        </w:rPr>
        <w:t xml:space="preserve"> Liberibacter asiaticus’, </w:t>
      </w:r>
      <w:r>
        <w:rPr>
          <w:rFonts w:ascii="Cambria" w:hAnsi="Cambria"/>
          <w:i/>
        </w:rPr>
        <w:t>Scientia Horticulturae,</w:t>
      </w:r>
      <w:r>
        <w:rPr>
          <w:rFonts w:ascii="Cambria" w:hAnsi="Cambria"/>
        </w:rPr>
        <w:t xml:space="preserve"> vol. 147, pp. 71–80.</w:t>
      </w:r>
    </w:p>
    <w:p w:rsidR="00AE7868" w:rsidRDefault="00FF2B57">
      <w:pPr>
        <w:spacing w:before="120" w:after="120"/>
        <w:jc w:val="both"/>
        <w:rPr>
          <w:rFonts w:ascii="Cambria" w:hAnsi="Cambria" w:cs="Arial"/>
        </w:rPr>
      </w:pPr>
      <w:r>
        <w:rPr>
          <w:rFonts w:ascii="Cambria" w:hAnsi="Cambria" w:cs="Arial"/>
        </w:rPr>
        <w:t xml:space="preserve">Alfaro-Fernández, A, Cebrian, MC, Villaescusa, FJ, de Mendoza, AH, Ferrandiz, JC, Sanjuan, S &amp; Font, MI 2012a, ‘First report of </w:t>
      </w:r>
      <w:r>
        <w:rPr>
          <w:rFonts w:ascii="Cambria" w:hAnsi="Cambria" w:cs="Arial"/>
          <w:i/>
          <w:iCs/>
        </w:rPr>
        <w:t xml:space="preserve">'Candidatus </w:t>
      </w:r>
      <w:r>
        <w:rPr>
          <w:rFonts w:ascii="Cambria" w:hAnsi="Cambria" w:cs="Arial"/>
        </w:rPr>
        <w:t xml:space="preserve">Liberibacter solanacearum' in carrot in mainland Spain’, </w:t>
      </w:r>
      <w:r>
        <w:rPr>
          <w:rFonts w:ascii="Cambria" w:hAnsi="Cambria" w:cs="Arial"/>
          <w:i/>
        </w:rPr>
        <w:t>Plant Disease</w:t>
      </w:r>
      <w:r>
        <w:rPr>
          <w:rFonts w:ascii="Cambria" w:hAnsi="Cambria" w:cs="Arial"/>
        </w:rPr>
        <w:t>,</w:t>
      </w:r>
      <w:r>
        <w:rPr>
          <w:rFonts w:ascii="Cambria" w:hAnsi="Cambria" w:cs="Arial"/>
          <w:i/>
        </w:rPr>
        <w:t xml:space="preserve"> </w:t>
      </w:r>
      <w:r>
        <w:rPr>
          <w:rFonts w:ascii="Cambria" w:hAnsi="Cambria" w:cs="Arial"/>
        </w:rPr>
        <w:t>vol. 96, no. 582.</w:t>
      </w:r>
    </w:p>
    <w:p w:rsidR="00AE7868" w:rsidRDefault="00FF2B57">
      <w:pPr>
        <w:autoSpaceDE w:val="0"/>
        <w:autoSpaceDN w:val="0"/>
        <w:adjustRightInd w:val="0"/>
        <w:spacing w:before="120" w:after="120"/>
        <w:rPr>
          <w:rFonts w:ascii="Cambria" w:hAnsi="Cambria"/>
        </w:rPr>
      </w:pPr>
      <w:r>
        <w:rPr>
          <w:rFonts w:ascii="Cambria" w:hAnsi="Cambria" w:cs="AdvTT3713a231"/>
        </w:rPr>
        <w:t xml:space="preserve">Alfaro-Fernández, A, Siverio, F, Cebrián, MC, Villaescusa, FJ &amp; Font, MI 2012b, </w:t>
      </w:r>
      <w:r>
        <w:rPr>
          <w:rFonts w:ascii="Cambria" w:eastAsia="AdvTT3713a231+20" w:hAnsi="Cambria" w:cs="AdvTT3713a231+20"/>
        </w:rPr>
        <w:t>‘</w:t>
      </w:r>
      <w:r>
        <w:rPr>
          <w:rFonts w:ascii="Cambria" w:hAnsi="Cambria" w:cs="AdvTT50a2f13e.I"/>
          <w:i/>
        </w:rPr>
        <w:t>Candidatus</w:t>
      </w:r>
      <w:r>
        <w:rPr>
          <w:rFonts w:ascii="Cambria" w:hAnsi="Cambria" w:cs="AdvTT50a2f13e.I"/>
        </w:rPr>
        <w:t xml:space="preserve"> </w:t>
      </w:r>
      <w:r>
        <w:rPr>
          <w:rFonts w:ascii="Cambria" w:hAnsi="Cambria" w:cs="AdvTT3713a231"/>
        </w:rPr>
        <w:t>Liberibacter solanacearum</w:t>
      </w:r>
      <w:r>
        <w:rPr>
          <w:rFonts w:ascii="Cambria" w:eastAsia="AdvTT3713a231+20" w:hAnsi="Cambria" w:cs="AdvTT3713a231+20"/>
        </w:rPr>
        <w:t xml:space="preserve">’ </w:t>
      </w:r>
      <w:r>
        <w:rPr>
          <w:rFonts w:ascii="Cambria" w:hAnsi="Cambria" w:cs="AdvTT3713a231"/>
        </w:rPr>
        <w:t xml:space="preserve">associated with </w:t>
      </w:r>
      <w:r>
        <w:rPr>
          <w:rFonts w:ascii="Cambria" w:hAnsi="Cambria" w:cs="AdvTT50a2f13e.I"/>
          <w:i/>
        </w:rPr>
        <w:t>Bactericera trigonica</w:t>
      </w:r>
      <w:r>
        <w:rPr>
          <w:rFonts w:ascii="Cambria" w:hAnsi="Cambria" w:cs="AdvTT3713a231"/>
        </w:rPr>
        <w:t xml:space="preserve">-affected carrots in the Canary Islands’, </w:t>
      </w:r>
      <w:r>
        <w:rPr>
          <w:rFonts w:ascii="Cambria" w:hAnsi="Cambria" w:cs="AdvTT50a2f13e.I"/>
          <w:i/>
        </w:rPr>
        <w:t>Plant Disease,</w:t>
      </w:r>
      <w:r>
        <w:rPr>
          <w:rFonts w:ascii="Cambria" w:hAnsi="Cambria" w:cs="AdvTT50a2f13e.I"/>
        </w:rPr>
        <w:t xml:space="preserve"> vol. </w:t>
      </w:r>
      <w:r>
        <w:rPr>
          <w:rFonts w:ascii="Cambria" w:hAnsi="Cambria" w:cs="AdvTT3713a231"/>
        </w:rPr>
        <w:t>96, no. 581.</w:t>
      </w:r>
    </w:p>
    <w:p w:rsidR="00AE7868" w:rsidRDefault="00FF2B57">
      <w:pPr>
        <w:autoSpaceDE w:val="0"/>
        <w:autoSpaceDN w:val="0"/>
        <w:adjustRightInd w:val="0"/>
        <w:spacing w:before="120" w:after="120"/>
        <w:rPr>
          <w:rFonts w:ascii="Cambria" w:eastAsiaTheme="minorEastAsia" w:hAnsi="Cambria"/>
          <w:lang w:bidi="en-US"/>
        </w:rPr>
      </w:pPr>
      <w:r>
        <w:rPr>
          <w:rFonts w:ascii="Cambria" w:eastAsiaTheme="minorEastAsia" w:hAnsi="Cambria"/>
          <w:lang w:bidi="en-US"/>
        </w:rPr>
        <w:lastRenderedPageBreak/>
        <w:t xml:space="preserve">APHIS 2001, </w:t>
      </w:r>
      <w:r>
        <w:rPr>
          <w:rFonts w:ascii="Cambria" w:eastAsiaTheme="minorEastAsia" w:hAnsi="Cambria"/>
          <w:i/>
          <w:lang w:bidi="en-US"/>
        </w:rPr>
        <w:t>Seed Health Testing and Phytosanitary Field Inspection Methods Manual</w:t>
      </w:r>
      <w:r>
        <w:rPr>
          <w:rFonts w:ascii="Cambria" w:eastAsiaTheme="minorEastAsia" w:hAnsi="Cambria"/>
          <w:lang w:bidi="en-US"/>
        </w:rPr>
        <w:t xml:space="preserve">, </w:t>
      </w:r>
      <w:r>
        <w:rPr>
          <w:rFonts w:ascii="Cambria" w:eastAsia="Cambria" w:hAnsi="Cambria" w:cs="Highland-Roman"/>
        </w:rPr>
        <w:t>Reference</w:t>
      </w:r>
      <w:r>
        <w:rPr>
          <w:rFonts w:ascii="Cambria" w:eastAsiaTheme="minorEastAsia" w:hAnsi="Cambria"/>
          <w:lang w:bidi="en-US"/>
        </w:rPr>
        <w:t xml:space="preserve"> Manual B (RM-B) National Seed Health System, Animal and Plant Health Inspection Service, </w:t>
      </w:r>
      <w:hyperlink r:id="rId56" w:history="1">
        <w:r>
          <w:rPr>
            <w:rFonts w:ascii="Cambria" w:eastAsiaTheme="minorEastAsia" w:hAnsi="Cambria"/>
            <w:lang w:bidi="en-US"/>
          </w:rPr>
          <w:t>aphis.usda.gov/</w:t>
        </w:r>
      </w:hyperlink>
      <w:r>
        <w:rPr>
          <w:rFonts w:ascii="Cambria" w:hAnsi="Cambria"/>
        </w:rPr>
        <w:t>.</w:t>
      </w:r>
    </w:p>
    <w:p w:rsidR="00AE7868" w:rsidRDefault="00FF2B57">
      <w:pPr>
        <w:spacing w:before="120" w:after="120"/>
        <w:rPr>
          <w:rFonts w:ascii="Cambria" w:hAnsi="Cambria"/>
        </w:rPr>
      </w:pPr>
      <w:r>
        <w:rPr>
          <w:rFonts w:ascii="Cambria" w:hAnsi="Cambria"/>
        </w:rPr>
        <w:t xml:space="preserve">Aubert, B 1987, ‘Epidemiological aspects of the greening (huanglongbing) disease in Asia’, In: </w:t>
      </w:r>
      <w:r>
        <w:rPr>
          <w:rFonts w:ascii="Cambria" w:hAnsi="Cambria"/>
          <w:i/>
        </w:rPr>
        <w:t>The FAO-UNDP Project Coordinator in Regional Workshop on Citrus Greening Huanglongbing Disease</w:t>
      </w:r>
      <w:r>
        <w:rPr>
          <w:rFonts w:ascii="Cambria" w:hAnsi="Cambria"/>
        </w:rPr>
        <w:t>, Fuzhou, China, December, pp. 1–5 .</w:t>
      </w:r>
    </w:p>
    <w:p w:rsidR="00AE7868" w:rsidRDefault="00FF2B57">
      <w:pPr>
        <w:spacing w:before="120" w:after="120"/>
        <w:rPr>
          <w:rFonts w:ascii="Cambria" w:hAnsi="Cambria" w:cs="Arial"/>
          <w:lang w:eastAsia="en-AU"/>
        </w:rPr>
      </w:pPr>
      <w:r>
        <w:rPr>
          <w:rFonts w:ascii="Cambria" w:hAnsi="Cambria" w:cs="Arial"/>
          <w:lang w:eastAsia="en-AU"/>
        </w:rPr>
        <w:t xml:space="preserve">Bertolini, E, Teresani, GR, Loiseau, M, Tanaka, FAO, Barbé, S, Martínez, C, Gentit, P, López, MM, Cambra, M 2014, ‘Transmission of </w:t>
      </w:r>
      <w:r>
        <w:rPr>
          <w:rFonts w:ascii="Cambria" w:hAnsi="Cambria" w:cs="Arial"/>
          <w:i/>
          <w:iCs/>
          <w:lang w:eastAsia="en-AU"/>
        </w:rPr>
        <w:t xml:space="preserve">'Candidatus </w:t>
      </w:r>
      <w:r>
        <w:rPr>
          <w:rFonts w:ascii="Cambria" w:hAnsi="Cambria" w:cs="Arial"/>
          <w:lang w:eastAsia="en-AU"/>
        </w:rPr>
        <w:t xml:space="preserve">Liberibacter solanacearum' in carrot seeds’, </w:t>
      </w:r>
      <w:r>
        <w:rPr>
          <w:rFonts w:ascii="Cambria" w:hAnsi="Cambria" w:cs="Arial"/>
          <w:i/>
          <w:lang w:eastAsia="en-AU"/>
        </w:rPr>
        <w:t>Plant Phytopatology</w:t>
      </w:r>
      <w:r>
        <w:rPr>
          <w:rFonts w:ascii="Cambria" w:hAnsi="Cambria" w:cs="Arial"/>
          <w:lang w:eastAsia="en-AU"/>
        </w:rPr>
        <w:t xml:space="preserve"> (In press; abstract), onlinelibrary.wiley.com/doi/10.1111/ppa.12245/abstract.</w:t>
      </w:r>
    </w:p>
    <w:p w:rsidR="00AE7868" w:rsidRDefault="00FF2B57">
      <w:pPr>
        <w:spacing w:before="120" w:after="120"/>
        <w:jc w:val="both"/>
        <w:rPr>
          <w:rFonts w:ascii="Cambria" w:hAnsi="Cambria" w:cs="Arial"/>
        </w:rPr>
      </w:pPr>
      <w:r>
        <w:rPr>
          <w:rFonts w:ascii="Cambria" w:hAnsi="Cambria" w:cs="Arial"/>
        </w:rPr>
        <w:t xml:space="preserve">Bertolini, E, Teresani, GR, Loiseau, M, Tanaka, FAO, Barbé S, Martínez, C, Gentit, P, López, MM &amp;  Cambra, M 2015, ‘Transmission of </w:t>
      </w:r>
      <w:r>
        <w:rPr>
          <w:rFonts w:ascii="Cambria" w:hAnsi="Cambria" w:cs="Arial"/>
          <w:i/>
          <w:iCs/>
        </w:rPr>
        <w:t xml:space="preserve">'Candidatus </w:t>
      </w:r>
      <w:r>
        <w:rPr>
          <w:rFonts w:ascii="Cambria" w:hAnsi="Cambria" w:cs="Arial"/>
        </w:rPr>
        <w:t xml:space="preserve">Liberibacter solanacearum' in carrot seeds’, </w:t>
      </w:r>
      <w:r>
        <w:rPr>
          <w:rFonts w:ascii="Cambria" w:hAnsi="Cambria" w:cs="Arial"/>
          <w:i/>
        </w:rPr>
        <w:t>Plant Phytopathology,</w:t>
      </w:r>
      <w:r>
        <w:rPr>
          <w:rFonts w:ascii="Cambria" w:hAnsi="Cambria" w:cs="Arial"/>
        </w:rPr>
        <w:t xml:space="preserve"> vol. 64, pp. 275–286.</w:t>
      </w:r>
    </w:p>
    <w:p w:rsidR="00AE7868" w:rsidRDefault="00FF2B57">
      <w:pPr>
        <w:spacing w:before="120" w:after="120"/>
        <w:jc w:val="both"/>
        <w:rPr>
          <w:rFonts w:ascii="Cambria" w:hAnsi="Cambria"/>
          <w:bCs/>
        </w:rPr>
      </w:pPr>
      <w:r>
        <w:rPr>
          <w:rFonts w:ascii="Cambria" w:hAnsi="Cambria" w:cs="ArialMT"/>
        </w:rPr>
        <w:t>Bov</w:t>
      </w:r>
      <w:r>
        <w:rPr>
          <w:rFonts w:ascii="Cambria" w:eastAsia="Cambria" w:hAnsi="Cambria" w:cs="SimonciniGaramondStd"/>
        </w:rPr>
        <w:t>é</w:t>
      </w:r>
      <w:r>
        <w:rPr>
          <w:rFonts w:ascii="Cambria" w:hAnsi="Cambria" w:cs="ArialMT"/>
        </w:rPr>
        <w:t xml:space="preserve">, JM 2006, ‘Huanglongbing: a destructive, newly-emerging, century-old disease of citrus’, </w:t>
      </w:r>
      <w:r>
        <w:rPr>
          <w:rFonts w:ascii="Cambria" w:hAnsi="Cambria" w:cs="ArialMT"/>
          <w:i/>
        </w:rPr>
        <w:t>Journal Plant Pathology</w:t>
      </w:r>
      <w:r>
        <w:rPr>
          <w:rFonts w:ascii="Cambria" w:hAnsi="Cambria" w:cs="ArialMT"/>
        </w:rPr>
        <w:t>, vol. 88, pp. 7–37.</w:t>
      </w:r>
    </w:p>
    <w:p w:rsidR="00AE7868" w:rsidRDefault="00FF2B57">
      <w:pPr>
        <w:autoSpaceDE w:val="0"/>
        <w:autoSpaceDN w:val="0"/>
        <w:adjustRightInd w:val="0"/>
        <w:spacing w:before="120" w:after="120"/>
        <w:rPr>
          <w:rFonts w:ascii="Cambria" w:eastAsia="Cambria" w:hAnsi="Cambria" w:cs="SimonciniGaramondStd"/>
        </w:rPr>
      </w:pPr>
      <w:r>
        <w:rPr>
          <w:rFonts w:ascii="Cambria" w:eastAsia="Cambria" w:hAnsi="Cambria" w:cs="SimonciniGaramondStd"/>
        </w:rPr>
        <w:t xml:space="preserve">Bové, J 2013, ‘Heat-tolerant Asian HLB meets heat-sensitive African HLB on the Arabian Peninsula! Why?, </w:t>
      </w:r>
      <w:r>
        <w:rPr>
          <w:rFonts w:ascii="Cambria" w:eastAsia="Cambria" w:hAnsi="Cambria" w:cs="SimonciniGaramondStd"/>
          <w:i/>
        </w:rPr>
        <w:t>Journal of Citrus Pathology</w:t>
      </w:r>
      <w:r>
        <w:rPr>
          <w:rFonts w:ascii="Cambria" w:eastAsia="Cambria" w:hAnsi="Cambria" w:cs="SimonciniGaramondStd"/>
        </w:rPr>
        <w:t>, vol. 1, no. 1.</w:t>
      </w:r>
    </w:p>
    <w:p w:rsidR="00AE7868" w:rsidRDefault="00FF2B57">
      <w:pPr>
        <w:autoSpaceDE w:val="0"/>
        <w:autoSpaceDN w:val="0"/>
        <w:adjustRightInd w:val="0"/>
        <w:spacing w:before="120" w:after="120"/>
        <w:rPr>
          <w:rFonts w:ascii="Cambria" w:eastAsia="Cambria" w:hAnsi="Cambria" w:cs="SimonciniGaramondStd"/>
        </w:rPr>
      </w:pPr>
      <w:r>
        <w:rPr>
          <w:rFonts w:ascii="Cambria" w:eastAsia="Cambria" w:hAnsi="Cambria" w:cs="SimonciniGaramondStd"/>
        </w:rPr>
        <w:t xml:space="preserve">Bové, J, Calavan, E, Capoor, S, Cortez, R &amp; Schwarz, R 1974, ‘Influence of temperature on symptoms of California stubborn, South African </w:t>
      </w:r>
      <w:r>
        <w:rPr>
          <w:rFonts w:ascii="Cambria" w:eastAsia="Cambria" w:hAnsi="Cambria" w:cs="SimonciniGaramondStd"/>
        </w:rPr>
        <w:lastRenderedPageBreak/>
        <w:t xml:space="preserve">greening, Indian citrus decline and Philippines leaf mottling diseases’, </w:t>
      </w:r>
      <w:r>
        <w:rPr>
          <w:rFonts w:ascii="Cambria" w:eastAsia="Cambria" w:hAnsi="Cambria" w:cs="SimonciniGaramondStd-Italic"/>
          <w:i/>
          <w:iCs/>
        </w:rPr>
        <w:t>Proceedings 6th Conference of the International Organization of Citrus Virologists, Riverside,</w:t>
      </w:r>
      <w:r>
        <w:rPr>
          <w:rFonts w:ascii="Cambria" w:eastAsia="Cambria" w:hAnsi="Cambria" w:cs="SimonciniGaramondStd-Italic"/>
          <w:iCs/>
        </w:rPr>
        <w:t xml:space="preserve"> California</w:t>
      </w:r>
      <w:r>
        <w:rPr>
          <w:rFonts w:ascii="Cambria" w:eastAsia="Cambria" w:hAnsi="Cambria" w:cs="SimonciniGaramondStd"/>
        </w:rPr>
        <w:t xml:space="preserve">, </w:t>
      </w:r>
      <w:r>
        <w:rPr>
          <w:rFonts w:ascii="Cambria" w:eastAsia="Cambria" w:hAnsi="Cambria" w:cs="SimonciniGaramondStd-Italic"/>
          <w:iCs/>
        </w:rPr>
        <w:t>USA,</w:t>
      </w:r>
      <w:r>
        <w:rPr>
          <w:rFonts w:ascii="Cambria" w:eastAsia="Cambria" w:hAnsi="Cambria" w:cs="SimonciniGaramondStd-Italic"/>
          <w:i/>
          <w:iCs/>
        </w:rPr>
        <w:t xml:space="preserve"> </w:t>
      </w:r>
      <w:r>
        <w:rPr>
          <w:rFonts w:ascii="Cambria" w:eastAsia="Cambria" w:hAnsi="Cambria" w:cs="SimonciniGaramondStd-Italic"/>
          <w:iCs/>
        </w:rPr>
        <w:t>pp.</w:t>
      </w:r>
      <w:r>
        <w:rPr>
          <w:rFonts w:ascii="Cambria" w:eastAsia="Cambria" w:hAnsi="Cambria" w:cs="SimonciniGaramondStd"/>
        </w:rPr>
        <w:t xml:space="preserve"> 12–15.</w:t>
      </w:r>
    </w:p>
    <w:p w:rsidR="00AE7868" w:rsidRDefault="00FF2B57">
      <w:pPr>
        <w:spacing w:before="120" w:after="120"/>
        <w:rPr>
          <w:rFonts w:ascii="Cambria" w:hAnsi="Cambria"/>
        </w:rPr>
      </w:pPr>
      <w:r>
        <w:rPr>
          <w:rFonts w:ascii="Cambria" w:hAnsi="Cambria"/>
        </w:rPr>
        <w:t>Bové, JM, Teixeira, DC, Wulff, NA, Eveillard, S, Sailard, C, Bassanezi, RB, Lopes, S, Yammamoto, PT &amp; Ayers, AJ 2008, ‘</w:t>
      </w:r>
      <w:r>
        <w:rPr>
          <w:rFonts w:ascii="Cambria" w:hAnsi="Cambria"/>
          <w:bCs/>
        </w:rPr>
        <w:t xml:space="preserve">Several Liberibacter and phytoplasma species are individually associated with HLB’, </w:t>
      </w:r>
      <w:r>
        <w:rPr>
          <w:rFonts w:ascii="Cambria" w:hAnsi="Cambria"/>
        </w:rPr>
        <w:t>In: Gottwald RT &amp; Graham HJ,</w:t>
      </w:r>
      <w:r>
        <w:rPr>
          <w:rFonts w:ascii="Cambria" w:hAnsi="Cambria"/>
          <w:i/>
        </w:rPr>
        <w:t xml:space="preserve"> International Research Conference on Huanglongbing: Proceedings of the Meeting</w:t>
      </w:r>
      <w:r>
        <w:rPr>
          <w:rFonts w:ascii="Cambria" w:hAnsi="Cambria"/>
        </w:rPr>
        <w:t>, Orlando, Florida, pp. 152–155.</w:t>
      </w:r>
    </w:p>
    <w:p w:rsidR="00AE7868" w:rsidRDefault="00FF2B57">
      <w:pPr>
        <w:autoSpaceDE w:val="0"/>
        <w:autoSpaceDN w:val="0"/>
        <w:adjustRightInd w:val="0"/>
        <w:spacing w:before="120" w:after="120"/>
        <w:rPr>
          <w:rFonts w:ascii="Cambria" w:hAnsi="Cambria"/>
        </w:rPr>
      </w:pPr>
      <w:r>
        <w:rPr>
          <w:rFonts w:ascii="Cambria" w:hAnsi="Cambria"/>
        </w:rPr>
        <w:t xml:space="preserve">Burckhardt, D &amp; Lauterer, P 1997, ‘Systematics and biology of the </w:t>
      </w:r>
      <w:r>
        <w:rPr>
          <w:rFonts w:ascii="Cambria" w:hAnsi="Cambria"/>
          <w:i/>
        </w:rPr>
        <w:t>Aphalara exilis</w:t>
      </w:r>
      <w:r>
        <w:rPr>
          <w:rFonts w:ascii="Cambria" w:hAnsi="Cambria"/>
        </w:rPr>
        <w:t xml:space="preserve"> (Weber &amp; Mohr) species assemblage (Hemiptera: Psyllidae)’, </w:t>
      </w:r>
      <w:r>
        <w:rPr>
          <w:rFonts w:ascii="Cambria" w:hAnsi="Cambria"/>
          <w:i/>
        </w:rPr>
        <w:t>Entomologica Scandinavica</w:t>
      </w:r>
      <w:r>
        <w:rPr>
          <w:rFonts w:ascii="Cambria" w:hAnsi="Cambria"/>
        </w:rPr>
        <w:t>, vol. 28, pp. 271–305.</w:t>
      </w:r>
    </w:p>
    <w:p w:rsidR="00AE7868" w:rsidRDefault="00FF2B57">
      <w:pPr>
        <w:autoSpaceDE w:val="0"/>
        <w:autoSpaceDN w:val="0"/>
        <w:adjustRightInd w:val="0"/>
        <w:spacing w:before="120" w:after="120"/>
        <w:rPr>
          <w:rFonts w:ascii="Cambria" w:hAnsi="Cambria"/>
        </w:rPr>
      </w:pPr>
      <w:r>
        <w:rPr>
          <w:rFonts w:ascii="Cambria" w:hAnsi="Cambria"/>
        </w:rPr>
        <w:t xml:space="preserve">Burckhardt, D &amp; Freuler, J 2000, ‘Jumping plant-lice (Hemiptera, Psylloidea) from sticky traps in carrot fields in Valais, Switzerland’, </w:t>
      </w:r>
      <w:hyperlink r:id="rId57" w:history="1">
        <w:r>
          <w:rPr>
            <w:rFonts w:ascii="Cambria" w:hAnsi="Cambria"/>
            <w:i/>
          </w:rPr>
          <w:t>Mitteilungen der Schweizerischen Entomologischen Gesellschaft</w:t>
        </w:r>
      </w:hyperlink>
      <w:r>
        <w:rPr>
          <w:rFonts w:ascii="Cambria" w:hAnsi="Cambria"/>
          <w:i/>
        </w:rPr>
        <w:t>,</w:t>
      </w:r>
      <w:r>
        <w:rPr>
          <w:rFonts w:ascii="Cambria" w:hAnsi="Cambria"/>
        </w:rPr>
        <w:t xml:space="preserve"> vol. 73, pp. 191–209.</w:t>
      </w:r>
    </w:p>
    <w:p w:rsidR="00AE7868" w:rsidRDefault="00FF2B57">
      <w:pPr>
        <w:autoSpaceDE w:val="0"/>
        <w:autoSpaceDN w:val="0"/>
        <w:adjustRightInd w:val="0"/>
        <w:spacing w:before="120" w:after="120"/>
        <w:rPr>
          <w:rFonts w:ascii="Cambria" w:hAnsi="Cambria"/>
        </w:rPr>
      </w:pPr>
      <w:r>
        <w:rPr>
          <w:rFonts w:ascii="Cambria" w:hAnsi="Cambria"/>
        </w:rPr>
        <w:t xml:space="preserve">Buttery, RG, Seifert, RM, Guadagni, DG &amp; Ling, LC 1968, ‘Characterisation of some volatile constituents of carrots’, </w:t>
      </w:r>
      <w:r>
        <w:rPr>
          <w:rFonts w:ascii="Cambria" w:hAnsi="Cambria"/>
          <w:i/>
        </w:rPr>
        <w:t>Journal of Agricultural and Food Chemistry</w:t>
      </w:r>
      <w:r>
        <w:rPr>
          <w:rFonts w:ascii="Cambria" w:hAnsi="Cambria"/>
        </w:rPr>
        <w:t>, vol. 16, pp. 1009–1015.</w:t>
      </w:r>
    </w:p>
    <w:p w:rsidR="00AE7868" w:rsidRDefault="00FF2B57">
      <w:pPr>
        <w:autoSpaceDE w:val="0"/>
        <w:autoSpaceDN w:val="0"/>
        <w:adjustRightInd w:val="0"/>
        <w:spacing w:before="120" w:after="120"/>
        <w:rPr>
          <w:rFonts w:ascii="Cambria" w:hAnsi="Cambria"/>
        </w:rPr>
      </w:pPr>
      <w:r>
        <w:rPr>
          <w:rFonts w:ascii="Cambria" w:hAnsi="Cambria"/>
          <w:bCs/>
        </w:rPr>
        <w:t xml:space="preserve">Cambra, M, Bertolini, E, Teresani, G, Carmen, MM, López, MM, Hernández, E, Siverio, F &amp; Hernández, J 2015, ‘Current </w:t>
      </w:r>
      <w:r>
        <w:rPr>
          <w:rFonts w:ascii="Cambria" w:eastAsia="Cambria" w:hAnsi="Cambria" w:cs="AdvPSSAB-R"/>
        </w:rPr>
        <w:t>situation</w:t>
      </w:r>
      <w:r>
        <w:rPr>
          <w:rFonts w:ascii="Cambria" w:hAnsi="Cambria"/>
          <w:bCs/>
        </w:rPr>
        <w:t xml:space="preserve"> of ‘Candidatus Liberibacter solanacearum’ in Spain’,</w:t>
      </w:r>
      <w:r>
        <w:rPr>
          <w:rFonts w:ascii="Cambria" w:hAnsi="Cambria"/>
        </w:rPr>
        <w:t xml:space="preserve"> </w:t>
      </w:r>
      <w:r>
        <w:rPr>
          <w:rFonts w:ascii="Cambria" w:hAnsi="Cambria"/>
          <w:bCs/>
        </w:rPr>
        <w:t xml:space="preserve">Final Meeting PHYLIB Project </w:t>
      </w:r>
      <w:r>
        <w:rPr>
          <w:rFonts w:ascii="Cambria" w:hAnsi="Cambria"/>
          <w:bCs/>
        </w:rPr>
        <w:lastRenderedPageBreak/>
        <w:t xml:space="preserve">266505 FP7-ERANET EUPHRESCO II. Edinburgh, UK. February 1-2, 2015 </w:t>
      </w:r>
    </w:p>
    <w:p w:rsidR="00AE7868" w:rsidRDefault="00FF2B57">
      <w:pPr>
        <w:autoSpaceDE w:val="0"/>
        <w:autoSpaceDN w:val="0"/>
        <w:adjustRightInd w:val="0"/>
        <w:spacing w:before="120" w:after="120"/>
        <w:rPr>
          <w:rFonts w:ascii="Cambria" w:eastAsia="Cambria" w:hAnsi="Cambria" w:cs="SimonciniGaramondStd"/>
        </w:rPr>
      </w:pPr>
      <w:r>
        <w:rPr>
          <w:rFonts w:ascii="Cambria" w:eastAsia="Cambria" w:hAnsi="Cambria" w:cs="SimonciniGaramondStd"/>
        </w:rPr>
        <w:t>Camerota, C, Raddadi, N, Pizzinat, A, Gonella, E, Crotti, E, Tedeschi, R, Mozes-Daube, N, Ember, I, Acs, Z, Kolber, M, Schori-Fein, E, Daffonchio, D &amp; Alma, A 2012 ‘Incidence of ‘</w:t>
      </w:r>
      <w:r>
        <w:rPr>
          <w:rFonts w:ascii="Cambria" w:eastAsia="Cambria" w:hAnsi="Cambria" w:cs="SimonciniGaramondStd-Italic"/>
          <w:i/>
          <w:iCs/>
        </w:rPr>
        <w:t xml:space="preserve">Candidatus </w:t>
      </w:r>
      <w:r>
        <w:rPr>
          <w:rFonts w:ascii="Cambria" w:eastAsia="Cambria" w:hAnsi="Cambria" w:cs="SimonciniGaramondStd"/>
        </w:rPr>
        <w:t xml:space="preserve">Liberibacter europaeus’ and phytoplasmas in </w:t>
      </w:r>
      <w:r>
        <w:rPr>
          <w:rFonts w:ascii="Cambria" w:eastAsia="Cambria" w:hAnsi="Cambria" w:cs="SimonciniGaramondStd-Italic"/>
          <w:i/>
          <w:iCs/>
        </w:rPr>
        <w:t xml:space="preserve">Cacopsylla </w:t>
      </w:r>
      <w:r>
        <w:rPr>
          <w:rFonts w:ascii="Cambria" w:eastAsia="Cambria" w:hAnsi="Cambria" w:cs="SimonciniGaramondStd"/>
        </w:rPr>
        <w:t xml:space="preserve">species (Hemiptera: Psyllidae) and their host/ shelter plants’, </w:t>
      </w:r>
      <w:r>
        <w:rPr>
          <w:rFonts w:ascii="Cambria" w:eastAsia="Cambria" w:hAnsi="Cambria" w:cs="SimonciniGaramondStd-Italic"/>
          <w:i/>
          <w:iCs/>
        </w:rPr>
        <w:t xml:space="preserve">Phytoparasitica, </w:t>
      </w:r>
      <w:r>
        <w:rPr>
          <w:rFonts w:ascii="Cambria" w:eastAsia="Cambria" w:hAnsi="Cambria" w:cs="SimonciniGaramondStd-Italic"/>
          <w:iCs/>
        </w:rPr>
        <w:t xml:space="preserve">vol. </w:t>
      </w:r>
      <w:r>
        <w:rPr>
          <w:rFonts w:ascii="Cambria" w:eastAsia="Cambria" w:hAnsi="Cambria" w:cs="SimonciniGaramondStd-Bold"/>
          <w:bCs/>
        </w:rPr>
        <w:t>40</w:t>
      </w:r>
      <w:r>
        <w:rPr>
          <w:rFonts w:ascii="Cambria" w:eastAsia="Cambria" w:hAnsi="Cambria" w:cs="SimonciniGaramondStd"/>
        </w:rPr>
        <w:t>, pp. 213–221.</w:t>
      </w:r>
    </w:p>
    <w:p w:rsidR="00AE7868" w:rsidRDefault="00FF2B57">
      <w:pPr>
        <w:autoSpaceDE w:val="0"/>
        <w:autoSpaceDN w:val="0"/>
        <w:adjustRightInd w:val="0"/>
        <w:spacing w:before="120" w:after="120"/>
        <w:rPr>
          <w:rFonts w:ascii="Cambria" w:hAnsi="Cambria"/>
        </w:rPr>
      </w:pPr>
      <w:r>
        <w:rPr>
          <w:rFonts w:ascii="Cambria" w:hAnsi="Cambria"/>
        </w:rPr>
        <w:t xml:space="preserve">da Graça, JV 2008, ‘Biology, history and world status of Huanglongbing’, In: </w:t>
      </w:r>
      <w:r>
        <w:rPr>
          <w:rFonts w:ascii="Cambria" w:hAnsi="Cambria"/>
          <w:i/>
        </w:rPr>
        <w:t xml:space="preserve">I Taller Internacional sobre Huanglongbing de los críticos </w:t>
      </w:r>
      <w:r>
        <w:rPr>
          <w:rFonts w:ascii="Cambria" w:hAnsi="Cambria"/>
        </w:rPr>
        <w:t>(‘Candidatus</w:t>
      </w:r>
      <w:r>
        <w:rPr>
          <w:rFonts w:ascii="Cambria" w:hAnsi="Cambria"/>
          <w:i/>
        </w:rPr>
        <w:t xml:space="preserve"> Liberibacter </w:t>
      </w:r>
      <w:r>
        <w:rPr>
          <w:rFonts w:ascii="Cambria" w:hAnsi="Cambria"/>
        </w:rPr>
        <w:t>spp.’)</w:t>
      </w:r>
      <w:r>
        <w:rPr>
          <w:rFonts w:ascii="Cambria" w:hAnsi="Cambria"/>
          <w:i/>
        </w:rPr>
        <w:t xml:space="preserve"> y el psílido asiático de los críticos </w:t>
      </w:r>
      <w:r>
        <w:rPr>
          <w:rFonts w:ascii="Cambria" w:hAnsi="Cambria"/>
        </w:rPr>
        <w:t>(</w:t>
      </w:r>
      <w:r>
        <w:rPr>
          <w:rFonts w:ascii="Cambria" w:hAnsi="Cambria"/>
          <w:i/>
        </w:rPr>
        <w:t>Diaphorina citri</w:t>
      </w:r>
      <w:r>
        <w:rPr>
          <w:rFonts w:ascii="Cambria" w:hAnsi="Cambria"/>
        </w:rPr>
        <w:t>), Hermosillo, Sonora, Mexico</w:t>
      </w:r>
    </w:p>
    <w:p w:rsidR="00AE7868" w:rsidRDefault="00FF2B57">
      <w:pPr>
        <w:autoSpaceDE w:val="0"/>
        <w:autoSpaceDN w:val="0"/>
        <w:adjustRightInd w:val="0"/>
        <w:spacing w:before="120" w:after="120"/>
        <w:rPr>
          <w:rFonts w:ascii="Cambria" w:eastAsiaTheme="minorEastAsia" w:hAnsi="Cambria"/>
          <w:lang w:bidi="en-US"/>
        </w:rPr>
      </w:pPr>
      <w:r>
        <w:rPr>
          <w:rFonts w:ascii="Cambria" w:eastAsiaTheme="minorEastAsia" w:hAnsi="Cambria"/>
          <w:lang w:bidi="en-US"/>
        </w:rPr>
        <w:t>De Boer, SH, Elphinstone, JG &amp; Saddler, GS 2007, ‘Molecular detection strategies for phytopathogenic bacteria’, In: Punja ZK, De Boer SH, Sanfacon H,</w:t>
      </w:r>
      <w:r>
        <w:rPr>
          <w:rFonts w:ascii="Cambria" w:eastAsiaTheme="minorEastAsia" w:hAnsi="Cambria"/>
          <w:i/>
          <w:lang w:bidi="en-US"/>
        </w:rPr>
        <w:t xml:space="preserve"> Biotechnology and Plant Disease Management</w:t>
      </w:r>
      <w:r>
        <w:rPr>
          <w:rFonts w:ascii="Cambria" w:eastAsiaTheme="minorEastAsia" w:hAnsi="Cambria"/>
          <w:lang w:bidi="en-US"/>
        </w:rPr>
        <w:t>, CABI, Wallingford, pp. 165–194.</w:t>
      </w:r>
    </w:p>
    <w:p w:rsidR="00AE7868" w:rsidRDefault="00FF2B57">
      <w:pPr>
        <w:autoSpaceDE w:val="0"/>
        <w:autoSpaceDN w:val="0"/>
        <w:adjustRightInd w:val="0"/>
        <w:spacing w:before="120" w:after="120"/>
        <w:rPr>
          <w:rFonts w:ascii="Cambria" w:hAnsi="Cambria"/>
        </w:rPr>
      </w:pPr>
      <w:r>
        <w:rPr>
          <w:rFonts w:ascii="Cambria" w:hAnsi="Cambria"/>
        </w:rPr>
        <w:t xml:space="preserve">Dehnen-Schmutz, K, Holdenrieder, O, Jeger, MJ &amp; Pautasso, M 2010, ‘Structural change in the international horticultural industry: some implications for plant health’, </w:t>
      </w:r>
      <w:r>
        <w:rPr>
          <w:rFonts w:ascii="Cambria" w:hAnsi="Cambria"/>
          <w:i/>
        </w:rPr>
        <w:t>Scientia Horticulturae</w:t>
      </w:r>
      <w:r>
        <w:rPr>
          <w:rFonts w:ascii="Cambria" w:hAnsi="Cambria"/>
        </w:rPr>
        <w:t>, vol. 125, pp. 1–15.</w:t>
      </w:r>
    </w:p>
    <w:p w:rsidR="00AE7868" w:rsidRDefault="00FF2B57">
      <w:pPr>
        <w:autoSpaceDE w:val="0"/>
        <w:autoSpaceDN w:val="0"/>
        <w:adjustRightInd w:val="0"/>
        <w:spacing w:before="120" w:after="120"/>
        <w:rPr>
          <w:rFonts w:ascii="Cambria" w:hAnsi="Cambria"/>
        </w:rPr>
      </w:pPr>
      <w:bookmarkStart w:id="463" w:name="top"/>
      <w:r>
        <w:rPr>
          <w:rFonts w:ascii="Cambria" w:hAnsi="Cambria"/>
        </w:rPr>
        <w:t>DEWHA, 2009, ‘EPBC Act List of Threatened Flora</w:t>
      </w:r>
      <w:bookmarkEnd w:id="463"/>
      <w:r>
        <w:rPr>
          <w:rFonts w:ascii="Cambria" w:hAnsi="Cambria"/>
        </w:rPr>
        <w:t>, Department of Environment, Heritage, Water and Arts’, environment.gov.au/cgi-bin/sprat/public/publicthreatenedlist.pl?wanted=flora.</w:t>
      </w:r>
    </w:p>
    <w:p w:rsidR="00AE7868" w:rsidRDefault="00FF2B57">
      <w:pPr>
        <w:autoSpaceDE w:val="0"/>
        <w:autoSpaceDN w:val="0"/>
        <w:adjustRightInd w:val="0"/>
        <w:spacing w:before="120" w:after="120"/>
        <w:rPr>
          <w:rFonts w:ascii="Cambria" w:eastAsia="Cambria" w:hAnsi="Cambria" w:cs="Highland-Roman"/>
        </w:rPr>
      </w:pPr>
      <w:r>
        <w:rPr>
          <w:rFonts w:ascii="Cambria" w:eastAsia="Cambria" w:hAnsi="Cambria" w:cs="Highland-Roman"/>
        </w:rPr>
        <w:lastRenderedPageBreak/>
        <w:t xml:space="preserve">Duduk, B, Peric, P, Marcic, D, Drobnjakovic, T, Picciau, L, Alma, A &amp; Bertaccini, A 2008, ‘Phytoplasmas in carrots: disease and potential vectors in Serbia’, </w:t>
      </w:r>
      <w:r>
        <w:rPr>
          <w:rFonts w:ascii="Cambria" w:eastAsia="Cambria" w:hAnsi="Cambria" w:cs="Highland-Roman"/>
          <w:i/>
        </w:rPr>
        <w:t xml:space="preserve">Bulletin of Insectology, </w:t>
      </w:r>
      <w:r>
        <w:rPr>
          <w:rFonts w:ascii="Cambria" w:eastAsia="Cambria" w:hAnsi="Cambria" w:cs="Highland-Roman"/>
        </w:rPr>
        <w:t>vol. 61, pp. 327–331.</w:t>
      </w:r>
    </w:p>
    <w:p w:rsidR="00AE7868" w:rsidRDefault="00FF2B57">
      <w:pPr>
        <w:autoSpaceDE w:val="0"/>
        <w:autoSpaceDN w:val="0"/>
        <w:adjustRightInd w:val="0"/>
        <w:spacing w:before="120" w:after="120"/>
        <w:rPr>
          <w:rFonts w:ascii="Cambria" w:eastAsia="Calibri" w:hAnsi="Cambria"/>
        </w:rPr>
      </w:pPr>
      <w:r>
        <w:rPr>
          <w:rFonts w:ascii="Cambria" w:eastAsia="Calibri" w:hAnsi="Cambria"/>
        </w:rPr>
        <w:t>Elmer, WH</w:t>
      </w:r>
      <w:r>
        <w:rPr>
          <w:rFonts w:ascii="Cambria" w:hAnsi="Cambria"/>
        </w:rPr>
        <w:t xml:space="preserve"> </w:t>
      </w:r>
      <w:r>
        <w:rPr>
          <w:rFonts w:ascii="Cambria" w:eastAsia="Calibri" w:hAnsi="Cambria"/>
        </w:rPr>
        <w:t>2001</w:t>
      </w:r>
      <w:r>
        <w:rPr>
          <w:rFonts w:ascii="Cambria" w:hAnsi="Cambria"/>
        </w:rPr>
        <w:t>, ‘</w:t>
      </w:r>
      <w:r>
        <w:rPr>
          <w:rFonts w:ascii="Cambria" w:eastAsia="Calibri" w:hAnsi="Cambria"/>
        </w:rPr>
        <w:t>Seeds as vehicles for pathogen importation</w:t>
      </w:r>
      <w:r>
        <w:rPr>
          <w:rFonts w:ascii="Cambria" w:hAnsi="Cambria"/>
        </w:rPr>
        <w:t xml:space="preserve">’, </w:t>
      </w:r>
      <w:r>
        <w:rPr>
          <w:rFonts w:ascii="Cambria" w:eastAsia="Calibri" w:hAnsi="Cambria"/>
          <w:i/>
        </w:rPr>
        <w:t>Biological Invasions</w:t>
      </w:r>
      <w:r>
        <w:rPr>
          <w:rFonts w:ascii="Cambria" w:eastAsia="Calibri" w:hAnsi="Cambria"/>
        </w:rPr>
        <w:t xml:space="preserve">, </w:t>
      </w:r>
      <w:r>
        <w:rPr>
          <w:rFonts w:ascii="Cambria" w:hAnsi="Cambria"/>
        </w:rPr>
        <w:t xml:space="preserve">vol. </w:t>
      </w:r>
      <w:r>
        <w:rPr>
          <w:rFonts w:ascii="Cambria" w:eastAsia="Calibri" w:hAnsi="Cambria"/>
        </w:rPr>
        <w:t>3</w:t>
      </w:r>
      <w:r>
        <w:rPr>
          <w:rFonts w:ascii="Cambria" w:hAnsi="Cambria"/>
        </w:rPr>
        <w:t xml:space="preserve">, pp. </w:t>
      </w:r>
      <w:r>
        <w:rPr>
          <w:rFonts w:ascii="Cambria" w:eastAsia="Calibri" w:hAnsi="Cambria"/>
        </w:rPr>
        <w:t>263</w:t>
      </w:r>
      <w:r>
        <w:rPr>
          <w:rFonts w:ascii="Cambria" w:hAnsi="Cambria"/>
        </w:rPr>
        <w:t>–</w:t>
      </w:r>
      <w:r>
        <w:rPr>
          <w:rFonts w:ascii="Cambria" w:eastAsia="Calibri" w:hAnsi="Cambria"/>
        </w:rPr>
        <w:t>271.</w:t>
      </w:r>
    </w:p>
    <w:p w:rsidR="00AE7868" w:rsidRDefault="00FF2B57">
      <w:pPr>
        <w:spacing w:before="120" w:after="120"/>
        <w:rPr>
          <w:rFonts w:ascii="Cambria" w:hAnsi="Cambria" w:cs="AdvTT3713a231"/>
        </w:rPr>
      </w:pPr>
      <w:r>
        <w:rPr>
          <w:rFonts w:ascii="Cambria" w:hAnsi="Cambria"/>
        </w:rPr>
        <w:t>EPPO (European and Mediterranean Plant Protection Organization) 2012, ‘</w:t>
      </w:r>
      <w:r>
        <w:rPr>
          <w:rFonts w:ascii="Cambria" w:hAnsi="Cambria" w:cs="AdvTT3713a231"/>
        </w:rPr>
        <w:t>First report of ‘</w:t>
      </w:r>
      <w:r>
        <w:rPr>
          <w:rFonts w:ascii="Cambria" w:hAnsi="Cambria" w:cs="AdvTT3713a231"/>
          <w:i/>
        </w:rPr>
        <w:t>Candidatus</w:t>
      </w:r>
      <w:r>
        <w:rPr>
          <w:rFonts w:ascii="Cambria" w:hAnsi="Cambria" w:cs="AdvTT3713a231"/>
        </w:rPr>
        <w:t xml:space="preserve"> Liberibacter solanacearum’ on carrots and celery in Spain, in association with </w:t>
      </w:r>
      <w:r>
        <w:rPr>
          <w:rFonts w:ascii="Cambria" w:hAnsi="Cambria" w:cs="AdvTT3713a231"/>
          <w:i/>
        </w:rPr>
        <w:t>Bactericera trigonica</w:t>
      </w:r>
      <w:r>
        <w:rPr>
          <w:rFonts w:ascii="Cambria" w:hAnsi="Cambria" w:cs="AdvTT3713a231"/>
        </w:rPr>
        <w:t>’</w:t>
      </w:r>
      <w:r>
        <w:rPr>
          <w:rFonts w:ascii="Cambria" w:hAnsi="Cambria" w:cs="AdvTT3713a231"/>
          <w:i/>
        </w:rPr>
        <w:t xml:space="preserve">, </w:t>
      </w:r>
      <w:r>
        <w:rPr>
          <w:rFonts w:ascii="Cambria" w:hAnsi="Cambria" w:cs="AdvTT3713a231"/>
        </w:rPr>
        <w:t>EPPO Reporting Service – Pests and Diseases, vol. 6, pp. 4–5.</w:t>
      </w:r>
    </w:p>
    <w:p w:rsidR="00AE7868" w:rsidRDefault="00FF2B57">
      <w:pPr>
        <w:spacing w:before="120" w:after="120"/>
        <w:rPr>
          <w:rFonts w:ascii="Cambria" w:hAnsi="Cambria"/>
          <w:bCs/>
        </w:rPr>
      </w:pPr>
      <w:r>
        <w:rPr>
          <w:rFonts w:ascii="Cambria" w:hAnsi="Cambria"/>
          <w:bCs/>
        </w:rPr>
        <w:t xml:space="preserve">EPPO </w:t>
      </w:r>
      <w:r>
        <w:rPr>
          <w:rFonts w:ascii="Cambria" w:hAnsi="Cambria"/>
        </w:rPr>
        <w:t xml:space="preserve">(European and Mediterranean Plant Protection Organization) </w:t>
      </w:r>
      <w:r>
        <w:rPr>
          <w:rFonts w:ascii="Cambria" w:hAnsi="Cambria"/>
          <w:bCs/>
        </w:rPr>
        <w:t>2013, ‘</w:t>
      </w:r>
      <w:r>
        <w:rPr>
          <w:rFonts w:ascii="Cambria" w:hAnsi="Cambria" w:cs="Arial"/>
          <w:i/>
        </w:rPr>
        <w:t>Candidatus</w:t>
      </w:r>
      <w:r>
        <w:rPr>
          <w:rFonts w:ascii="Cambria" w:hAnsi="Cambria" w:cs="Arial"/>
        </w:rPr>
        <w:t xml:space="preserve"> Liberibacter solanacearum’,</w:t>
      </w:r>
      <w:r>
        <w:rPr>
          <w:rFonts w:ascii="Cambria" w:hAnsi="Cambria"/>
          <w:bCs/>
        </w:rPr>
        <w:t xml:space="preserve"> EPPO Data sheets on pests recommended for regulation, European and Mediterranean Plant Protection Organization, </w:t>
      </w:r>
      <w:r>
        <w:rPr>
          <w:rFonts w:ascii="Cambria" w:hAnsi="Cambria"/>
          <w:bCs/>
          <w:i/>
        </w:rPr>
        <w:t>Bulletin OEPP/EPPO</w:t>
      </w:r>
      <w:r>
        <w:rPr>
          <w:rFonts w:ascii="Cambria" w:hAnsi="Cambria"/>
          <w:bCs/>
        </w:rPr>
        <w:t>, vol. 43, pp. 197–201.</w:t>
      </w:r>
    </w:p>
    <w:p w:rsidR="00AE7868" w:rsidRDefault="00FF2B57">
      <w:pPr>
        <w:autoSpaceDE w:val="0"/>
        <w:autoSpaceDN w:val="0"/>
        <w:adjustRightInd w:val="0"/>
        <w:spacing w:before="120" w:after="120"/>
        <w:rPr>
          <w:rFonts w:ascii="Cambria" w:hAnsi="Cambria"/>
          <w:bCs/>
        </w:rPr>
      </w:pPr>
      <w:r>
        <w:rPr>
          <w:rFonts w:ascii="Cambria" w:hAnsi="Cambria"/>
          <w:bCs/>
        </w:rPr>
        <w:t>EPPO Reporting Service 2015, ‘First report of ‘</w:t>
      </w:r>
      <w:r>
        <w:rPr>
          <w:rFonts w:ascii="Cambria" w:hAnsi="Cambria"/>
          <w:bCs/>
          <w:i/>
        </w:rPr>
        <w:t>Candidatus</w:t>
      </w:r>
      <w:r>
        <w:rPr>
          <w:rFonts w:ascii="Cambria" w:hAnsi="Cambria"/>
          <w:bCs/>
        </w:rPr>
        <w:t xml:space="preserve"> Liberibacter solanacearum’ in Austria’, EPPO Reporting Service 2015-02, 2015/029, gd.eppo.int/reporting/article-4455.</w:t>
      </w:r>
    </w:p>
    <w:p w:rsidR="00AE7868" w:rsidRDefault="00FF2B57">
      <w:pPr>
        <w:autoSpaceDE w:val="0"/>
        <w:autoSpaceDN w:val="0"/>
        <w:adjustRightInd w:val="0"/>
        <w:spacing w:before="120" w:after="120"/>
        <w:rPr>
          <w:rFonts w:ascii="Cambria" w:hAnsi="Cambria"/>
        </w:rPr>
      </w:pPr>
      <w:r>
        <w:rPr>
          <w:rFonts w:ascii="Cambria" w:hAnsi="Cambria"/>
        </w:rPr>
        <w:t>FAO (Food and Agricultural Organization of the United Nations) 2007, ‘</w:t>
      </w:r>
      <w:r>
        <w:rPr>
          <w:rFonts w:ascii="Cambria" w:hAnsi="Cambria"/>
          <w:i/>
        </w:rPr>
        <w:t>International Standards for Phytosanitary Measures (ISPM) No. 2: Framework for pest risk analysis</w:t>
      </w:r>
      <w:r>
        <w:rPr>
          <w:rFonts w:ascii="Cambria" w:hAnsi="Cambria"/>
        </w:rPr>
        <w:t xml:space="preserve">’, Secretariat of the International Plant Protection Convention, Rome, Italy. </w:t>
      </w:r>
    </w:p>
    <w:p w:rsidR="00AE7868" w:rsidRDefault="00FF2B57">
      <w:pPr>
        <w:autoSpaceDE w:val="0"/>
        <w:autoSpaceDN w:val="0"/>
        <w:adjustRightInd w:val="0"/>
        <w:spacing w:before="120" w:after="120"/>
        <w:rPr>
          <w:rFonts w:ascii="Cambria" w:hAnsi="Cambria"/>
        </w:rPr>
      </w:pPr>
      <w:r>
        <w:rPr>
          <w:rFonts w:ascii="Cambria" w:hAnsi="Cambria"/>
        </w:rPr>
        <w:t>FAO (Food and Agricultural Organization of the United Nations) 2011a, ‘</w:t>
      </w:r>
      <w:r>
        <w:rPr>
          <w:rFonts w:ascii="Cambria" w:hAnsi="Cambria"/>
          <w:i/>
        </w:rPr>
        <w:t xml:space="preserve">International Standards for Phytosanitary Measures (ISPM) No. </w:t>
      </w:r>
      <w:r>
        <w:rPr>
          <w:rFonts w:ascii="Cambria" w:hAnsi="Cambria"/>
          <w:i/>
        </w:rPr>
        <w:lastRenderedPageBreak/>
        <w:t>1: Phytosanitary principles for the protection of plants and the application of phytosanitary measures in international trade</w:t>
      </w:r>
      <w:r>
        <w:rPr>
          <w:rFonts w:ascii="Cambria" w:hAnsi="Cambria"/>
        </w:rPr>
        <w:t>’, Secretariat of the International Plant Protection Convention, Rome, Italy.</w:t>
      </w:r>
    </w:p>
    <w:p w:rsidR="00AE7868" w:rsidRDefault="00FF2B57">
      <w:pPr>
        <w:autoSpaceDE w:val="0"/>
        <w:autoSpaceDN w:val="0"/>
        <w:adjustRightInd w:val="0"/>
        <w:spacing w:before="120" w:after="120"/>
        <w:rPr>
          <w:rFonts w:ascii="Cambria" w:hAnsi="Cambria"/>
        </w:rPr>
      </w:pPr>
      <w:r>
        <w:rPr>
          <w:rFonts w:ascii="Cambria" w:hAnsi="Cambria"/>
        </w:rPr>
        <w:t>FAO (Food and Agricultural Organization of the United Nations) 2011b, ‘</w:t>
      </w:r>
      <w:r>
        <w:rPr>
          <w:rFonts w:ascii="Cambria" w:hAnsi="Cambria"/>
          <w:i/>
        </w:rPr>
        <w:t>International Plant Protection Convention (1997)</w:t>
      </w:r>
      <w:r>
        <w:rPr>
          <w:rFonts w:ascii="Cambria" w:hAnsi="Cambria"/>
        </w:rPr>
        <w:t>’, Secretariat of the International Plant Protection Convention, Rome, Italy.</w:t>
      </w:r>
    </w:p>
    <w:p w:rsidR="00AE7868" w:rsidRDefault="00FF2B57">
      <w:pPr>
        <w:autoSpaceDE w:val="0"/>
        <w:autoSpaceDN w:val="0"/>
        <w:adjustRightInd w:val="0"/>
        <w:spacing w:before="120" w:after="120"/>
        <w:rPr>
          <w:rFonts w:ascii="Cambria" w:hAnsi="Cambria"/>
        </w:rPr>
      </w:pPr>
      <w:r>
        <w:rPr>
          <w:rFonts w:ascii="Cambria" w:hAnsi="Cambria"/>
        </w:rPr>
        <w:t>FAO (Food and Agricultural Organization of the United Nations) 2013, ‘</w:t>
      </w:r>
      <w:r>
        <w:rPr>
          <w:rFonts w:ascii="Cambria" w:hAnsi="Cambria"/>
          <w:i/>
        </w:rPr>
        <w:t>International Standards for Phytosanitary Measures (ISPM) No. 11: Pest risk analysis for quarantine pests including analysis of environmental risks and living modified organisms</w:t>
      </w:r>
      <w:r>
        <w:rPr>
          <w:rFonts w:ascii="Cambria" w:hAnsi="Cambria"/>
        </w:rPr>
        <w:t>’, Secretariat of the International Plant Protection Convention, Rome, Italy.</w:t>
      </w:r>
    </w:p>
    <w:p w:rsidR="00AE7868" w:rsidRDefault="00FF2B57">
      <w:pPr>
        <w:autoSpaceDE w:val="0"/>
        <w:autoSpaceDN w:val="0"/>
        <w:adjustRightInd w:val="0"/>
        <w:spacing w:before="120" w:after="120"/>
        <w:rPr>
          <w:rFonts w:ascii="Cambria" w:hAnsi="Cambria"/>
        </w:rPr>
      </w:pPr>
      <w:r>
        <w:rPr>
          <w:rFonts w:ascii="Cambria" w:hAnsi="Cambria"/>
        </w:rPr>
        <w:t>FAO (Food and Agricultural Organization of the United Nations) 2015, ‘</w:t>
      </w:r>
      <w:r>
        <w:rPr>
          <w:rFonts w:ascii="Cambria" w:hAnsi="Cambria"/>
          <w:i/>
        </w:rPr>
        <w:t>International Standards for Phytosanitary Measures (ISPM) No. 5: Glossary of phytosanitary terms</w:t>
      </w:r>
      <w:r>
        <w:rPr>
          <w:rFonts w:ascii="Cambria" w:hAnsi="Cambria"/>
        </w:rPr>
        <w:t>’, Secretariat of the International Plant Protection Convention, Rome, Italy.</w:t>
      </w:r>
    </w:p>
    <w:p w:rsidR="00AE7868" w:rsidRDefault="00FF2B57">
      <w:pPr>
        <w:autoSpaceDE w:val="0"/>
        <w:autoSpaceDN w:val="0"/>
        <w:adjustRightInd w:val="0"/>
        <w:spacing w:before="120" w:after="120"/>
        <w:rPr>
          <w:rFonts w:ascii="Cambria" w:eastAsia="Cambria" w:hAnsi="Cambria" w:cs="TimesNewRomanPS-ItalicMT"/>
          <w:iCs/>
        </w:rPr>
      </w:pPr>
      <w:r>
        <w:rPr>
          <w:rFonts w:ascii="Cambria" w:eastAsia="Cambria" w:hAnsi="Cambria" w:cs="TimesNewRomanPS-ItalicMT"/>
          <w:iCs/>
        </w:rPr>
        <w:t xml:space="preserve">Fathi, SAA &amp; Nouri-Ganbalani, G 2008, ‘Comparison of population growth and rate of damage of </w:t>
      </w:r>
      <w:r>
        <w:rPr>
          <w:rFonts w:ascii="Cambria" w:eastAsia="Cambria" w:hAnsi="Cambria" w:cs="TimesNewRomanPS-ItalicMT"/>
          <w:i/>
          <w:iCs/>
        </w:rPr>
        <w:t>Bactericera nigricornis</w:t>
      </w:r>
      <w:r>
        <w:rPr>
          <w:rFonts w:ascii="Cambria" w:eastAsia="Cambria" w:hAnsi="Cambria" w:cs="TimesNewRomanPS-ItalicMT"/>
          <w:iCs/>
        </w:rPr>
        <w:t xml:space="preserve"> (Forster) (Hom. Psyllidae) on four commonly grown potato cultivars in Ardabil Plain’, 18th Iranian Plant Protection Congress, Tehran, Iran, pp. 173.</w:t>
      </w:r>
    </w:p>
    <w:p w:rsidR="00AE7868" w:rsidRDefault="00FF2B57">
      <w:pPr>
        <w:pStyle w:val="ListBullet"/>
        <w:numPr>
          <w:ilvl w:val="0"/>
          <w:numId w:val="0"/>
        </w:numPr>
        <w:rPr>
          <w:rFonts w:ascii="Cambria" w:hAnsi="Cambria"/>
        </w:rPr>
      </w:pPr>
      <w:r>
        <w:rPr>
          <w:rFonts w:ascii="Cambria" w:hAnsi="Cambria"/>
        </w:rPr>
        <w:t xml:space="preserve">Fathi, SAA 2011 ‘Population density and life-history parameters of the psyllid </w:t>
      </w:r>
      <w:r>
        <w:rPr>
          <w:rFonts w:ascii="Cambria" w:hAnsi="Cambria"/>
          <w:i/>
          <w:iCs/>
        </w:rPr>
        <w:t xml:space="preserve">Bactericera nigricornis </w:t>
      </w:r>
      <w:r>
        <w:rPr>
          <w:rFonts w:ascii="Cambria" w:hAnsi="Cambria"/>
        </w:rPr>
        <w:t xml:space="preserve">(Forster) on four commercial cultivars of potato’, </w:t>
      </w:r>
      <w:r>
        <w:rPr>
          <w:rFonts w:ascii="Cambria" w:hAnsi="Cambria"/>
          <w:i/>
        </w:rPr>
        <w:t>Crop Protection</w:t>
      </w:r>
      <w:r>
        <w:rPr>
          <w:rFonts w:ascii="Cambria" w:hAnsi="Cambria"/>
        </w:rPr>
        <w:t>, vol. 30, pp. 844–848.</w:t>
      </w:r>
    </w:p>
    <w:p w:rsidR="00AE7868" w:rsidRDefault="00FF2B57">
      <w:pPr>
        <w:spacing w:before="120" w:after="120"/>
        <w:rPr>
          <w:rFonts w:ascii="Cambria" w:hAnsi="Cambria" w:cs="Arial"/>
        </w:rPr>
      </w:pPr>
      <w:r>
        <w:rPr>
          <w:rFonts w:ascii="Cambria" w:hAnsi="Cambria" w:cs="Arial"/>
        </w:rPr>
        <w:lastRenderedPageBreak/>
        <w:t xml:space="preserve">FERA (Food and Environment Research Agency) 2014, ‘Rapid pest risk analysis for </w:t>
      </w:r>
      <w:r>
        <w:rPr>
          <w:rFonts w:ascii="Cambria" w:hAnsi="Cambria" w:cs="Arial"/>
          <w:i/>
        </w:rPr>
        <w:t>Candidatus</w:t>
      </w:r>
      <w:r>
        <w:rPr>
          <w:rFonts w:ascii="Cambria" w:hAnsi="Cambria" w:cs="Arial"/>
        </w:rPr>
        <w:t xml:space="preserve"> Liberibacter solanacearum’, </w:t>
      </w:r>
      <w:r>
        <w:rPr>
          <w:rFonts w:ascii="Cambria" w:hAnsi="Cambria"/>
        </w:rPr>
        <w:t>fera.defra.gov.uk/plants/plantHealth/pestsDiseases/documents/</w:t>
      </w:r>
      <w:r>
        <w:rPr>
          <w:rFonts w:ascii="Cambria" w:hAnsi="Cambria"/>
          <w:i/>
        </w:rPr>
        <w:t>Candidatus</w:t>
      </w:r>
      <w:r>
        <w:rPr>
          <w:rFonts w:ascii="Cambria" w:hAnsi="Cambria"/>
        </w:rPr>
        <w:t>LS.pdf.</w:t>
      </w:r>
    </w:p>
    <w:p w:rsidR="00AE7868" w:rsidRDefault="00FF2B57">
      <w:pPr>
        <w:autoSpaceDE w:val="0"/>
        <w:autoSpaceDN w:val="0"/>
        <w:adjustRightInd w:val="0"/>
        <w:spacing w:before="120" w:after="120"/>
        <w:rPr>
          <w:rFonts w:ascii="Cambria" w:hAnsi="Cambria"/>
        </w:rPr>
      </w:pPr>
      <w:r>
        <w:rPr>
          <w:rFonts w:ascii="Cambria" w:hAnsi="Cambria"/>
        </w:rPr>
        <w:t xml:space="preserve">Fischer, S &amp; Terrettaz, C 2002, ‘Lutte raisonee contre le psylle de la carotte’, </w:t>
      </w:r>
      <w:r>
        <w:rPr>
          <w:rFonts w:ascii="Cambria" w:hAnsi="Cambria"/>
          <w:i/>
        </w:rPr>
        <w:t>Revue suisse Viticulture Arboriculture et Horticulture</w:t>
      </w:r>
      <w:r>
        <w:rPr>
          <w:rFonts w:ascii="Cambria" w:hAnsi="Cambria"/>
        </w:rPr>
        <w:t>, vol. 34, pp. 159–165.</w:t>
      </w:r>
    </w:p>
    <w:p w:rsidR="00AE7868" w:rsidRDefault="00FF2B57">
      <w:pPr>
        <w:spacing w:before="120" w:after="120"/>
        <w:rPr>
          <w:rFonts w:ascii="Cambria" w:hAnsi="Cambria"/>
        </w:rPr>
      </w:pPr>
      <w:r>
        <w:rPr>
          <w:rFonts w:ascii="Cambria" w:hAnsi="Cambria"/>
        </w:rPr>
        <w:t>Floyd, R &amp; Melvin-Carter, E 2005, ‘Vegetable seed treatments’, Farmnote 90/1990, Department of Agriculture and Food, Western Australia, wa.gov.au.</w:t>
      </w:r>
    </w:p>
    <w:p w:rsidR="00AE7868" w:rsidRDefault="00FF2B57">
      <w:pPr>
        <w:autoSpaceDE w:val="0"/>
        <w:autoSpaceDN w:val="0"/>
        <w:adjustRightInd w:val="0"/>
        <w:spacing w:before="120" w:after="120"/>
        <w:rPr>
          <w:rFonts w:ascii="Cambria" w:hAnsi="Cambria"/>
        </w:rPr>
      </w:pPr>
      <w:r>
        <w:rPr>
          <w:rFonts w:ascii="Cambria" w:eastAsia="Cambria" w:hAnsi="Cambria" w:cs="Highland-Roman"/>
        </w:rPr>
        <w:t>Font, I, Abad, P, Albinana, M, Espino, AI, Dally, EL, Davis, R &amp; Jorda, C 1999 ‘</w:t>
      </w:r>
      <w:r>
        <w:rPr>
          <w:rFonts w:ascii="Cambria" w:hAnsi="Cambria"/>
        </w:rPr>
        <w:t>Yellowing and reddening of carrots: disease diagnosis, ‘</w:t>
      </w:r>
      <w:r>
        <w:rPr>
          <w:rFonts w:ascii="Cambria" w:eastAsia="Cambria" w:hAnsi="Cambria" w:cs="Highland-Roman"/>
          <w:i/>
        </w:rPr>
        <w:t>Boletín de sanidad vegetal plagas</w:t>
      </w:r>
      <w:r>
        <w:rPr>
          <w:rFonts w:ascii="Cambria" w:eastAsia="Cambria" w:hAnsi="Cambria" w:cs="Highland-Roman"/>
        </w:rPr>
        <w:t>, vol. 25, pp. 405–415.</w:t>
      </w:r>
    </w:p>
    <w:p w:rsidR="00AE7868" w:rsidRDefault="00FF2B57">
      <w:pPr>
        <w:spacing w:before="120" w:after="120"/>
        <w:rPr>
          <w:rFonts w:ascii="Cambria" w:eastAsia="Cambria" w:hAnsi="Cambria" w:cs="TimesNewRomanPS-ItalicMT"/>
          <w:iCs/>
        </w:rPr>
      </w:pPr>
      <w:r>
        <w:rPr>
          <w:rFonts w:ascii="Cambria" w:eastAsia="Cambria" w:hAnsi="Cambria" w:cs="TimesNewRomanPS-ItalicMT"/>
          <w:iCs/>
        </w:rPr>
        <w:t xml:space="preserve">Font, MI, Cebrián, MC, Villaescusa, FJ, Córdoba, MC, Ferrándiz, JC, Sanjuán, S, Alfaro-Fernández, A, Hermoso de, Mendoza A &amp; Jordá C 2010, ‘First report of phytoplasmas disease in celery and parsnip in Spain’, </w:t>
      </w:r>
      <w:r>
        <w:rPr>
          <w:rFonts w:ascii="Cambria" w:eastAsia="Cambria" w:hAnsi="Cambria" w:cs="TimesNewRomanPS-ItalicMT"/>
          <w:i/>
          <w:iCs/>
        </w:rPr>
        <w:t>Petria</w:t>
      </w:r>
      <w:r>
        <w:rPr>
          <w:rFonts w:ascii="Cambria" w:eastAsia="Cambria" w:hAnsi="Cambria" w:cs="TimesNewRomanPS-ItalicMT"/>
          <w:iCs/>
        </w:rPr>
        <w:t>, vol. 20, pp. 260–261.</w:t>
      </w:r>
    </w:p>
    <w:p w:rsidR="00AE7868" w:rsidRDefault="00FF2B57">
      <w:pPr>
        <w:autoSpaceDE w:val="0"/>
        <w:autoSpaceDN w:val="0"/>
        <w:adjustRightInd w:val="0"/>
        <w:spacing w:before="120" w:after="120"/>
        <w:rPr>
          <w:rFonts w:ascii="Cambria" w:hAnsi="Cambria"/>
        </w:rPr>
      </w:pPr>
      <w:r>
        <w:rPr>
          <w:rFonts w:ascii="Cambria" w:hAnsi="Cambria"/>
        </w:rPr>
        <w:t xml:space="preserve">Gottwald, TR, da Graça, JV &amp; Bassanezi, RB 2007, ‘Citrus Huanglongbing: the pathogen and its impact’, </w:t>
      </w:r>
      <w:r>
        <w:rPr>
          <w:rFonts w:ascii="Cambria" w:hAnsi="Cambria"/>
          <w:i/>
        </w:rPr>
        <w:t>Plant Health Progress</w:t>
      </w:r>
      <w:r>
        <w:rPr>
          <w:rFonts w:ascii="Cambria" w:hAnsi="Cambria"/>
        </w:rPr>
        <w:t>, Plant Management Network publication.</w:t>
      </w:r>
    </w:p>
    <w:p w:rsidR="00AE7868" w:rsidRDefault="00FF2B57">
      <w:pPr>
        <w:autoSpaceDE w:val="0"/>
        <w:autoSpaceDN w:val="0"/>
        <w:adjustRightInd w:val="0"/>
        <w:spacing w:before="120" w:after="120"/>
        <w:rPr>
          <w:rFonts w:ascii="Cambria" w:eastAsia="Cambria" w:hAnsi="Cambria" w:cs="TimesNewRomanPSMT"/>
        </w:rPr>
      </w:pPr>
      <w:r>
        <w:rPr>
          <w:rFonts w:ascii="Cambria" w:eastAsia="Cambria" w:hAnsi="Cambria" w:cs="TimesNewRomanPSMT"/>
        </w:rPr>
        <w:t xml:space="preserve">Haapalainen, M 2014, ‘Biology and epidemics of </w:t>
      </w:r>
      <w:r>
        <w:rPr>
          <w:rFonts w:ascii="Cambria" w:eastAsia="Cambria" w:hAnsi="Cambria" w:cs="TimesNewRomanPS-ItalicMT"/>
          <w:i/>
          <w:iCs/>
        </w:rPr>
        <w:t xml:space="preserve">Candidatus </w:t>
      </w:r>
      <w:r>
        <w:rPr>
          <w:rFonts w:ascii="Cambria" w:eastAsia="Cambria" w:hAnsi="Cambria" w:cs="TimesNewRomanPSMT"/>
        </w:rPr>
        <w:t xml:space="preserve">Liberibacter species, psyllid-transmitted plant-pathogenic bacteria’, </w:t>
      </w:r>
      <w:r>
        <w:rPr>
          <w:rFonts w:ascii="Cambria" w:eastAsia="Cambria" w:hAnsi="Cambria" w:cs="TimesNewRomanPSMT"/>
          <w:i/>
        </w:rPr>
        <w:t>Annals of Applied Biology,</w:t>
      </w:r>
      <w:r>
        <w:rPr>
          <w:rFonts w:ascii="Cambria" w:eastAsia="Cambria" w:hAnsi="Cambria" w:cs="TimesNewRomanPSMT"/>
        </w:rPr>
        <w:t xml:space="preserve"> vol. 165, pp. 172–198.</w:t>
      </w:r>
    </w:p>
    <w:p w:rsidR="00AE7868" w:rsidRDefault="00FF2B57">
      <w:pPr>
        <w:autoSpaceDE w:val="0"/>
        <w:autoSpaceDN w:val="0"/>
        <w:adjustRightInd w:val="0"/>
        <w:spacing w:before="120" w:after="120"/>
        <w:rPr>
          <w:rFonts w:ascii="Cambria" w:hAnsi="Cambria"/>
        </w:rPr>
      </w:pPr>
      <w:r>
        <w:rPr>
          <w:rFonts w:ascii="Cambria" w:hAnsi="Cambria"/>
        </w:rPr>
        <w:lastRenderedPageBreak/>
        <w:t xml:space="preserve">Haapalainen, M, Nissinen, A, Jauhiainen, L, Lindman, M &amp; Pirhonen, M 2014, </w:t>
      </w:r>
      <w:r>
        <w:rPr>
          <w:rFonts w:ascii="Cambria" w:hAnsi="Cambria"/>
          <w:i/>
        </w:rPr>
        <w:t xml:space="preserve">Psyllid-transmitted carrot disease associated with phloem-limited bacterium </w:t>
      </w:r>
      <w:r>
        <w:rPr>
          <w:rFonts w:ascii="Cambria" w:hAnsi="Cambria"/>
        </w:rPr>
        <w:t>Candidatus</w:t>
      </w:r>
      <w:r>
        <w:rPr>
          <w:rFonts w:ascii="Cambria" w:hAnsi="Cambria"/>
          <w:i/>
        </w:rPr>
        <w:t xml:space="preserve"> liberibacter solanacearum in Finland,</w:t>
      </w:r>
      <w:r>
        <w:rPr>
          <w:rFonts w:ascii="Cambria" w:hAnsi="Cambria"/>
        </w:rPr>
        <w:t xml:space="preserve"> </w:t>
      </w:r>
      <w:r>
        <w:rPr>
          <w:rFonts w:ascii="Cambria" w:eastAsia="Cambria" w:hAnsi="Cambria" w:cs="Arial"/>
        </w:rPr>
        <w:t>mpmi2014rhodes-hellas.gr/bookOfAbstracts/Posters/P005.pdf.</w:t>
      </w:r>
    </w:p>
    <w:p w:rsidR="00AE7868" w:rsidRDefault="00FF2B57">
      <w:pPr>
        <w:autoSpaceDE w:val="0"/>
        <w:autoSpaceDN w:val="0"/>
        <w:adjustRightInd w:val="0"/>
        <w:spacing w:before="120" w:after="120"/>
        <w:rPr>
          <w:rFonts w:ascii="Cambria" w:hAnsi="Cambria"/>
        </w:rPr>
      </w:pPr>
      <w:r>
        <w:rPr>
          <w:rFonts w:ascii="Cambria" w:hAnsi="Cambria"/>
        </w:rPr>
        <w:t>Hansen, AK, Trumble, JT, Stouthamer R &amp; Paine, TD 2008, ‘A new huanglongbing species, ‘</w:t>
      </w:r>
      <w:r>
        <w:rPr>
          <w:rFonts w:ascii="Cambria" w:hAnsi="Cambria"/>
          <w:i/>
        </w:rPr>
        <w:t>Candidatus</w:t>
      </w:r>
      <w:r>
        <w:rPr>
          <w:rFonts w:ascii="Cambria" w:hAnsi="Cambria"/>
        </w:rPr>
        <w:t xml:space="preserve"> Liberibacter psyllaurous’, found to infect tomato and potato, is vectored by the psyllid </w:t>
      </w:r>
      <w:r>
        <w:rPr>
          <w:rFonts w:ascii="Cambria" w:hAnsi="Cambria"/>
          <w:i/>
        </w:rPr>
        <w:t>Bactericera cockerelli</w:t>
      </w:r>
      <w:r>
        <w:rPr>
          <w:rFonts w:ascii="Cambria" w:hAnsi="Cambria"/>
        </w:rPr>
        <w:t xml:space="preserve"> (Sulc.)’, </w:t>
      </w:r>
      <w:r>
        <w:rPr>
          <w:rFonts w:ascii="Cambria" w:hAnsi="Cambria"/>
          <w:i/>
        </w:rPr>
        <w:t>Applied and Environmental Microbiology</w:t>
      </w:r>
      <w:r>
        <w:rPr>
          <w:rFonts w:ascii="Cambria" w:hAnsi="Cambria"/>
        </w:rPr>
        <w:t>, vol. 74, pp. 5862–5865.</w:t>
      </w:r>
    </w:p>
    <w:p w:rsidR="00AE7868" w:rsidRDefault="00FF2B57">
      <w:pPr>
        <w:autoSpaceDE w:val="0"/>
        <w:autoSpaceDN w:val="0"/>
        <w:adjustRightInd w:val="0"/>
        <w:spacing w:before="120" w:after="120"/>
        <w:rPr>
          <w:rFonts w:ascii="Cambria" w:eastAsia="Cambria" w:hAnsi="Cambria" w:cs="TimesNewRomanPSMT"/>
        </w:rPr>
      </w:pPr>
      <w:r>
        <w:rPr>
          <w:rFonts w:ascii="Cambria" w:eastAsia="Cambria" w:hAnsi="Cambria" w:cs="TimesNewRomanPSMT"/>
        </w:rPr>
        <w:t>Hodkinson, ID 1974, ‘</w:t>
      </w:r>
      <w:r>
        <w:rPr>
          <w:rFonts w:ascii="Cambria" w:eastAsia="Cambria" w:hAnsi="Cambria" w:cs="MeridienLTStd-Roman"/>
        </w:rPr>
        <w:t>The</w:t>
      </w:r>
      <w:r>
        <w:rPr>
          <w:rFonts w:ascii="Cambria" w:eastAsia="Cambria" w:hAnsi="Cambria" w:cs="TimesNewRomanPSMT"/>
        </w:rPr>
        <w:t xml:space="preserve"> biology of the Psylloidea (Homoptera): a review’, </w:t>
      </w:r>
      <w:r>
        <w:rPr>
          <w:rFonts w:ascii="Cambria" w:eastAsia="Cambria" w:hAnsi="Cambria" w:cs="TimesNewRomanPSMT"/>
          <w:i/>
        </w:rPr>
        <w:t>Bulletin of Entomological Research</w:t>
      </w:r>
      <w:r>
        <w:rPr>
          <w:rFonts w:ascii="Cambria" w:eastAsia="Cambria" w:hAnsi="Cambria" w:cs="TimesNewRomanPSMT"/>
        </w:rPr>
        <w:t>, vol. 64, pp. 325–338.</w:t>
      </w:r>
    </w:p>
    <w:p w:rsidR="00AE7868" w:rsidRDefault="00FF2B57">
      <w:pPr>
        <w:autoSpaceDE w:val="0"/>
        <w:autoSpaceDN w:val="0"/>
        <w:adjustRightInd w:val="0"/>
        <w:spacing w:before="120" w:after="120"/>
        <w:rPr>
          <w:rFonts w:ascii="Cambria" w:eastAsia="Cambria" w:hAnsi="Cambria" w:cs="TimesNewRomanPSMT"/>
        </w:rPr>
      </w:pPr>
      <w:r>
        <w:rPr>
          <w:rFonts w:ascii="Cambria" w:eastAsia="Cambria" w:hAnsi="Cambria" w:cs="TimesNewRomanPSMT"/>
        </w:rPr>
        <w:t xml:space="preserve">Hodkinson, ID 1981, ‘Status and taxonomy of the </w:t>
      </w:r>
      <w:r>
        <w:rPr>
          <w:rFonts w:ascii="Cambria" w:eastAsia="Cambria" w:hAnsi="Cambria" w:cs="TimesNewRomanPS-ItalicMT"/>
          <w:i/>
          <w:iCs/>
        </w:rPr>
        <w:t xml:space="preserve">Trioza (Bactericera) nigricornis </w:t>
      </w:r>
      <w:r>
        <w:rPr>
          <w:rFonts w:ascii="Cambria" w:eastAsia="Cambria" w:hAnsi="Cambria" w:cs="TimesNewRomanPSMT"/>
        </w:rPr>
        <w:t xml:space="preserve">Förster complex (Hemiptera: Triozidae)’, </w:t>
      </w:r>
      <w:r>
        <w:rPr>
          <w:rFonts w:ascii="Cambria" w:eastAsia="Cambria" w:hAnsi="Cambria" w:cs="TimesNewRomanPSMT"/>
          <w:i/>
        </w:rPr>
        <w:t>Bulletin of Entomological Research</w:t>
      </w:r>
      <w:r>
        <w:rPr>
          <w:rFonts w:ascii="Cambria" w:eastAsia="Cambria" w:hAnsi="Cambria" w:cs="TimesNewRomanPSMT"/>
        </w:rPr>
        <w:t>, vol. 71, pp. 671–679.</w:t>
      </w:r>
    </w:p>
    <w:p w:rsidR="00AE7868" w:rsidRDefault="00FF2B57">
      <w:pPr>
        <w:autoSpaceDE w:val="0"/>
        <w:autoSpaceDN w:val="0"/>
        <w:adjustRightInd w:val="0"/>
        <w:spacing w:before="120" w:after="120"/>
        <w:rPr>
          <w:rFonts w:ascii="Cambria" w:hAnsi="Cambria"/>
        </w:rPr>
      </w:pPr>
      <w:r>
        <w:rPr>
          <w:rFonts w:ascii="Cambria" w:hAnsi="Cambria"/>
        </w:rPr>
        <w:t>Hodkinson, ID 1984, ‘The biology and ecology of the gall-forming Psylloidea’, In: Ananthakrishnan R,</w:t>
      </w:r>
      <w:r>
        <w:rPr>
          <w:rFonts w:ascii="Cambria" w:hAnsi="Cambria"/>
          <w:i/>
        </w:rPr>
        <w:t xml:space="preserve"> The Biology of Gall Forming Insects</w:t>
      </w:r>
      <w:r>
        <w:rPr>
          <w:rFonts w:ascii="Cambria" w:hAnsi="Cambria"/>
        </w:rPr>
        <w:t xml:space="preserve">, London, UK, pp. 59–77. </w:t>
      </w:r>
    </w:p>
    <w:p w:rsidR="00AE7868" w:rsidRDefault="00FF2B57">
      <w:pPr>
        <w:autoSpaceDE w:val="0"/>
        <w:autoSpaceDN w:val="0"/>
        <w:adjustRightInd w:val="0"/>
        <w:spacing w:before="120" w:after="120"/>
        <w:rPr>
          <w:rFonts w:ascii="Cambria" w:eastAsia="Cambria" w:hAnsi="Cambria" w:cs="TimesNewRomanPSMT"/>
        </w:rPr>
      </w:pPr>
      <w:r>
        <w:rPr>
          <w:rFonts w:ascii="Cambria" w:eastAsia="Cambria" w:hAnsi="Cambria" w:cs="TimesNewRomanPSMT"/>
        </w:rPr>
        <w:t xml:space="preserve">Hodkinson, ID 2009, ‘Life cycle variation and adaptation in jumping plant lice (Insecta: Hemiptera: Psylloidea): a global synthesis’, </w:t>
      </w:r>
      <w:r>
        <w:rPr>
          <w:rFonts w:ascii="Cambria" w:eastAsia="Cambria" w:hAnsi="Cambria" w:cs="TimesNewRomanPSMT"/>
          <w:i/>
        </w:rPr>
        <w:t>Journal of Natural History</w:t>
      </w:r>
      <w:r>
        <w:rPr>
          <w:rFonts w:ascii="Cambria" w:eastAsia="Cambria" w:hAnsi="Cambria" w:cs="TimesNewRomanPSMT"/>
        </w:rPr>
        <w:t>, vol. 43, pp. 65–179.</w:t>
      </w:r>
    </w:p>
    <w:p w:rsidR="00AE7868" w:rsidRDefault="00FF2B57">
      <w:pPr>
        <w:spacing w:before="120" w:after="120"/>
        <w:jc w:val="both"/>
        <w:rPr>
          <w:rFonts w:ascii="Cambria" w:hAnsi="Cambria"/>
        </w:rPr>
      </w:pPr>
      <w:r>
        <w:rPr>
          <w:rFonts w:ascii="Cambria" w:hAnsi="Cambria"/>
        </w:rPr>
        <w:t>Jagoueix, S, Bové, JM &amp; Garnier, M 1996, ‘PCR detection of the two ‘</w:t>
      </w:r>
      <w:r>
        <w:rPr>
          <w:rFonts w:ascii="Cambria" w:hAnsi="Cambria"/>
          <w:i/>
        </w:rPr>
        <w:t>Candidatus</w:t>
      </w:r>
      <w:r>
        <w:rPr>
          <w:rFonts w:ascii="Cambria" w:hAnsi="Cambria"/>
        </w:rPr>
        <w:t xml:space="preserve">’ Liberibacter species associated with greening disease of citrus’, </w:t>
      </w:r>
      <w:r>
        <w:rPr>
          <w:rFonts w:ascii="Cambria" w:hAnsi="Cambria"/>
          <w:i/>
          <w:iCs/>
        </w:rPr>
        <w:t>Molecular and</w:t>
      </w:r>
      <w:r>
        <w:rPr>
          <w:rFonts w:ascii="Cambria" w:hAnsi="Cambria"/>
        </w:rPr>
        <w:t xml:space="preserve"> </w:t>
      </w:r>
      <w:r>
        <w:rPr>
          <w:rFonts w:ascii="Cambria" w:hAnsi="Cambria"/>
          <w:i/>
          <w:iCs/>
        </w:rPr>
        <w:t>cellular Probes</w:t>
      </w:r>
      <w:r>
        <w:rPr>
          <w:rFonts w:ascii="Cambria" w:hAnsi="Cambria"/>
          <w:iCs/>
        </w:rPr>
        <w:t>, vol.</w:t>
      </w:r>
      <w:r>
        <w:rPr>
          <w:rFonts w:ascii="Cambria" w:hAnsi="Cambria"/>
          <w:i/>
          <w:iCs/>
        </w:rPr>
        <w:t xml:space="preserve"> </w:t>
      </w:r>
      <w:r>
        <w:rPr>
          <w:rFonts w:ascii="Cambria" w:hAnsi="Cambria"/>
          <w:bCs/>
        </w:rPr>
        <w:t>10, pp.</w:t>
      </w:r>
      <w:r>
        <w:rPr>
          <w:rFonts w:ascii="Cambria" w:hAnsi="Cambria"/>
        </w:rPr>
        <w:t xml:space="preserve"> 43–50.</w:t>
      </w:r>
    </w:p>
    <w:p w:rsidR="00AE7868" w:rsidRDefault="00FF2B57">
      <w:pPr>
        <w:spacing w:before="120" w:after="120"/>
        <w:rPr>
          <w:rFonts w:ascii="Cambria" w:hAnsi="Cambria" w:cs="ArialMT"/>
        </w:rPr>
      </w:pPr>
      <w:r>
        <w:rPr>
          <w:rFonts w:ascii="Cambria" w:hAnsi="Cambria" w:cs="ArialMT"/>
        </w:rPr>
        <w:lastRenderedPageBreak/>
        <w:t xml:space="preserve">Janse, JD 2012, ‘Bacterial diseases that may or do emerge, with (possible) economic damage for Europe and the Mediterranean basin: notes on epidemiology, risks, prevention and management on first occurrence’, </w:t>
      </w:r>
      <w:r>
        <w:rPr>
          <w:rFonts w:ascii="Cambria" w:hAnsi="Cambria" w:cs="ArialMT"/>
          <w:i/>
        </w:rPr>
        <w:t>Journal of Plant Pathology</w:t>
      </w:r>
      <w:r>
        <w:rPr>
          <w:rFonts w:ascii="Cambria" w:hAnsi="Cambria" w:cs="ArialMT"/>
        </w:rPr>
        <w:t>, vol. 94, no. S4.5–S4.29.</w:t>
      </w:r>
    </w:p>
    <w:p w:rsidR="00AE7868" w:rsidRDefault="00FF2B57">
      <w:pPr>
        <w:autoSpaceDE w:val="0"/>
        <w:autoSpaceDN w:val="0"/>
        <w:adjustRightInd w:val="0"/>
        <w:spacing w:before="120" w:after="120"/>
        <w:rPr>
          <w:rFonts w:ascii="Cambria" w:hAnsi="Cambria"/>
        </w:rPr>
      </w:pPr>
      <w:r>
        <w:rPr>
          <w:rFonts w:ascii="Cambria" w:hAnsi="Cambria"/>
        </w:rPr>
        <w:t>Kim, JS, Sagaram, US, Burns, JK, Li, JL &amp; Wang N 2009, ‘Response of sweet orange (</w:t>
      </w:r>
      <w:r>
        <w:rPr>
          <w:rFonts w:ascii="Cambria" w:hAnsi="Cambria"/>
          <w:i/>
        </w:rPr>
        <w:t>Citrus sinensis</w:t>
      </w:r>
      <w:r>
        <w:rPr>
          <w:rFonts w:ascii="Cambria" w:hAnsi="Cambria"/>
        </w:rPr>
        <w:t>) to ‘</w:t>
      </w:r>
      <w:r>
        <w:rPr>
          <w:rFonts w:ascii="Cambria" w:hAnsi="Cambria"/>
          <w:i/>
        </w:rPr>
        <w:t>Candidatus</w:t>
      </w:r>
      <w:r>
        <w:rPr>
          <w:rFonts w:ascii="Cambria" w:hAnsi="Cambria"/>
        </w:rPr>
        <w:t xml:space="preserve"> Liberibacter asiaticus’ infection: microscopy and microarray analysis’, </w:t>
      </w:r>
      <w:r>
        <w:rPr>
          <w:rFonts w:ascii="Cambria" w:hAnsi="Cambria"/>
          <w:i/>
        </w:rPr>
        <w:t>Phytopathology,</w:t>
      </w:r>
      <w:r>
        <w:rPr>
          <w:rFonts w:ascii="Cambria" w:hAnsi="Cambria"/>
        </w:rPr>
        <w:t xml:space="preserve"> vol. 99, pp. 50–57.</w:t>
      </w:r>
    </w:p>
    <w:p w:rsidR="00AE7868" w:rsidRDefault="00FF2B57">
      <w:pPr>
        <w:autoSpaceDE w:val="0"/>
        <w:autoSpaceDN w:val="0"/>
        <w:adjustRightInd w:val="0"/>
        <w:spacing w:before="120" w:after="120"/>
        <w:rPr>
          <w:rFonts w:ascii="Cambria" w:hAnsi="Cambria"/>
        </w:rPr>
      </w:pPr>
      <w:r>
        <w:rPr>
          <w:rFonts w:ascii="Cambria" w:hAnsi="Cambria"/>
        </w:rPr>
        <w:t xml:space="preserve">Klimaszewski, SM 1968, ‘Psyllidologische Notizen, XV-XVI’, </w:t>
      </w:r>
      <w:r>
        <w:rPr>
          <w:rFonts w:ascii="Cambria" w:hAnsi="Cambria"/>
          <w:i/>
        </w:rPr>
        <w:t>Polskie Pismo Entomologiczne</w:t>
      </w:r>
      <w:r>
        <w:rPr>
          <w:rFonts w:ascii="Cambria" w:hAnsi="Cambria"/>
        </w:rPr>
        <w:t>, vol. 38, pp. 781–790.</w:t>
      </w:r>
    </w:p>
    <w:p w:rsidR="00AE7868" w:rsidRDefault="00FF2B57">
      <w:pPr>
        <w:autoSpaceDE w:val="0"/>
        <w:autoSpaceDN w:val="0"/>
        <w:adjustRightInd w:val="0"/>
        <w:spacing w:before="120" w:after="120"/>
        <w:rPr>
          <w:rFonts w:ascii="Cambria" w:hAnsi="Cambria"/>
        </w:rPr>
      </w:pPr>
      <w:r>
        <w:rPr>
          <w:rFonts w:ascii="Cambria" w:hAnsi="Cambria"/>
        </w:rPr>
        <w:t xml:space="preserve">Klimaszewski, SM &amp; Lodos, N 1979, ‘Further data about jumping plant lice of Turkey (Homoptera, Psylloidea)’, </w:t>
      </w:r>
      <w:r>
        <w:rPr>
          <w:rFonts w:ascii="Cambria" w:hAnsi="Cambria"/>
          <w:i/>
        </w:rPr>
        <w:t>Turkiye Bitki Koruma Dergisi</w:t>
      </w:r>
      <w:r>
        <w:rPr>
          <w:rFonts w:ascii="Cambria" w:hAnsi="Cambria"/>
        </w:rPr>
        <w:t>, vol. 3, no. 1, pp. 3–16.</w:t>
      </w:r>
    </w:p>
    <w:p w:rsidR="00AE7868" w:rsidRDefault="00FF2B57">
      <w:pPr>
        <w:autoSpaceDE w:val="0"/>
        <w:autoSpaceDN w:val="0"/>
        <w:adjustRightInd w:val="0"/>
        <w:spacing w:before="120" w:after="120"/>
        <w:rPr>
          <w:rFonts w:ascii="Cambria" w:hAnsi="Cambria"/>
        </w:rPr>
      </w:pPr>
      <w:r>
        <w:rPr>
          <w:rFonts w:ascii="Cambria" w:hAnsi="Cambria"/>
        </w:rPr>
        <w:t>Korsten, L, Jagoueix, S, Bové, JM &amp; Garnier, M 1996, ‘Huanglongbing (greening) detection in South Africa’, Proceedings of the Thirteenth Conference of the International Organization of Citrus Virologists, 16–23 November 1995, Fuzhou, Fujian, China, pp. 395–398.</w:t>
      </w:r>
    </w:p>
    <w:p w:rsidR="00AE7868" w:rsidRDefault="00FF2B57">
      <w:pPr>
        <w:autoSpaceDE w:val="0"/>
        <w:autoSpaceDN w:val="0"/>
        <w:adjustRightInd w:val="0"/>
        <w:spacing w:before="120" w:after="120"/>
        <w:rPr>
          <w:rFonts w:ascii="Cambria" w:hAnsi="Cambria"/>
        </w:rPr>
      </w:pPr>
      <w:r>
        <w:rPr>
          <w:rFonts w:ascii="Cambria" w:hAnsi="Cambria"/>
        </w:rPr>
        <w:t>Kristoffersen, L &amp; Anderbrant, O 2007, ‘Carrot psyllid (</w:t>
      </w:r>
      <w:r>
        <w:rPr>
          <w:rFonts w:ascii="Cambria" w:hAnsi="Cambria"/>
          <w:i/>
        </w:rPr>
        <w:t>Trioza apicalis</w:t>
      </w:r>
      <w:r>
        <w:rPr>
          <w:rFonts w:ascii="Cambria" w:hAnsi="Cambria"/>
        </w:rPr>
        <w:t xml:space="preserve">) winter habitats – insights in shelter plant preference and migratory capacity’, </w:t>
      </w:r>
      <w:r>
        <w:rPr>
          <w:rFonts w:ascii="Cambria" w:hAnsi="Cambria"/>
          <w:i/>
        </w:rPr>
        <w:t>Journal of Applied Entomology</w:t>
      </w:r>
      <w:r>
        <w:rPr>
          <w:rFonts w:ascii="Cambria" w:hAnsi="Cambria"/>
        </w:rPr>
        <w:t>, vol. 131, pp. 174–178.</w:t>
      </w:r>
    </w:p>
    <w:p w:rsidR="00AE7868" w:rsidRDefault="00FF2B57">
      <w:pPr>
        <w:autoSpaceDE w:val="0"/>
        <w:autoSpaceDN w:val="0"/>
        <w:adjustRightInd w:val="0"/>
        <w:spacing w:before="120" w:after="120"/>
        <w:rPr>
          <w:rFonts w:ascii="Cambria" w:hAnsi="Cambria"/>
        </w:rPr>
      </w:pPr>
      <w:r>
        <w:rPr>
          <w:rFonts w:ascii="Cambria" w:hAnsi="Cambria"/>
        </w:rPr>
        <w:t xml:space="preserve">Krumrey, G &amp; Wendland EJ 1973, ‘Versuchsergebnisse zur Beka¨mpfung des Mo¨ hrenblattßohes’, </w:t>
      </w:r>
      <w:r>
        <w:rPr>
          <w:rFonts w:ascii="Cambria" w:hAnsi="Cambria"/>
          <w:i/>
        </w:rPr>
        <w:t>Gesunde Pßanzen</w:t>
      </w:r>
      <w:r>
        <w:rPr>
          <w:rFonts w:ascii="Cambria" w:hAnsi="Cambria"/>
        </w:rPr>
        <w:t>, vol. 25. pp. 174–178.</w:t>
      </w:r>
    </w:p>
    <w:p w:rsidR="00AE7868" w:rsidRDefault="00FF2B57">
      <w:pPr>
        <w:autoSpaceDE w:val="0"/>
        <w:autoSpaceDN w:val="0"/>
        <w:adjustRightInd w:val="0"/>
        <w:spacing w:before="120" w:after="120"/>
        <w:rPr>
          <w:rFonts w:ascii="Cambria" w:eastAsia="Cambria" w:hAnsi="Cambria" w:cs="MeridienLTStd-Roman"/>
        </w:rPr>
      </w:pPr>
      <w:r>
        <w:rPr>
          <w:rFonts w:ascii="Cambria" w:eastAsia="Cambria" w:hAnsi="Cambria" w:cs="MeridienLTStd-Roman"/>
        </w:rPr>
        <w:lastRenderedPageBreak/>
        <w:t xml:space="preserve">Láska, P 1964, ‘Contribution to bionomy and control of </w:t>
      </w:r>
      <w:r>
        <w:rPr>
          <w:rFonts w:ascii="Cambria" w:eastAsia="Cambria" w:hAnsi="Cambria" w:cs="MeridienLTStd-Roman"/>
          <w:i/>
        </w:rPr>
        <w:t>Trioza apicalis</w:t>
      </w:r>
      <w:r>
        <w:rPr>
          <w:rFonts w:ascii="Cambria" w:eastAsia="Cambria" w:hAnsi="Cambria" w:cs="MeridienLTStd-Roman"/>
        </w:rPr>
        <w:t xml:space="preserve"> Forster’, (Czech with German summary), </w:t>
      </w:r>
      <w:r>
        <w:rPr>
          <w:rFonts w:ascii="Cambria" w:eastAsia="Cambria" w:hAnsi="Cambria" w:cs="MeridienLTStd-Roman"/>
          <w:i/>
        </w:rPr>
        <w:t>Zoologicke Listy</w:t>
      </w:r>
      <w:r>
        <w:rPr>
          <w:rFonts w:ascii="Cambria" w:eastAsia="Cambria" w:hAnsi="Cambria" w:cs="MeridienLTStd-Roman"/>
        </w:rPr>
        <w:t>, vol. 13, pp. 327–332.</w:t>
      </w:r>
    </w:p>
    <w:p w:rsidR="00AE7868" w:rsidRDefault="00FF2B57">
      <w:pPr>
        <w:autoSpaceDE w:val="0"/>
        <w:autoSpaceDN w:val="0"/>
        <w:adjustRightInd w:val="0"/>
        <w:spacing w:before="120" w:after="120"/>
        <w:rPr>
          <w:rFonts w:ascii="Cambria" w:hAnsi="Cambria"/>
        </w:rPr>
      </w:pPr>
      <w:r>
        <w:rPr>
          <w:rFonts w:ascii="Cambria" w:hAnsi="Cambria"/>
        </w:rPr>
        <w:t>Láska, P 1974, ‘Studie uber den Mohrenblattfloh (</w:t>
      </w:r>
      <w:r>
        <w:rPr>
          <w:rFonts w:ascii="Cambria" w:hAnsi="Cambria"/>
          <w:i/>
        </w:rPr>
        <w:t>Trioza apicalis</w:t>
      </w:r>
      <w:r>
        <w:rPr>
          <w:rFonts w:ascii="Cambria" w:hAnsi="Cambria"/>
        </w:rPr>
        <w:t xml:space="preserve"> Forst.) (Triozidae, Homoptera)’, </w:t>
      </w:r>
      <w:r>
        <w:rPr>
          <w:rFonts w:ascii="Cambria" w:hAnsi="Cambria"/>
          <w:i/>
        </w:rPr>
        <w:t>Acta Scientiarum Naturalium Academiae Scientiarum Bohemoslovacae</w:t>
      </w:r>
      <w:r>
        <w:rPr>
          <w:rFonts w:ascii="Cambria" w:hAnsi="Cambria"/>
        </w:rPr>
        <w:t>, vol. 8, pp. 1–44.</w:t>
      </w:r>
    </w:p>
    <w:p w:rsidR="00AE7868" w:rsidRDefault="00FF2B57">
      <w:pPr>
        <w:autoSpaceDE w:val="0"/>
        <w:autoSpaceDN w:val="0"/>
        <w:adjustRightInd w:val="0"/>
        <w:spacing w:before="120" w:after="120"/>
        <w:rPr>
          <w:rFonts w:ascii="Cambria" w:hAnsi="Cambria"/>
        </w:rPr>
      </w:pPr>
      <w:r>
        <w:rPr>
          <w:rFonts w:ascii="Cambria" w:hAnsi="Cambria"/>
        </w:rPr>
        <w:t xml:space="preserve">Láska, P 2011, ‘Biology of </w:t>
      </w:r>
      <w:r>
        <w:rPr>
          <w:rFonts w:ascii="Cambria" w:hAnsi="Cambria"/>
          <w:i/>
        </w:rPr>
        <w:t>Trioza apicalis</w:t>
      </w:r>
      <w:r>
        <w:rPr>
          <w:rFonts w:ascii="Cambria" w:hAnsi="Cambria"/>
        </w:rPr>
        <w:t xml:space="preserve"> – A Review’, </w:t>
      </w:r>
      <w:r>
        <w:rPr>
          <w:rFonts w:ascii="Cambria" w:hAnsi="Cambria"/>
          <w:i/>
        </w:rPr>
        <w:t>Plant Protection Science</w:t>
      </w:r>
      <w:r>
        <w:rPr>
          <w:rFonts w:ascii="Cambria" w:hAnsi="Cambria"/>
        </w:rPr>
        <w:t>, vol. 47, no. 2, pp. 68–77.</w:t>
      </w:r>
    </w:p>
    <w:p w:rsidR="00AE7868" w:rsidRDefault="00FF2B57">
      <w:pPr>
        <w:spacing w:before="120" w:after="120"/>
        <w:rPr>
          <w:rFonts w:ascii="Cambria" w:hAnsi="Cambria"/>
        </w:rPr>
      </w:pPr>
      <w:r>
        <w:rPr>
          <w:rFonts w:ascii="Cambria" w:hAnsi="Cambria"/>
        </w:rPr>
        <w:t xml:space="preserve">Lauterer, P 1991, ‘Psyllids (Homoptera, Psylloidea) of the limestone cliff zone of the Pavlovské vrchy Hills (Czechoslovakia)’, </w:t>
      </w:r>
      <w:r>
        <w:rPr>
          <w:rFonts w:ascii="Cambria" w:hAnsi="Cambria"/>
          <w:i/>
          <w:iCs/>
        </w:rPr>
        <w:t xml:space="preserve">Acta musei Moraviae (Scientiae naturals), </w:t>
      </w:r>
      <w:r>
        <w:rPr>
          <w:rFonts w:ascii="Cambria" w:hAnsi="Cambria"/>
          <w:iCs/>
        </w:rPr>
        <w:t xml:space="preserve">vol. </w:t>
      </w:r>
      <w:r>
        <w:rPr>
          <w:rFonts w:ascii="Cambria" w:hAnsi="Cambria"/>
          <w:bCs/>
        </w:rPr>
        <w:t>76</w:t>
      </w:r>
      <w:r>
        <w:rPr>
          <w:rFonts w:ascii="Cambria" w:hAnsi="Cambria"/>
        </w:rPr>
        <w:t xml:space="preserve">, pp. 241–263. </w:t>
      </w:r>
    </w:p>
    <w:p w:rsidR="00AE7868" w:rsidRDefault="00FF2B57">
      <w:pPr>
        <w:autoSpaceDE w:val="0"/>
        <w:autoSpaceDN w:val="0"/>
        <w:adjustRightInd w:val="0"/>
        <w:spacing w:before="120" w:after="120"/>
        <w:rPr>
          <w:rFonts w:ascii="Cambria" w:eastAsia="Cambria" w:hAnsi="Cambria" w:cs="Highland-Roman"/>
        </w:rPr>
      </w:pPr>
      <w:r>
        <w:rPr>
          <w:rFonts w:ascii="Cambria" w:eastAsia="Cambria" w:hAnsi="Cambria" w:cs="Highland-Roman"/>
        </w:rPr>
        <w:t>Lee, IM, Martine, M, Bottner, KD, Dane, RA, Blac,k MC &amp; Toxclair, N 2003, ‘Ecological implications from a molecular analysis of phytoplasmas involved in an aster yellows epidemic in various crops in Texas’,</w:t>
      </w:r>
      <w:r>
        <w:rPr>
          <w:rFonts w:ascii="Cambria" w:eastAsia="Cambria" w:hAnsi="Cambria" w:cs="Highland-Roman"/>
          <w:i/>
        </w:rPr>
        <w:t xml:space="preserve"> Phytopathology</w:t>
      </w:r>
      <w:r>
        <w:rPr>
          <w:rFonts w:ascii="Cambria" w:eastAsia="Cambria" w:hAnsi="Cambria" w:cs="Highland-Roman"/>
        </w:rPr>
        <w:t>, vol. 93, pp. 1368–1377.</w:t>
      </w:r>
    </w:p>
    <w:p w:rsidR="00AE7868" w:rsidRDefault="00FF2B57">
      <w:pPr>
        <w:autoSpaceDE w:val="0"/>
        <w:autoSpaceDN w:val="0"/>
        <w:adjustRightInd w:val="0"/>
        <w:spacing w:before="120" w:after="120"/>
        <w:rPr>
          <w:rFonts w:ascii="Cambria" w:eastAsia="Cambria" w:hAnsi="Cambria" w:cs="Highland-Roman"/>
        </w:rPr>
      </w:pPr>
      <w:r>
        <w:rPr>
          <w:rFonts w:ascii="Cambria" w:eastAsia="Cambria" w:hAnsi="Cambria" w:cs="Highland-Roman"/>
        </w:rPr>
        <w:t xml:space="preserve">Lee, IM, Bottner, KD, Munyaneza, JE, Davis, RE, Crosslin, JM, du Toit LJ &amp; Crosby, T 2006, ‘Carrot purple leaf: a new spiroplasma disease associated with carrots in Washington State’, </w:t>
      </w:r>
      <w:r>
        <w:rPr>
          <w:rFonts w:ascii="Cambria" w:eastAsia="Cambria" w:hAnsi="Cambria" w:cs="Highland-Roman"/>
          <w:i/>
        </w:rPr>
        <w:t>Plant Disease,</w:t>
      </w:r>
      <w:r>
        <w:rPr>
          <w:rFonts w:ascii="Cambria" w:eastAsia="Cambria" w:hAnsi="Cambria" w:cs="Highland-Roman"/>
        </w:rPr>
        <w:t xml:space="preserve"> vol. 90, pp. 989–993.</w:t>
      </w:r>
    </w:p>
    <w:p w:rsidR="00AE7868" w:rsidRDefault="00FF2B57">
      <w:pPr>
        <w:spacing w:before="120" w:after="120"/>
        <w:rPr>
          <w:rFonts w:ascii="Cambria" w:hAnsi="Cambria" w:cs="Arial"/>
          <w:shd w:val="clear" w:color="auto" w:fill="FFFFFF"/>
        </w:rPr>
      </w:pPr>
      <w:r>
        <w:rPr>
          <w:rFonts w:ascii="Cambria" w:hAnsi="Cambria" w:cs="Arial"/>
          <w:shd w:val="clear" w:color="auto" w:fill="FFFFFF"/>
        </w:rPr>
        <w:t xml:space="preserve">Leonard, MT, Fagen, JR, Davis-Richardson, AG, Davis, MJ &amp; Triplett, EW 2012, ‘Complete genome sequence of </w:t>
      </w:r>
      <w:r>
        <w:rPr>
          <w:rFonts w:ascii="Cambria" w:hAnsi="Cambria" w:cs="Arial"/>
          <w:i/>
          <w:iCs/>
          <w:shd w:val="clear" w:color="auto" w:fill="FFFFFF"/>
        </w:rPr>
        <w:t>Liberibacter crescens</w:t>
      </w:r>
      <w:r>
        <w:rPr>
          <w:rStyle w:val="apple-converted-space"/>
          <w:rFonts w:ascii="Cambria" w:hAnsi="Cambria" w:cs="Arial"/>
          <w:shd w:val="clear" w:color="auto" w:fill="FFFFFF"/>
        </w:rPr>
        <w:t xml:space="preserve"> </w:t>
      </w:r>
      <w:r>
        <w:rPr>
          <w:rFonts w:ascii="Cambria" w:hAnsi="Cambria" w:cs="Arial"/>
          <w:shd w:val="clear" w:color="auto" w:fill="FFFFFF"/>
        </w:rPr>
        <w:t xml:space="preserve">BT-1’, </w:t>
      </w:r>
      <w:r>
        <w:rPr>
          <w:rFonts w:ascii="Cambria" w:hAnsi="Cambria" w:cs="Arial"/>
          <w:i/>
          <w:iCs/>
          <w:shd w:val="clear" w:color="auto" w:fill="FFFFFF"/>
        </w:rPr>
        <w:t xml:space="preserve">Standards in Genomic Sciences, </w:t>
      </w:r>
      <w:r>
        <w:rPr>
          <w:rFonts w:ascii="Cambria" w:hAnsi="Cambria" w:cs="Arial"/>
          <w:iCs/>
          <w:shd w:val="clear" w:color="auto" w:fill="FFFFFF"/>
        </w:rPr>
        <w:t>vol. 7</w:t>
      </w:r>
      <w:r>
        <w:rPr>
          <w:rFonts w:ascii="Cambria" w:hAnsi="Cambria" w:cs="Arial"/>
          <w:shd w:val="clear" w:color="auto" w:fill="FFFFFF"/>
        </w:rPr>
        <w:t xml:space="preserve">, pp. 271–283. </w:t>
      </w:r>
    </w:p>
    <w:p w:rsidR="00AE7868" w:rsidRDefault="00FF2B57">
      <w:pPr>
        <w:autoSpaceDE w:val="0"/>
        <w:autoSpaceDN w:val="0"/>
        <w:adjustRightInd w:val="0"/>
        <w:spacing w:before="120" w:after="120"/>
        <w:rPr>
          <w:rFonts w:ascii="Cambria" w:hAnsi="Cambria" w:cs="AdvTT3713a231"/>
        </w:rPr>
      </w:pPr>
      <w:r>
        <w:rPr>
          <w:rFonts w:ascii="Cambria" w:hAnsi="Cambria" w:cs="AdvTT3713a231"/>
        </w:rPr>
        <w:lastRenderedPageBreak/>
        <w:t xml:space="preserve">Liefting, LW, Sutherland, PW, Ward, LI, Paice, KI, Weir, BS &amp; Clover, GRG 2009a, ‘A new </w:t>
      </w:r>
      <w:r>
        <w:rPr>
          <w:rFonts w:ascii="Cambria" w:eastAsia="AdvTT3713a231+20" w:hAnsi="Cambria" w:cs="AdvTT3713a231+20"/>
        </w:rPr>
        <w:t>‘</w:t>
      </w:r>
      <w:r>
        <w:rPr>
          <w:rFonts w:ascii="Cambria" w:hAnsi="Cambria" w:cs="AdvTT50a2f13e.I"/>
          <w:i/>
        </w:rPr>
        <w:t>Candidatus</w:t>
      </w:r>
      <w:r>
        <w:rPr>
          <w:rFonts w:ascii="Cambria" w:hAnsi="Cambria" w:cs="AdvTT50a2f13e.I"/>
        </w:rPr>
        <w:t xml:space="preserve"> </w:t>
      </w:r>
      <w:r>
        <w:rPr>
          <w:rFonts w:ascii="Cambria" w:hAnsi="Cambria" w:cs="AdvTT3713a231"/>
        </w:rPr>
        <w:t>Liberibacter</w:t>
      </w:r>
      <w:r>
        <w:rPr>
          <w:rFonts w:ascii="Cambria" w:eastAsia="AdvTT3713a231+20" w:hAnsi="Cambria" w:cs="AdvTT3713a231+20"/>
        </w:rPr>
        <w:t xml:space="preserve">’ </w:t>
      </w:r>
      <w:r>
        <w:rPr>
          <w:rFonts w:ascii="Cambria" w:hAnsi="Cambria" w:cs="AdvTT3713a231"/>
        </w:rPr>
        <w:t xml:space="preserve">species associated with diseases of solanaceous crops’, </w:t>
      </w:r>
      <w:r>
        <w:rPr>
          <w:rFonts w:ascii="Cambria" w:hAnsi="Cambria" w:cs="AdvTT50a2f13e.I"/>
          <w:i/>
        </w:rPr>
        <w:t>Plant Disease</w:t>
      </w:r>
      <w:r>
        <w:rPr>
          <w:rFonts w:ascii="Cambria" w:hAnsi="Cambria" w:cs="AdvTT50a2f13e.I"/>
        </w:rPr>
        <w:t xml:space="preserve">, vol. </w:t>
      </w:r>
      <w:r>
        <w:rPr>
          <w:rFonts w:ascii="Cambria" w:hAnsi="Cambria" w:cs="AdvTT3713a231"/>
        </w:rPr>
        <w:t>93, pp. 208</w:t>
      </w:r>
      <w:r>
        <w:rPr>
          <w:rFonts w:ascii="Cambria" w:eastAsia="AdvTT3713a231+20" w:hAnsi="Cambria" w:cs="AdvTT3713a231+20"/>
        </w:rPr>
        <w:t>–</w:t>
      </w:r>
      <w:r>
        <w:rPr>
          <w:rFonts w:ascii="Cambria" w:hAnsi="Cambria" w:cs="AdvTT3713a231"/>
        </w:rPr>
        <w:t>214.</w:t>
      </w:r>
    </w:p>
    <w:p w:rsidR="00AE7868" w:rsidRDefault="00FF2B57">
      <w:pPr>
        <w:autoSpaceDE w:val="0"/>
        <w:autoSpaceDN w:val="0"/>
        <w:adjustRightInd w:val="0"/>
        <w:spacing w:before="120" w:after="120"/>
        <w:rPr>
          <w:rFonts w:ascii="Cambria" w:hAnsi="Cambria"/>
        </w:rPr>
      </w:pPr>
      <w:r>
        <w:rPr>
          <w:rFonts w:ascii="Cambria" w:hAnsi="Cambria"/>
        </w:rPr>
        <w:t>Liefting, LW, Weir, BS, Pennycook, SR &amp; Clover, GRG 2009b, ‘‘</w:t>
      </w:r>
      <w:r>
        <w:rPr>
          <w:rFonts w:ascii="Cambria" w:hAnsi="Cambria"/>
          <w:i/>
        </w:rPr>
        <w:t>Candidatus</w:t>
      </w:r>
      <w:r>
        <w:rPr>
          <w:rFonts w:ascii="Cambria" w:hAnsi="Cambria"/>
        </w:rPr>
        <w:t xml:space="preserve"> Liberibacter solanacearum’, a liberibacter associated with plants in the family Solanaceae’, </w:t>
      </w:r>
      <w:r>
        <w:rPr>
          <w:rFonts w:ascii="Cambria" w:hAnsi="Cambria"/>
          <w:i/>
        </w:rPr>
        <w:t>International Journal of Systematic and Evolutionary Microbiology</w:t>
      </w:r>
      <w:r>
        <w:rPr>
          <w:rFonts w:ascii="Cambria" w:hAnsi="Cambria"/>
        </w:rPr>
        <w:t>, vol. 59, pp. 2274–2276.</w:t>
      </w:r>
    </w:p>
    <w:p w:rsidR="00AE7868" w:rsidRDefault="00FF2B57">
      <w:pPr>
        <w:autoSpaceDE w:val="0"/>
        <w:autoSpaceDN w:val="0"/>
        <w:adjustRightInd w:val="0"/>
        <w:spacing w:before="120" w:after="120"/>
        <w:rPr>
          <w:rFonts w:ascii="Cambria" w:hAnsi="Cambria"/>
        </w:rPr>
      </w:pPr>
      <w:r>
        <w:rPr>
          <w:rFonts w:ascii="Cambria" w:hAnsi="Cambria"/>
        </w:rPr>
        <w:t xml:space="preserve">Lin, H &amp; Gudmestad, NC 2013, ‘Aspects of pathogen genomics, diversity, epidemiology, vector dynamics, and disease management for a newly emerged disease of potato: zebra chip’, </w:t>
      </w:r>
      <w:r>
        <w:rPr>
          <w:rFonts w:ascii="Cambria" w:hAnsi="Cambria"/>
          <w:i/>
        </w:rPr>
        <w:t>Phytopathology</w:t>
      </w:r>
      <w:r>
        <w:rPr>
          <w:rFonts w:ascii="Cambria" w:hAnsi="Cambria"/>
        </w:rPr>
        <w:t>, vol. 103, pp. 524–537.</w:t>
      </w:r>
    </w:p>
    <w:p w:rsidR="00AE7868" w:rsidRDefault="00FF2B57">
      <w:pPr>
        <w:autoSpaceDE w:val="0"/>
        <w:autoSpaceDN w:val="0"/>
        <w:adjustRightInd w:val="0"/>
        <w:spacing w:before="120" w:after="120"/>
        <w:rPr>
          <w:rFonts w:ascii="Cambria" w:hAnsi="Cambria"/>
        </w:rPr>
      </w:pPr>
      <w:r>
        <w:rPr>
          <w:rFonts w:ascii="Cambria" w:hAnsi="Cambria"/>
        </w:rPr>
        <w:t>Ling, KS, Lin, H, Ivey, MLL, Zhang, W &amp; Miller, S 2011, ‘First report of ‘</w:t>
      </w:r>
      <w:r>
        <w:rPr>
          <w:rFonts w:ascii="Cambria" w:hAnsi="Cambria"/>
          <w:i/>
        </w:rPr>
        <w:t>Candidatus</w:t>
      </w:r>
      <w:r>
        <w:rPr>
          <w:rFonts w:ascii="Cambria" w:hAnsi="Cambria"/>
        </w:rPr>
        <w:t xml:space="preserve"> Liberibacter solanacearum’ naturally infecting tomatoes in the state of Mexico’, </w:t>
      </w:r>
      <w:r>
        <w:rPr>
          <w:rFonts w:ascii="Cambria" w:hAnsi="Cambria"/>
          <w:i/>
        </w:rPr>
        <w:t>Plant Disease,</w:t>
      </w:r>
      <w:r>
        <w:rPr>
          <w:rFonts w:ascii="Cambria" w:hAnsi="Cambria"/>
        </w:rPr>
        <w:t xml:space="preserve"> vol. 95, no. 1026.</w:t>
      </w:r>
    </w:p>
    <w:p w:rsidR="00AE7868" w:rsidRDefault="00FF2B57">
      <w:pPr>
        <w:autoSpaceDE w:val="0"/>
        <w:autoSpaceDN w:val="0"/>
        <w:adjustRightInd w:val="0"/>
        <w:spacing w:before="120" w:after="120"/>
        <w:rPr>
          <w:rFonts w:ascii="Cambria" w:hAnsi="Cambria"/>
        </w:rPr>
      </w:pPr>
      <w:r>
        <w:rPr>
          <w:rFonts w:ascii="Cambria" w:hAnsi="Cambria"/>
        </w:rPr>
        <w:t>Liu, D &amp; Trumble, JT 2004, ‘Tomato psyllid behavioural responses to tomato plant lines and interactions of plants lines with insecticides’, Journal of Economic Entomology, vol. 97, pp. 1078–1085.</w:t>
      </w:r>
    </w:p>
    <w:p w:rsidR="00AE7868" w:rsidRDefault="00FF2B57">
      <w:pPr>
        <w:autoSpaceDE w:val="0"/>
        <w:autoSpaceDN w:val="0"/>
        <w:adjustRightInd w:val="0"/>
        <w:spacing w:before="120" w:after="120"/>
        <w:rPr>
          <w:rFonts w:ascii="Cambria" w:hAnsi="Cambria"/>
        </w:rPr>
      </w:pPr>
      <w:r>
        <w:rPr>
          <w:rFonts w:ascii="Cambria" w:hAnsi="Cambria"/>
        </w:rPr>
        <w:t xml:space="preserve">Loginova, MM 1968, ‘New data on the fauna and biology of the Caucasian Psylloidea (Homoptera)’, </w:t>
      </w:r>
      <w:r>
        <w:rPr>
          <w:rFonts w:ascii="Cambria" w:hAnsi="Cambria"/>
          <w:i/>
        </w:rPr>
        <w:t>Trudy Vses Entomol Obshchestva</w:t>
      </w:r>
      <w:r>
        <w:rPr>
          <w:rFonts w:ascii="Cambria" w:hAnsi="Cambria"/>
        </w:rPr>
        <w:t>, vol. 52, pp. 275–328.</w:t>
      </w:r>
    </w:p>
    <w:p w:rsidR="00AE7868" w:rsidRDefault="00FF2B57">
      <w:pPr>
        <w:autoSpaceDE w:val="0"/>
        <w:autoSpaceDN w:val="0"/>
        <w:adjustRightInd w:val="0"/>
        <w:spacing w:before="120" w:after="120"/>
        <w:rPr>
          <w:rFonts w:ascii="Cambria" w:hAnsi="Cambria"/>
        </w:rPr>
      </w:pPr>
      <w:r>
        <w:rPr>
          <w:rFonts w:ascii="Cambria" w:hAnsi="Cambria"/>
        </w:rPr>
        <w:t xml:space="preserve">Loginova, MM 1970, ‘New psyllids (Homoptera: Psylloidea) from Soviet Central Asia’, </w:t>
      </w:r>
      <w:r>
        <w:rPr>
          <w:rFonts w:ascii="Cambria" w:hAnsi="Cambria"/>
          <w:i/>
        </w:rPr>
        <w:t>Entomol Obshchestva,</w:t>
      </w:r>
      <w:r>
        <w:rPr>
          <w:rFonts w:ascii="Cambria" w:hAnsi="Cambria"/>
        </w:rPr>
        <w:t xml:space="preserve"> vol. 49, pp. 370–385.</w:t>
      </w:r>
    </w:p>
    <w:p w:rsidR="00AE7868" w:rsidRDefault="00FF2B57">
      <w:pPr>
        <w:spacing w:before="120" w:after="120"/>
        <w:jc w:val="both"/>
        <w:rPr>
          <w:rFonts w:ascii="Cambria" w:hAnsi="Cambria" w:cs="Arial"/>
        </w:rPr>
      </w:pPr>
      <w:r>
        <w:rPr>
          <w:rFonts w:ascii="Cambria" w:hAnsi="Cambria" w:cs="Arial"/>
        </w:rPr>
        <w:lastRenderedPageBreak/>
        <w:t>Loiseau, M, Garnier, S, Boirin, V, Merieau, M, Leguay, A, Renaudin, I, Renvoisé JP &amp; Gentit, P 2014, ‘First report of ‘</w:t>
      </w:r>
      <w:r>
        <w:rPr>
          <w:rFonts w:ascii="Cambria" w:hAnsi="Cambria" w:cs="Arial"/>
          <w:i/>
        </w:rPr>
        <w:t>Candidatus</w:t>
      </w:r>
      <w:r>
        <w:rPr>
          <w:rFonts w:ascii="Cambria" w:hAnsi="Cambria" w:cs="Arial"/>
        </w:rPr>
        <w:t xml:space="preserve"> Liberibacter solanacearum’ in Carrot in France’, </w:t>
      </w:r>
      <w:r>
        <w:rPr>
          <w:rFonts w:ascii="Cambria" w:hAnsi="Cambria" w:cs="Arial"/>
          <w:i/>
        </w:rPr>
        <w:t>Plant Disease,</w:t>
      </w:r>
      <w:r>
        <w:rPr>
          <w:rFonts w:ascii="Cambria" w:hAnsi="Cambria" w:cs="Arial"/>
        </w:rPr>
        <w:t xml:space="preserve"> vol. 98, pp. 839.</w:t>
      </w:r>
    </w:p>
    <w:p w:rsidR="00AE7868" w:rsidRDefault="00FF2B57">
      <w:pPr>
        <w:spacing w:before="120" w:after="120"/>
        <w:jc w:val="both"/>
        <w:rPr>
          <w:rFonts w:ascii="Cambria" w:hAnsi="Cambria"/>
        </w:rPr>
      </w:pPr>
      <w:r>
        <w:rPr>
          <w:rFonts w:ascii="Cambria" w:hAnsi="Cambria"/>
        </w:rPr>
        <w:t>Lopes, SA &amp; Frare, GF 2008, ‘Graft transmission and cultivar reaction of citrus to ‘</w:t>
      </w:r>
      <w:r>
        <w:rPr>
          <w:rFonts w:ascii="Cambria" w:hAnsi="Cambria"/>
          <w:i/>
          <w:iCs/>
        </w:rPr>
        <w:t>Candidatus</w:t>
      </w:r>
      <w:r>
        <w:rPr>
          <w:rFonts w:ascii="Cambria" w:hAnsi="Cambria"/>
        </w:rPr>
        <w:t xml:space="preserve"> Liberibacter americanus’, </w:t>
      </w:r>
      <w:r>
        <w:rPr>
          <w:rFonts w:ascii="Cambria" w:hAnsi="Cambria"/>
          <w:i/>
          <w:iCs/>
        </w:rPr>
        <w:t>Plant Disease</w:t>
      </w:r>
      <w:r>
        <w:rPr>
          <w:rFonts w:ascii="Cambria" w:hAnsi="Cambria"/>
        </w:rPr>
        <w:t xml:space="preserve"> vol. </w:t>
      </w:r>
      <w:r>
        <w:rPr>
          <w:rFonts w:ascii="Cambria" w:hAnsi="Cambria"/>
          <w:bCs/>
        </w:rPr>
        <w:t>92, pp.</w:t>
      </w:r>
      <w:r>
        <w:rPr>
          <w:rFonts w:ascii="Cambria" w:hAnsi="Cambria"/>
        </w:rPr>
        <w:t xml:space="preserve"> 21–24.</w:t>
      </w:r>
    </w:p>
    <w:p w:rsidR="00AE7868" w:rsidRDefault="00FF2B57">
      <w:pPr>
        <w:spacing w:before="120" w:after="120"/>
        <w:rPr>
          <w:rFonts w:ascii="Cambria" w:hAnsi="Cambria"/>
        </w:rPr>
      </w:pPr>
      <w:r>
        <w:rPr>
          <w:rFonts w:ascii="Cambria" w:hAnsi="Cambria"/>
        </w:rPr>
        <w:t xml:space="preserve">Lopes, SA, Frare, GF, Bertolini, E, Cambra, M, Fernandes, NG, Ayres, AJ, Marin, DR &amp; </w:t>
      </w:r>
      <w:r>
        <w:rPr>
          <w:rFonts w:ascii="Cambria" w:eastAsia="Batang" w:hAnsi="Cambria"/>
        </w:rPr>
        <w:t>Bové,</w:t>
      </w:r>
      <w:r>
        <w:rPr>
          <w:rFonts w:ascii="Cambria" w:hAnsi="Cambria"/>
        </w:rPr>
        <w:t xml:space="preserve"> JM 2009, ‘Liberibacters associated citrus Huanglongbing in Brazil: ‘</w:t>
      </w:r>
      <w:r>
        <w:rPr>
          <w:rFonts w:ascii="Cambria" w:hAnsi="Cambria"/>
          <w:i/>
        </w:rPr>
        <w:t xml:space="preserve">Candidatus </w:t>
      </w:r>
      <w:r>
        <w:rPr>
          <w:rFonts w:ascii="Cambria" w:hAnsi="Cambria"/>
        </w:rPr>
        <w:t>Liberibacter asiaticus’ is heat tolerant, ‘</w:t>
      </w:r>
      <w:r>
        <w:rPr>
          <w:rFonts w:ascii="Cambria" w:hAnsi="Cambria"/>
          <w:i/>
        </w:rPr>
        <w:t xml:space="preserve">Candidatus </w:t>
      </w:r>
      <w:r>
        <w:rPr>
          <w:rFonts w:ascii="Cambria" w:hAnsi="Cambria"/>
        </w:rPr>
        <w:t xml:space="preserve">Liberibacter americanus’ is heat sensitive’, </w:t>
      </w:r>
      <w:r>
        <w:rPr>
          <w:rFonts w:ascii="Cambria" w:hAnsi="Cambria"/>
          <w:i/>
        </w:rPr>
        <w:t>Plant Disease,</w:t>
      </w:r>
      <w:r>
        <w:rPr>
          <w:rFonts w:ascii="Cambria" w:hAnsi="Cambria"/>
        </w:rPr>
        <w:t xml:space="preserve"> vol. 93, pp. 257–262.</w:t>
      </w:r>
    </w:p>
    <w:p w:rsidR="00AE7868" w:rsidRDefault="00FF2B57">
      <w:pPr>
        <w:autoSpaceDE w:val="0"/>
        <w:autoSpaceDN w:val="0"/>
        <w:adjustRightInd w:val="0"/>
        <w:spacing w:before="120" w:after="120"/>
        <w:rPr>
          <w:rFonts w:ascii="Cambria" w:eastAsia="Cambria" w:hAnsi="Cambria" w:cs="MeridienLTStd-Roman"/>
        </w:rPr>
      </w:pPr>
      <w:r>
        <w:rPr>
          <w:rFonts w:ascii="Cambria" w:eastAsia="Cambria" w:hAnsi="Cambria" w:cs="MeridienLTStd-Roman"/>
        </w:rPr>
        <w:t xml:space="preserve">Markkula, M &amp; Laurema, S 1971, ‘Phytotoxaemia caused by </w:t>
      </w:r>
      <w:r>
        <w:rPr>
          <w:rFonts w:ascii="Cambria" w:eastAsia="Cambria" w:hAnsi="Cambria" w:cs="MeridienLTStd-Roman"/>
          <w:i/>
        </w:rPr>
        <w:t>Trioza apicalis</w:t>
      </w:r>
      <w:r>
        <w:rPr>
          <w:rFonts w:ascii="Cambria" w:eastAsia="Cambria" w:hAnsi="Cambria" w:cs="MeridienLTStd-Roman"/>
        </w:rPr>
        <w:t xml:space="preserve"> Forster (Hom., Triozidae) on carrot’, </w:t>
      </w:r>
      <w:r>
        <w:rPr>
          <w:rFonts w:ascii="Cambria" w:eastAsia="Cambria" w:hAnsi="Cambria" w:cs="MeridienLTStd-Roman"/>
          <w:i/>
        </w:rPr>
        <w:t>Annales Agriculturae Fenniae</w:t>
      </w:r>
      <w:r>
        <w:rPr>
          <w:rFonts w:ascii="Cambria" w:eastAsia="Cambria" w:hAnsi="Cambria" w:cs="MeridienLTStd-Roman"/>
        </w:rPr>
        <w:t>, vol. 10, pp. 181–184.</w:t>
      </w:r>
    </w:p>
    <w:p w:rsidR="00AE7868" w:rsidRDefault="00FF2B57">
      <w:pPr>
        <w:autoSpaceDE w:val="0"/>
        <w:autoSpaceDN w:val="0"/>
        <w:adjustRightInd w:val="0"/>
        <w:spacing w:before="120" w:after="120"/>
        <w:rPr>
          <w:rFonts w:ascii="Cambria" w:eastAsia="Cambria" w:hAnsi="Cambria" w:cs="MeridienLTStd-Roman"/>
        </w:rPr>
      </w:pPr>
      <w:r>
        <w:rPr>
          <w:rFonts w:ascii="Cambria" w:eastAsia="Cambria" w:hAnsi="Cambria" w:cs="MeridienLTStd-Roman"/>
        </w:rPr>
        <w:t xml:space="preserve">Markkula, M, Laurema, S &amp; Tiittanen K 1976, ‘Systemic damage caused by </w:t>
      </w:r>
      <w:r>
        <w:rPr>
          <w:rFonts w:ascii="Cambria" w:eastAsia="Cambria" w:hAnsi="Cambria" w:cs="MeridienLTStd-Roman"/>
          <w:i/>
        </w:rPr>
        <w:t>Trioza apicalis</w:t>
      </w:r>
      <w:r>
        <w:rPr>
          <w:rFonts w:ascii="Cambria" w:eastAsia="Cambria" w:hAnsi="Cambria" w:cs="MeridienLTStd-Roman"/>
        </w:rPr>
        <w:t xml:space="preserve"> on carrot’, </w:t>
      </w:r>
      <w:r>
        <w:rPr>
          <w:rFonts w:ascii="Cambria" w:eastAsia="Cambria" w:hAnsi="Cambria" w:cs="MeridienLTStd-Roman"/>
          <w:i/>
        </w:rPr>
        <w:t>Symposia Biologica Hungarica</w:t>
      </w:r>
      <w:r>
        <w:rPr>
          <w:rFonts w:ascii="Cambria" w:eastAsia="Cambria" w:hAnsi="Cambria" w:cs="MeridienLTStd-Roman"/>
        </w:rPr>
        <w:t>, vol. 16, pp. 153–155.</w:t>
      </w:r>
    </w:p>
    <w:p w:rsidR="00AE7868" w:rsidRDefault="00FF2B57">
      <w:pPr>
        <w:autoSpaceDE w:val="0"/>
        <w:autoSpaceDN w:val="0"/>
        <w:adjustRightInd w:val="0"/>
        <w:spacing w:before="120" w:after="120"/>
        <w:rPr>
          <w:rFonts w:ascii="Cambria" w:hAnsi="Cambria"/>
        </w:rPr>
      </w:pPr>
      <w:r>
        <w:rPr>
          <w:rFonts w:ascii="Cambria" w:hAnsi="Cambria"/>
        </w:rPr>
        <w:t xml:space="preserve">Martini, X, Hoffman, M, Coy, MR, Stelinski, LL &amp; Pelz-Stelinksi, KS 2015, ‘Infection of an insect vector with a bacterial plant pathogen increases its propensity for dispersal’, </w:t>
      </w:r>
      <w:r>
        <w:rPr>
          <w:rFonts w:ascii="Cambria" w:hAnsi="Cambria"/>
          <w:i/>
        </w:rPr>
        <w:t>PLoS ONE</w:t>
      </w:r>
      <w:r>
        <w:rPr>
          <w:rFonts w:ascii="Cambria" w:hAnsi="Cambria"/>
        </w:rPr>
        <w:t>, vol. 10, pp. 1–16.</w:t>
      </w:r>
    </w:p>
    <w:p w:rsidR="00AE7868" w:rsidRDefault="00FF2B57">
      <w:pPr>
        <w:spacing w:before="120" w:after="120"/>
        <w:rPr>
          <w:rFonts w:ascii="Cambria" w:hAnsi="Cambria"/>
        </w:rPr>
      </w:pPr>
      <w:r>
        <w:rPr>
          <w:rFonts w:ascii="Cambria" w:hAnsi="Cambria"/>
        </w:rPr>
        <w:t>McGrath, MT 2005, ‘Treatments for managing bacterial pathogens in vegetable seed’, Vegetable MD Online, Cornell University, vegetablemdonline.ppath.cornell.edu.</w:t>
      </w:r>
    </w:p>
    <w:p w:rsidR="00AE7868" w:rsidRDefault="00FF2B57">
      <w:pPr>
        <w:autoSpaceDE w:val="0"/>
        <w:autoSpaceDN w:val="0"/>
        <w:adjustRightInd w:val="0"/>
        <w:spacing w:before="120" w:after="120"/>
        <w:rPr>
          <w:rFonts w:ascii="Cambria" w:hAnsi="Cambria"/>
        </w:rPr>
      </w:pPr>
      <w:r>
        <w:rPr>
          <w:rFonts w:ascii="Cambria" w:hAnsi="Cambria"/>
        </w:rPr>
        <w:lastRenderedPageBreak/>
        <w:t>Meadow, R 2010, ‘The carrot psyllid (</w:t>
      </w:r>
      <w:r>
        <w:rPr>
          <w:rFonts w:ascii="Cambria" w:hAnsi="Cambria"/>
          <w:i/>
        </w:rPr>
        <w:t>Trioza apicalis</w:t>
      </w:r>
      <w:r>
        <w:rPr>
          <w:rFonts w:ascii="Cambria" w:hAnsi="Cambria"/>
        </w:rPr>
        <w:t>) – Biology and control’, Bioforsk, The Norwegian Institute for Agricultural and Environmental Research, Report 5, vol. 151, pp. 1–14.</w:t>
      </w:r>
    </w:p>
    <w:p w:rsidR="00AE7868" w:rsidRDefault="00FF2B57">
      <w:pPr>
        <w:autoSpaceDE w:val="0"/>
        <w:autoSpaceDN w:val="0"/>
        <w:adjustRightInd w:val="0"/>
        <w:spacing w:before="120" w:after="120"/>
        <w:rPr>
          <w:rFonts w:ascii="Cambria" w:eastAsiaTheme="minorEastAsia" w:hAnsi="Cambria"/>
          <w:lang w:bidi="en-US"/>
        </w:rPr>
      </w:pPr>
      <w:r>
        <w:rPr>
          <w:rFonts w:ascii="Cambria" w:eastAsiaTheme="minorEastAsia" w:hAnsi="Cambria"/>
          <w:lang w:bidi="en-US"/>
        </w:rPr>
        <w:t>Monsanto 2014, ‘De Ruiter Product Guide’, Monsanto, Melbourne, deruiterseeds.com/global/au/products/Documents/De%20Ruiter%20AU%20Product%20Guide.pdf.</w:t>
      </w:r>
    </w:p>
    <w:p w:rsidR="00AE7868" w:rsidRDefault="00FF2B57">
      <w:pPr>
        <w:spacing w:before="120" w:after="120"/>
        <w:jc w:val="both"/>
        <w:rPr>
          <w:rFonts w:ascii="Cambria" w:hAnsi="Cambria" w:cs="Arial"/>
        </w:rPr>
      </w:pPr>
      <w:r>
        <w:rPr>
          <w:rFonts w:ascii="Cambria" w:hAnsi="Cambria" w:cs="Arial"/>
        </w:rPr>
        <w:t xml:space="preserve">Munyaneza, JE 2010, ‘Psyllids as vectors of emerging bacterial diseases of annual crops’, </w:t>
      </w:r>
      <w:r>
        <w:rPr>
          <w:rFonts w:ascii="Cambria" w:hAnsi="Cambria" w:cs="Arial"/>
          <w:i/>
        </w:rPr>
        <w:t>Southwestern Entomologist</w:t>
      </w:r>
      <w:r>
        <w:rPr>
          <w:rFonts w:ascii="Cambria" w:hAnsi="Cambria" w:cs="Arial"/>
        </w:rPr>
        <w:t>, vol. 35, pp. 417–477.</w:t>
      </w:r>
    </w:p>
    <w:p w:rsidR="00AE7868" w:rsidRDefault="00FF2B57">
      <w:pPr>
        <w:spacing w:before="120" w:after="120"/>
        <w:jc w:val="both"/>
        <w:rPr>
          <w:rFonts w:ascii="Cambria" w:hAnsi="Cambria" w:cs="Arial"/>
        </w:rPr>
      </w:pPr>
      <w:r>
        <w:rPr>
          <w:rFonts w:ascii="Cambria" w:hAnsi="Cambria" w:cs="Arial"/>
        </w:rPr>
        <w:t xml:space="preserve">Munyaneza, JE 2012, ‘Zebra chip disease of potato: biology, epidemiology and management’ </w:t>
      </w:r>
      <w:r>
        <w:rPr>
          <w:rFonts w:ascii="Cambria" w:hAnsi="Cambria" w:cs="Arial"/>
          <w:i/>
        </w:rPr>
        <w:t>American Journal of Potatoes Research,</w:t>
      </w:r>
      <w:r>
        <w:rPr>
          <w:rFonts w:ascii="Cambria" w:hAnsi="Cambria" w:cs="Arial"/>
        </w:rPr>
        <w:t xml:space="preserve"> vol. 89, pp. 329–350.</w:t>
      </w:r>
    </w:p>
    <w:p w:rsidR="00AE7868" w:rsidRDefault="00FF2B57">
      <w:pPr>
        <w:autoSpaceDE w:val="0"/>
        <w:autoSpaceDN w:val="0"/>
        <w:adjustRightInd w:val="0"/>
        <w:spacing w:before="120" w:after="120"/>
        <w:rPr>
          <w:rFonts w:ascii="Cambria" w:hAnsi="Cambria" w:cs="AdvTT3713a231"/>
        </w:rPr>
      </w:pPr>
      <w:r>
        <w:rPr>
          <w:rFonts w:ascii="Cambria" w:hAnsi="Cambria" w:cs="AdvTT3713a231"/>
        </w:rPr>
        <w:t>Munyaneza, JE, Sengoda, VG, Crosslin, JM, De la Rosa-Lozano, G, &amp; Sanchez, A 2009, ‘First report of “</w:t>
      </w:r>
      <w:r>
        <w:rPr>
          <w:rFonts w:ascii="Cambria" w:hAnsi="Cambria" w:cs="AdvTT50a2f13e.I"/>
          <w:i/>
        </w:rPr>
        <w:t>Candidatus</w:t>
      </w:r>
      <w:r>
        <w:rPr>
          <w:rFonts w:ascii="Cambria" w:hAnsi="Cambria" w:cs="AdvTT50a2f13e.I"/>
        </w:rPr>
        <w:t xml:space="preserve"> </w:t>
      </w:r>
      <w:r>
        <w:rPr>
          <w:rFonts w:ascii="Cambria" w:hAnsi="Cambria" w:cs="AdvTT3713a231"/>
        </w:rPr>
        <w:t>Liberibacter psyllaurous”</w:t>
      </w:r>
      <w:r>
        <w:rPr>
          <w:rFonts w:ascii="Cambria" w:eastAsia="AdvTT3713a231+20" w:hAnsi="Cambria" w:cs="AdvTT3713a231+20"/>
        </w:rPr>
        <w:t xml:space="preserve"> </w:t>
      </w:r>
      <w:r>
        <w:rPr>
          <w:rFonts w:ascii="Cambria" w:hAnsi="Cambria" w:cs="AdvTT3713a231"/>
        </w:rPr>
        <w:t xml:space="preserve">in potato tubers with zebra chip disease in Mexico’, </w:t>
      </w:r>
      <w:r>
        <w:rPr>
          <w:rFonts w:ascii="Cambria" w:hAnsi="Cambria" w:cs="AdvTT50a2f13e.I"/>
          <w:i/>
        </w:rPr>
        <w:t>Plant Disease</w:t>
      </w:r>
      <w:r>
        <w:rPr>
          <w:rFonts w:ascii="Cambria" w:hAnsi="Cambria" w:cs="AdvTT50a2f13e.I"/>
        </w:rPr>
        <w:t xml:space="preserve">, vol. </w:t>
      </w:r>
      <w:r>
        <w:rPr>
          <w:rFonts w:ascii="Cambria" w:hAnsi="Cambria" w:cs="AdvTT3713a231"/>
        </w:rPr>
        <w:t>93, no. 552.</w:t>
      </w:r>
    </w:p>
    <w:p w:rsidR="00AE7868" w:rsidRDefault="00FF2B57">
      <w:pPr>
        <w:spacing w:before="120" w:after="120"/>
        <w:jc w:val="both"/>
        <w:rPr>
          <w:rFonts w:ascii="Cambria" w:hAnsi="Cambria" w:cs="Arial"/>
        </w:rPr>
      </w:pPr>
      <w:r>
        <w:rPr>
          <w:rFonts w:ascii="Cambria" w:hAnsi="Cambria" w:cs="Arial"/>
        </w:rPr>
        <w:t>Munyaneza, JE, Fisher, TW, Sengoda, VG, Garczynski, SF, Nissinen, A &amp; Lemmetty, A 2010a, ‘First report of ‘</w:t>
      </w:r>
      <w:r>
        <w:rPr>
          <w:rFonts w:ascii="Cambria" w:hAnsi="Cambria" w:cs="Arial"/>
          <w:i/>
        </w:rPr>
        <w:t>Candidatus</w:t>
      </w:r>
      <w:r>
        <w:rPr>
          <w:rFonts w:ascii="Cambria" w:hAnsi="Cambria" w:cs="Arial"/>
        </w:rPr>
        <w:t xml:space="preserve"> Liberibacter solanacearum’ in carrots in Europe’, </w:t>
      </w:r>
      <w:r>
        <w:rPr>
          <w:rFonts w:ascii="Cambria" w:hAnsi="Cambria" w:cs="Arial"/>
          <w:i/>
        </w:rPr>
        <w:t>Plant Disease</w:t>
      </w:r>
      <w:r>
        <w:rPr>
          <w:rFonts w:ascii="Cambria" w:hAnsi="Cambria" w:cs="Arial"/>
        </w:rPr>
        <w:t xml:space="preserve">, vol. 94, no. 639. </w:t>
      </w:r>
    </w:p>
    <w:p w:rsidR="00AE7868" w:rsidRDefault="00FF2B57">
      <w:pPr>
        <w:autoSpaceDE w:val="0"/>
        <w:autoSpaceDN w:val="0"/>
        <w:adjustRightInd w:val="0"/>
        <w:spacing w:before="120" w:after="120"/>
        <w:rPr>
          <w:rFonts w:ascii="Cambria" w:eastAsia="Cambria" w:hAnsi="Cambria" w:cs="AdvTT2acb703b"/>
        </w:rPr>
      </w:pPr>
      <w:r>
        <w:rPr>
          <w:rFonts w:ascii="Cambria" w:eastAsia="Cambria" w:hAnsi="Cambria" w:cs="AdvTT2acb703b"/>
        </w:rPr>
        <w:t xml:space="preserve">Munyaneza, J, Fisher, T, Sengoda, V, Garczynski, S, Nissinen, A &amp; Lemmetty, A 2010b, ‘Association of </w:t>
      </w:r>
      <w:r>
        <w:rPr>
          <w:rFonts w:ascii="Cambria" w:eastAsia="AdvTT2acb703b+20" w:hAnsi="Cambria" w:cs="AdvTT2acb703b+20"/>
        </w:rPr>
        <w:t>“</w:t>
      </w:r>
      <w:r>
        <w:rPr>
          <w:rFonts w:ascii="Cambria" w:eastAsia="Cambria" w:hAnsi="Cambria" w:cs="AdvTT2acb703b"/>
          <w:i/>
        </w:rPr>
        <w:t>Candidatus</w:t>
      </w:r>
      <w:r>
        <w:rPr>
          <w:rFonts w:ascii="Cambria" w:eastAsia="Cambria" w:hAnsi="Cambria" w:cs="AdvTT2acb703b"/>
        </w:rPr>
        <w:t xml:space="preserve"> Liberibacter solanacearum</w:t>
      </w:r>
      <w:r>
        <w:rPr>
          <w:rFonts w:ascii="Cambria" w:eastAsia="AdvTT2acb703b+20" w:hAnsi="Cambria" w:cs="AdvTT2acb703b+20"/>
        </w:rPr>
        <w:t xml:space="preserve">” </w:t>
      </w:r>
      <w:r>
        <w:rPr>
          <w:rFonts w:ascii="Cambria" w:eastAsia="Cambria" w:hAnsi="Cambria" w:cs="AdvTT2acb703b"/>
        </w:rPr>
        <w:t xml:space="preserve">with the carrot psyllid </w:t>
      </w:r>
      <w:r>
        <w:rPr>
          <w:rFonts w:ascii="Cambria" w:eastAsia="Cambria" w:hAnsi="Cambria" w:cs="AdvTT2acb703b"/>
          <w:i/>
        </w:rPr>
        <w:t>Trioza apicalis</w:t>
      </w:r>
      <w:r>
        <w:rPr>
          <w:rFonts w:ascii="Cambria" w:eastAsia="Cambria" w:hAnsi="Cambria" w:cs="AdvTT2acb703b"/>
        </w:rPr>
        <w:t xml:space="preserve"> (Hemiptera: Triozidae) in Europe’, </w:t>
      </w:r>
      <w:r>
        <w:rPr>
          <w:rFonts w:ascii="Cambria" w:eastAsia="Cambria" w:hAnsi="Cambria" w:cs="AdvTT59df095f.I"/>
          <w:i/>
        </w:rPr>
        <w:t>Journal of Economic Entomology</w:t>
      </w:r>
      <w:r>
        <w:rPr>
          <w:rFonts w:ascii="Cambria" w:eastAsia="Cambria" w:hAnsi="Cambria" w:cs="AdvTT59df095f.I"/>
        </w:rPr>
        <w:t>, vol. 103</w:t>
      </w:r>
      <w:r>
        <w:rPr>
          <w:rFonts w:ascii="Cambria" w:eastAsia="Cambria" w:hAnsi="Cambria" w:cs="AdvTT2acb703b"/>
        </w:rPr>
        <w:t>, pp. 1060</w:t>
      </w:r>
      <w:r>
        <w:rPr>
          <w:rFonts w:ascii="Cambria" w:eastAsia="AdvTT2acb703b+20" w:hAnsi="Cambria" w:cs="AdvTT2acb703b+20"/>
        </w:rPr>
        <w:t>–</w:t>
      </w:r>
      <w:r>
        <w:rPr>
          <w:rFonts w:ascii="Cambria" w:eastAsia="Cambria" w:hAnsi="Cambria" w:cs="AdvTT2acb703b"/>
        </w:rPr>
        <w:t>1070.</w:t>
      </w:r>
    </w:p>
    <w:p w:rsidR="00AE7868" w:rsidRDefault="00FF2B57">
      <w:pPr>
        <w:spacing w:before="120" w:after="120"/>
        <w:jc w:val="both"/>
        <w:rPr>
          <w:rFonts w:ascii="Cambria" w:hAnsi="Cambria" w:cs="Arial"/>
        </w:rPr>
      </w:pPr>
      <w:r>
        <w:rPr>
          <w:rFonts w:ascii="Cambria" w:hAnsi="Cambria" w:cs="Arial"/>
        </w:rPr>
        <w:lastRenderedPageBreak/>
        <w:t>Munyaneza, JE, Lemmetty, A, Nissinen, AI, Sengoda, VG &amp; Fisher, TW 2011, ‘Molecular detection of aster yellows phytoplasma and "</w:t>
      </w:r>
      <w:r>
        <w:rPr>
          <w:rFonts w:ascii="Cambria" w:hAnsi="Cambria" w:cs="Arial"/>
          <w:i/>
        </w:rPr>
        <w:t>Candidatus</w:t>
      </w:r>
      <w:r>
        <w:rPr>
          <w:rFonts w:ascii="Cambria" w:hAnsi="Cambria" w:cs="Arial"/>
        </w:rPr>
        <w:t xml:space="preserve"> Liberibacter solanacearum" in carrots affected by the psyllid </w:t>
      </w:r>
      <w:r>
        <w:rPr>
          <w:rFonts w:ascii="Cambria" w:hAnsi="Cambria" w:cs="Arial"/>
          <w:i/>
          <w:iCs/>
        </w:rPr>
        <w:t xml:space="preserve">Trioza apicalis </w:t>
      </w:r>
      <w:r>
        <w:rPr>
          <w:rFonts w:ascii="Cambria" w:hAnsi="Cambria" w:cs="Arial"/>
        </w:rPr>
        <w:t xml:space="preserve">(Hemiptera: Triozidae) in Finland’, </w:t>
      </w:r>
      <w:r>
        <w:rPr>
          <w:rFonts w:ascii="Cambria" w:hAnsi="Cambria" w:cs="Arial"/>
          <w:i/>
        </w:rPr>
        <w:t>Journal of Plant Pathology,</w:t>
      </w:r>
      <w:r>
        <w:rPr>
          <w:rFonts w:ascii="Cambria" w:hAnsi="Cambria" w:cs="Arial"/>
        </w:rPr>
        <w:t xml:space="preserve"> vol. 93, pp. 697–700. </w:t>
      </w:r>
    </w:p>
    <w:p w:rsidR="00AE7868" w:rsidRDefault="00FF2B57">
      <w:pPr>
        <w:spacing w:before="120" w:after="120"/>
        <w:jc w:val="both"/>
        <w:rPr>
          <w:rFonts w:ascii="Cambria" w:hAnsi="Cambria" w:cs="Arial"/>
        </w:rPr>
      </w:pPr>
      <w:r>
        <w:rPr>
          <w:rFonts w:ascii="Cambria" w:hAnsi="Cambria" w:cs="Arial"/>
        </w:rPr>
        <w:t>Munyaneza, JE, Sengoda, VG, Stegmark, R, Arvidsson, AK, Anderbrant, O, Yuvaraj, JK, Ramert, B &amp; Nissinen, A 2012a, ‘First report of "</w:t>
      </w:r>
      <w:r>
        <w:rPr>
          <w:rFonts w:ascii="Cambria" w:hAnsi="Cambria" w:cs="Arial"/>
          <w:i/>
          <w:iCs/>
        </w:rPr>
        <w:t xml:space="preserve">Candidatus </w:t>
      </w:r>
      <w:r>
        <w:rPr>
          <w:rFonts w:ascii="Cambria" w:hAnsi="Cambria" w:cs="Arial"/>
        </w:rPr>
        <w:t xml:space="preserve">Liberibacter solanacearum" associated with psyllid-affected carrots in Sweden’, </w:t>
      </w:r>
      <w:r>
        <w:rPr>
          <w:rFonts w:ascii="Cambria" w:hAnsi="Cambria" w:cs="Arial"/>
          <w:i/>
        </w:rPr>
        <w:t>Plant Disease,</w:t>
      </w:r>
      <w:r>
        <w:rPr>
          <w:rFonts w:ascii="Cambria" w:hAnsi="Cambria" w:cs="Arial"/>
        </w:rPr>
        <w:t xml:space="preserve"> vol. 96, pp. 453–453.</w:t>
      </w:r>
    </w:p>
    <w:p w:rsidR="00AE7868" w:rsidRDefault="00FF2B57">
      <w:pPr>
        <w:spacing w:before="120" w:after="120"/>
        <w:jc w:val="both"/>
        <w:rPr>
          <w:rFonts w:ascii="Cambria" w:hAnsi="Cambria" w:cs="Arial"/>
        </w:rPr>
      </w:pPr>
      <w:r>
        <w:rPr>
          <w:rFonts w:ascii="Cambria" w:hAnsi="Cambria" w:cs="Arial"/>
        </w:rPr>
        <w:t>Munyaneza, JE, Sengoda, VG, Sundheim, L &amp; Meadow, R 2012b, ‘First report of ‘</w:t>
      </w:r>
      <w:r>
        <w:rPr>
          <w:rFonts w:ascii="Cambria" w:hAnsi="Cambria" w:cs="Arial"/>
          <w:i/>
          <w:iCs/>
        </w:rPr>
        <w:t xml:space="preserve">Candidatus </w:t>
      </w:r>
      <w:r>
        <w:rPr>
          <w:rFonts w:ascii="Cambria" w:hAnsi="Cambria" w:cs="Arial"/>
        </w:rPr>
        <w:t xml:space="preserve">Liberibacter solanacearum’ associated with psyllid-affected carrots in Norway’, </w:t>
      </w:r>
      <w:r>
        <w:rPr>
          <w:rFonts w:ascii="Cambria" w:hAnsi="Cambria" w:cs="Arial"/>
          <w:i/>
        </w:rPr>
        <w:t>Plant Disease,</w:t>
      </w:r>
      <w:r>
        <w:rPr>
          <w:rFonts w:ascii="Cambria" w:hAnsi="Cambria" w:cs="Arial"/>
        </w:rPr>
        <w:t xml:space="preserve"> vol. 96, pp. 454–454.</w:t>
      </w:r>
    </w:p>
    <w:p w:rsidR="00AE7868" w:rsidRDefault="00FF2B57">
      <w:pPr>
        <w:autoSpaceDE w:val="0"/>
        <w:autoSpaceDN w:val="0"/>
        <w:adjustRightInd w:val="0"/>
        <w:spacing w:before="120" w:after="120"/>
        <w:rPr>
          <w:rFonts w:ascii="Cambria" w:hAnsi="Cambria" w:cs="AdvTT3713a231"/>
        </w:rPr>
      </w:pPr>
      <w:r>
        <w:rPr>
          <w:rFonts w:ascii="Cambria" w:hAnsi="Cambria" w:cs="AdvTT3713a231"/>
        </w:rPr>
        <w:t xml:space="preserve">Munyaneza, JE, Sengoda, VG, Buchman, JL &amp; Fisher, TW 2012c, ‘Effects of temperature on </w:t>
      </w:r>
      <w:r>
        <w:rPr>
          <w:rFonts w:ascii="Cambria" w:hAnsi="Cambria" w:cs="AdvTT3713a231"/>
          <w:i/>
        </w:rPr>
        <w:t>Candidatus</w:t>
      </w:r>
      <w:r>
        <w:rPr>
          <w:rFonts w:ascii="Cambria" w:hAnsi="Cambria" w:cs="AdvTT3713a231"/>
        </w:rPr>
        <w:t xml:space="preserve"> Liberibacter solanacearum and zebra chip potato disease symptom development’, </w:t>
      </w:r>
      <w:r>
        <w:rPr>
          <w:rFonts w:ascii="Cambria" w:hAnsi="Cambria" w:cs="AdvTT3713a231"/>
          <w:i/>
        </w:rPr>
        <w:t>Plant Disease</w:t>
      </w:r>
      <w:r>
        <w:rPr>
          <w:rFonts w:ascii="Cambria" w:hAnsi="Cambria" w:cs="AdvTT3713a231"/>
        </w:rPr>
        <w:t>,  vol. 96, pp. 18–23.</w:t>
      </w:r>
    </w:p>
    <w:p w:rsidR="00AE7868" w:rsidRDefault="00FF2B57">
      <w:pPr>
        <w:autoSpaceDE w:val="0"/>
        <w:autoSpaceDN w:val="0"/>
        <w:adjustRightInd w:val="0"/>
        <w:spacing w:before="120" w:after="120"/>
        <w:rPr>
          <w:rFonts w:ascii="Cambria" w:hAnsi="Cambria"/>
        </w:rPr>
      </w:pPr>
      <w:r>
        <w:rPr>
          <w:rFonts w:ascii="Cambria" w:eastAsiaTheme="minorEastAsia" w:hAnsi="Cambria"/>
          <w:lang w:bidi="en-US"/>
        </w:rPr>
        <w:t>Munyaneza, JE, Swisher, KD, Hommes, M, Willhauck, A, Buck, H &amp; Meadow, R 2015, ‘First Report of ‘</w:t>
      </w:r>
      <w:r>
        <w:rPr>
          <w:rFonts w:ascii="Cambria" w:eastAsiaTheme="minorEastAsia" w:hAnsi="Cambria"/>
          <w:i/>
          <w:lang w:bidi="en-US"/>
        </w:rPr>
        <w:t>Candidatus</w:t>
      </w:r>
      <w:r>
        <w:rPr>
          <w:rFonts w:ascii="Cambria" w:eastAsiaTheme="minorEastAsia" w:hAnsi="Cambria"/>
          <w:lang w:bidi="en-US"/>
        </w:rPr>
        <w:t xml:space="preserve"> Liberibacter solanacearum’ associated with psyllid-infested carrots in Germany’, </w:t>
      </w:r>
      <w:r>
        <w:rPr>
          <w:rFonts w:ascii="Cambria" w:eastAsiaTheme="minorEastAsia" w:hAnsi="Cambria"/>
          <w:i/>
          <w:lang w:bidi="en-US"/>
        </w:rPr>
        <w:t>Plant Disease,</w:t>
      </w:r>
      <w:r>
        <w:rPr>
          <w:rFonts w:ascii="Cambria" w:eastAsiaTheme="minorEastAsia" w:hAnsi="Cambria"/>
          <w:lang w:bidi="en-US"/>
        </w:rPr>
        <w:t xml:space="preserve"> vol. 99, no. 9, pp. 1269</w:t>
      </w:r>
      <w:r>
        <w:rPr>
          <w:rFonts w:ascii="Cambria" w:hAnsi="Cambria"/>
        </w:rPr>
        <w:t>.</w:t>
      </w:r>
    </w:p>
    <w:p w:rsidR="00AE7868" w:rsidRDefault="00FF2B57">
      <w:pPr>
        <w:autoSpaceDE w:val="0"/>
        <w:autoSpaceDN w:val="0"/>
        <w:adjustRightInd w:val="0"/>
        <w:spacing w:before="120" w:after="120"/>
        <w:rPr>
          <w:rFonts w:ascii="Cambria" w:eastAsia="Cambria" w:hAnsi="Cambria" w:cs="SimonciniGaramond"/>
        </w:rPr>
      </w:pPr>
      <w:r>
        <w:rPr>
          <w:rFonts w:ascii="Cambria" w:eastAsia="Cambria" w:hAnsi="Cambria" w:cs="SimonciniGaramond"/>
        </w:rPr>
        <w:t>Nachappa, P, Levy, J, Pierson, E &amp; Tamborindeguy, C 2014, ‘Correlation between ‘</w:t>
      </w:r>
      <w:r>
        <w:rPr>
          <w:rFonts w:ascii="Cambria" w:eastAsia="Cambria" w:hAnsi="Cambria" w:cs="SimonciniGaramond"/>
          <w:i/>
        </w:rPr>
        <w:t>Candidatus</w:t>
      </w:r>
      <w:r>
        <w:rPr>
          <w:rFonts w:ascii="Cambria" w:eastAsia="Cambria" w:hAnsi="Cambria" w:cs="SimonciniGaramond"/>
        </w:rPr>
        <w:t xml:space="preserve"> Liberibacter solanacearum’ infection levels and </w:t>
      </w:r>
      <w:r>
        <w:rPr>
          <w:rFonts w:ascii="Cambria" w:eastAsia="Cambria" w:hAnsi="Cambria" w:cs="SimonciniGaramond"/>
        </w:rPr>
        <w:lastRenderedPageBreak/>
        <w:t xml:space="preserve">fecundity in its psyllid vector’, </w:t>
      </w:r>
      <w:r>
        <w:rPr>
          <w:rFonts w:ascii="Cambria" w:eastAsia="Cambria" w:hAnsi="Cambria" w:cs="SimonciniGaramond"/>
          <w:i/>
        </w:rPr>
        <w:t>Journal of Invertebrate Pathology</w:t>
      </w:r>
      <w:r>
        <w:rPr>
          <w:rFonts w:ascii="Cambria" w:eastAsia="Cambria" w:hAnsi="Cambria" w:cs="SimonciniGaramond"/>
        </w:rPr>
        <w:t>, vol. 115, pp. 55–61.</w:t>
      </w:r>
    </w:p>
    <w:p w:rsidR="00AE7868" w:rsidRDefault="00FF2B57">
      <w:pPr>
        <w:autoSpaceDE w:val="0"/>
        <w:autoSpaceDN w:val="0"/>
        <w:adjustRightInd w:val="0"/>
        <w:spacing w:before="120" w:after="120"/>
        <w:rPr>
          <w:rFonts w:ascii="Cambria" w:eastAsia="Cambria" w:hAnsi="Cambria" w:cs="SimonciniGaramond"/>
        </w:rPr>
      </w:pPr>
      <w:r>
        <w:rPr>
          <w:rFonts w:ascii="Cambria" w:eastAsia="Cambria" w:hAnsi="Cambria" w:cs="SimonciniGaramond"/>
        </w:rPr>
        <w:t xml:space="preserve">Nehlin, G, Valterova, I &amp; Borg-Karlson, AK 1994, ‘Use of conifer volatiles to reduce injury caused by carrot phyllid, </w:t>
      </w:r>
      <w:r>
        <w:rPr>
          <w:rFonts w:ascii="Cambria" w:eastAsia="Cambria" w:hAnsi="Cambria" w:cs="SimonciniGaramond-Italic"/>
          <w:i/>
          <w:iCs/>
        </w:rPr>
        <w:t>Trioza apicalis</w:t>
      </w:r>
      <w:r>
        <w:rPr>
          <w:rFonts w:ascii="Cambria" w:eastAsia="Cambria" w:hAnsi="Cambria" w:cs="SimonciniGaramond"/>
        </w:rPr>
        <w:t xml:space="preserve">, Förster (Homoptera, Psylloidea)’, </w:t>
      </w:r>
      <w:r>
        <w:rPr>
          <w:rFonts w:ascii="Cambria" w:eastAsia="Cambria" w:hAnsi="Cambria" w:cs="SimonciniGaramond-Italic"/>
          <w:i/>
          <w:iCs/>
        </w:rPr>
        <w:t xml:space="preserve">Journal of Chemical Ecology, </w:t>
      </w:r>
      <w:r>
        <w:rPr>
          <w:rFonts w:ascii="Cambria" w:eastAsia="Cambria" w:hAnsi="Cambria" w:cs="SimonciniGaramond-Italic"/>
          <w:iCs/>
        </w:rPr>
        <w:t xml:space="preserve">vol. </w:t>
      </w:r>
      <w:r>
        <w:rPr>
          <w:rFonts w:ascii="Cambria" w:eastAsia="Cambria" w:hAnsi="Cambria" w:cs="SimonciniGaramond-Bold"/>
          <w:bCs/>
        </w:rPr>
        <w:t>20, pp.</w:t>
      </w:r>
      <w:r>
        <w:rPr>
          <w:rFonts w:ascii="Cambria" w:eastAsia="Cambria" w:hAnsi="Cambria" w:cs="SimonciniGaramond"/>
        </w:rPr>
        <w:t xml:space="preserve"> 771–783.</w:t>
      </w:r>
    </w:p>
    <w:p w:rsidR="00AE7868" w:rsidRDefault="00FF2B57">
      <w:pPr>
        <w:autoSpaceDE w:val="0"/>
        <w:autoSpaceDN w:val="0"/>
        <w:adjustRightInd w:val="0"/>
        <w:spacing w:before="120" w:after="120"/>
        <w:rPr>
          <w:rFonts w:ascii="Cambria" w:hAnsi="Cambria"/>
        </w:rPr>
      </w:pPr>
      <w:r>
        <w:rPr>
          <w:rFonts w:ascii="Cambria" w:hAnsi="Cambria"/>
        </w:rPr>
        <w:t xml:space="preserve">Nehlin, G, Valtrova, I &amp; Borg-Karlson, AK 1996, ‘Monoterpenes released from Apiaceae and the egglaying preferences of the carrot psyllid, </w:t>
      </w:r>
      <w:r>
        <w:rPr>
          <w:rFonts w:ascii="Cambria" w:hAnsi="Cambria"/>
          <w:i/>
        </w:rPr>
        <w:t>Trioza apicalis</w:t>
      </w:r>
      <w:r>
        <w:rPr>
          <w:rFonts w:ascii="Cambria" w:hAnsi="Cambria"/>
        </w:rPr>
        <w:t xml:space="preserve">’, </w:t>
      </w:r>
      <w:r>
        <w:rPr>
          <w:rFonts w:ascii="Cambria" w:hAnsi="Cambria"/>
          <w:i/>
        </w:rPr>
        <w:t>Entomologia Experimentalis et Applicata</w:t>
      </w:r>
      <w:r>
        <w:rPr>
          <w:rFonts w:ascii="Cambria" w:hAnsi="Cambria"/>
        </w:rPr>
        <w:t>, vol. 80, pp. 83–86.</w:t>
      </w:r>
    </w:p>
    <w:p w:rsidR="00AE7868" w:rsidRDefault="00FF2B57">
      <w:pPr>
        <w:spacing w:before="120" w:after="120"/>
        <w:jc w:val="both"/>
        <w:rPr>
          <w:rFonts w:ascii="Cambria" w:hAnsi="Cambria" w:cs="Arial"/>
        </w:rPr>
      </w:pPr>
      <w:r>
        <w:rPr>
          <w:rFonts w:ascii="Cambria" w:hAnsi="Cambria" w:cs="Arial"/>
        </w:rPr>
        <w:t>Nelson, WR, Fisher, TW &amp; Munyaneza, JE 2011, ‘Haplotypes of ‘</w:t>
      </w:r>
      <w:r>
        <w:rPr>
          <w:rFonts w:ascii="Cambria" w:hAnsi="Cambria" w:cs="Arial"/>
          <w:i/>
        </w:rPr>
        <w:t>Candidatus</w:t>
      </w:r>
      <w:r>
        <w:rPr>
          <w:rFonts w:ascii="Cambria" w:hAnsi="Cambria" w:cs="Arial"/>
        </w:rPr>
        <w:t xml:space="preserve"> Liberibacter solanacearum’ suggest long-standing separation’, </w:t>
      </w:r>
      <w:r>
        <w:rPr>
          <w:rFonts w:ascii="Cambria" w:hAnsi="Cambria" w:cs="Arial"/>
          <w:i/>
        </w:rPr>
        <w:t>European Journal of Plant Pathology,</w:t>
      </w:r>
      <w:r>
        <w:rPr>
          <w:rFonts w:ascii="Cambria" w:hAnsi="Cambria" w:cs="Arial"/>
        </w:rPr>
        <w:t xml:space="preserve"> vol. 130, pp. 5–12.</w:t>
      </w:r>
    </w:p>
    <w:p w:rsidR="00AE7868" w:rsidRDefault="00FF2B57">
      <w:pPr>
        <w:spacing w:before="120" w:after="120"/>
        <w:jc w:val="both"/>
        <w:rPr>
          <w:rFonts w:ascii="Cambria" w:hAnsi="Cambria" w:cs="Arial"/>
        </w:rPr>
      </w:pPr>
      <w:r>
        <w:rPr>
          <w:rFonts w:ascii="Cambria" w:hAnsi="Cambria" w:cs="Arial"/>
        </w:rPr>
        <w:t>Nelson, WR, Sengoda, VG, Alfaro-Fernandez, A, Font, MI, Crossling, JM &amp; Munyaneza, JE 2012, ‘A new haplotype of ‘</w:t>
      </w:r>
      <w:r>
        <w:rPr>
          <w:rFonts w:ascii="Cambria" w:hAnsi="Cambria" w:cs="Arial"/>
          <w:i/>
        </w:rPr>
        <w:t>Candidatus</w:t>
      </w:r>
      <w:r>
        <w:rPr>
          <w:rFonts w:ascii="Cambria" w:hAnsi="Cambria" w:cs="Arial"/>
        </w:rPr>
        <w:t xml:space="preserve"> Liberibacter solanacearum’ identified in the Mediterranean region’, </w:t>
      </w:r>
      <w:r>
        <w:rPr>
          <w:rFonts w:ascii="Cambria" w:hAnsi="Cambria" w:cs="Arial"/>
          <w:i/>
        </w:rPr>
        <w:t>European Journal of Plant Pathology,</w:t>
      </w:r>
      <w:r>
        <w:rPr>
          <w:rFonts w:ascii="Cambria" w:hAnsi="Cambria" w:cs="Arial"/>
        </w:rPr>
        <w:t xml:space="preserve"> vol. 135, pp. 633–639.</w:t>
      </w:r>
    </w:p>
    <w:p w:rsidR="00AE7868" w:rsidRDefault="00FF2B57">
      <w:pPr>
        <w:autoSpaceDE w:val="0"/>
        <w:autoSpaceDN w:val="0"/>
        <w:adjustRightInd w:val="0"/>
        <w:spacing w:before="120" w:after="120"/>
        <w:rPr>
          <w:rFonts w:ascii="Cambria" w:hAnsi="Cambria"/>
        </w:rPr>
      </w:pPr>
      <w:r>
        <w:rPr>
          <w:rFonts w:ascii="Cambria" w:hAnsi="Cambria"/>
        </w:rPr>
        <w:t>Nelson, WR, Munyaneza JE, McCue, KF &amp; Bové, JM 2013, ‘The Pangaean origin of ‘</w:t>
      </w:r>
      <w:r>
        <w:rPr>
          <w:rFonts w:ascii="Cambria" w:hAnsi="Cambria"/>
          <w:i/>
        </w:rPr>
        <w:t>Candidatus</w:t>
      </w:r>
      <w:r>
        <w:rPr>
          <w:rFonts w:ascii="Cambria" w:hAnsi="Cambria"/>
        </w:rPr>
        <w:t xml:space="preserve"> Liberibacter’ species’, </w:t>
      </w:r>
      <w:r>
        <w:rPr>
          <w:rFonts w:ascii="Cambria" w:hAnsi="Cambria"/>
          <w:i/>
        </w:rPr>
        <w:t>Journal of Plant Pathology</w:t>
      </w:r>
      <w:r>
        <w:rPr>
          <w:rFonts w:ascii="Cambria" w:hAnsi="Cambria"/>
        </w:rPr>
        <w:t>, vol. 95, pp. 455–461.</w:t>
      </w:r>
    </w:p>
    <w:p w:rsidR="00AE7868" w:rsidRDefault="00FF2B57">
      <w:pPr>
        <w:autoSpaceDE w:val="0"/>
        <w:autoSpaceDN w:val="0"/>
        <w:adjustRightInd w:val="0"/>
        <w:spacing w:before="120" w:after="120"/>
        <w:rPr>
          <w:rFonts w:ascii="Cambria" w:eastAsia="Cambria" w:hAnsi="Cambria" w:cs="SimonciniGaramond"/>
        </w:rPr>
      </w:pPr>
      <w:r>
        <w:rPr>
          <w:rFonts w:ascii="Cambria" w:eastAsia="Cambria" w:hAnsi="Cambria" w:cs="SimonciniGaramond"/>
        </w:rPr>
        <w:t>NIQS (2014) Norfolk Island quarantine survey 2012–2014. Technical report. Australian Government Department of Agriculture, pp 192.</w:t>
      </w:r>
    </w:p>
    <w:p w:rsidR="00AE7868" w:rsidRDefault="00FF2B57">
      <w:pPr>
        <w:autoSpaceDE w:val="0"/>
        <w:autoSpaceDN w:val="0"/>
        <w:adjustRightInd w:val="0"/>
        <w:spacing w:before="120" w:after="120"/>
        <w:rPr>
          <w:rFonts w:ascii="Cambria" w:eastAsia="Cambria" w:hAnsi="Cambria" w:cs="SimonciniGaramond"/>
        </w:rPr>
      </w:pPr>
      <w:r>
        <w:rPr>
          <w:rFonts w:ascii="Cambria" w:eastAsia="Cambria" w:hAnsi="Cambria" w:cs="SimonciniGaramond"/>
        </w:rPr>
        <w:lastRenderedPageBreak/>
        <w:t>Nissinen, A, Vanhala, P, Holopainen, JK &amp; Tiilikkala, K 2007, ‘Short feeding period of carrot psyllid (</w:t>
      </w:r>
      <w:r>
        <w:rPr>
          <w:rFonts w:ascii="Cambria" w:eastAsia="Cambria" w:hAnsi="Cambria" w:cs="SimonciniGaramond-Italic"/>
          <w:i/>
          <w:iCs/>
        </w:rPr>
        <w:t>Trioza apicalis</w:t>
      </w:r>
      <w:r>
        <w:rPr>
          <w:rFonts w:ascii="Cambria" w:eastAsia="Cambria" w:hAnsi="Cambria" w:cs="SimonciniGaramond"/>
        </w:rPr>
        <w:t xml:space="preserve">) females at early growth stages of carrot reduces yield and causes leaf discolouration’, </w:t>
      </w:r>
      <w:r>
        <w:rPr>
          <w:rFonts w:ascii="Cambria" w:eastAsia="Cambria" w:hAnsi="Cambria" w:cs="SimonciniGaramond-Italic"/>
          <w:i/>
          <w:iCs/>
        </w:rPr>
        <w:t xml:space="preserve">Entomologia Experimentalis et Applicata, </w:t>
      </w:r>
      <w:r>
        <w:rPr>
          <w:rFonts w:ascii="Cambria" w:eastAsia="Cambria" w:hAnsi="Cambria" w:cs="SimonciniGaramond-Italic"/>
          <w:iCs/>
        </w:rPr>
        <w:t xml:space="preserve">vol. </w:t>
      </w:r>
      <w:r>
        <w:rPr>
          <w:rFonts w:ascii="Cambria" w:eastAsia="Cambria" w:hAnsi="Cambria" w:cs="SimonciniGaramond-Bold"/>
          <w:bCs/>
        </w:rPr>
        <w:t>125</w:t>
      </w:r>
      <w:r>
        <w:rPr>
          <w:rFonts w:ascii="Cambria" w:eastAsia="Cambria" w:hAnsi="Cambria" w:cs="SimonciniGaramond"/>
        </w:rPr>
        <w:t>, pp. 277–283.</w:t>
      </w:r>
    </w:p>
    <w:p w:rsidR="00AE7868" w:rsidRDefault="00FF2B57">
      <w:pPr>
        <w:autoSpaceDE w:val="0"/>
        <w:autoSpaceDN w:val="0"/>
        <w:adjustRightInd w:val="0"/>
        <w:spacing w:before="120" w:after="120"/>
        <w:rPr>
          <w:rFonts w:ascii="Cambria" w:eastAsia="Cambria" w:hAnsi="Cambria" w:cs="SimonciniGaramond"/>
        </w:rPr>
      </w:pPr>
      <w:r>
        <w:rPr>
          <w:rFonts w:ascii="Cambria" w:eastAsia="Cambria" w:hAnsi="Cambria" w:cs="SimonciniGaramond"/>
        </w:rPr>
        <w:t xml:space="preserve">Nissinen, A, Kristoffersen, L &amp; Anderbrant, O 2008, ‘Physiological state of female and light intensity affect the host-plant selection of carrot psyllid, </w:t>
      </w:r>
      <w:r>
        <w:rPr>
          <w:rFonts w:ascii="Cambria" w:eastAsia="Cambria" w:hAnsi="Cambria" w:cs="SimonciniGaramond"/>
          <w:i/>
        </w:rPr>
        <w:t>Trioza apicalis</w:t>
      </w:r>
      <w:r>
        <w:rPr>
          <w:rFonts w:ascii="Cambria" w:eastAsia="Cambria" w:hAnsi="Cambria" w:cs="SimonciniGaramond"/>
        </w:rPr>
        <w:t xml:space="preserve"> (Hemiptera: Triozidae)’, </w:t>
      </w:r>
      <w:r>
        <w:rPr>
          <w:rFonts w:ascii="Cambria" w:eastAsia="Cambria" w:hAnsi="Cambria" w:cs="SimonciniGaramond"/>
          <w:i/>
        </w:rPr>
        <w:t>European Journal of Entomology</w:t>
      </w:r>
      <w:r>
        <w:rPr>
          <w:rFonts w:ascii="Cambria" w:eastAsia="Cambria" w:hAnsi="Cambria" w:cs="SimonciniGaramond"/>
        </w:rPr>
        <w:t>, vol. 105, pp. 227–232.</w:t>
      </w:r>
    </w:p>
    <w:p w:rsidR="00AE7868" w:rsidRDefault="00FF2B57">
      <w:pPr>
        <w:autoSpaceDE w:val="0"/>
        <w:autoSpaceDN w:val="0"/>
        <w:adjustRightInd w:val="0"/>
        <w:spacing w:before="120" w:after="120"/>
        <w:rPr>
          <w:rFonts w:ascii="Cambria" w:hAnsi="Cambria"/>
        </w:rPr>
      </w:pPr>
      <w:r>
        <w:rPr>
          <w:rFonts w:ascii="Cambria" w:hAnsi="Cambria"/>
        </w:rPr>
        <w:t>Nissinen, AI, Lemmetty, A, Pihlava, J-M, Jauhiainen, L, Munyaneza, JE &amp; Vanhala, P 2012, ‘Effects of carrot psyllid (</w:t>
      </w:r>
      <w:r>
        <w:rPr>
          <w:rFonts w:ascii="Cambria" w:hAnsi="Cambria"/>
          <w:i/>
        </w:rPr>
        <w:t>Trioza apicalis</w:t>
      </w:r>
      <w:r>
        <w:rPr>
          <w:rFonts w:ascii="Cambria" w:hAnsi="Cambria"/>
        </w:rPr>
        <w:t xml:space="preserve">) feeding on carrot yield and content of sugars and phenolic compounds’, </w:t>
      </w:r>
      <w:r>
        <w:rPr>
          <w:rFonts w:ascii="Cambria" w:hAnsi="Cambria"/>
          <w:i/>
        </w:rPr>
        <w:t>Annals of Applied Biology</w:t>
      </w:r>
      <w:r>
        <w:rPr>
          <w:rFonts w:ascii="Cambria" w:hAnsi="Cambria"/>
        </w:rPr>
        <w:t>, vol. 161, pp. 68–80.</w:t>
      </w:r>
    </w:p>
    <w:p w:rsidR="00AE7868" w:rsidRDefault="00FF2B57">
      <w:pPr>
        <w:autoSpaceDE w:val="0"/>
        <w:autoSpaceDN w:val="0"/>
        <w:adjustRightInd w:val="0"/>
        <w:spacing w:before="120" w:after="120"/>
        <w:rPr>
          <w:rFonts w:ascii="Cambria" w:hAnsi="Cambria"/>
        </w:rPr>
      </w:pPr>
      <w:r>
        <w:rPr>
          <w:rFonts w:ascii="Cambria" w:hAnsi="Cambria"/>
        </w:rPr>
        <w:t>Nissinen, AI, Haapalainen, M, Jauhiainen, L, Lindman, M &amp; Pirhonen, M 2014, ‘Different symptoms in carrots caused by male and female carrot psyllid feeding and infection by “</w:t>
      </w:r>
      <w:r>
        <w:rPr>
          <w:rFonts w:ascii="Cambria" w:hAnsi="Cambria"/>
          <w:i/>
        </w:rPr>
        <w:t>Candidatus</w:t>
      </w:r>
      <w:r>
        <w:rPr>
          <w:rFonts w:ascii="Cambria" w:hAnsi="Cambria"/>
        </w:rPr>
        <w:t xml:space="preserve"> Liberibacter solanacearum”’, </w:t>
      </w:r>
      <w:r>
        <w:rPr>
          <w:rFonts w:ascii="Cambria" w:hAnsi="Cambria"/>
          <w:i/>
        </w:rPr>
        <w:t>Plant Pathology</w:t>
      </w:r>
      <w:r>
        <w:rPr>
          <w:rFonts w:ascii="Cambria" w:hAnsi="Cambria"/>
        </w:rPr>
        <w:t>, vol. 63, pp. 812–820.</w:t>
      </w:r>
    </w:p>
    <w:p w:rsidR="00AE7868" w:rsidRDefault="00FF2B57">
      <w:pPr>
        <w:spacing w:before="120" w:after="120"/>
        <w:rPr>
          <w:rFonts w:ascii="Cambria" w:eastAsia="Cambria" w:hAnsi="Cambria" w:cs="AdvPSSAB-R"/>
        </w:rPr>
      </w:pPr>
      <w:r>
        <w:rPr>
          <w:rFonts w:ascii="Cambria" w:eastAsia="Cambria" w:hAnsi="Cambria" w:cs="AdvPSSAB-R"/>
        </w:rPr>
        <w:t xml:space="preserve">Nocker, A &amp; Camper, AK 2006, ‘Selective removal of DNA from dead cells of mixed bacterial communities by use of ethidium monoazide’, </w:t>
      </w:r>
      <w:r>
        <w:rPr>
          <w:rFonts w:ascii="Cambria" w:eastAsia="Cambria" w:hAnsi="Cambria" w:cs="AdvPSSAB-R"/>
          <w:i/>
        </w:rPr>
        <w:t>Applied and Environmental Microbiology</w:t>
      </w:r>
      <w:r>
        <w:rPr>
          <w:rFonts w:ascii="Cambria" w:eastAsia="Cambria" w:hAnsi="Cambria" w:cs="AdvPSSAB-R"/>
        </w:rPr>
        <w:t>, vol. 72, pp. 1997–2004.</w:t>
      </w:r>
    </w:p>
    <w:p w:rsidR="00AE7868" w:rsidRDefault="00FF2B57">
      <w:pPr>
        <w:spacing w:before="120" w:after="120"/>
        <w:rPr>
          <w:rFonts w:ascii="Cambria" w:eastAsia="Cambria" w:hAnsi="Cambria" w:cs="AdvPSSAB-R"/>
        </w:rPr>
      </w:pPr>
      <w:r>
        <w:rPr>
          <w:rFonts w:ascii="Cambria" w:eastAsia="Cambria" w:hAnsi="Cambria" w:cs="AdvPSSAB-R"/>
        </w:rPr>
        <w:t xml:space="preserve">Nocker, A, Sossa, KE &amp; Camper, AK 2007, ‘Molecular monitoring of disinfection efficacy using propidium monoazide in combination with quantitative PCR’, </w:t>
      </w:r>
      <w:r>
        <w:rPr>
          <w:rFonts w:ascii="Cambria" w:eastAsia="Cambria" w:hAnsi="Cambria" w:cs="AdvPSSAB-R"/>
          <w:i/>
        </w:rPr>
        <w:t>Journal of Microbiological Methods</w:t>
      </w:r>
      <w:r>
        <w:rPr>
          <w:rFonts w:ascii="Cambria" w:eastAsia="Cambria" w:hAnsi="Cambria" w:cs="AdvPSSAB-R"/>
        </w:rPr>
        <w:t>, vol. 70, pp. 252–260.</w:t>
      </w:r>
    </w:p>
    <w:p w:rsidR="00AE7868" w:rsidRDefault="00FF2B57">
      <w:pPr>
        <w:spacing w:before="120" w:after="120"/>
        <w:rPr>
          <w:rFonts w:ascii="Cambria" w:hAnsi="Cambria"/>
        </w:rPr>
      </w:pPr>
      <w:r>
        <w:rPr>
          <w:rFonts w:ascii="Cambria" w:hAnsi="Cambria"/>
        </w:rPr>
        <w:lastRenderedPageBreak/>
        <w:t xml:space="preserve">Ouvrard, D 2012, ‘First record of the onion psyllid </w:t>
      </w:r>
      <w:r>
        <w:rPr>
          <w:rFonts w:ascii="Cambria" w:hAnsi="Cambria"/>
          <w:i/>
          <w:iCs/>
        </w:rPr>
        <w:t>Bactericera tremblayi</w:t>
      </w:r>
      <w:r>
        <w:rPr>
          <w:rFonts w:ascii="Cambria" w:hAnsi="Cambria"/>
        </w:rPr>
        <w:t xml:space="preserve"> (Wagner 1961) (Insecta: Hemiptera: Sternorrhyncha: Psylloidea) and new symptoms on leek crops in France’, eppo.int/QUARANTINE/special_topics/Bactericera_tremblayi_FR/Bactericera_tremblayi.htm.</w:t>
      </w:r>
    </w:p>
    <w:p w:rsidR="00AE7868" w:rsidRDefault="00FF2B57">
      <w:pPr>
        <w:spacing w:before="120" w:after="120"/>
        <w:rPr>
          <w:rFonts w:ascii="Cambria" w:eastAsia="Cambria" w:hAnsi="Cambria" w:cs="AdvPSSAB-R"/>
        </w:rPr>
      </w:pPr>
      <w:r>
        <w:rPr>
          <w:rFonts w:ascii="Cambria" w:eastAsia="Cambria" w:hAnsi="Cambria" w:cs="AdvPSSAB-R"/>
        </w:rPr>
        <w:t xml:space="preserve">Ouvrard, D 2015, ‘Psyl'list – The World Psylloidea Database’, </w:t>
      </w:r>
      <w:r>
        <w:rPr>
          <w:rFonts w:ascii="Cambria" w:hAnsi="Cambria" w:cs="AdvPSSAB-R"/>
        </w:rPr>
        <w:t xml:space="preserve">hemiptera-databases.com/psyllist. </w:t>
      </w:r>
    </w:p>
    <w:p w:rsidR="00AE7868" w:rsidRDefault="00FF2B57">
      <w:pPr>
        <w:autoSpaceDE w:val="0"/>
        <w:autoSpaceDN w:val="0"/>
        <w:adjustRightInd w:val="0"/>
        <w:spacing w:before="120" w:after="120"/>
        <w:rPr>
          <w:rFonts w:ascii="Cambria" w:eastAsia="Cambria" w:hAnsi="Cambria" w:cs="TimesNewRomanPSMT"/>
        </w:rPr>
      </w:pPr>
      <w:r>
        <w:rPr>
          <w:rFonts w:ascii="Cambria" w:eastAsia="Cambria" w:hAnsi="Cambria" w:cs="TimesNewRomanPSMT"/>
        </w:rPr>
        <w:t xml:space="preserve">Ouvrard, D &amp; Burckhardt, D 2012, ‘First record of the onion psyllid </w:t>
      </w:r>
      <w:r>
        <w:rPr>
          <w:rFonts w:ascii="Cambria" w:eastAsia="Cambria" w:hAnsi="Cambria" w:cs="TimesNewRomanPS-ItalicMT"/>
          <w:i/>
          <w:iCs/>
        </w:rPr>
        <w:t xml:space="preserve">Bactericera tremblayi </w:t>
      </w:r>
      <w:r>
        <w:rPr>
          <w:rFonts w:ascii="Cambria" w:eastAsia="Cambria" w:hAnsi="Cambria" w:cs="TimesNewRomanPSMT"/>
        </w:rPr>
        <w:t xml:space="preserve">(Wagner, 1961) in France (Insecta: Hemiptera: Sternorrhyncha: Psylloidea), new symptoms on leek crops and reassessment of the </w:t>
      </w:r>
      <w:r>
        <w:rPr>
          <w:rFonts w:ascii="Cambria" w:eastAsia="Cambria" w:hAnsi="Cambria" w:cs="TimesNewRomanPS-ItalicMT"/>
          <w:i/>
          <w:iCs/>
        </w:rPr>
        <w:t>B. nigricornis</w:t>
      </w:r>
      <w:r>
        <w:rPr>
          <w:rFonts w:ascii="Cambria" w:eastAsia="Cambria" w:hAnsi="Cambria" w:cs="TimesNewRomanPSMT"/>
        </w:rPr>
        <w:t xml:space="preserve">-group distribution’, </w:t>
      </w:r>
      <w:r>
        <w:rPr>
          <w:rFonts w:ascii="Cambria" w:eastAsia="Cambria" w:hAnsi="Cambria" w:cs="TimesNewRomanPSMT"/>
          <w:i/>
        </w:rPr>
        <w:t>Bulletin OEPP</w:t>
      </w:r>
      <w:r>
        <w:rPr>
          <w:rFonts w:ascii="Cambria" w:eastAsia="Cambria" w:hAnsi="Cambria" w:cs="TimesNewRomanPSMT"/>
        </w:rPr>
        <w:t xml:space="preserve">, vol. 42, pp. 585–590. </w:t>
      </w:r>
    </w:p>
    <w:p w:rsidR="00AE7868" w:rsidRDefault="00FF2B57">
      <w:pPr>
        <w:autoSpaceDE w:val="0"/>
        <w:autoSpaceDN w:val="0"/>
        <w:adjustRightInd w:val="0"/>
        <w:spacing w:before="120" w:after="120"/>
        <w:outlineLvl w:val="3"/>
        <w:rPr>
          <w:rFonts w:ascii="Cambria" w:eastAsia="Cambria" w:hAnsi="Cambria" w:cs="Highland-Roman"/>
        </w:rPr>
      </w:pPr>
      <w:r>
        <w:rPr>
          <w:rFonts w:ascii="Cambria" w:eastAsia="Cambria" w:hAnsi="Cambria" w:cs="Highland-Roman"/>
        </w:rPr>
        <w:t xml:space="preserve">Rubio-Covarrubias, OA, Almeyda-Leon, IH, Moreno, JI, Sanchez-Salas, JA, Sosa, RF, Borbon-Soto, JT, Hernandez, CD, Garzon-Tiznado, JA, Rodriguez, RR &amp; Cadena-Hinajosa, MA 2006, ‘Distribution of potato purple top and </w:t>
      </w:r>
      <w:r>
        <w:rPr>
          <w:rFonts w:ascii="Cambria" w:eastAsia="Cambria" w:hAnsi="Cambria" w:cs="Highland-Roman"/>
          <w:i/>
        </w:rPr>
        <w:t>Bactericera cockerelli</w:t>
      </w:r>
      <w:r>
        <w:rPr>
          <w:rFonts w:ascii="Cambria" w:eastAsia="Cambria" w:hAnsi="Cambria" w:cs="Highland-Roman"/>
        </w:rPr>
        <w:t xml:space="preserve"> Sulc. in the main potato production zones in Mexico’, </w:t>
      </w:r>
      <w:r>
        <w:rPr>
          <w:rFonts w:ascii="Cambria" w:eastAsia="Cambria" w:hAnsi="Cambria" w:cs="Highland-Roman"/>
          <w:i/>
        </w:rPr>
        <w:t>Agricultura Técnica en México</w:t>
      </w:r>
      <w:r>
        <w:rPr>
          <w:rFonts w:ascii="Cambria" w:eastAsia="Cambria" w:hAnsi="Cambria" w:cs="Highland-Roman"/>
        </w:rPr>
        <w:t>, vol. 32, pp. 201–211.</w:t>
      </w:r>
    </w:p>
    <w:p w:rsidR="00AE7868" w:rsidRDefault="00FF2B57">
      <w:pPr>
        <w:autoSpaceDE w:val="0"/>
        <w:autoSpaceDN w:val="0"/>
        <w:adjustRightInd w:val="0"/>
        <w:spacing w:before="120" w:after="120"/>
        <w:rPr>
          <w:rFonts w:ascii="Cambria" w:eastAsia="Cambria" w:hAnsi="Cambria" w:cs="Highland-Roman"/>
        </w:rPr>
      </w:pPr>
      <w:r>
        <w:rPr>
          <w:rFonts w:ascii="Cambria" w:eastAsia="Cambria" w:hAnsi="Cambria" w:cs="Highland-Roman"/>
        </w:rPr>
        <w:t xml:space="preserve">Rygg, T 1977, ‘Biological investigations on the carrot pyllid </w:t>
      </w:r>
      <w:r>
        <w:rPr>
          <w:rFonts w:ascii="Cambria" w:eastAsia="Cambria" w:hAnsi="Cambria" w:cs="Highland-Roman"/>
          <w:i/>
        </w:rPr>
        <w:t>Trioza apicalis</w:t>
      </w:r>
      <w:r>
        <w:rPr>
          <w:rFonts w:ascii="Cambria" w:eastAsia="Cambria" w:hAnsi="Cambria" w:cs="Highland-Roman"/>
        </w:rPr>
        <w:t xml:space="preserve"> Forster (Homoptera, Triozidae)’, </w:t>
      </w:r>
      <w:r>
        <w:rPr>
          <w:rFonts w:ascii="Cambria" w:eastAsia="Cambria" w:hAnsi="Cambria" w:cs="Highland-Roman"/>
          <w:i/>
        </w:rPr>
        <w:t>Scientific Reports of the Agricultural University of Norway</w:t>
      </w:r>
      <w:r>
        <w:rPr>
          <w:rFonts w:ascii="Cambria" w:eastAsia="Cambria" w:hAnsi="Cambria" w:cs="Highland-Roman"/>
        </w:rPr>
        <w:t>, vol. 56, pp. 1–20.</w:t>
      </w:r>
    </w:p>
    <w:p w:rsidR="00AE7868" w:rsidRDefault="00FF2B57">
      <w:pPr>
        <w:autoSpaceDE w:val="0"/>
        <w:autoSpaceDN w:val="0"/>
        <w:adjustRightInd w:val="0"/>
        <w:spacing w:before="120" w:after="120"/>
        <w:rPr>
          <w:rFonts w:ascii="Cambria" w:eastAsia="Cambria" w:hAnsi="Cambria" w:cs="Highland-Roman"/>
        </w:rPr>
      </w:pPr>
      <w:r>
        <w:rPr>
          <w:rFonts w:ascii="Cambria" w:eastAsia="Cambria" w:hAnsi="Cambria" w:cs="Highland-Roman"/>
        </w:rPr>
        <w:lastRenderedPageBreak/>
        <w:t xml:space="preserve">Santos-Cervantes, ME, Chavez-Medina, JA, Acosta-Pardini, J, Flores-Zamora, GL, Mendez-Lozano, J &amp; Leyva-Lopez, NE 2010, ‘Genetic diversity and geographical distribution of phytoplasmas associated with potato purple top disease in Mexico’, </w:t>
      </w:r>
      <w:r>
        <w:rPr>
          <w:rFonts w:ascii="Cambria" w:eastAsia="Cambria" w:hAnsi="Cambria" w:cs="Highland-Roman"/>
          <w:i/>
        </w:rPr>
        <w:t>Plant Disease</w:t>
      </w:r>
      <w:r>
        <w:rPr>
          <w:rFonts w:ascii="Cambria" w:eastAsia="Cambria" w:hAnsi="Cambria" w:cs="Highland-Roman"/>
        </w:rPr>
        <w:t>, vol. 94, pp. 388–395.</w:t>
      </w:r>
    </w:p>
    <w:p w:rsidR="00AE7868" w:rsidRDefault="00FF2B57">
      <w:pPr>
        <w:autoSpaceDE w:val="0"/>
        <w:autoSpaceDN w:val="0"/>
        <w:adjustRightInd w:val="0"/>
        <w:spacing w:before="120" w:after="120"/>
        <w:rPr>
          <w:rFonts w:ascii="Cambria" w:hAnsi="Cambria"/>
        </w:rPr>
      </w:pPr>
      <w:r>
        <w:rPr>
          <w:rFonts w:ascii="Cambria" w:hAnsi="Cambria"/>
        </w:rPr>
        <w:t xml:space="preserve">Schönwitz, R, Lohwasser, K, Kloos, M &amp; Ziegler, H 1990, ‘Seasonal variation in the monoterpenes in needles of </w:t>
      </w:r>
      <w:r>
        <w:rPr>
          <w:rFonts w:ascii="Cambria" w:hAnsi="Cambria"/>
          <w:i/>
        </w:rPr>
        <w:t>Picea abies</w:t>
      </w:r>
      <w:r>
        <w:rPr>
          <w:rFonts w:ascii="Cambria" w:hAnsi="Cambria"/>
        </w:rPr>
        <w:t xml:space="preserve"> (L.) Karst’, </w:t>
      </w:r>
      <w:r>
        <w:rPr>
          <w:rFonts w:ascii="Cambria" w:hAnsi="Cambria"/>
          <w:i/>
        </w:rPr>
        <w:t>Trees</w:t>
      </w:r>
      <w:r>
        <w:rPr>
          <w:rFonts w:ascii="Cambria" w:hAnsi="Cambria"/>
        </w:rPr>
        <w:t>, vol. 4, pp. 34–40.</w:t>
      </w:r>
    </w:p>
    <w:p w:rsidR="00AE7868" w:rsidRDefault="00FF2B57">
      <w:pPr>
        <w:spacing w:before="120" w:after="120"/>
        <w:jc w:val="both"/>
        <w:rPr>
          <w:rFonts w:ascii="Cambria" w:hAnsi="Cambria" w:cs="Arial"/>
        </w:rPr>
      </w:pPr>
      <w:r>
        <w:rPr>
          <w:rFonts w:ascii="Cambria" w:hAnsi="Cambria" w:cs="Arial"/>
        </w:rPr>
        <w:t>Secor, GA, Rivera, VV, Abad, JA, Lee, IM, Clover, GRG &amp; Liefting, LW 2009, ‘Association of ‘</w:t>
      </w:r>
      <w:r>
        <w:rPr>
          <w:rFonts w:ascii="Cambria" w:hAnsi="Cambria" w:cs="Arial"/>
          <w:i/>
        </w:rPr>
        <w:t>Candidatus</w:t>
      </w:r>
      <w:r>
        <w:rPr>
          <w:rFonts w:ascii="Cambria" w:hAnsi="Cambria" w:cs="Arial"/>
        </w:rPr>
        <w:t xml:space="preserve"> Liberibacter solanacearum’ with zebra chip disease of potato established by graft and psyllid transmission, electron microscopy and PCR’, </w:t>
      </w:r>
      <w:r>
        <w:rPr>
          <w:rFonts w:ascii="Cambria" w:hAnsi="Cambria" w:cs="Arial"/>
          <w:i/>
        </w:rPr>
        <w:t>Plant Disease,</w:t>
      </w:r>
      <w:r>
        <w:rPr>
          <w:rFonts w:ascii="Cambria" w:hAnsi="Cambria" w:cs="Arial"/>
        </w:rPr>
        <w:t xml:space="preserve"> vol. 93, pp. 574–583.</w:t>
      </w:r>
    </w:p>
    <w:p w:rsidR="00AE7868" w:rsidRDefault="00FF2B57">
      <w:pPr>
        <w:autoSpaceDE w:val="0"/>
        <w:autoSpaceDN w:val="0"/>
        <w:adjustRightInd w:val="0"/>
        <w:spacing w:before="120" w:after="120"/>
        <w:rPr>
          <w:rFonts w:ascii="Cambria" w:hAnsi="Cambria"/>
        </w:rPr>
      </w:pPr>
      <w:r>
        <w:rPr>
          <w:rFonts w:ascii="Cambria" w:hAnsi="Cambria"/>
        </w:rPr>
        <w:t>Seljåsen, R, Vogt, G, Olsen, E, Lea, P, Høgetveit, LA, Tajet, T, Meadow, R &amp; Bengtsson, GB 2013, ‘Influence of field attack by carrot psyllid (</w:t>
      </w:r>
      <w:r>
        <w:rPr>
          <w:rFonts w:ascii="Cambria" w:hAnsi="Cambria"/>
          <w:i/>
        </w:rPr>
        <w:t>Trioza apicalis</w:t>
      </w:r>
      <w:r>
        <w:rPr>
          <w:rFonts w:ascii="Cambria" w:hAnsi="Cambria"/>
        </w:rPr>
        <w:t xml:space="preserve"> Förster) on sensory quality, antioxidant capacity and content of terpenes, falcarindiol and 6-methoxymellein of carrots (</w:t>
      </w:r>
      <w:r>
        <w:rPr>
          <w:rFonts w:ascii="Cambria" w:hAnsi="Cambria"/>
          <w:i/>
        </w:rPr>
        <w:t>Daucus carota</w:t>
      </w:r>
      <w:r>
        <w:rPr>
          <w:rFonts w:ascii="Cambria" w:hAnsi="Cambria"/>
        </w:rPr>
        <w:t xml:space="preserve"> L.)’, </w:t>
      </w:r>
      <w:r>
        <w:rPr>
          <w:rFonts w:ascii="Cambria" w:hAnsi="Cambria"/>
          <w:i/>
        </w:rPr>
        <w:t>Journal of Agricultural and Food Chemistry</w:t>
      </w:r>
      <w:r>
        <w:rPr>
          <w:rFonts w:ascii="Cambria" w:hAnsi="Cambria"/>
        </w:rPr>
        <w:t>, vol. 61, pp. 2831–2838.</w:t>
      </w:r>
    </w:p>
    <w:p w:rsidR="00AE7868" w:rsidRDefault="00FF2B57">
      <w:pPr>
        <w:autoSpaceDE w:val="0"/>
        <w:autoSpaceDN w:val="0"/>
        <w:adjustRightInd w:val="0"/>
        <w:spacing w:before="120" w:after="120"/>
        <w:rPr>
          <w:rFonts w:ascii="Cambria" w:hAnsi="Cambria"/>
        </w:rPr>
      </w:pPr>
      <w:r>
        <w:rPr>
          <w:rFonts w:ascii="Cambria" w:hAnsi="Cambria"/>
        </w:rPr>
        <w:t xml:space="preserve">Sengoda, VG, Munyaneza, JE, Crosslin, JM, Buchman, JL &amp; Pappu, HR 2010, ‘Phenotypic and etiological differences between psyllid yellows and zebra chip diseases of potato’, </w:t>
      </w:r>
      <w:r>
        <w:rPr>
          <w:rFonts w:ascii="Cambria" w:hAnsi="Cambria"/>
          <w:i/>
        </w:rPr>
        <w:t>American Journal of Potato Research</w:t>
      </w:r>
      <w:r>
        <w:rPr>
          <w:rFonts w:ascii="Cambria" w:hAnsi="Cambria"/>
        </w:rPr>
        <w:t>, vol. 87, pp. 41–49.</w:t>
      </w:r>
    </w:p>
    <w:p w:rsidR="00AE7868" w:rsidRDefault="00FF2B57">
      <w:pPr>
        <w:autoSpaceDE w:val="0"/>
        <w:autoSpaceDN w:val="0"/>
        <w:adjustRightInd w:val="0"/>
        <w:spacing w:before="120" w:after="120"/>
        <w:rPr>
          <w:rFonts w:ascii="Cambria" w:hAnsi="Cambria"/>
        </w:rPr>
      </w:pPr>
      <w:r>
        <w:rPr>
          <w:rFonts w:ascii="Cambria" w:hAnsi="Cambria"/>
        </w:rPr>
        <w:lastRenderedPageBreak/>
        <w:t xml:space="preserve">Shurtleff, MC &amp; Averre, CW 1997, </w:t>
      </w:r>
      <w:r>
        <w:rPr>
          <w:rFonts w:ascii="Cambria" w:hAnsi="Cambria"/>
          <w:i/>
        </w:rPr>
        <w:t>Glossary of Plant-Pathological Terms</w:t>
      </w:r>
      <w:r>
        <w:rPr>
          <w:rFonts w:ascii="Cambria" w:hAnsi="Cambria"/>
        </w:rPr>
        <w:t>, American Phytopathology Society Press, St. Paul, MN.</w:t>
      </w:r>
    </w:p>
    <w:p w:rsidR="00AE7868" w:rsidRDefault="00FF2B57">
      <w:pPr>
        <w:autoSpaceDE w:val="0"/>
        <w:autoSpaceDN w:val="0"/>
        <w:adjustRightInd w:val="0"/>
        <w:spacing w:before="120" w:after="120"/>
        <w:rPr>
          <w:rFonts w:ascii="Cambria" w:hAnsi="Cambria"/>
        </w:rPr>
      </w:pPr>
      <w:r>
        <w:rPr>
          <w:rFonts w:ascii="Cambria" w:hAnsi="Cambria"/>
        </w:rPr>
        <w:t xml:space="preserve">Simon, PW, Lindsay, RC &amp; Peterson, CE 1980, ‘Analysis of carrot volatiles collected on porous polymer traps’, </w:t>
      </w:r>
      <w:r>
        <w:rPr>
          <w:rFonts w:ascii="Cambria" w:hAnsi="Cambria"/>
          <w:i/>
        </w:rPr>
        <w:t>Journal of Agricultural and Food Chemistry</w:t>
      </w:r>
      <w:r>
        <w:rPr>
          <w:rFonts w:ascii="Cambria" w:hAnsi="Cambria"/>
        </w:rPr>
        <w:t>, vol. 28, pp. 549–552.</w:t>
      </w:r>
    </w:p>
    <w:p w:rsidR="00AE7868" w:rsidRDefault="00FF2B57">
      <w:pPr>
        <w:autoSpaceDE w:val="0"/>
        <w:autoSpaceDN w:val="0"/>
        <w:adjustRightInd w:val="0"/>
        <w:spacing w:before="120" w:after="120"/>
        <w:rPr>
          <w:rFonts w:ascii="Cambria" w:hAnsi="Cambria"/>
        </w:rPr>
      </w:pPr>
      <w:r>
        <w:rPr>
          <w:rFonts w:ascii="Cambria" w:hAnsi="Cambria"/>
        </w:rPr>
        <w:t xml:space="preserve">Stadler, E 1992, ‘Behavioural responses of insects to plant secondary compounds’, In: GA Rosenthal &amp; MR Berenbaum (eds), </w:t>
      </w:r>
      <w:r>
        <w:rPr>
          <w:rFonts w:ascii="Cambria" w:hAnsi="Cambria"/>
          <w:i/>
        </w:rPr>
        <w:t>Herbivores: Their Interaction with Secondary Plant Metabolites</w:t>
      </w:r>
      <w:r>
        <w:rPr>
          <w:rFonts w:ascii="Cambria" w:hAnsi="Cambria"/>
        </w:rPr>
        <w:t>, Academic Press, New York, pp. 45–88.</w:t>
      </w:r>
    </w:p>
    <w:p w:rsidR="00AE7868" w:rsidRDefault="00FF2B57">
      <w:pPr>
        <w:autoSpaceDE w:val="0"/>
        <w:autoSpaceDN w:val="0"/>
        <w:adjustRightInd w:val="0"/>
        <w:spacing w:before="120" w:after="120"/>
        <w:rPr>
          <w:rFonts w:ascii="Cambria" w:hAnsi="Cambria"/>
        </w:rPr>
      </w:pPr>
      <w:r>
        <w:rPr>
          <w:rFonts w:ascii="Cambria" w:hAnsi="Cambria"/>
        </w:rPr>
        <w:t xml:space="preserve">Stenlid, J, Oliva, J, Boberg, JB &amp; Hopkins, AJM 2011, ‘Emerging diseases in European forest ecosystems and responses in society’, </w:t>
      </w:r>
      <w:r>
        <w:rPr>
          <w:rFonts w:ascii="Cambria" w:hAnsi="Cambria"/>
          <w:i/>
        </w:rPr>
        <w:t>Forests</w:t>
      </w:r>
      <w:r>
        <w:rPr>
          <w:rFonts w:ascii="Cambria" w:hAnsi="Cambria"/>
        </w:rPr>
        <w:t>, 2: 486–504.</w:t>
      </w:r>
    </w:p>
    <w:p w:rsidR="00AE7868" w:rsidRDefault="00FF2B57">
      <w:pPr>
        <w:autoSpaceDE w:val="0"/>
        <w:autoSpaceDN w:val="0"/>
        <w:adjustRightInd w:val="0"/>
        <w:spacing w:before="120" w:after="120"/>
        <w:rPr>
          <w:rFonts w:ascii="Cambria" w:hAnsi="Cambria"/>
        </w:rPr>
      </w:pPr>
      <w:r>
        <w:rPr>
          <w:rFonts w:ascii="Cambria" w:hAnsi="Cambria"/>
        </w:rPr>
        <w:t>Tahzima, R, Maes, M, Achbani, EH, Swisher, KD, Munyaneza, JE, De Jonghe, K 2014, ‘First report of ‘</w:t>
      </w:r>
      <w:r>
        <w:rPr>
          <w:rFonts w:ascii="Cambria" w:hAnsi="Cambria"/>
          <w:i/>
        </w:rPr>
        <w:t>Candidatus</w:t>
      </w:r>
      <w:r>
        <w:rPr>
          <w:rFonts w:ascii="Cambria" w:hAnsi="Cambria"/>
        </w:rPr>
        <w:t xml:space="preserve"> Liberibacter solanacearum’ on carrot in Africa’, </w:t>
      </w:r>
      <w:r>
        <w:rPr>
          <w:rFonts w:ascii="Cambria" w:hAnsi="Cambria"/>
          <w:i/>
        </w:rPr>
        <w:t xml:space="preserve">Plant Disease First Look, </w:t>
      </w:r>
      <w:r>
        <w:rPr>
          <w:rFonts w:ascii="Cambria" w:hAnsi="Cambria"/>
        </w:rPr>
        <w:t>vol. 98 no. 10, pp. 1426.</w:t>
      </w:r>
    </w:p>
    <w:p w:rsidR="00AE7868" w:rsidRDefault="00FF2B57">
      <w:pPr>
        <w:autoSpaceDE w:val="0"/>
        <w:autoSpaceDN w:val="0"/>
        <w:adjustRightInd w:val="0"/>
        <w:spacing w:before="120" w:after="120"/>
        <w:rPr>
          <w:rFonts w:ascii="Cambria" w:hAnsi="Cambria"/>
        </w:rPr>
      </w:pPr>
      <w:r>
        <w:rPr>
          <w:rFonts w:ascii="Cambria" w:hAnsi="Cambria"/>
        </w:rPr>
        <w:t xml:space="preserve">Temple, TN, du Toit, LJ, Derie, ML &amp; Johnson, KB 2013, ‘Quantitative molecular detection of </w:t>
      </w:r>
      <w:r>
        <w:rPr>
          <w:rFonts w:ascii="Cambria" w:hAnsi="Cambria"/>
          <w:i/>
        </w:rPr>
        <w:t>Xanthomonas hortorum</w:t>
      </w:r>
      <w:r>
        <w:rPr>
          <w:rFonts w:ascii="Cambria" w:hAnsi="Cambria"/>
        </w:rPr>
        <w:t xml:space="preserve"> pv. </w:t>
      </w:r>
      <w:r>
        <w:rPr>
          <w:rFonts w:ascii="Cambria" w:hAnsi="Cambria"/>
          <w:i/>
        </w:rPr>
        <w:t>carotae</w:t>
      </w:r>
      <w:r>
        <w:rPr>
          <w:rFonts w:ascii="Cambria" w:hAnsi="Cambria"/>
        </w:rPr>
        <w:t xml:space="preserve"> in carrot seed before and after hot-water treatment’, </w:t>
      </w:r>
      <w:r>
        <w:rPr>
          <w:rFonts w:ascii="Cambria" w:hAnsi="Cambria"/>
          <w:i/>
        </w:rPr>
        <w:t>Plant Disease</w:t>
      </w:r>
      <w:r>
        <w:rPr>
          <w:rFonts w:ascii="Cambria" w:hAnsi="Cambria"/>
        </w:rPr>
        <w:t>, vol. 97, pp. 1585–1592.</w:t>
      </w:r>
    </w:p>
    <w:p w:rsidR="00AE7868" w:rsidRDefault="00FF2B57">
      <w:pPr>
        <w:autoSpaceDE w:val="0"/>
        <w:autoSpaceDN w:val="0"/>
        <w:adjustRightInd w:val="0"/>
        <w:spacing w:before="120" w:after="120"/>
        <w:rPr>
          <w:rFonts w:ascii="Cambria" w:eastAsia="Cambria" w:hAnsi="Cambria" w:cs="TimesNewRomanPSMT"/>
        </w:rPr>
      </w:pPr>
      <w:r>
        <w:rPr>
          <w:rFonts w:ascii="Cambria" w:eastAsia="Cambria" w:hAnsi="Cambria" w:cs="TimesNewRoman"/>
        </w:rPr>
        <w:t xml:space="preserve">Teresani, G, Hernández </w:t>
      </w:r>
      <w:r>
        <w:rPr>
          <w:rFonts w:ascii="Cambria" w:eastAsia="Cambria" w:hAnsi="Cambria" w:cs="TimesNewRomanPSMT"/>
        </w:rPr>
        <w:t>Suárez,</w:t>
      </w:r>
      <w:r>
        <w:rPr>
          <w:rFonts w:ascii="Cambria" w:eastAsia="Cambria" w:hAnsi="Cambria" w:cs="TimesNewRoman"/>
        </w:rPr>
        <w:t xml:space="preserve"> E, Bertolini, E, Siverio, F &amp; Cambra, M 2014a, ‘Experimental transmission of '</w:t>
      </w:r>
      <w:r>
        <w:rPr>
          <w:rFonts w:ascii="Cambria" w:eastAsia="Cambria" w:hAnsi="Cambria" w:cs="TimesNewRoman"/>
          <w:i/>
        </w:rPr>
        <w:t>Ca</w:t>
      </w:r>
      <w:r>
        <w:rPr>
          <w:rFonts w:ascii="Cambria" w:eastAsia="Cambria" w:hAnsi="Cambria" w:cs="TimesNewRoman"/>
        </w:rPr>
        <w:t xml:space="preserve">. Liberibacter solanacearum' by </w:t>
      </w:r>
      <w:r>
        <w:rPr>
          <w:rFonts w:ascii="Cambria" w:eastAsia="Cambria" w:hAnsi="Cambria" w:cs="TimesNewRoman"/>
          <w:i/>
        </w:rPr>
        <w:t>Bactericera trigonica</w:t>
      </w:r>
      <w:r>
        <w:rPr>
          <w:rFonts w:ascii="Cambria" w:eastAsia="Cambria" w:hAnsi="Cambria" w:cs="TimesNewRoman"/>
        </w:rPr>
        <w:t xml:space="preserve">’, </w:t>
      </w:r>
      <w:r>
        <w:rPr>
          <w:rFonts w:ascii="Cambria" w:eastAsia="Cambria" w:hAnsi="Cambria" w:cs="TimesNewRomanPSMT"/>
        </w:rPr>
        <w:t xml:space="preserve">Final Meeting Project 266505 FP7-ERANET EUPHRESCO II: Epidemiology and diagnosis of potato phytoplasmas </w:t>
      </w:r>
      <w:r>
        <w:rPr>
          <w:rFonts w:ascii="Cambria" w:eastAsia="Cambria" w:hAnsi="Cambria" w:cs="TimesNewRomanPSMT"/>
        </w:rPr>
        <w:lastRenderedPageBreak/>
        <w:t>and ‘</w:t>
      </w:r>
      <w:r>
        <w:rPr>
          <w:rFonts w:ascii="Cambria" w:eastAsia="Cambria" w:hAnsi="Cambria" w:cs="TimesNewRomanPSMT"/>
          <w:i/>
        </w:rPr>
        <w:t>Candidatus</w:t>
      </w:r>
      <w:r>
        <w:rPr>
          <w:rFonts w:ascii="Cambria" w:eastAsia="Cambria" w:hAnsi="Cambria" w:cs="TimesNewRomanPSMT"/>
        </w:rPr>
        <w:t xml:space="preserve"> Liberibacter solanacearum’ and their contribution to risk management in potato and other crops (PHYLIB) Edinburgh, 1–2 October 2014.</w:t>
      </w:r>
    </w:p>
    <w:p w:rsidR="00AE7868" w:rsidRDefault="00FF2B57">
      <w:pPr>
        <w:autoSpaceDE w:val="0"/>
        <w:autoSpaceDN w:val="0"/>
        <w:adjustRightInd w:val="0"/>
        <w:spacing w:before="120" w:after="120"/>
        <w:rPr>
          <w:rFonts w:ascii="Cambria" w:eastAsia="Cambria" w:hAnsi="Cambria" w:cs="Times-Roman"/>
        </w:rPr>
      </w:pPr>
      <w:r>
        <w:rPr>
          <w:rFonts w:ascii="Cambria" w:eastAsia="Cambria" w:hAnsi="Cambria" w:cs="Times-Roman"/>
        </w:rPr>
        <w:t xml:space="preserve">Teresani, GR, Bertolini, E, Alfaro-Fernández, A, Martínez, C, Tanaka, FAO, Kitajima, EW, Roselló, M, Sanjuán, S, Ferrándiz, JC, López, MM, Cambra, M &amp; Font, MI 2014b, ‘Association of </w:t>
      </w:r>
      <w:r>
        <w:rPr>
          <w:rFonts w:ascii="Cambria" w:eastAsia="Cambria" w:hAnsi="Cambria" w:cs="Times-Italic"/>
          <w:i/>
          <w:iCs/>
        </w:rPr>
        <w:t xml:space="preserve">‘Candidatus </w:t>
      </w:r>
      <w:r>
        <w:rPr>
          <w:rFonts w:ascii="Cambria" w:eastAsia="Cambria" w:hAnsi="Cambria" w:cs="Times-Roman"/>
        </w:rPr>
        <w:t xml:space="preserve">Liberibacter solanacearum’ with a vegetative disorder of celery in Spain and development of a real-time PCR method for its detection’, </w:t>
      </w:r>
      <w:r>
        <w:rPr>
          <w:rFonts w:ascii="Cambria" w:eastAsia="Cambria" w:hAnsi="Cambria" w:cs="Times-Roman"/>
          <w:i/>
        </w:rPr>
        <w:t>Phytopathology</w:t>
      </w:r>
      <w:r>
        <w:rPr>
          <w:rFonts w:ascii="Cambria" w:eastAsia="Cambria" w:hAnsi="Cambria" w:cs="Times-Roman"/>
        </w:rPr>
        <w:t>, vol. 104, pp. 804–811.</w:t>
      </w:r>
    </w:p>
    <w:p w:rsidR="00AE7868" w:rsidRDefault="00FF2B57">
      <w:pPr>
        <w:autoSpaceDE w:val="0"/>
        <w:autoSpaceDN w:val="0"/>
        <w:adjustRightInd w:val="0"/>
        <w:spacing w:before="120" w:after="120"/>
        <w:rPr>
          <w:rFonts w:ascii="Cambria" w:eastAsia="Cambria" w:hAnsi="Cambria" w:cs="TimesNewRomanPSMT"/>
        </w:rPr>
      </w:pPr>
      <w:r>
        <w:rPr>
          <w:rFonts w:ascii="Cambria" w:eastAsia="Cambria" w:hAnsi="Cambria" w:cs="TimesNewRomanPSMT"/>
        </w:rPr>
        <w:t>Teresani, G, Hernández, E, Bertolini, E, Siverio, F, Marroquín, C, Molina, J, Hermoso de Mendoza, A &amp; Cambra, M 2015, ‘Search for potential vectors of ‘</w:t>
      </w:r>
      <w:r>
        <w:rPr>
          <w:rFonts w:ascii="Cambria" w:eastAsia="Cambria" w:hAnsi="Cambria" w:cs="TimesNewRomanPSMT"/>
          <w:i/>
        </w:rPr>
        <w:t>Candidatus</w:t>
      </w:r>
      <w:r>
        <w:rPr>
          <w:rFonts w:ascii="Cambria" w:eastAsia="Cambria" w:hAnsi="Cambria" w:cs="TimesNewRomanPSMT"/>
        </w:rPr>
        <w:t xml:space="preserve"> Liberibacter solanacearum’: population dynamics in host crops’, </w:t>
      </w:r>
      <w:r>
        <w:rPr>
          <w:rFonts w:ascii="Cambria" w:eastAsia="Cambria" w:hAnsi="Cambria" w:cs="TimesNewRomanPSMT"/>
          <w:i/>
        </w:rPr>
        <w:t xml:space="preserve">Spanish Journal of Agricultural Research, </w:t>
      </w:r>
      <w:r>
        <w:rPr>
          <w:rFonts w:ascii="Cambria" w:eastAsia="Cambria" w:hAnsi="Cambria" w:cs="TimesNewRomanPSMT"/>
        </w:rPr>
        <w:t xml:space="preserve">vol. 13, no. e10-002, pp. 11. </w:t>
      </w:r>
    </w:p>
    <w:p w:rsidR="00AE7868" w:rsidRDefault="00FF2B57">
      <w:pPr>
        <w:autoSpaceDE w:val="0"/>
        <w:autoSpaceDN w:val="0"/>
        <w:adjustRightInd w:val="0"/>
        <w:spacing w:before="120" w:after="120"/>
        <w:rPr>
          <w:rFonts w:ascii="Cambria" w:hAnsi="Cambria"/>
        </w:rPr>
      </w:pPr>
      <w:r>
        <w:rPr>
          <w:rFonts w:ascii="Cambria" w:hAnsi="Cambria"/>
        </w:rPr>
        <w:t>Teulon, DAJ, Workman, PJ, Thomas, KL &amp; Nielsen, MC 2009, ‘</w:t>
      </w:r>
      <w:r>
        <w:rPr>
          <w:rFonts w:ascii="Cambria" w:hAnsi="Cambria"/>
          <w:i/>
        </w:rPr>
        <w:t>Bactericera cockerelli</w:t>
      </w:r>
      <w:r>
        <w:rPr>
          <w:rFonts w:ascii="Cambria" w:hAnsi="Cambria"/>
        </w:rPr>
        <w:t xml:space="preserve">: incursion, dispersal and current distribution on vegetable crops in New Zealand’, </w:t>
      </w:r>
      <w:r>
        <w:rPr>
          <w:rFonts w:ascii="Cambria" w:hAnsi="Cambria"/>
          <w:i/>
        </w:rPr>
        <w:t>New Zealand Plant Protection</w:t>
      </w:r>
      <w:r>
        <w:rPr>
          <w:rFonts w:ascii="Cambria" w:hAnsi="Cambria"/>
        </w:rPr>
        <w:t>, vol. 62, pp. 136–144.</w:t>
      </w:r>
    </w:p>
    <w:p w:rsidR="00AE7868" w:rsidRDefault="00FF2B57">
      <w:pPr>
        <w:autoSpaceDE w:val="0"/>
        <w:autoSpaceDN w:val="0"/>
        <w:adjustRightInd w:val="0"/>
        <w:spacing w:before="120" w:after="120"/>
        <w:rPr>
          <w:rFonts w:ascii="Cambria" w:hAnsi="Cambria"/>
        </w:rPr>
      </w:pPr>
      <w:r>
        <w:rPr>
          <w:rFonts w:ascii="Cambria" w:hAnsi="Cambria"/>
        </w:rPr>
        <w:t xml:space="preserve">Thomas, KL, Jones, DC, Kumarasinghe, LB, Richmond, JE, Gill, GSC &amp; Bullians, MS 2011, ‘Investigation into the entry pathway for the tomato potato psyllid </w:t>
      </w:r>
      <w:r>
        <w:rPr>
          <w:rFonts w:ascii="Cambria" w:hAnsi="Cambria"/>
          <w:i/>
        </w:rPr>
        <w:t>Bactericera cockerelli</w:t>
      </w:r>
      <w:r>
        <w:rPr>
          <w:rFonts w:ascii="Cambria" w:hAnsi="Cambria"/>
        </w:rPr>
        <w:t xml:space="preserve">’, </w:t>
      </w:r>
      <w:r>
        <w:rPr>
          <w:rFonts w:ascii="Cambria" w:hAnsi="Cambria"/>
          <w:i/>
        </w:rPr>
        <w:t>New Zealand Plant Protection</w:t>
      </w:r>
      <w:r>
        <w:rPr>
          <w:rFonts w:ascii="Cambria" w:hAnsi="Cambria"/>
        </w:rPr>
        <w:t>, vol. 64, pp. 259–268.</w:t>
      </w:r>
    </w:p>
    <w:p w:rsidR="00AE7868" w:rsidRDefault="00FF2B57">
      <w:pPr>
        <w:autoSpaceDE w:val="0"/>
        <w:autoSpaceDN w:val="0"/>
        <w:adjustRightInd w:val="0"/>
        <w:spacing w:before="120" w:after="120"/>
        <w:rPr>
          <w:rFonts w:ascii="Cambria" w:hAnsi="Cambria"/>
        </w:rPr>
      </w:pPr>
      <w:r>
        <w:rPr>
          <w:rFonts w:ascii="Cambria" w:hAnsi="Cambria"/>
        </w:rPr>
        <w:lastRenderedPageBreak/>
        <w:t>Thompson, S, Fletcher,JD, Ziebell, H, Beard, S, Panda, P, Jorgensen, N, Fowler, SV, Liefting, LW, Berry, N &amp; Pitman, AR 2013, ‘First report of ’</w:t>
      </w:r>
      <w:r>
        <w:rPr>
          <w:rFonts w:ascii="Cambria" w:hAnsi="Cambria"/>
          <w:i/>
        </w:rPr>
        <w:t>Candidatus</w:t>
      </w:r>
      <w:r>
        <w:rPr>
          <w:rFonts w:ascii="Cambria" w:hAnsi="Cambria"/>
        </w:rPr>
        <w:t xml:space="preserve"> Liberibacter europaeus’ associated with psyllid infested Scotch broom’, </w:t>
      </w:r>
      <w:r>
        <w:rPr>
          <w:rFonts w:ascii="Cambria" w:hAnsi="Cambria"/>
          <w:i/>
        </w:rPr>
        <w:t>New Disease Reports</w:t>
      </w:r>
      <w:r>
        <w:rPr>
          <w:rFonts w:ascii="Cambria" w:hAnsi="Cambria"/>
        </w:rPr>
        <w:t>, vol. 27, no. 6.</w:t>
      </w:r>
    </w:p>
    <w:p w:rsidR="00AE7868" w:rsidRDefault="00FF2B57">
      <w:pPr>
        <w:autoSpaceDE w:val="0"/>
        <w:autoSpaceDN w:val="0"/>
        <w:adjustRightInd w:val="0"/>
        <w:spacing w:before="120" w:after="120"/>
        <w:rPr>
          <w:rFonts w:ascii="Cambria" w:hAnsi="Cambria"/>
        </w:rPr>
      </w:pPr>
      <w:r>
        <w:rPr>
          <w:rFonts w:ascii="Cambria" w:hAnsi="Cambria"/>
        </w:rPr>
        <w:t>Tiilikkala, K, Ketola, J &amp; Taivalmaa, S-L 1995, ‘Monitoring and threshold values for control of the carrot psillyd’, IOBC/WPRS Working Group Meeting, Integrated Control in Field vegetables Guitte, France, 6–8 November, pp. 18–24.</w:t>
      </w:r>
    </w:p>
    <w:p w:rsidR="00AE7868" w:rsidRDefault="00FF2B57">
      <w:pPr>
        <w:autoSpaceDE w:val="0"/>
        <w:autoSpaceDN w:val="0"/>
        <w:adjustRightInd w:val="0"/>
        <w:spacing w:before="120" w:after="120"/>
        <w:rPr>
          <w:rFonts w:ascii="Cambria" w:hAnsi="Cambria"/>
        </w:rPr>
      </w:pPr>
      <w:r>
        <w:rPr>
          <w:rFonts w:ascii="Cambria" w:hAnsi="Cambria"/>
        </w:rPr>
        <w:t>Tremblay, E 1965a, ‘Risultati di prove di lotta contro la psilla della cipolla (</w:t>
      </w:r>
      <w:r>
        <w:rPr>
          <w:rFonts w:ascii="Cambria" w:hAnsi="Cambria"/>
          <w:i/>
        </w:rPr>
        <w:t>Trioza tremblayi</w:t>
      </w:r>
      <w:r>
        <w:rPr>
          <w:rFonts w:ascii="Cambria" w:hAnsi="Cambria"/>
        </w:rPr>
        <w:t xml:space="preserve"> Wagner)’</w:t>
      </w:r>
      <w:r>
        <w:rPr>
          <w:rFonts w:ascii="Cambria" w:hAnsi="Cambria"/>
          <w:i/>
        </w:rPr>
        <w:t>, Annali della Facoltà di Scienze Agrarie della Università degli Studi di Napoli, vol</w:t>
      </w:r>
      <w:r>
        <w:rPr>
          <w:rFonts w:ascii="Cambria" w:hAnsi="Cambria"/>
        </w:rPr>
        <w:t>. 30, pp. 15–27.</w:t>
      </w:r>
    </w:p>
    <w:p w:rsidR="00AE7868" w:rsidRDefault="00FF2B57">
      <w:pPr>
        <w:autoSpaceDE w:val="0"/>
        <w:autoSpaceDN w:val="0"/>
        <w:adjustRightInd w:val="0"/>
        <w:spacing w:before="120" w:after="120"/>
        <w:rPr>
          <w:rFonts w:ascii="Cambria" w:hAnsi="Cambria"/>
        </w:rPr>
      </w:pPr>
      <w:r>
        <w:rPr>
          <w:rFonts w:ascii="Cambria" w:hAnsi="Cambria"/>
        </w:rPr>
        <w:t xml:space="preserve">Tremblay, E 1965b, ‘Studio morfo-biologico sulla </w:t>
      </w:r>
      <w:r>
        <w:rPr>
          <w:rFonts w:ascii="Cambria" w:hAnsi="Cambria"/>
          <w:i/>
        </w:rPr>
        <w:t>Trioza tremblayi</w:t>
      </w:r>
      <w:r>
        <w:rPr>
          <w:rFonts w:ascii="Cambria" w:hAnsi="Cambria"/>
        </w:rPr>
        <w:t xml:space="preserve"> Wagner (Hemiptera: Homomptera, Psyllidae)’, </w:t>
      </w:r>
      <w:r>
        <w:rPr>
          <w:rFonts w:ascii="Cambria" w:hAnsi="Cambria"/>
          <w:i/>
        </w:rPr>
        <w:t>Boll Lab Entomol Agrar Filippo Silvestri, Portici</w:t>
      </w:r>
      <w:r>
        <w:rPr>
          <w:rFonts w:ascii="Cambria" w:hAnsi="Cambria"/>
        </w:rPr>
        <w:t>, vol. 23, pp. 37–138.</w:t>
      </w:r>
    </w:p>
    <w:p w:rsidR="00AE7868" w:rsidRDefault="00FF2B57">
      <w:pPr>
        <w:spacing w:before="120" w:after="120"/>
        <w:rPr>
          <w:rFonts w:ascii="Cambria" w:eastAsia="Cambria" w:hAnsi="Cambria" w:cs="AdvPSSAB-R"/>
        </w:rPr>
      </w:pPr>
      <w:r>
        <w:rPr>
          <w:rFonts w:ascii="Cambria" w:eastAsia="Cambria" w:hAnsi="Cambria" w:cs="AdvPSSAB-R"/>
        </w:rPr>
        <w:t>Trivedi, P, Sagaram, US &amp; Kim, JS 2009, Quantification of viable ‘</w:t>
      </w:r>
      <w:r>
        <w:rPr>
          <w:rFonts w:ascii="Cambria" w:eastAsia="Cambria" w:hAnsi="Cambria" w:cs="AdvPSSAB-R"/>
          <w:i/>
        </w:rPr>
        <w:t>Candidatus</w:t>
      </w:r>
      <w:r>
        <w:rPr>
          <w:rFonts w:ascii="Cambria" w:eastAsia="Cambria" w:hAnsi="Cambria" w:cs="AdvPSSAB-R"/>
        </w:rPr>
        <w:t xml:space="preserve"> Liberibacter asiaticus’ in hosts using quantitative PCR with the aid of ethidium monoazide (EMA)’, </w:t>
      </w:r>
      <w:r>
        <w:rPr>
          <w:rFonts w:ascii="Cambria" w:eastAsia="Cambria" w:hAnsi="Cambria" w:cs="AdvPSSAB-R"/>
          <w:i/>
        </w:rPr>
        <w:t>European Journal of Plant Pathology,</w:t>
      </w:r>
      <w:r>
        <w:rPr>
          <w:rFonts w:ascii="Cambria" w:eastAsia="Cambria" w:hAnsi="Cambria" w:cs="AdvPSSAB-R"/>
        </w:rPr>
        <w:t xml:space="preserve"> vol. 124, pp. 553–563.</w:t>
      </w:r>
    </w:p>
    <w:p w:rsidR="00AE7868" w:rsidRDefault="00FF2B57">
      <w:pPr>
        <w:autoSpaceDE w:val="0"/>
        <w:autoSpaceDN w:val="0"/>
        <w:adjustRightInd w:val="0"/>
        <w:spacing w:before="120" w:after="120"/>
        <w:rPr>
          <w:rFonts w:ascii="Cambria" w:hAnsi="Cambria"/>
        </w:rPr>
      </w:pPr>
      <w:r>
        <w:rPr>
          <w:rFonts w:ascii="Cambria" w:hAnsi="Cambria"/>
        </w:rPr>
        <w:t>Valterov</w:t>
      </w:r>
      <w:r>
        <w:rPr>
          <w:rFonts w:ascii="Cambria" w:hAnsi="Cambria" w:cs="Times New Roman"/>
        </w:rPr>
        <w:t>á</w:t>
      </w:r>
      <w:r>
        <w:rPr>
          <w:rFonts w:ascii="Cambria" w:hAnsi="Cambria"/>
        </w:rPr>
        <w:t xml:space="preserve">, I, Nehlin, G &amp; Borg-Karlson, AK 1997, ‘Host plant chemistry and preferences in egg-laying </w:t>
      </w:r>
      <w:r>
        <w:rPr>
          <w:rFonts w:ascii="Cambria" w:hAnsi="Cambria"/>
          <w:i/>
        </w:rPr>
        <w:t>Trioza apicalis</w:t>
      </w:r>
      <w:r>
        <w:rPr>
          <w:rFonts w:ascii="Cambria" w:hAnsi="Cambria"/>
        </w:rPr>
        <w:t xml:space="preserve"> (Homoptera, Psylloidea)’, </w:t>
      </w:r>
      <w:r>
        <w:rPr>
          <w:rFonts w:ascii="Cambria" w:hAnsi="Cambria"/>
          <w:i/>
        </w:rPr>
        <w:t>Biochemical Systematics and Ecology</w:t>
      </w:r>
      <w:r>
        <w:rPr>
          <w:rFonts w:ascii="Cambria" w:hAnsi="Cambria"/>
        </w:rPr>
        <w:t>, vol. 25, pp. 477–491.</w:t>
      </w:r>
    </w:p>
    <w:p w:rsidR="00AE7868" w:rsidRDefault="00FF2B57">
      <w:pPr>
        <w:autoSpaceDE w:val="0"/>
        <w:autoSpaceDN w:val="0"/>
        <w:adjustRightInd w:val="0"/>
        <w:spacing w:before="120" w:after="120"/>
        <w:rPr>
          <w:rFonts w:ascii="Cambria" w:eastAsiaTheme="minorEastAsia" w:hAnsi="Cambria"/>
          <w:lang w:bidi="en-US"/>
        </w:rPr>
      </w:pPr>
      <w:r>
        <w:rPr>
          <w:rFonts w:ascii="Cambria" w:eastAsiaTheme="minorEastAsia" w:hAnsi="Cambria"/>
          <w:lang w:bidi="en-US"/>
        </w:rPr>
        <w:lastRenderedPageBreak/>
        <w:t>van Vaerenbergh,  J, Bergsma-Vlami, M, Elphinstone, J, Stefani, E &amp; Olivier, V 2013, ‘</w:t>
      </w:r>
      <w:r>
        <w:rPr>
          <w:rFonts w:ascii="Cambria" w:eastAsiaTheme="minorEastAsia" w:hAnsi="Cambria"/>
          <w:i/>
          <w:lang w:bidi="en-US"/>
        </w:rPr>
        <w:t>Clavibacter michiganensis</w:t>
      </w:r>
      <w:r>
        <w:rPr>
          <w:rFonts w:ascii="Cambria" w:eastAsiaTheme="minorEastAsia" w:hAnsi="Cambria"/>
          <w:lang w:bidi="en-US"/>
        </w:rPr>
        <w:t xml:space="preserve"> subsp.</w:t>
      </w:r>
      <w:r>
        <w:rPr>
          <w:rFonts w:ascii="Cambria" w:eastAsiaTheme="minorEastAsia" w:hAnsi="Cambria"/>
          <w:i/>
          <w:lang w:bidi="en-US"/>
        </w:rPr>
        <w:t xml:space="preserve"> michiganensis</w:t>
      </w:r>
      <w:r>
        <w:rPr>
          <w:rFonts w:ascii="Cambria" w:eastAsiaTheme="minorEastAsia" w:hAnsi="Cambria"/>
          <w:lang w:bidi="en-US"/>
        </w:rPr>
        <w:t xml:space="preserve">’, </w:t>
      </w:r>
      <w:r>
        <w:rPr>
          <w:rFonts w:ascii="Cambria" w:eastAsiaTheme="minorEastAsia" w:hAnsi="Cambria"/>
          <w:i/>
          <w:lang w:bidi="en-US"/>
        </w:rPr>
        <w:t>Bulletin OEPP/EPPO Bulletin</w:t>
      </w:r>
      <w:r>
        <w:rPr>
          <w:rFonts w:ascii="Cambria" w:eastAsiaTheme="minorEastAsia" w:hAnsi="Cambria"/>
          <w:lang w:bidi="en-US"/>
        </w:rPr>
        <w:t>, vol. 43, pp. 46–67.</w:t>
      </w:r>
    </w:p>
    <w:p w:rsidR="00AE7868" w:rsidRDefault="00FF2B57">
      <w:pPr>
        <w:autoSpaceDE w:val="0"/>
        <w:autoSpaceDN w:val="0"/>
        <w:adjustRightInd w:val="0"/>
        <w:spacing w:before="120" w:after="120"/>
        <w:rPr>
          <w:rFonts w:ascii="Cambria" w:hAnsi="Cambria"/>
        </w:rPr>
      </w:pPr>
      <w:r>
        <w:rPr>
          <w:rFonts w:ascii="Cambria" w:hAnsi="Cambria"/>
        </w:rPr>
        <w:t xml:space="preserve">Visser, JH 1986, ‘Host odor perception in phytophagous insects’, </w:t>
      </w:r>
      <w:r>
        <w:rPr>
          <w:rFonts w:ascii="Cambria" w:hAnsi="Cambria"/>
          <w:i/>
        </w:rPr>
        <w:t>Annual Review of Entomology</w:t>
      </w:r>
      <w:r>
        <w:rPr>
          <w:rFonts w:ascii="Cambria" w:hAnsi="Cambria"/>
        </w:rPr>
        <w:t>, vol. 13, pp. 121–144.</w:t>
      </w:r>
    </w:p>
    <w:p w:rsidR="00AE7868" w:rsidRDefault="00FF2B57">
      <w:pPr>
        <w:autoSpaceDE w:val="0"/>
        <w:autoSpaceDN w:val="0"/>
        <w:adjustRightInd w:val="0"/>
        <w:spacing w:before="120" w:after="120"/>
        <w:rPr>
          <w:rFonts w:ascii="Cambria" w:hAnsi="Cambria"/>
        </w:rPr>
      </w:pPr>
      <w:r>
        <w:rPr>
          <w:rFonts w:ascii="Cambria" w:hAnsi="Cambria"/>
        </w:rPr>
        <w:t>Wagner, W 1961, ‘</w:t>
      </w:r>
      <w:r>
        <w:rPr>
          <w:rFonts w:ascii="Cambria" w:hAnsi="Cambria"/>
          <w:i/>
        </w:rPr>
        <w:t>Trioza tremblayi</w:t>
      </w:r>
      <w:r>
        <w:rPr>
          <w:rFonts w:ascii="Cambria" w:hAnsi="Cambria"/>
        </w:rPr>
        <w:t xml:space="preserve"> eine neue Blattfloh-Art aus Italien (Homoptera–Psyllina)’, </w:t>
      </w:r>
      <w:r>
        <w:rPr>
          <w:rFonts w:ascii="Cambria" w:hAnsi="Cambria"/>
          <w:i/>
        </w:rPr>
        <w:t>Bollettino del laboratorio di Entomologia Agraria 'Filippo Silvestri', Portici</w:t>
      </w:r>
      <w:r>
        <w:rPr>
          <w:rFonts w:ascii="Cambria" w:hAnsi="Cambria"/>
        </w:rPr>
        <w:t>, vol. 19, pp. 263–269.</w:t>
      </w:r>
    </w:p>
    <w:p w:rsidR="00AE7868" w:rsidRDefault="00FF2B57">
      <w:pPr>
        <w:autoSpaceDE w:val="0"/>
        <w:autoSpaceDN w:val="0"/>
        <w:adjustRightInd w:val="0"/>
        <w:spacing w:before="120" w:after="120"/>
        <w:rPr>
          <w:rFonts w:ascii="Cambria" w:eastAsia="Cambria" w:hAnsi="Cambria" w:cs="Highland-Roman"/>
        </w:rPr>
      </w:pPr>
      <w:r>
        <w:rPr>
          <w:rFonts w:ascii="Cambria" w:eastAsia="Cambria" w:hAnsi="Cambria" w:cs="Highland-Roman"/>
        </w:rPr>
        <w:t xml:space="preserve">Weintraub, PG &amp; Orenstein, S 2004, ‘Potential leafhopper vectors of phytoplasmas in carrots’, </w:t>
      </w:r>
      <w:r>
        <w:rPr>
          <w:rFonts w:ascii="Cambria" w:eastAsia="Cambria" w:hAnsi="Cambria" w:cs="Highland-Roman"/>
          <w:i/>
        </w:rPr>
        <w:t>International Journal of Tropical Insect Science</w:t>
      </w:r>
      <w:r>
        <w:rPr>
          <w:rFonts w:ascii="Cambria" w:eastAsia="Cambria" w:hAnsi="Cambria" w:cs="Highland-Roman"/>
        </w:rPr>
        <w:t>, vol. 24, pp. 228–235.</w:t>
      </w:r>
    </w:p>
    <w:p w:rsidR="00AE7868" w:rsidRDefault="00FF2B57">
      <w:pPr>
        <w:autoSpaceDE w:val="0"/>
        <w:autoSpaceDN w:val="0"/>
        <w:adjustRightInd w:val="0"/>
        <w:spacing w:before="120" w:after="120"/>
        <w:rPr>
          <w:rFonts w:ascii="Cambria" w:hAnsi="Cambria"/>
        </w:rPr>
      </w:pPr>
      <w:r>
        <w:rPr>
          <w:rFonts w:ascii="Cambria" w:hAnsi="Cambria"/>
        </w:rPr>
        <w:t>Wen, A, Mallik, I, Alvarado, VY, Pasche, JS, Wang, W, Li, W, Levy, L, Lin, H, Scholthof, HB, Mirkov, TE, Rush, CM &amp; Gudmestad, NC 2009, ‘Detection, distribution and genetic variability of ‘</w:t>
      </w:r>
      <w:r>
        <w:rPr>
          <w:rFonts w:ascii="Cambria" w:hAnsi="Cambria"/>
          <w:i/>
        </w:rPr>
        <w:t>Candidatus</w:t>
      </w:r>
      <w:r>
        <w:rPr>
          <w:rFonts w:ascii="Cambria" w:hAnsi="Cambria"/>
        </w:rPr>
        <w:t xml:space="preserve"> Liberibacter’ species associated with zebra complex disease of potato in North America’, </w:t>
      </w:r>
      <w:r>
        <w:rPr>
          <w:rFonts w:ascii="Cambria" w:hAnsi="Cambria"/>
          <w:i/>
        </w:rPr>
        <w:t>Plant Disease</w:t>
      </w:r>
      <w:r>
        <w:rPr>
          <w:rFonts w:ascii="Cambria" w:hAnsi="Cambria"/>
        </w:rPr>
        <w:t>, vol. 93, pp. 1102–1115.</w:t>
      </w:r>
    </w:p>
    <w:p w:rsidR="00AE7868" w:rsidRDefault="00FF2B57">
      <w:pPr>
        <w:autoSpaceDE w:val="0"/>
        <w:autoSpaceDN w:val="0"/>
        <w:adjustRightInd w:val="0"/>
        <w:spacing w:before="120" w:after="120"/>
        <w:rPr>
          <w:rFonts w:ascii="Cambria" w:hAnsi="Cambria"/>
        </w:rPr>
      </w:pPr>
      <w:r>
        <w:rPr>
          <w:rFonts w:ascii="Cambria" w:hAnsi="Cambria"/>
        </w:rPr>
        <w:t xml:space="preserve">Wingfield, MJ, Slippers, B &amp; Wingfield, BD 2010, ‘Novel associations between pathogens, insects and tree species threaten world forests’, </w:t>
      </w:r>
      <w:r>
        <w:rPr>
          <w:rFonts w:ascii="Cambria" w:hAnsi="Cambria"/>
          <w:i/>
        </w:rPr>
        <w:t>New Zealand Journal of Forestry Science</w:t>
      </w:r>
      <w:r>
        <w:rPr>
          <w:rFonts w:ascii="Cambria" w:hAnsi="Cambria"/>
        </w:rPr>
        <w:t>, vol. 40, pp. 95–103.</w:t>
      </w:r>
    </w:p>
    <w:p w:rsidR="00AE7868" w:rsidRDefault="00FF2B57">
      <w:pPr>
        <w:pStyle w:val="pagetitletext"/>
        <w:spacing w:before="120" w:after="120" w:afterAutospacing="0"/>
        <w:rPr>
          <w:rFonts w:ascii="Cambria" w:hAnsi="Cambria"/>
          <w:b w:val="0"/>
          <w:bCs w:val="0"/>
          <w:color w:val="auto"/>
          <w:sz w:val="22"/>
          <w:szCs w:val="22"/>
          <w:lang w:val="en-AU"/>
        </w:rPr>
      </w:pPr>
      <w:r>
        <w:rPr>
          <w:rFonts w:ascii="Cambria" w:hAnsi="Cambria"/>
          <w:b w:val="0"/>
          <w:bCs w:val="0"/>
          <w:color w:val="auto"/>
          <w:sz w:val="22"/>
          <w:szCs w:val="22"/>
          <w:lang w:val="en-AU"/>
        </w:rPr>
        <w:t>WTO (World Trade Organisation) 1995, ‘Agreement on Sanitary and Phytosanitary Measures’ wto.org/english/res_e/booksp_e/analytic_index_e/sps_01_e.htm#pA.</w:t>
      </w:r>
    </w:p>
    <w:p w:rsidR="00AE7868" w:rsidRDefault="00FF2B57">
      <w:pPr>
        <w:autoSpaceDE w:val="0"/>
        <w:autoSpaceDN w:val="0"/>
        <w:adjustRightInd w:val="0"/>
        <w:spacing w:before="120" w:after="120"/>
        <w:rPr>
          <w:rFonts w:ascii="Cambria" w:hAnsi="Cambria"/>
        </w:rPr>
      </w:pPr>
      <w:r>
        <w:rPr>
          <w:rFonts w:ascii="Cambria" w:hAnsi="Cambria"/>
        </w:rPr>
        <w:lastRenderedPageBreak/>
        <w:t>WTO (World Trade Organization) 2015, ‘The WTO and the International Plant Protection Convention (IPPC)’, wto.org</w:t>
      </w:r>
    </w:p>
    <w:sectPr w:rsidR="00AE7868" w:rsidSect="002728AE">
      <w:headerReference w:type="default" r:id="rId58"/>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063" w:rsidRDefault="008F7063">
      <w:r>
        <w:separator/>
      </w:r>
    </w:p>
  </w:endnote>
  <w:endnote w:type="continuationSeparator" w:id="0">
    <w:p w:rsidR="008F7063" w:rsidRDefault="008F7063">
      <w:r>
        <w:continuationSeparator/>
      </w:r>
    </w:p>
  </w:endnote>
  <w:endnote w:type="continuationNotice" w:id="1">
    <w:p w:rsidR="008F7063" w:rsidRDefault="008F7063">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
    <w:altName w:val="MS Mincho"/>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sans-serif small">
    <w:altName w:val="Times New Roman"/>
    <w:panose1 w:val="00000000000000000000"/>
    <w:charset w:val="00"/>
    <w:family w:val="roman"/>
    <w:notTrueType/>
    <w:pitch w:val="default"/>
    <w:sig w:usb0="00000003" w:usb1="00000000" w:usb2="00000000" w:usb3="00000000" w:csb0="00000001" w:csb1="00000000"/>
  </w:font>
  <w:font w:name="Arial Bold">
    <w:panose1 w:val="00000000000000000000"/>
    <w:charset w:val="00"/>
    <w:family w:val="swiss"/>
    <w:notTrueType/>
    <w:pitch w:val="variable"/>
    <w:sig w:usb0="00000003" w:usb1="00000000" w:usb2="00000000" w:usb3="00000000" w:csb0="00000001" w:csb1="00000000"/>
  </w:font>
  <w:font w:name="arial sans-serif">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PCL6)">
    <w:panose1 w:val="00000000000000000000"/>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MDJPP J+ Adv P 1964">
    <w:altName w:val="Times New Roman"/>
    <w:panose1 w:val="00000000000000000000"/>
    <w:charset w:val="A2"/>
    <w:family w:val="roman"/>
    <w:notTrueType/>
    <w:pitch w:val="default"/>
    <w:sig w:usb0="00000001" w:usb1="00000000" w:usb2="00000000" w:usb3="00000000" w:csb0="00000011" w:csb1="00000000"/>
  </w:font>
  <w:font w:name="MDJPO D+ Adv P 1968">
    <w:altName w:val="Adv P"/>
    <w:panose1 w:val="00000000000000000000"/>
    <w:charset w:val="00"/>
    <w:family w:val="roman"/>
    <w:notTrueType/>
    <w:pitch w:val="default"/>
    <w:sig w:usb0="00000003" w:usb1="00000000" w:usb2="00000000" w:usb3="00000000" w:csb0="00000001" w:csb1="00000000"/>
  </w:font>
  <w:font w:name="NewCenturySchlbk">
    <w:altName w:val="NewCenturySchlbk"/>
    <w:panose1 w:val="00000000000000000000"/>
    <w:charset w:val="00"/>
    <w:family w:val="roman"/>
    <w:notTrueType/>
    <w:pitch w:val="default"/>
    <w:sig w:usb0="00000003" w:usb1="00000000" w:usb2="00000000" w:usb3="00000000" w:csb0="00000001" w:csb1="00000000"/>
  </w:font>
  <w:font w:name="MiloPro-Light">
    <w:altName w:val="Times New Roman"/>
    <w:charset w:val="00"/>
    <w:family w:val="auto"/>
    <w:pitch w:val="variable"/>
    <w:sig w:usb0="00000001" w:usb1="4000205B" w:usb2="00000000" w:usb3="00000000" w:csb0="00000093" w:csb1="00000000"/>
  </w:font>
  <w:font w:name="Sabon">
    <w:altName w:val="Sabo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eridienLTStd-Roman">
    <w:panose1 w:val="00000000000000000000"/>
    <w:charset w:val="00"/>
    <w:family w:val="auto"/>
    <w:notTrueType/>
    <w:pitch w:val="default"/>
    <w:sig w:usb0="00000003" w:usb1="00000000" w:usb2="00000000" w:usb3="00000000" w:csb0="00000001" w:csb1="00000000"/>
  </w:font>
  <w:font w:name="MeridienLTStd-Italic">
    <w:panose1 w:val="00000000000000000000"/>
    <w:charset w:val="00"/>
    <w:family w:val="auto"/>
    <w:notTrueType/>
    <w:pitch w:val="default"/>
    <w:sig w:usb0="00000003" w:usb1="00000000" w:usb2="00000000" w:usb3="00000000" w:csb0="00000001" w:csb1="00000000"/>
  </w:font>
  <w:font w:name="Times-Roman">
    <w:altName w:val="MS PMincho"/>
    <w:charset w:val="80"/>
    <w:family w:val="roman"/>
    <w:pitch w:val="default"/>
    <w:sig w:usb0="00000003" w:usb1="00000000" w:usb2="00000000" w:usb3="00000000" w:csb0="00000001" w:csb1="00000000"/>
  </w:font>
  <w:font w:name="SimonciniGaramond">
    <w:panose1 w:val="00000000000000000000"/>
    <w:charset w:val="00"/>
    <w:family w:val="roman"/>
    <w:notTrueType/>
    <w:pitch w:val="default"/>
    <w:sig w:usb0="00000003" w:usb1="00000000" w:usb2="00000000" w:usb3="00000000" w:csb0="00000001" w:csb1="00000000"/>
  </w:font>
  <w:font w:name="SimonciniGaramond-Italic">
    <w:panose1 w:val="00000000000000000000"/>
    <w:charset w:val="00"/>
    <w:family w:val="roman"/>
    <w:notTrueType/>
    <w:pitch w:val="default"/>
    <w:sig w:usb0="00000003" w:usb1="00000000" w:usb2="00000000" w:usb3="00000000" w:csb0="00000001" w:csb1="00000000"/>
  </w:font>
  <w:font w:name="TrebuchetMS">
    <w:altName w:val="Times New Roman"/>
    <w:panose1 w:val="00000000000000000000"/>
    <w:charset w:val="00"/>
    <w:family w:val="roman"/>
    <w:notTrueType/>
    <w:pitch w:val="default"/>
  </w:font>
  <w:font w:name="MinionPro-Regular">
    <w:altName w:val="Times New Roman"/>
    <w:panose1 w:val="00000000000000000000"/>
    <w:charset w:val="EE"/>
    <w:family w:val="roman"/>
    <w:notTrueType/>
    <w:pitch w:val="default"/>
    <w:sig w:usb0="00000005" w:usb1="00000000" w:usb2="00000000" w:usb3="00000000" w:csb0="00000002" w:csb1="00000000"/>
  </w:font>
  <w:font w:name="ArialMT">
    <w:panose1 w:val="00000000000000000000"/>
    <w:charset w:val="00"/>
    <w:family w:val="swiss"/>
    <w:notTrueType/>
    <w:pitch w:val="default"/>
    <w:sig w:usb0="00000003" w:usb1="00000000" w:usb2="00000000" w:usb3="00000000" w:csb0="00000001" w:csb1="00000000"/>
  </w:font>
  <w:font w:name="FrutigerLTStd-Light">
    <w:panose1 w:val="00000000000000000000"/>
    <w:charset w:val="00"/>
    <w:family w:val="auto"/>
    <w:notTrueType/>
    <w:pitch w:val="default"/>
    <w:sig w:usb0="00000003" w:usb1="00000000" w:usb2="00000000" w:usb3="00000000" w:csb0="00000001" w:csb1="00000000"/>
  </w:font>
  <w:font w:name="MinionPro-It">
    <w:panose1 w:val="00000000000000000000"/>
    <w:charset w:val="00"/>
    <w:family w:val="roman"/>
    <w:notTrueType/>
    <w:pitch w:val="default"/>
    <w:sig w:usb0="00000003" w:usb1="00000000" w:usb2="00000000" w:usb3="00000000" w:csb0="00000001" w:csb1="00000000"/>
  </w:font>
  <w:font w:name="FrutigerLTStd-LightItalic">
    <w:panose1 w:val="00000000000000000000"/>
    <w:charset w:val="00"/>
    <w:family w:val="auto"/>
    <w:notTrueType/>
    <w:pitch w:val="default"/>
    <w:sig w:usb0="00000003" w:usb1="00000000" w:usb2="00000000" w:usb3="00000000" w:csb0="00000001" w:csb1="00000000"/>
  </w:font>
  <w:font w:name="AdvP49811">
    <w:panose1 w:val="00000000000000000000"/>
    <w:charset w:val="00"/>
    <w:family w:val="roman"/>
    <w:notTrueType/>
    <w:pitch w:val="default"/>
    <w:sig w:usb0="00000003" w:usb1="00000000" w:usb2="00000000" w:usb3="00000000" w:csb0="00000001" w:csb1="00000000"/>
  </w:font>
  <w:font w:name="SimonciniGaramondStd-Italic">
    <w:panose1 w:val="00000000000000000000"/>
    <w:charset w:val="00"/>
    <w:family w:val="roman"/>
    <w:notTrueType/>
    <w:pitch w:val="default"/>
    <w:sig w:usb0="00000003" w:usb1="00000000" w:usb2="00000000" w:usb3="00000000" w:csb0="00000001" w:csb1="00000000"/>
  </w:font>
  <w:font w:name="Highland-Roman">
    <w:panose1 w:val="00000000000000000000"/>
    <w:charset w:val="00"/>
    <w:family w:val="auto"/>
    <w:notTrueType/>
    <w:pitch w:val="default"/>
    <w:sig w:usb0="00000003" w:usb1="00000000" w:usb2="00000000" w:usb3="00000000" w:csb0="00000001" w:csb1="00000000"/>
  </w:font>
  <w:font w:name="AdvTT2acb703b">
    <w:panose1 w:val="00000000000000000000"/>
    <w:charset w:val="00"/>
    <w:family w:val="roman"/>
    <w:notTrueType/>
    <w:pitch w:val="default"/>
    <w:sig w:usb0="00000003" w:usb1="00000000" w:usb2="00000000" w:usb3="00000000" w:csb0="00000001" w:csb1="00000000"/>
  </w:font>
  <w:font w:name="AdvTT2acb703b+20">
    <w:altName w:val="MS Mincho"/>
    <w:panose1 w:val="00000000000000000000"/>
    <w:charset w:val="80"/>
    <w:family w:val="auto"/>
    <w:notTrueType/>
    <w:pitch w:val="default"/>
    <w:sig w:usb0="00000001" w:usb1="08070000" w:usb2="00000010" w:usb3="00000000" w:csb0="00020000" w:csb1="00000000"/>
  </w:font>
  <w:font w:name="AdvTT3713a231">
    <w:panose1 w:val="00000000000000000000"/>
    <w:charset w:val="00"/>
    <w:family w:val="roman"/>
    <w:notTrueType/>
    <w:pitch w:val="default"/>
    <w:sig w:usb0="00000003" w:usb1="00000000" w:usb2="00000000" w:usb3="00000000" w:csb0="00000001" w:csb1="00000000"/>
  </w:font>
  <w:font w:name="TimesNewRomanPSMT">
    <w:altName w:val="Arial Unicode MS"/>
    <w:panose1 w:val="00000000000000000000"/>
    <w:charset w:val="81"/>
    <w:family w:val="auto"/>
    <w:notTrueType/>
    <w:pitch w:val="default"/>
    <w:sig w:usb0="00000000" w:usb1="09060000" w:usb2="00000010" w:usb3="00000000" w:csb0="00080000" w:csb1="00000000"/>
  </w:font>
  <w:font w:name="TimesNewRomanPS-ItalicMT">
    <w:panose1 w:val="00000000000000000000"/>
    <w:charset w:val="00"/>
    <w:family w:val="roman"/>
    <w:notTrueType/>
    <w:pitch w:val="default"/>
    <w:sig w:usb0="00000003" w:usb1="00000000" w:usb2="00000000" w:usb3="00000000" w:csb0="00000001" w:csb1="00000000"/>
  </w:font>
  <w:font w:name="AdvPSSAB-R">
    <w:panose1 w:val="00000000000000000000"/>
    <w:charset w:val="00"/>
    <w:family w:val="roman"/>
    <w:notTrueType/>
    <w:pitch w:val="default"/>
    <w:sig w:usb0="00000003" w:usb1="00000000" w:usb2="00000000" w:usb3="00000000" w:csb0="00000001" w:csb1="00000000"/>
  </w:font>
  <w:font w:name="AdvPSSAB-I">
    <w:panose1 w:val="00000000000000000000"/>
    <w:charset w:val="00"/>
    <w:family w:val="roman"/>
    <w:notTrueType/>
    <w:pitch w:val="default"/>
    <w:sig w:usb0="00000003" w:usb1="00000000" w:usb2="00000000" w:usb3="00000000" w:csb0="00000001" w:csb1="00000000"/>
  </w:font>
  <w:font w:name="WarnockPro-Regular">
    <w:altName w:val="MS Mincho"/>
    <w:panose1 w:val="00000000000000000000"/>
    <w:charset w:val="80"/>
    <w:family w:val="roman"/>
    <w:notTrueType/>
    <w:pitch w:val="default"/>
    <w:sig w:usb0="00000005" w:usb1="08070000" w:usb2="00000010" w:usb3="00000000" w:csb0="00020002" w:csb1="00000000"/>
  </w:font>
  <w:font w:name="Highland-Italic">
    <w:panose1 w:val="00000000000000000000"/>
    <w:charset w:val="00"/>
    <w:family w:val="auto"/>
    <w:notTrueType/>
    <w:pitch w:val="default"/>
    <w:sig w:usb0="00000003" w:usb1="00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SimonciniGaramond-Bold">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AdvP497E2">
    <w:altName w:val="Arial Unicode MS"/>
    <w:panose1 w:val="00000000000000000000"/>
    <w:charset w:val="88"/>
    <w:family w:val="auto"/>
    <w:notTrueType/>
    <w:pitch w:val="default"/>
    <w:sig w:usb0="00000001" w:usb1="08080000" w:usb2="00000010" w:usb3="00000000" w:csb0="00100000" w:csb1="00000000"/>
  </w:font>
  <w:font w:name="WarnockPro-It">
    <w:panose1 w:val="00000000000000000000"/>
    <w:charset w:val="00"/>
    <w:family w:val="roman"/>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SimonciniGaramondStd">
    <w:altName w:val="Times New Roman"/>
    <w:panose1 w:val="00000000000000000000"/>
    <w:charset w:val="00"/>
    <w:family w:val="roman"/>
    <w:notTrueType/>
    <w:pitch w:val="default"/>
    <w:sig w:usb0="00000081" w:usb1="00000000" w:usb2="00000000" w:usb3="00000000" w:csb0="00000009" w:csb1="00000000"/>
  </w:font>
  <w:font w:name="AdvPSHV-L">
    <w:panose1 w:val="00000000000000000000"/>
    <w:charset w:val="00"/>
    <w:family w:val="swiss"/>
    <w:notTrueType/>
    <w:pitch w:val="default"/>
    <w:sig w:usb0="00000003" w:usb1="00000000" w:usb2="00000000" w:usb3="00000000" w:csb0="00000001" w:csb1="00000000"/>
  </w:font>
  <w:font w:name="AdvTT59df095f.I">
    <w:panose1 w:val="00000000000000000000"/>
    <w:charset w:val="00"/>
    <w:family w:val="roman"/>
    <w:notTrueType/>
    <w:pitch w:val="default"/>
    <w:sig w:usb0="00000003" w:usb1="00000000" w:usb2="00000000" w:usb3="00000000" w:csb0="00000001" w:csb1="00000000"/>
  </w:font>
  <w:font w:name="AdvTT3713a231+20">
    <w:panose1 w:val="00000000000000000000"/>
    <w:charset w:val="00"/>
    <w:family w:val="swiss"/>
    <w:notTrueType/>
    <w:pitch w:val="default"/>
    <w:sig w:usb0="00000003" w:usb1="00000000" w:usb2="00000000" w:usb3="00000000" w:csb0="00000001" w:csb1="00000000"/>
  </w:font>
  <w:font w:name="AdvTT50a2f13e.I">
    <w:panose1 w:val="00000000000000000000"/>
    <w:charset w:val="00"/>
    <w:family w:val="roman"/>
    <w:notTrueType/>
    <w:pitch w:val="default"/>
    <w:sig w:usb0="00000003" w:usb1="00000000" w:usb2="00000000" w:usb3="00000000" w:csb0="00000001" w:csb1="00000000"/>
  </w:font>
  <w:font w:name="SimonciniGaramondStd-Bold">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63" w:rsidRDefault="008F7063">
    <w:pPr>
      <w:pStyle w:val="Footer"/>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63" w:rsidRDefault="008F7063">
    <w:pPr>
      <w:pStyle w:val="Footer"/>
      <w:tabs>
        <w:tab w:val="clear" w:pos="4536"/>
        <w:tab w:val="center" w:pos="9072"/>
      </w:tabs>
      <w:jc w:val="left"/>
    </w:pPr>
    <w:r>
      <w:t>Australian Government Department of Agriculture</w:t>
    </w:r>
    <w:r>
      <w:tab/>
    </w:r>
    <w:r w:rsidR="008330D4">
      <w:fldChar w:fldCharType="begin"/>
    </w:r>
    <w:r w:rsidR="008330D4">
      <w:instrText xml:space="preserve"> PAGE   \* MERGEFORMAT </w:instrText>
    </w:r>
    <w:r w:rsidR="008330D4">
      <w:fldChar w:fldCharType="separate"/>
    </w:r>
    <w:r>
      <w:t>xxviii</w:t>
    </w:r>
    <w:r w:rsidR="008330D4">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63" w:rsidRDefault="008F7063">
    <w:pPr>
      <w:pStyle w:val="Footer"/>
      <w:tabs>
        <w:tab w:val="clear" w:pos="4536"/>
        <w:tab w:val="center" w:pos="9072"/>
      </w:tabs>
      <w:jc w:val="left"/>
    </w:pPr>
    <w:r>
      <w:t>Australian Government Department of Agriculture and Water Resources</w:t>
    </w:r>
    <w:r>
      <w:tab/>
    </w:r>
    <w:r w:rsidR="008330D4">
      <w:fldChar w:fldCharType="begin"/>
    </w:r>
    <w:r w:rsidR="008330D4">
      <w:instrText xml:space="preserve"> PAGE   \* MERGEFORMAT </w:instrText>
    </w:r>
    <w:r w:rsidR="008330D4">
      <w:fldChar w:fldCharType="separate"/>
    </w:r>
    <w:r w:rsidR="008330D4">
      <w:rPr>
        <w:noProof/>
      </w:rPr>
      <w:t>21</w:t>
    </w:r>
    <w:r w:rsidR="008330D4">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63" w:rsidRDefault="008F7063">
    <w:pPr>
      <w:pStyle w:val="Footer"/>
      <w:tabs>
        <w:tab w:val="clear" w:pos="4536"/>
        <w:tab w:val="center" w:pos="9072"/>
      </w:tabs>
      <w:jc w:val="left"/>
    </w:pPr>
    <w:r>
      <w:t>Australian Government Department of Agriculture and Water Resources</w:t>
    </w:r>
    <w:r>
      <w:tab/>
    </w:r>
    <w:r w:rsidR="008330D4">
      <w:fldChar w:fldCharType="begin"/>
    </w:r>
    <w:r w:rsidR="008330D4">
      <w:instrText xml:space="preserve"> PAGE   \* MERGEFORMAT </w:instrText>
    </w:r>
    <w:r w:rsidR="008330D4">
      <w:fldChar w:fldCharType="separate"/>
    </w:r>
    <w:r w:rsidR="008330D4">
      <w:rPr>
        <w:noProof/>
      </w:rPr>
      <w:t>viii</w:t>
    </w:r>
    <w:r w:rsidR="008330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063" w:rsidRDefault="008F7063">
      <w:r>
        <w:separator/>
      </w:r>
    </w:p>
  </w:footnote>
  <w:footnote w:type="continuationSeparator" w:id="0">
    <w:p w:rsidR="008F7063" w:rsidRDefault="008F7063">
      <w:r>
        <w:continuationSeparator/>
      </w:r>
    </w:p>
  </w:footnote>
  <w:footnote w:type="continuationNotice" w:id="1">
    <w:p w:rsidR="008F7063" w:rsidRDefault="008F7063">
      <w:pPr>
        <w:pStyle w:val="Footer"/>
      </w:pPr>
    </w:p>
  </w:footnote>
  <w:footnote w:id="2">
    <w:p w:rsidR="008F7063" w:rsidRDefault="008F7063">
      <w:pPr>
        <w:pStyle w:val="FootnoteText"/>
        <w:rPr>
          <w:sz w:val="18"/>
          <w:szCs w:val="18"/>
        </w:rPr>
      </w:pPr>
      <w:r>
        <w:rPr>
          <w:rStyle w:val="FootnoteReference"/>
        </w:rPr>
        <w:footnoteRef/>
      </w:r>
      <w:r>
        <w:t xml:space="preserve"> </w:t>
      </w:r>
      <w:r>
        <w:rPr>
          <w:rFonts w:ascii="Cambria" w:hAnsi="Cambria"/>
          <w:i/>
          <w:sz w:val="18"/>
          <w:szCs w:val="18"/>
        </w:rPr>
        <w:t>Bactericera cockerelli</w:t>
      </w:r>
      <w:r>
        <w:rPr>
          <w:rFonts w:ascii="Cambria" w:hAnsi="Cambria"/>
          <w:sz w:val="18"/>
          <w:szCs w:val="18"/>
        </w:rPr>
        <w:t xml:space="preserve"> has recently been confirmed in Norfolk Island which is isolated from the mainland of Australia by a full quarantine barrier and 1400 km of sea.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63" w:rsidRDefault="008F7063">
    <w:pPr>
      <w:pStyle w:val="Header"/>
      <w:tabs>
        <w:tab w:val="clear" w:pos="4820"/>
        <w:tab w:val="center" w:pos="8505"/>
      </w:tabs>
      <w:jc w:val="left"/>
    </w:pPr>
    <w:r>
      <w:rPr>
        <w:noProof/>
        <w:lang w:eastAsia="en-AU"/>
      </w:rPr>
      <w:drawing>
        <wp:inline distT="0" distB="0" distL="0" distR="0">
          <wp:extent cx="2519434" cy="806661"/>
          <wp:effectExtent l="0" t="0" r="0" b="0"/>
          <wp:docPr id="13" name="Picture 2" descr="Logo of the Australian Government 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Staff\Alicia\Master Inline-TIF.tiff"/>
                  <pic:cNvPicPr>
                    <a:picLocks noChangeAspect="1" noChangeArrowheads="1"/>
                  </pic:cNvPicPr>
                </pic:nvPicPr>
                <pic:blipFill>
                  <a:blip r:embed="rId1"/>
                  <a:srcRect/>
                  <a:stretch>
                    <a:fillRect/>
                  </a:stretch>
                </pic:blipFill>
                <pic:spPr bwMode="auto">
                  <a:xfrm>
                    <a:off x="0" y="0"/>
                    <a:ext cx="2522220" cy="807553"/>
                  </a:xfrm>
                  <a:prstGeom prst="rect">
                    <a:avLst/>
                  </a:prstGeom>
                  <a:noFill/>
                  <a:ln w="9525">
                    <a:noFill/>
                    <a:miter lim="800000"/>
                    <a:headEnd/>
                    <a:tailEnd/>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63" w:rsidRDefault="008F7063">
    <w:pPr>
      <w:pStyle w:val="Header"/>
      <w:tabs>
        <w:tab w:val="clear" w:pos="4820"/>
        <w:tab w:val="center" w:pos="8505"/>
        <w:tab w:val="center" w:pos="13041"/>
      </w:tabs>
      <w:jc w:val="left"/>
    </w:pPr>
    <w:r>
      <w:t>Draft PRA: ‘</w:t>
    </w:r>
    <w:r>
      <w:rPr>
        <w:i/>
      </w:rPr>
      <w:t xml:space="preserve">Candidatus </w:t>
    </w:r>
    <w:r>
      <w:t>Liberibacter solanacearum’ associated with apiaceous crops</w:t>
    </w:r>
    <w:r>
      <w:tab/>
      <w:t>Method of PRA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63" w:rsidRDefault="008F7063">
    <w:pPr>
      <w:pStyle w:val="Header"/>
      <w:tabs>
        <w:tab w:val="clear" w:pos="4820"/>
        <w:tab w:val="center" w:pos="8505"/>
        <w:tab w:val="center" w:pos="13041"/>
      </w:tabs>
      <w:jc w:val="left"/>
    </w:pPr>
    <w:r>
      <w:t>Draft PRA: ‘</w:t>
    </w:r>
    <w:r>
      <w:rPr>
        <w:i/>
      </w:rPr>
      <w:t xml:space="preserve">Candidatus </w:t>
    </w:r>
    <w:r>
      <w:t>Liberibacter solanacearum’ associated with apiaceous crops</w:t>
    </w:r>
    <w:r>
      <w:tab/>
      <w:t>The pathogen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63" w:rsidRDefault="008F7063">
    <w:pPr>
      <w:pStyle w:val="Header"/>
      <w:tabs>
        <w:tab w:val="clear" w:pos="4820"/>
        <w:tab w:val="center" w:pos="8505"/>
        <w:tab w:val="center" w:pos="13041"/>
      </w:tabs>
      <w:jc w:val="left"/>
    </w:pPr>
    <w:r>
      <w:t>Draft PRA: ‘</w:t>
    </w:r>
    <w:r>
      <w:rPr>
        <w:i/>
      </w:rPr>
      <w:t xml:space="preserve">Candidatus </w:t>
    </w:r>
    <w:r>
      <w:t>Liberibacter solanacearum’ associated with apiaceous crops</w:t>
    </w:r>
    <w:r>
      <w:tab/>
      <w:t>Pest risk assessment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63" w:rsidRDefault="008F7063">
    <w:pPr>
      <w:pStyle w:val="Header"/>
      <w:tabs>
        <w:tab w:val="clear" w:pos="4820"/>
        <w:tab w:val="center" w:pos="8505"/>
        <w:tab w:val="center" w:pos="13041"/>
      </w:tabs>
      <w:jc w:val="left"/>
    </w:pPr>
    <w:r>
      <w:t>Draft PRA: ‘</w:t>
    </w:r>
    <w:r>
      <w:rPr>
        <w:i/>
      </w:rPr>
      <w:t xml:space="preserve">Candidatus </w:t>
    </w:r>
    <w:r>
      <w:t>Liberibacter solanacearum’ associated with apiaceous crops</w:t>
    </w:r>
    <w:r>
      <w:tab/>
      <w:t>Pest risk management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63" w:rsidRDefault="008F7063">
    <w:pPr>
      <w:pStyle w:val="Header"/>
      <w:tabs>
        <w:tab w:val="clear" w:pos="4820"/>
        <w:tab w:val="left" w:pos="8080"/>
        <w:tab w:val="center" w:pos="13041"/>
      </w:tabs>
      <w:jc w:val="left"/>
    </w:pPr>
    <w:r>
      <w:t>Draft PRA: ‘</w:t>
    </w:r>
    <w:r>
      <w:rPr>
        <w:i/>
      </w:rPr>
      <w:t xml:space="preserve">Candidatus </w:t>
    </w:r>
    <w:r>
      <w:t>Liberibacter solanacearum’ associated with apiaceous crops</w:t>
    </w:r>
    <w:r>
      <w:tab/>
      <w:t>Conclusion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63" w:rsidRDefault="008F7063">
    <w:pPr>
      <w:pStyle w:val="Header"/>
      <w:tabs>
        <w:tab w:val="clear" w:pos="4820"/>
        <w:tab w:val="center" w:pos="8505"/>
        <w:tab w:val="center" w:pos="13041"/>
      </w:tabs>
      <w:jc w:val="left"/>
    </w:pPr>
    <w:r>
      <w:t>Draft PRA: ‘</w:t>
    </w:r>
    <w:r>
      <w:rPr>
        <w:i/>
      </w:rPr>
      <w:t xml:space="preserve">Candidatus </w:t>
    </w:r>
    <w:r>
      <w:t>Liberibacter solanacearum’ associated with apiaceous crops</w:t>
    </w:r>
    <w:r>
      <w:tab/>
      <w:t>Appendix 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63" w:rsidRDefault="008F7063">
    <w:pPr>
      <w:pStyle w:val="Header"/>
      <w:tabs>
        <w:tab w:val="clear" w:pos="4820"/>
        <w:tab w:val="center" w:pos="8505"/>
        <w:tab w:val="center" w:pos="13041"/>
      </w:tabs>
      <w:jc w:val="left"/>
    </w:pPr>
    <w:r>
      <w:t>Draft PRA: ‘</w:t>
    </w:r>
    <w:r>
      <w:rPr>
        <w:i/>
      </w:rPr>
      <w:t xml:space="preserve">Candidatus </w:t>
    </w:r>
    <w:r>
      <w:t>Liberibacter solanacearum’ associated with apiaceous crops</w:t>
    </w:r>
    <w:r>
      <w:tab/>
      <w:t>Appendix B</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63" w:rsidRDefault="008F7063">
    <w:pPr>
      <w:pStyle w:val="Header"/>
      <w:tabs>
        <w:tab w:val="clear" w:pos="4820"/>
        <w:tab w:val="center" w:pos="8505"/>
        <w:tab w:val="center" w:pos="13041"/>
      </w:tabs>
      <w:jc w:val="left"/>
    </w:pPr>
    <w:r>
      <w:t>Draft PRA: ‘</w:t>
    </w:r>
    <w:r>
      <w:rPr>
        <w:i/>
      </w:rPr>
      <w:t xml:space="preserve">Candidatus </w:t>
    </w:r>
    <w:r>
      <w:t>Liberibacter solanacearum’ associated with apiaceous crops</w:t>
    </w:r>
    <w:r>
      <w:tab/>
      <w:t>Glossary</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63" w:rsidRDefault="008F7063">
    <w:pPr>
      <w:pStyle w:val="Header"/>
      <w:tabs>
        <w:tab w:val="clear" w:pos="4820"/>
        <w:tab w:val="center" w:pos="8505"/>
        <w:tab w:val="center" w:pos="13041"/>
      </w:tabs>
      <w:jc w:val="left"/>
    </w:pPr>
    <w:r>
      <w:t>Draft PRA: ‘</w:t>
    </w:r>
    <w:r>
      <w:rPr>
        <w:i/>
      </w:rPr>
      <w:t xml:space="preserve">Candidatus </w:t>
    </w:r>
    <w:r>
      <w:t>Liberibacter solanacearum’ associated with apiaceous crops</w:t>
    </w:r>
    <w:r>
      <w:tab/>
      <w:t>References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63" w:rsidRDefault="008F7063">
    <w:pPr>
      <w:pStyle w:val="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63" w:rsidRDefault="008F7063">
    <w:pPr>
      <w:pStyle w:val="Header"/>
      <w:tabs>
        <w:tab w:val="clear" w:pos="4820"/>
        <w:tab w:val="center" w:pos="8505"/>
      </w:tabs>
      <w:jc w:val="left"/>
    </w:pPr>
    <w:r>
      <w:t xml:space="preserve">Draft Review of policy: </w:t>
    </w:r>
    <w:r>
      <w:rPr>
        <w:i/>
      </w:rPr>
      <w:t>Phytophthora ramorum</w:t>
    </w:r>
    <w:r>
      <w:t xml:space="preserve"> host propagative material </w:t>
    </w:r>
    <w:r>
      <w:tab/>
      <w:t>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63" w:rsidRDefault="008F7063">
    <w:pPr>
      <w:pStyle w:val="Header"/>
      <w:tabs>
        <w:tab w:val="clear" w:pos="4820"/>
        <w:tab w:val="center" w:pos="8505"/>
      </w:tabs>
      <w:jc w:val="left"/>
    </w:pPr>
    <w:r>
      <w:t>Draft PRA: ‘</w:t>
    </w:r>
    <w:r>
      <w:rPr>
        <w:i/>
      </w:rPr>
      <w:t xml:space="preserve">Candidatus </w:t>
    </w:r>
    <w:r>
      <w:t>Liberibacter solanacearum’ associated with apiaceous crops</w:t>
    </w:r>
    <w:r>
      <w:tab/>
      <w:t>Contents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63" w:rsidRDefault="008F7063">
    <w:pPr>
      <w:pStyle w:val="Header"/>
      <w:tabs>
        <w:tab w:val="clear" w:pos="4820"/>
        <w:tab w:val="center" w:pos="8505"/>
      </w:tabs>
      <w:jc w:val="left"/>
    </w:pPr>
    <w:r>
      <w:t>Draft PRA: ‘</w:t>
    </w:r>
    <w:r>
      <w:rPr>
        <w:i/>
      </w:rPr>
      <w:t xml:space="preserve">Candidatus </w:t>
    </w:r>
    <w:r>
      <w:t xml:space="preserve">Liberibacter solanacearum’ associated with apiaceous crops </w:t>
    </w:r>
    <w:r>
      <w:tab/>
      <w:t>Contents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63" w:rsidRDefault="008F7063">
    <w:pPr>
      <w:pStyle w:val="Header"/>
      <w:tabs>
        <w:tab w:val="clear" w:pos="4820"/>
        <w:tab w:val="center" w:pos="8505"/>
      </w:tabs>
      <w:jc w:val="left"/>
    </w:pPr>
    <w:r>
      <w:t>Draft PRA: ‘</w:t>
    </w:r>
    <w:r>
      <w:rPr>
        <w:i/>
      </w:rPr>
      <w:t xml:space="preserve">Candidatus </w:t>
    </w:r>
    <w:r>
      <w:t>Liberibacter solanacearum’ associated with apiaceous crops</w:t>
    </w:r>
    <w:r>
      <w:tab/>
      <w:t>Maps of Australia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63" w:rsidRDefault="008F7063">
    <w:pPr>
      <w:pStyle w:val="Header"/>
      <w:tabs>
        <w:tab w:val="clear" w:pos="4820"/>
        <w:tab w:val="center" w:pos="8505"/>
      </w:tabs>
      <w:jc w:val="left"/>
    </w:pPr>
    <w:r>
      <w:t>Draft PRA: ‘</w:t>
    </w:r>
    <w:r>
      <w:rPr>
        <w:i/>
      </w:rPr>
      <w:t xml:space="preserve">Candidatus </w:t>
    </w:r>
    <w:r>
      <w:t>Liberibacter solanacearum’ associated with apiaceae</w:t>
    </w:r>
    <w:r>
      <w:tab/>
      <w:t>Acronyms and abbreviations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63" w:rsidRDefault="008F7063">
    <w:pPr>
      <w:pStyle w:val="Header"/>
      <w:tabs>
        <w:tab w:val="clear" w:pos="4820"/>
        <w:tab w:val="center" w:pos="8505"/>
        <w:tab w:val="center" w:pos="13041"/>
      </w:tabs>
      <w:jc w:val="left"/>
    </w:pPr>
    <w:r>
      <w:t>Draft PRA: ‘</w:t>
    </w:r>
    <w:r>
      <w:rPr>
        <w:i/>
      </w:rPr>
      <w:t xml:space="preserve">Candidatus </w:t>
    </w:r>
    <w:r>
      <w:t>Liberibacter solanacearum’ associated with apiaceous crops</w:t>
    </w:r>
    <w:r>
      <w:tab/>
      <w:t>Summary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63" w:rsidRDefault="008F7063">
    <w:pPr>
      <w:pStyle w:val="Header"/>
      <w:tabs>
        <w:tab w:val="clear" w:pos="4820"/>
        <w:tab w:val="center" w:pos="8505"/>
        <w:tab w:val="center" w:pos="13041"/>
      </w:tabs>
      <w:jc w:val="left"/>
    </w:pPr>
    <w:r>
      <w:t>Draft PRA: ‘</w:t>
    </w:r>
    <w:r>
      <w:rPr>
        <w:i/>
      </w:rPr>
      <w:t xml:space="preserve">Candidatus </w:t>
    </w:r>
    <w:r>
      <w:t>Liberibacter solanacearum’ associated with apiaceous crops</w:t>
    </w:r>
    <w:r>
      <w:tab/>
      <w:t>Introduction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C8060042"/>
    <w:lvl w:ilvl="0">
      <w:start w:val="1"/>
      <w:numFmt w:val="lowerRoman"/>
      <w:pStyle w:val="ListNumber3"/>
      <w:lvlText w:val="%1)"/>
      <w:lvlJc w:val="left"/>
      <w:pPr>
        <w:tabs>
          <w:tab w:val="num" w:pos="926"/>
        </w:tabs>
        <w:ind w:left="926" w:hanging="360"/>
      </w:pPr>
      <w:rPr>
        <w:rFonts w:hint="default"/>
      </w:rPr>
    </w:lvl>
  </w:abstractNum>
  <w:abstractNum w:abstractNumId="1" w15:restartNumberingAfterBreak="0">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DD72D9B6"/>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3" w15:restartNumberingAfterBreak="0">
    <w:nsid w:val="005434FF"/>
    <w:multiLevelType w:val="multilevel"/>
    <w:tmpl w:val="B80AF110"/>
    <w:lvl w:ilvl="0">
      <w:start w:val="1"/>
      <w:numFmt w:val="decimal"/>
      <w:pStyle w:val="Heading1Egypt"/>
      <w:lvlText w:val="%1."/>
      <w:lvlJc w:val="left"/>
      <w:pPr>
        <w:tabs>
          <w:tab w:val="num" w:pos="360"/>
        </w:tabs>
        <w:ind w:left="360" w:hanging="360"/>
      </w:pPr>
      <w:rPr>
        <w:rFonts w:ascii="Arial" w:hAnsi="Arial" w:hint="default"/>
        <w:b/>
        <w:i w:val="0"/>
        <w:sz w:val="28"/>
      </w:rPr>
    </w:lvl>
    <w:lvl w:ilvl="1">
      <w:start w:val="1"/>
      <w:numFmt w:val="decimal"/>
      <w:pStyle w:val="Heading2Egypt"/>
      <w:lvlText w:val="%1.%2"/>
      <w:lvlJc w:val="left"/>
      <w:pPr>
        <w:tabs>
          <w:tab w:val="num" w:pos="720"/>
        </w:tabs>
        <w:ind w:left="357" w:hanging="357"/>
      </w:pPr>
    </w:lvl>
    <w:lvl w:ilvl="2">
      <w:start w:val="1"/>
      <w:numFmt w:val="decimal"/>
      <w:pStyle w:val="Heading3Egypt"/>
      <w:lvlText w:val="%1.%2.%3."/>
      <w:lvlJc w:val="left"/>
      <w:pPr>
        <w:tabs>
          <w:tab w:val="num" w:pos="1080"/>
        </w:tabs>
        <w:ind w:left="0" w:firstLine="0"/>
      </w:pPr>
    </w:lvl>
    <w:lvl w:ilvl="3">
      <w:start w:val="1"/>
      <w:numFmt w:val="none"/>
      <w:lvlText w:val="%1.%2.%3.%4."/>
      <w:lvlJc w:val="left"/>
      <w:pPr>
        <w:tabs>
          <w:tab w:val="num" w:pos="2880"/>
        </w:tabs>
        <w:ind w:left="1728" w:hanging="648"/>
      </w:pPr>
    </w:lvl>
    <w:lvl w:ilvl="4">
      <w:start w:val="1"/>
      <w:numFmt w:val="none"/>
      <w:lvlText w:val="%1.%2.%3.%4.%5."/>
      <w:lvlJc w:val="left"/>
      <w:pPr>
        <w:tabs>
          <w:tab w:val="num" w:pos="3960"/>
        </w:tabs>
        <w:ind w:left="2232" w:hanging="792"/>
      </w:pPr>
    </w:lvl>
    <w:lvl w:ilvl="5">
      <w:start w:val="1"/>
      <w:numFmt w:val="none"/>
      <w:lvlText w:val="%1.%2.%3.%4.%5.%6."/>
      <w:lvlJc w:val="left"/>
      <w:pPr>
        <w:tabs>
          <w:tab w:val="num" w:pos="4680"/>
        </w:tabs>
        <w:ind w:left="2736" w:hanging="936"/>
      </w:pPr>
    </w:lvl>
    <w:lvl w:ilvl="6">
      <w:start w:val="1"/>
      <w:numFmt w:val="none"/>
      <w:lvlText w:val="%1.%2.%3.%4.%5.%6.%7."/>
      <w:lvlJc w:val="left"/>
      <w:pPr>
        <w:tabs>
          <w:tab w:val="num" w:pos="5400"/>
        </w:tabs>
        <w:ind w:left="3240" w:hanging="1080"/>
      </w:pPr>
    </w:lvl>
    <w:lvl w:ilvl="7">
      <w:start w:val="1"/>
      <w:numFmt w:val="none"/>
      <w:lvlText w:val="%1.%2.%3.%4.%5.%6.%7.%8."/>
      <w:lvlJc w:val="left"/>
      <w:pPr>
        <w:tabs>
          <w:tab w:val="num" w:pos="6120"/>
        </w:tabs>
        <w:ind w:left="3744" w:hanging="1224"/>
      </w:pPr>
    </w:lvl>
    <w:lvl w:ilvl="8">
      <w:start w:val="1"/>
      <w:numFmt w:val="none"/>
      <w:lvlText w:val="%1.%2.%3.%4.%5.%6.%7.%8.%9."/>
      <w:lvlJc w:val="left"/>
      <w:pPr>
        <w:tabs>
          <w:tab w:val="num" w:pos="6840"/>
        </w:tabs>
        <w:ind w:left="4320" w:hanging="1440"/>
      </w:pPr>
    </w:lvl>
  </w:abstractNum>
  <w:abstractNum w:abstractNumId="4" w15:restartNumberingAfterBreak="0">
    <w:nsid w:val="01A54FCB"/>
    <w:multiLevelType w:val="multilevel"/>
    <w:tmpl w:val="259C4D5E"/>
    <w:lvl w:ilvl="0">
      <w:start w:val="1"/>
      <w:numFmt w:val="upperLetter"/>
      <w:lvlText w:val="Appendix %1."/>
      <w:lvlJc w:val="left"/>
      <w:pPr>
        <w:tabs>
          <w:tab w:val="num" w:pos="2134"/>
        </w:tabs>
        <w:ind w:left="2134" w:hanging="432"/>
      </w:pPr>
      <w:rPr>
        <w:rFonts w:hint="default"/>
      </w:rPr>
    </w:lvl>
    <w:lvl w:ilvl="1">
      <w:start w:val="1"/>
      <w:numFmt w:val="decimal"/>
      <w:pStyle w:val="BAAppend2"/>
      <w:lvlText w:val="%1.%2."/>
      <w:lvlJc w:val="left"/>
      <w:pPr>
        <w:tabs>
          <w:tab w:val="num" w:pos="1116"/>
        </w:tabs>
        <w:ind w:left="1116" w:hanging="576"/>
      </w:pPr>
      <w:rPr>
        <w:rFonts w:cs="Times New Roman"/>
        <w:b w:val="0"/>
        <w:bCs w:val="0"/>
        <w:i w:val="0"/>
        <w:iCs w:val="0"/>
        <w:caps w:val="0"/>
        <w:smallCaps w:val="0"/>
        <w:strike w:val="0"/>
        <w:dstrike w:val="0"/>
        <w:noProof w:val="0"/>
        <w:vanish w:val="0"/>
        <w:spacing w:val="0"/>
        <w:kern w:val="0"/>
        <w:position w:val="0"/>
        <w:u w:val="none"/>
        <w:vertAlign w:val="baseline"/>
        <w:em w:val="none"/>
      </w:rPr>
    </w:lvl>
    <w:lvl w:ilvl="2">
      <w:start w:val="1"/>
      <w:numFmt w:val="decimal"/>
      <w:pStyle w:val="BAAppend3"/>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3C9660C"/>
    <w:multiLevelType w:val="hybridMultilevel"/>
    <w:tmpl w:val="992A4C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7E752D5"/>
    <w:multiLevelType w:val="singleLevel"/>
    <w:tmpl w:val="4166359E"/>
    <w:lvl w:ilvl="0">
      <w:start w:val="1"/>
      <w:numFmt w:val="bullet"/>
      <w:lvlText w:val=""/>
      <w:lvlJc w:val="left"/>
      <w:pPr>
        <w:tabs>
          <w:tab w:val="num" w:pos="360"/>
        </w:tabs>
        <w:ind w:left="360" w:hanging="360"/>
      </w:pPr>
      <w:rPr>
        <w:rFonts w:ascii="Symbol" w:hAnsi="Symbol" w:hint="default"/>
        <w:sz w:val="16"/>
      </w:rPr>
    </w:lvl>
  </w:abstractNum>
  <w:abstractNum w:abstractNumId="7" w15:restartNumberingAfterBreak="0">
    <w:nsid w:val="090B13A5"/>
    <w:multiLevelType w:val="hybridMultilevel"/>
    <w:tmpl w:val="2E827DBA"/>
    <w:lvl w:ilvl="0" w:tplc="9ABCC106">
      <w:start w:val="1"/>
      <w:numFmt w:val="bullet"/>
      <w:pStyle w:val="Style1dotpoints"/>
      <w:lvlText w:val=""/>
      <w:lvlJc w:val="left"/>
      <w:pPr>
        <w:tabs>
          <w:tab w:val="num" w:pos="720"/>
        </w:tabs>
        <w:ind w:left="720" w:hanging="360"/>
      </w:pPr>
      <w:rPr>
        <w:rFonts w:ascii="Symbol" w:hAnsi="Symbol" w:hint="default"/>
      </w:rPr>
    </w:lvl>
    <w:lvl w:ilvl="1" w:tplc="8BFE131C" w:tentative="1">
      <w:start w:val="1"/>
      <w:numFmt w:val="bullet"/>
      <w:lvlText w:val="o"/>
      <w:lvlJc w:val="left"/>
      <w:pPr>
        <w:tabs>
          <w:tab w:val="num" w:pos="1440"/>
        </w:tabs>
        <w:ind w:left="1440" w:hanging="360"/>
      </w:pPr>
      <w:rPr>
        <w:rFonts w:ascii="Courier New" w:hAnsi="Courier New" w:cs="Wingdings" w:hint="default"/>
      </w:rPr>
    </w:lvl>
    <w:lvl w:ilvl="2" w:tplc="9288D6EE" w:tentative="1">
      <w:start w:val="1"/>
      <w:numFmt w:val="bullet"/>
      <w:lvlText w:val=""/>
      <w:lvlJc w:val="left"/>
      <w:pPr>
        <w:tabs>
          <w:tab w:val="num" w:pos="2160"/>
        </w:tabs>
        <w:ind w:left="2160" w:hanging="360"/>
      </w:pPr>
      <w:rPr>
        <w:rFonts w:ascii="Wingdings" w:hAnsi="Wingdings" w:hint="default"/>
      </w:rPr>
    </w:lvl>
    <w:lvl w:ilvl="3" w:tplc="FA089700" w:tentative="1">
      <w:start w:val="1"/>
      <w:numFmt w:val="bullet"/>
      <w:lvlText w:val=""/>
      <w:lvlJc w:val="left"/>
      <w:pPr>
        <w:tabs>
          <w:tab w:val="num" w:pos="2880"/>
        </w:tabs>
        <w:ind w:left="2880" w:hanging="360"/>
      </w:pPr>
      <w:rPr>
        <w:rFonts w:ascii="Symbol" w:hAnsi="Symbol" w:hint="default"/>
      </w:rPr>
    </w:lvl>
    <w:lvl w:ilvl="4" w:tplc="6E5EAF32" w:tentative="1">
      <w:start w:val="1"/>
      <w:numFmt w:val="bullet"/>
      <w:lvlText w:val="o"/>
      <w:lvlJc w:val="left"/>
      <w:pPr>
        <w:tabs>
          <w:tab w:val="num" w:pos="3600"/>
        </w:tabs>
        <w:ind w:left="3600" w:hanging="360"/>
      </w:pPr>
      <w:rPr>
        <w:rFonts w:ascii="Courier New" w:hAnsi="Courier New" w:cs="Wingdings" w:hint="default"/>
      </w:rPr>
    </w:lvl>
    <w:lvl w:ilvl="5" w:tplc="A59E29B4" w:tentative="1">
      <w:start w:val="1"/>
      <w:numFmt w:val="bullet"/>
      <w:lvlText w:val=""/>
      <w:lvlJc w:val="left"/>
      <w:pPr>
        <w:tabs>
          <w:tab w:val="num" w:pos="4320"/>
        </w:tabs>
        <w:ind w:left="4320" w:hanging="360"/>
      </w:pPr>
      <w:rPr>
        <w:rFonts w:ascii="Wingdings" w:hAnsi="Wingdings" w:hint="default"/>
      </w:rPr>
    </w:lvl>
    <w:lvl w:ilvl="6" w:tplc="429270C0" w:tentative="1">
      <w:start w:val="1"/>
      <w:numFmt w:val="bullet"/>
      <w:lvlText w:val=""/>
      <w:lvlJc w:val="left"/>
      <w:pPr>
        <w:tabs>
          <w:tab w:val="num" w:pos="5040"/>
        </w:tabs>
        <w:ind w:left="5040" w:hanging="360"/>
      </w:pPr>
      <w:rPr>
        <w:rFonts w:ascii="Symbol" w:hAnsi="Symbol" w:hint="default"/>
      </w:rPr>
    </w:lvl>
    <w:lvl w:ilvl="7" w:tplc="FBC2D45E" w:tentative="1">
      <w:start w:val="1"/>
      <w:numFmt w:val="bullet"/>
      <w:lvlText w:val="o"/>
      <w:lvlJc w:val="left"/>
      <w:pPr>
        <w:tabs>
          <w:tab w:val="num" w:pos="5760"/>
        </w:tabs>
        <w:ind w:left="5760" w:hanging="360"/>
      </w:pPr>
      <w:rPr>
        <w:rFonts w:ascii="Courier New" w:hAnsi="Courier New" w:cs="Wingdings" w:hint="default"/>
      </w:rPr>
    </w:lvl>
    <w:lvl w:ilvl="8" w:tplc="B39E65B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297BC9"/>
    <w:multiLevelType w:val="hybridMultilevel"/>
    <w:tmpl w:val="E75A13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5645C5"/>
    <w:multiLevelType w:val="singleLevel"/>
    <w:tmpl w:val="DE424BC0"/>
    <w:lvl w:ilvl="0">
      <w:start w:val="1"/>
      <w:numFmt w:val="bullet"/>
      <w:pStyle w:val="paraChar"/>
      <w:lvlText w:val=""/>
      <w:lvlJc w:val="left"/>
      <w:pPr>
        <w:tabs>
          <w:tab w:val="num" w:pos="360"/>
        </w:tabs>
        <w:ind w:left="360" w:hanging="360"/>
      </w:pPr>
      <w:rPr>
        <w:rFonts w:ascii="Symbol" w:hAnsi="Symbol" w:hint="default"/>
        <w:sz w:val="16"/>
      </w:rPr>
    </w:lvl>
  </w:abstractNum>
  <w:abstractNum w:abstractNumId="10" w15:restartNumberingAfterBreak="0">
    <w:nsid w:val="0D3E4203"/>
    <w:multiLevelType w:val="hybridMultilevel"/>
    <w:tmpl w:val="B7804F4E"/>
    <w:lvl w:ilvl="0" w:tplc="60FAB6C2">
      <w:start w:val="1"/>
      <w:numFmt w:val="bullet"/>
      <w:pStyle w:val="Dot"/>
      <w:lvlText w:val=""/>
      <w:lvlJc w:val="left"/>
      <w:pPr>
        <w:tabs>
          <w:tab w:val="num" w:pos="360"/>
        </w:tabs>
        <w:ind w:left="284" w:hanging="284"/>
      </w:pPr>
      <w:rPr>
        <w:rFonts w:ascii="Wingdings" w:hAnsi="Wingdings" w:hint="default"/>
      </w:rPr>
    </w:lvl>
    <w:lvl w:ilvl="1" w:tplc="9FA06644">
      <w:start w:val="1"/>
      <w:numFmt w:val="bullet"/>
      <w:lvlText w:val=""/>
      <w:lvlJc w:val="left"/>
      <w:pPr>
        <w:tabs>
          <w:tab w:val="num" w:pos="1440"/>
        </w:tabs>
        <w:ind w:left="1440" w:hanging="360"/>
      </w:pPr>
      <w:rPr>
        <w:rFonts w:ascii="Symbol" w:hAnsi="Symbol" w:hint="default"/>
        <w:sz w:val="16"/>
      </w:rPr>
    </w:lvl>
    <w:lvl w:ilvl="2" w:tplc="B2B8EAEC">
      <w:start w:val="1"/>
      <w:numFmt w:val="bullet"/>
      <w:lvlText w:val=""/>
      <w:lvlJc w:val="left"/>
      <w:pPr>
        <w:tabs>
          <w:tab w:val="num" w:pos="2160"/>
        </w:tabs>
        <w:ind w:left="2160" w:hanging="360"/>
      </w:pPr>
      <w:rPr>
        <w:rFonts w:ascii="Wingdings" w:hAnsi="Wingdings" w:hint="default"/>
      </w:rPr>
    </w:lvl>
    <w:lvl w:ilvl="3" w:tplc="EE2008D8">
      <w:start w:val="1"/>
      <w:numFmt w:val="bullet"/>
      <w:lvlText w:val=""/>
      <w:lvlJc w:val="left"/>
      <w:pPr>
        <w:tabs>
          <w:tab w:val="num" w:pos="2880"/>
        </w:tabs>
        <w:ind w:left="2880" w:hanging="360"/>
      </w:pPr>
      <w:rPr>
        <w:rFonts w:ascii="Symbol" w:hAnsi="Symbol" w:hint="default"/>
      </w:rPr>
    </w:lvl>
    <w:lvl w:ilvl="4" w:tplc="9962A8E0" w:tentative="1">
      <w:start w:val="1"/>
      <w:numFmt w:val="bullet"/>
      <w:lvlText w:val="o"/>
      <w:lvlJc w:val="left"/>
      <w:pPr>
        <w:tabs>
          <w:tab w:val="num" w:pos="3600"/>
        </w:tabs>
        <w:ind w:left="3600" w:hanging="360"/>
      </w:pPr>
      <w:rPr>
        <w:rFonts w:ascii="Courier New" w:hAnsi="Courier New" w:hint="default"/>
      </w:rPr>
    </w:lvl>
    <w:lvl w:ilvl="5" w:tplc="4A7CC71A" w:tentative="1">
      <w:start w:val="1"/>
      <w:numFmt w:val="bullet"/>
      <w:lvlText w:val=""/>
      <w:lvlJc w:val="left"/>
      <w:pPr>
        <w:tabs>
          <w:tab w:val="num" w:pos="4320"/>
        </w:tabs>
        <w:ind w:left="4320" w:hanging="360"/>
      </w:pPr>
      <w:rPr>
        <w:rFonts w:ascii="Wingdings" w:hAnsi="Wingdings" w:hint="default"/>
      </w:rPr>
    </w:lvl>
    <w:lvl w:ilvl="6" w:tplc="D84A1EF2" w:tentative="1">
      <w:start w:val="1"/>
      <w:numFmt w:val="bullet"/>
      <w:lvlText w:val=""/>
      <w:lvlJc w:val="left"/>
      <w:pPr>
        <w:tabs>
          <w:tab w:val="num" w:pos="5040"/>
        </w:tabs>
        <w:ind w:left="5040" w:hanging="360"/>
      </w:pPr>
      <w:rPr>
        <w:rFonts w:ascii="Symbol" w:hAnsi="Symbol" w:hint="default"/>
      </w:rPr>
    </w:lvl>
    <w:lvl w:ilvl="7" w:tplc="9F2CDC62" w:tentative="1">
      <w:start w:val="1"/>
      <w:numFmt w:val="bullet"/>
      <w:lvlText w:val="o"/>
      <w:lvlJc w:val="left"/>
      <w:pPr>
        <w:tabs>
          <w:tab w:val="num" w:pos="5760"/>
        </w:tabs>
        <w:ind w:left="5760" w:hanging="360"/>
      </w:pPr>
      <w:rPr>
        <w:rFonts w:ascii="Courier New" w:hAnsi="Courier New" w:hint="default"/>
      </w:rPr>
    </w:lvl>
    <w:lvl w:ilvl="8" w:tplc="42B0E0D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3C1C70"/>
    <w:multiLevelType w:val="multilevel"/>
    <w:tmpl w:val="04F0B7D2"/>
    <w:styleLink w:val="Bullet"/>
    <w:lvl w:ilvl="0">
      <w:start w:val="1"/>
      <w:numFmt w:val="bullet"/>
      <w:pStyle w:val="Bulletlast"/>
      <w:lvlText w:val=""/>
      <w:lvlJc w:val="left"/>
      <w:pPr>
        <w:tabs>
          <w:tab w:val="num" w:pos="284"/>
        </w:tabs>
        <w:ind w:left="284" w:hanging="284"/>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D620F8"/>
    <w:multiLevelType w:val="hybridMultilevel"/>
    <w:tmpl w:val="EF7284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96B606F"/>
    <w:multiLevelType w:val="hybridMultilevel"/>
    <w:tmpl w:val="E0560262"/>
    <w:lvl w:ilvl="0" w:tplc="2D8469AE">
      <w:start w:val="1"/>
      <w:numFmt w:val="bullet"/>
      <w:pStyle w:val="TableBullet"/>
      <w:lvlText w:val=""/>
      <w:lvlJc w:val="left"/>
      <w:pPr>
        <w:ind w:left="720" w:hanging="360"/>
      </w:pPr>
      <w:rPr>
        <w:rFonts w:ascii="Symbol" w:hAnsi="Symbol" w:hint="default"/>
      </w:rPr>
    </w:lvl>
    <w:lvl w:ilvl="1" w:tplc="9650E61A">
      <w:start w:val="1"/>
      <w:numFmt w:val="bullet"/>
      <w:lvlText w:val="o"/>
      <w:lvlJc w:val="left"/>
      <w:pPr>
        <w:ind w:left="1440" w:hanging="360"/>
      </w:pPr>
      <w:rPr>
        <w:rFonts w:ascii="Courier New" w:hAnsi="Courier New" w:cs="Courier New" w:hint="default"/>
      </w:rPr>
    </w:lvl>
    <w:lvl w:ilvl="2" w:tplc="2C08A4EE" w:tentative="1">
      <w:start w:val="1"/>
      <w:numFmt w:val="bullet"/>
      <w:lvlText w:val=""/>
      <w:lvlJc w:val="left"/>
      <w:pPr>
        <w:ind w:left="2160" w:hanging="360"/>
      </w:pPr>
      <w:rPr>
        <w:rFonts w:ascii="Wingdings" w:hAnsi="Wingdings" w:hint="default"/>
      </w:rPr>
    </w:lvl>
    <w:lvl w:ilvl="3" w:tplc="AC4EC37E" w:tentative="1">
      <w:start w:val="1"/>
      <w:numFmt w:val="bullet"/>
      <w:lvlText w:val=""/>
      <w:lvlJc w:val="left"/>
      <w:pPr>
        <w:ind w:left="2880" w:hanging="360"/>
      </w:pPr>
      <w:rPr>
        <w:rFonts w:ascii="Symbol" w:hAnsi="Symbol" w:hint="default"/>
      </w:rPr>
    </w:lvl>
    <w:lvl w:ilvl="4" w:tplc="4192D7A2" w:tentative="1">
      <w:start w:val="1"/>
      <w:numFmt w:val="bullet"/>
      <w:lvlText w:val="o"/>
      <w:lvlJc w:val="left"/>
      <w:pPr>
        <w:ind w:left="3600" w:hanging="360"/>
      </w:pPr>
      <w:rPr>
        <w:rFonts w:ascii="Courier New" w:hAnsi="Courier New" w:cs="Courier New" w:hint="default"/>
      </w:rPr>
    </w:lvl>
    <w:lvl w:ilvl="5" w:tplc="0D409BA2" w:tentative="1">
      <w:start w:val="1"/>
      <w:numFmt w:val="bullet"/>
      <w:lvlText w:val=""/>
      <w:lvlJc w:val="left"/>
      <w:pPr>
        <w:ind w:left="4320" w:hanging="360"/>
      </w:pPr>
      <w:rPr>
        <w:rFonts w:ascii="Wingdings" w:hAnsi="Wingdings" w:hint="default"/>
      </w:rPr>
    </w:lvl>
    <w:lvl w:ilvl="6" w:tplc="25663C10" w:tentative="1">
      <w:start w:val="1"/>
      <w:numFmt w:val="bullet"/>
      <w:lvlText w:val=""/>
      <w:lvlJc w:val="left"/>
      <w:pPr>
        <w:ind w:left="5040" w:hanging="360"/>
      </w:pPr>
      <w:rPr>
        <w:rFonts w:ascii="Symbol" w:hAnsi="Symbol" w:hint="default"/>
      </w:rPr>
    </w:lvl>
    <w:lvl w:ilvl="7" w:tplc="96B2D6E6" w:tentative="1">
      <w:start w:val="1"/>
      <w:numFmt w:val="bullet"/>
      <w:lvlText w:val="o"/>
      <w:lvlJc w:val="left"/>
      <w:pPr>
        <w:ind w:left="5760" w:hanging="360"/>
      </w:pPr>
      <w:rPr>
        <w:rFonts w:ascii="Courier New" w:hAnsi="Courier New" w:cs="Courier New" w:hint="default"/>
      </w:rPr>
    </w:lvl>
    <w:lvl w:ilvl="8" w:tplc="BDC4B0A6" w:tentative="1">
      <w:start w:val="1"/>
      <w:numFmt w:val="bullet"/>
      <w:lvlText w:val=""/>
      <w:lvlJc w:val="left"/>
      <w:pPr>
        <w:ind w:left="6480" w:hanging="360"/>
      </w:pPr>
      <w:rPr>
        <w:rFonts w:ascii="Wingdings" w:hAnsi="Wingdings" w:hint="default"/>
      </w:rPr>
    </w:lvl>
  </w:abstractNum>
  <w:abstractNum w:abstractNumId="14" w15:restartNumberingAfterBreak="0">
    <w:nsid w:val="1E7D63AA"/>
    <w:multiLevelType w:val="multilevel"/>
    <w:tmpl w:val="04F0B7D2"/>
    <w:numStyleLink w:val="Bullet"/>
  </w:abstractNum>
  <w:abstractNum w:abstractNumId="15" w15:restartNumberingAfterBreak="0">
    <w:nsid w:val="1E974DD8"/>
    <w:multiLevelType w:val="hybridMultilevel"/>
    <w:tmpl w:val="1A023246"/>
    <w:lvl w:ilvl="0" w:tplc="DBA619AC">
      <w:start w:val="1"/>
      <w:numFmt w:val="bullet"/>
      <w:lvlText w:val=""/>
      <w:lvlJc w:val="left"/>
      <w:pPr>
        <w:ind w:left="717" w:hanging="360"/>
      </w:pPr>
      <w:rPr>
        <w:rFonts w:ascii="Symbol" w:hAnsi="Symbol" w:hint="default"/>
        <w:color w:val="auto"/>
        <w:sz w:val="16"/>
        <w:szCs w:val="16"/>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6" w15:restartNumberingAfterBreak="0">
    <w:nsid w:val="201E67F5"/>
    <w:multiLevelType w:val="multilevel"/>
    <w:tmpl w:val="D898D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9802CB"/>
    <w:multiLevelType w:val="hybridMultilevel"/>
    <w:tmpl w:val="55A869CE"/>
    <w:lvl w:ilvl="0" w:tplc="BAE46220">
      <w:start w:val="1"/>
      <w:numFmt w:val="decimal"/>
      <w:pStyle w:val="Heading1Numbered"/>
      <w:lvlText w:val="%1"/>
      <w:lvlJc w:val="left"/>
      <w:pPr>
        <w:ind w:left="720" w:hanging="360"/>
      </w:pPr>
      <w:rPr>
        <w:rFonts w:hint="default"/>
        <w:color w:val="auto"/>
      </w:rPr>
    </w:lvl>
    <w:lvl w:ilvl="1" w:tplc="E13E9A44" w:tentative="1">
      <w:start w:val="1"/>
      <w:numFmt w:val="lowerLetter"/>
      <w:lvlText w:val="%2."/>
      <w:lvlJc w:val="left"/>
      <w:pPr>
        <w:ind w:left="1440" w:hanging="360"/>
      </w:pPr>
    </w:lvl>
    <w:lvl w:ilvl="2" w:tplc="CBAE6290" w:tentative="1">
      <w:start w:val="1"/>
      <w:numFmt w:val="lowerRoman"/>
      <w:lvlText w:val="%3."/>
      <w:lvlJc w:val="right"/>
      <w:pPr>
        <w:ind w:left="2160" w:hanging="180"/>
      </w:pPr>
    </w:lvl>
    <w:lvl w:ilvl="3" w:tplc="B4C457D8" w:tentative="1">
      <w:start w:val="1"/>
      <w:numFmt w:val="decimal"/>
      <w:lvlText w:val="%4."/>
      <w:lvlJc w:val="left"/>
      <w:pPr>
        <w:ind w:left="2880" w:hanging="360"/>
      </w:pPr>
    </w:lvl>
    <w:lvl w:ilvl="4" w:tplc="72A46A20" w:tentative="1">
      <w:start w:val="1"/>
      <w:numFmt w:val="lowerLetter"/>
      <w:lvlText w:val="%5."/>
      <w:lvlJc w:val="left"/>
      <w:pPr>
        <w:ind w:left="3600" w:hanging="360"/>
      </w:pPr>
    </w:lvl>
    <w:lvl w:ilvl="5" w:tplc="BAD2B64E" w:tentative="1">
      <w:start w:val="1"/>
      <w:numFmt w:val="lowerRoman"/>
      <w:lvlText w:val="%6."/>
      <w:lvlJc w:val="right"/>
      <w:pPr>
        <w:ind w:left="4320" w:hanging="180"/>
      </w:pPr>
    </w:lvl>
    <w:lvl w:ilvl="6" w:tplc="507C1ACE" w:tentative="1">
      <w:start w:val="1"/>
      <w:numFmt w:val="decimal"/>
      <w:lvlText w:val="%7."/>
      <w:lvlJc w:val="left"/>
      <w:pPr>
        <w:ind w:left="5040" w:hanging="360"/>
      </w:pPr>
    </w:lvl>
    <w:lvl w:ilvl="7" w:tplc="C790587A" w:tentative="1">
      <w:start w:val="1"/>
      <w:numFmt w:val="lowerLetter"/>
      <w:lvlText w:val="%8."/>
      <w:lvlJc w:val="left"/>
      <w:pPr>
        <w:ind w:left="5760" w:hanging="360"/>
      </w:pPr>
    </w:lvl>
    <w:lvl w:ilvl="8" w:tplc="BD12DAE0" w:tentative="1">
      <w:start w:val="1"/>
      <w:numFmt w:val="lowerRoman"/>
      <w:lvlText w:val="%9."/>
      <w:lvlJc w:val="right"/>
      <w:pPr>
        <w:ind w:left="6480" w:hanging="180"/>
      </w:pPr>
    </w:lvl>
  </w:abstractNum>
  <w:abstractNum w:abstractNumId="18" w15:restartNumberingAfterBreak="0">
    <w:nsid w:val="2E221209"/>
    <w:multiLevelType w:val="multilevel"/>
    <w:tmpl w:val="40F69EB2"/>
    <w:styleLink w:val="StyleBulleted11pt"/>
    <w:lvl w:ilvl="0">
      <w:start w:val="1"/>
      <w:numFmt w:val="bullet"/>
      <w:lvlText w:val=""/>
      <w:lvlJc w:val="right"/>
      <w:pPr>
        <w:tabs>
          <w:tab w:val="num" w:pos="680"/>
        </w:tabs>
        <w:ind w:left="680" w:hanging="340"/>
      </w:pPr>
      <w:rPr>
        <w:rFonts w:ascii="Symbol" w:hAnsi="Symbol" w:hint="default"/>
        <w:i/>
        <w:sz w:val="16"/>
        <w:szCs w:val="16"/>
      </w:rPr>
    </w:lvl>
    <w:lvl w:ilvl="1">
      <w:start w:val="1"/>
      <w:numFmt w:val="bullet"/>
      <w:lvlText w:val=""/>
      <w:lvlJc w:val="left"/>
      <w:pPr>
        <w:tabs>
          <w:tab w:val="num" w:pos="2160"/>
        </w:tabs>
        <w:ind w:left="2520" w:hanging="360"/>
      </w:pPr>
      <w:rPr>
        <w:rFonts w:ascii="Symbol" w:hAnsi="Symbol" w:hint="default"/>
        <w:sz w:val="22"/>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Wingdings"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Wingdings" w:hint="default"/>
      </w:rPr>
    </w:lvl>
    <w:lvl w:ilvl="8">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8AE29D2"/>
    <w:multiLevelType w:val="multilevel"/>
    <w:tmpl w:val="2CDE8968"/>
    <w:lvl w:ilvl="0">
      <w:start w:val="1"/>
      <w:numFmt w:val="upperLetter"/>
      <w:pStyle w:val="AppendixHeading1"/>
      <w:lvlText w:val="Appendix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A551C78"/>
    <w:multiLevelType w:val="hybridMultilevel"/>
    <w:tmpl w:val="A6AA52EC"/>
    <w:lvl w:ilvl="0" w:tplc="59F68658">
      <w:start w:val="1"/>
      <w:numFmt w:val="decimal"/>
      <w:pStyle w:val="Heading2Numbered"/>
      <w:lvlText w:val="1.%1"/>
      <w:lvlJc w:val="left"/>
      <w:pPr>
        <w:ind w:left="360" w:hanging="360"/>
      </w:pPr>
      <w:rPr>
        <w:rFonts w:hint="default"/>
      </w:rPr>
    </w:lvl>
    <w:lvl w:ilvl="1" w:tplc="6DA4BA44" w:tentative="1">
      <w:start w:val="1"/>
      <w:numFmt w:val="lowerLetter"/>
      <w:pStyle w:val="Heading2Numbered"/>
      <w:lvlText w:val="%2."/>
      <w:lvlJc w:val="left"/>
      <w:pPr>
        <w:ind w:left="1440" w:hanging="360"/>
      </w:pPr>
    </w:lvl>
    <w:lvl w:ilvl="2" w:tplc="6A70A13E" w:tentative="1">
      <w:start w:val="1"/>
      <w:numFmt w:val="lowerRoman"/>
      <w:lvlText w:val="%3."/>
      <w:lvlJc w:val="right"/>
      <w:pPr>
        <w:ind w:left="2160" w:hanging="180"/>
      </w:pPr>
    </w:lvl>
    <w:lvl w:ilvl="3" w:tplc="697AD572" w:tentative="1">
      <w:start w:val="1"/>
      <w:numFmt w:val="decimal"/>
      <w:lvlText w:val="%4."/>
      <w:lvlJc w:val="left"/>
      <w:pPr>
        <w:ind w:left="2880" w:hanging="360"/>
      </w:pPr>
    </w:lvl>
    <w:lvl w:ilvl="4" w:tplc="F9025EF0" w:tentative="1">
      <w:start w:val="1"/>
      <w:numFmt w:val="lowerLetter"/>
      <w:lvlText w:val="%5."/>
      <w:lvlJc w:val="left"/>
      <w:pPr>
        <w:ind w:left="3600" w:hanging="360"/>
      </w:pPr>
    </w:lvl>
    <w:lvl w:ilvl="5" w:tplc="88D86D82" w:tentative="1">
      <w:start w:val="1"/>
      <w:numFmt w:val="lowerRoman"/>
      <w:lvlText w:val="%6."/>
      <w:lvlJc w:val="right"/>
      <w:pPr>
        <w:ind w:left="4320" w:hanging="180"/>
      </w:pPr>
    </w:lvl>
    <w:lvl w:ilvl="6" w:tplc="7A38598C" w:tentative="1">
      <w:start w:val="1"/>
      <w:numFmt w:val="decimal"/>
      <w:lvlText w:val="%7."/>
      <w:lvlJc w:val="left"/>
      <w:pPr>
        <w:ind w:left="5040" w:hanging="360"/>
      </w:pPr>
    </w:lvl>
    <w:lvl w:ilvl="7" w:tplc="C3E2507C" w:tentative="1">
      <w:start w:val="1"/>
      <w:numFmt w:val="lowerLetter"/>
      <w:lvlText w:val="%8."/>
      <w:lvlJc w:val="left"/>
      <w:pPr>
        <w:ind w:left="5760" w:hanging="360"/>
      </w:pPr>
    </w:lvl>
    <w:lvl w:ilvl="8" w:tplc="1C043332" w:tentative="1">
      <w:start w:val="1"/>
      <w:numFmt w:val="lowerRoman"/>
      <w:lvlText w:val="%9."/>
      <w:lvlJc w:val="right"/>
      <w:pPr>
        <w:ind w:left="6480" w:hanging="180"/>
      </w:pPr>
    </w:lvl>
  </w:abstractNum>
  <w:abstractNum w:abstractNumId="21" w15:restartNumberingAfterBreak="0">
    <w:nsid w:val="3D2A3E94"/>
    <w:multiLevelType w:val="multilevel"/>
    <w:tmpl w:val="4344E3E6"/>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2" w15:restartNumberingAfterBreak="0">
    <w:nsid w:val="3FDD470D"/>
    <w:multiLevelType w:val="singleLevel"/>
    <w:tmpl w:val="B664CF16"/>
    <w:lvl w:ilvl="0">
      <w:start w:val="1"/>
      <w:numFmt w:val="decimal"/>
      <w:pStyle w:val="ListNumber"/>
      <w:lvlText w:val="%1)"/>
      <w:lvlJc w:val="left"/>
      <w:pPr>
        <w:ind w:left="360" w:hanging="360"/>
      </w:pPr>
      <w:rPr>
        <w:color w:val="auto"/>
      </w:rPr>
    </w:lvl>
  </w:abstractNum>
  <w:abstractNum w:abstractNumId="23" w15:restartNumberingAfterBreak="0">
    <w:nsid w:val="3FF00B1A"/>
    <w:multiLevelType w:val="multilevel"/>
    <w:tmpl w:val="1DA82612"/>
    <w:lvl w:ilvl="0">
      <w:start w:val="1"/>
      <w:numFmt w:val="decimal"/>
      <w:pStyle w:val="StyleBAHeader116ptLeft0cmFirstline0cm"/>
      <w:lvlText w:val="%1"/>
      <w:lvlJc w:val="left"/>
      <w:pPr>
        <w:tabs>
          <w:tab w:val="num" w:pos="432"/>
        </w:tabs>
        <w:ind w:left="432" w:hanging="432"/>
      </w:pPr>
      <w:rPr>
        <w:rFonts w:hint="default"/>
        <w:sz w:val="20"/>
      </w:rPr>
    </w:lvl>
    <w:lvl w:ilvl="1">
      <w:start w:val="1"/>
      <w:numFmt w:val="decimal"/>
      <w:lvlText w:val="%1.%2"/>
      <w:lvlJc w:val="left"/>
      <w:pPr>
        <w:tabs>
          <w:tab w:val="num" w:pos="576"/>
        </w:tabs>
        <w:ind w:left="576" w:hanging="576"/>
      </w:pPr>
      <w:rPr>
        <w:rFonts w:hint="default"/>
        <w:sz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864"/>
        </w:tabs>
        <w:ind w:left="864" w:hanging="864"/>
      </w:pPr>
      <w:rPr>
        <w:rFonts w:hint="default"/>
        <w:sz w:val="20"/>
      </w:rPr>
    </w:lvl>
    <w:lvl w:ilvl="4">
      <w:start w:val="1"/>
      <w:numFmt w:val="decimal"/>
      <w:lvlText w:val="%1.%2.%3.%4.%5"/>
      <w:lvlJc w:val="left"/>
      <w:pPr>
        <w:tabs>
          <w:tab w:val="num" w:pos="1008"/>
        </w:tabs>
        <w:ind w:left="1008" w:hanging="1008"/>
      </w:pPr>
      <w:rPr>
        <w:rFonts w:hint="default"/>
        <w:sz w:val="20"/>
      </w:rPr>
    </w:lvl>
    <w:lvl w:ilvl="5">
      <w:start w:val="1"/>
      <w:numFmt w:val="decimal"/>
      <w:lvlText w:val="%1.%2.%3.%4.%5.%6"/>
      <w:lvlJc w:val="left"/>
      <w:pPr>
        <w:tabs>
          <w:tab w:val="num" w:pos="1152"/>
        </w:tabs>
        <w:ind w:left="1152" w:hanging="1152"/>
      </w:pPr>
      <w:rPr>
        <w:rFonts w:hint="default"/>
        <w:sz w:val="20"/>
      </w:rPr>
    </w:lvl>
    <w:lvl w:ilvl="6">
      <w:start w:val="1"/>
      <w:numFmt w:val="decimal"/>
      <w:lvlText w:val="%1.%2.%3.%4.%5.%6.%7"/>
      <w:lvlJc w:val="left"/>
      <w:pPr>
        <w:tabs>
          <w:tab w:val="num" w:pos="1296"/>
        </w:tabs>
        <w:ind w:left="1296" w:hanging="1296"/>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584"/>
        </w:tabs>
        <w:ind w:left="1584" w:hanging="1584"/>
      </w:pPr>
      <w:rPr>
        <w:rFonts w:hint="default"/>
        <w:sz w:val="20"/>
      </w:rPr>
    </w:lvl>
  </w:abstractNum>
  <w:abstractNum w:abstractNumId="24" w15:restartNumberingAfterBreak="0">
    <w:nsid w:val="427A7CD6"/>
    <w:multiLevelType w:val="hybridMultilevel"/>
    <w:tmpl w:val="E9C27EBC"/>
    <w:lvl w:ilvl="0" w:tplc="33B88C8E">
      <w:start w:val="1"/>
      <w:numFmt w:val="bullet"/>
      <w:pStyle w:val="style1dotpoints0"/>
      <w:lvlText w:val=""/>
      <w:lvlJc w:val="left"/>
      <w:pPr>
        <w:tabs>
          <w:tab w:val="num" w:pos="357"/>
        </w:tabs>
        <w:ind w:left="357" w:hanging="357"/>
      </w:pPr>
      <w:rPr>
        <w:rFonts w:ascii="Symbol" w:hAnsi="Symbol" w:hint="default"/>
      </w:rPr>
    </w:lvl>
    <w:lvl w:ilvl="1" w:tplc="A056696E" w:tentative="1">
      <w:start w:val="1"/>
      <w:numFmt w:val="bullet"/>
      <w:lvlText w:val="o"/>
      <w:lvlJc w:val="left"/>
      <w:pPr>
        <w:tabs>
          <w:tab w:val="num" w:pos="1440"/>
        </w:tabs>
        <w:ind w:left="1440" w:hanging="360"/>
      </w:pPr>
      <w:rPr>
        <w:rFonts w:ascii="Courier New" w:hAnsi="Courier New" w:cs="Courier New" w:hint="default"/>
      </w:rPr>
    </w:lvl>
    <w:lvl w:ilvl="2" w:tplc="3F0C03F4" w:tentative="1">
      <w:start w:val="1"/>
      <w:numFmt w:val="bullet"/>
      <w:lvlText w:val=""/>
      <w:lvlJc w:val="left"/>
      <w:pPr>
        <w:tabs>
          <w:tab w:val="num" w:pos="2160"/>
        </w:tabs>
        <w:ind w:left="2160" w:hanging="360"/>
      </w:pPr>
      <w:rPr>
        <w:rFonts w:ascii="Wingdings" w:hAnsi="Wingdings" w:hint="default"/>
      </w:rPr>
    </w:lvl>
    <w:lvl w:ilvl="3" w:tplc="11DA21EE" w:tentative="1">
      <w:start w:val="1"/>
      <w:numFmt w:val="bullet"/>
      <w:lvlText w:val=""/>
      <w:lvlJc w:val="left"/>
      <w:pPr>
        <w:tabs>
          <w:tab w:val="num" w:pos="2880"/>
        </w:tabs>
        <w:ind w:left="2880" w:hanging="360"/>
      </w:pPr>
      <w:rPr>
        <w:rFonts w:ascii="Symbol" w:hAnsi="Symbol" w:hint="default"/>
      </w:rPr>
    </w:lvl>
    <w:lvl w:ilvl="4" w:tplc="F338744A" w:tentative="1">
      <w:start w:val="1"/>
      <w:numFmt w:val="bullet"/>
      <w:lvlText w:val="o"/>
      <w:lvlJc w:val="left"/>
      <w:pPr>
        <w:tabs>
          <w:tab w:val="num" w:pos="3600"/>
        </w:tabs>
        <w:ind w:left="3600" w:hanging="360"/>
      </w:pPr>
      <w:rPr>
        <w:rFonts w:ascii="Courier New" w:hAnsi="Courier New" w:cs="Courier New" w:hint="default"/>
      </w:rPr>
    </w:lvl>
    <w:lvl w:ilvl="5" w:tplc="D9C86E02" w:tentative="1">
      <w:start w:val="1"/>
      <w:numFmt w:val="bullet"/>
      <w:lvlText w:val=""/>
      <w:lvlJc w:val="left"/>
      <w:pPr>
        <w:tabs>
          <w:tab w:val="num" w:pos="4320"/>
        </w:tabs>
        <w:ind w:left="4320" w:hanging="360"/>
      </w:pPr>
      <w:rPr>
        <w:rFonts w:ascii="Wingdings" w:hAnsi="Wingdings" w:hint="default"/>
      </w:rPr>
    </w:lvl>
    <w:lvl w:ilvl="6" w:tplc="C35AEB9C" w:tentative="1">
      <w:start w:val="1"/>
      <w:numFmt w:val="bullet"/>
      <w:lvlText w:val=""/>
      <w:lvlJc w:val="left"/>
      <w:pPr>
        <w:tabs>
          <w:tab w:val="num" w:pos="5040"/>
        </w:tabs>
        <w:ind w:left="5040" w:hanging="360"/>
      </w:pPr>
      <w:rPr>
        <w:rFonts w:ascii="Symbol" w:hAnsi="Symbol" w:hint="default"/>
      </w:rPr>
    </w:lvl>
    <w:lvl w:ilvl="7" w:tplc="4D78685A" w:tentative="1">
      <w:start w:val="1"/>
      <w:numFmt w:val="bullet"/>
      <w:lvlText w:val="o"/>
      <w:lvlJc w:val="left"/>
      <w:pPr>
        <w:tabs>
          <w:tab w:val="num" w:pos="5760"/>
        </w:tabs>
        <w:ind w:left="5760" w:hanging="360"/>
      </w:pPr>
      <w:rPr>
        <w:rFonts w:ascii="Courier New" w:hAnsi="Courier New" w:cs="Courier New" w:hint="default"/>
      </w:rPr>
    </w:lvl>
    <w:lvl w:ilvl="8" w:tplc="AEDCBB3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C02E10"/>
    <w:multiLevelType w:val="singleLevel"/>
    <w:tmpl w:val="1BFACB44"/>
    <w:lvl w:ilvl="0">
      <w:start w:val="1"/>
      <w:numFmt w:val="bullet"/>
      <w:pStyle w:val="Dash"/>
      <w:lvlText w:val="–"/>
      <w:lvlJc w:val="left"/>
      <w:pPr>
        <w:tabs>
          <w:tab w:val="num" w:pos="1440"/>
        </w:tabs>
        <w:ind w:left="1440" w:hanging="360"/>
      </w:pPr>
      <w:rPr>
        <w:rFonts w:ascii="Times New Roman" w:hAnsi="Times New Roman" w:hint="default"/>
      </w:rPr>
    </w:lvl>
  </w:abstractNum>
  <w:abstractNum w:abstractNumId="26" w15:restartNumberingAfterBreak="0">
    <w:nsid w:val="468D5CD5"/>
    <w:multiLevelType w:val="singleLevel"/>
    <w:tmpl w:val="CA444706"/>
    <w:lvl w:ilvl="0">
      <w:start w:val="1"/>
      <w:numFmt w:val="bullet"/>
      <w:pStyle w:val="BodyIndent"/>
      <w:lvlText w:val=""/>
      <w:lvlJc w:val="left"/>
      <w:pPr>
        <w:tabs>
          <w:tab w:val="num" w:pos="360"/>
        </w:tabs>
        <w:ind w:left="360" w:hanging="360"/>
      </w:pPr>
      <w:rPr>
        <w:rFonts w:ascii="Symbol" w:hAnsi="Symbol" w:hint="default"/>
      </w:rPr>
    </w:lvl>
  </w:abstractNum>
  <w:abstractNum w:abstractNumId="27" w15:restartNumberingAfterBreak="0">
    <w:nsid w:val="48DE2E4A"/>
    <w:multiLevelType w:val="hybridMultilevel"/>
    <w:tmpl w:val="B7086130"/>
    <w:lvl w:ilvl="0" w:tplc="9A2E6084">
      <w:start w:val="1"/>
      <w:numFmt w:val="bullet"/>
      <w:pStyle w:val="BoxTextBullet"/>
      <w:lvlText w:val=""/>
      <w:lvlJc w:val="left"/>
      <w:pPr>
        <w:ind w:left="720" w:hanging="360"/>
      </w:pPr>
      <w:rPr>
        <w:rFonts w:ascii="Symbol" w:hAnsi="Symbol" w:hint="default"/>
      </w:rPr>
    </w:lvl>
    <w:lvl w:ilvl="1" w:tplc="33D8716C" w:tentative="1">
      <w:start w:val="1"/>
      <w:numFmt w:val="bullet"/>
      <w:lvlText w:val="o"/>
      <w:lvlJc w:val="left"/>
      <w:pPr>
        <w:ind w:left="1440" w:hanging="360"/>
      </w:pPr>
      <w:rPr>
        <w:rFonts w:ascii="Courier New" w:hAnsi="Courier New" w:cs="Courier New" w:hint="default"/>
      </w:rPr>
    </w:lvl>
    <w:lvl w:ilvl="2" w:tplc="B786400E" w:tentative="1">
      <w:start w:val="1"/>
      <w:numFmt w:val="bullet"/>
      <w:lvlText w:val=""/>
      <w:lvlJc w:val="left"/>
      <w:pPr>
        <w:ind w:left="2160" w:hanging="360"/>
      </w:pPr>
      <w:rPr>
        <w:rFonts w:ascii="Wingdings" w:hAnsi="Wingdings" w:hint="default"/>
      </w:rPr>
    </w:lvl>
    <w:lvl w:ilvl="3" w:tplc="BB1E0968" w:tentative="1">
      <w:start w:val="1"/>
      <w:numFmt w:val="bullet"/>
      <w:lvlText w:val=""/>
      <w:lvlJc w:val="left"/>
      <w:pPr>
        <w:ind w:left="2880" w:hanging="360"/>
      </w:pPr>
      <w:rPr>
        <w:rFonts w:ascii="Symbol" w:hAnsi="Symbol" w:hint="default"/>
      </w:rPr>
    </w:lvl>
    <w:lvl w:ilvl="4" w:tplc="589CBB46" w:tentative="1">
      <w:start w:val="1"/>
      <w:numFmt w:val="bullet"/>
      <w:lvlText w:val="o"/>
      <w:lvlJc w:val="left"/>
      <w:pPr>
        <w:ind w:left="3600" w:hanging="360"/>
      </w:pPr>
      <w:rPr>
        <w:rFonts w:ascii="Courier New" w:hAnsi="Courier New" w:cs="Courier New" w:hint="default"/>
      </w:rPr>
    </w:lvl>
    <w:lvl w:ilvl="5" w:tplc="E58E2856" w:tentative="1">
      <w:start w:val="1"/>
      <w:numFmt w:val="bullet"/>
      <w:lvlText w:val=""/>
      <w:lvlJc w:val="left"/>
      <w:pPr>
        <w:ind w:left="4320" w:hanging="360"/>
      </w:pPr>
      <w:rPr>
        <w:rFonts w:ascii="Wingdings" w:hAnsi="Wingdings" w:hint="default"/>
      </w:rPr>
    </w:lvl>
    <w:lvl w:ilvl="6" w:tplc="E9420D82" w:tentative="1">
      <w:start w:val="1"/>
      <w:numFmt w:val="bullet"/>
      <w:lvlText w:val=""/>
      <w:lvlJc w:val="left"/>
      <w:pPr>
        <w:ind w:left="5040" w:hanging="360"/>
      </w:pPr>
      <w:rPr>
        <w:rFonts w:ascii="Symbol" w:hAnsi="Symbol" w:hint="default"/>
      </w:rPr>
    </w:lvl>
    <w:lvl w:ilvl="7" w:tplc="6F0EE48C" w:tentative="1">
      <w:start w:val="1"/>
      <w:numFmt w:val="bullet"/>
      <w:lvlText w:val="o"/>
      <w:lvlJc w:val="left"/>
      <w:pPr>
        <w:ind w:left="5760" w:hanging="360"/>
      </w:pPr>
      <w:rPr>
        <w:rFonts w:ascii="Courier New" w:hAnsi="Courier New" w:cs="Courier New" w:hint="default"/>
      </w:rPr>
    </w:lvl>
    <w:lvl w:ilvl="8" w:tplc="6FD0ECA8" w:tentative="1">
      <w:start w:val="1"/>
      <w:numFmt w:val="bullet"/>
      <w:lvlText w:val=""/>
      <w:lvlJc w:val="left"/>
      <w:pPr>
        <w:ind w:left="6480" w:hanging="360"/>
      </w:pPr>
      <w:rPr>
        <w:rFonts w:ascii="Wingdings" w:hAnsi="Wingdings" w:hint="default"/>
      </w:rPr>
    </w:lvl>
  </w:abstractNum>
  <w:abstractNum w:abstractNumId="28" w15:restartNumberingAfterBreak="0">
    <w:nsid w:val="4A154DFF"/>
    <w:multiLevelType w:val="hybridMultilevel"/>
    <w:tmpl w:val="00808C2E"/>
    <w:lvl w:ilvl="0" w:tplc="DBA619AC">
      <w:start w:val="1"/>
      <w:numFmt w:val="bullet"/>
      <w:lvlText w:val=""/>
      <w:lvlJc w:val="left"/>
      <w:pPr>
        <w:ind w:left="1077" w:hanging="360"/>
      </w:pPr>
      <w:rPr>
        <w:rFonts w:ascii="Symbol" w:hAnsi="Symbol" w:hint="default"/>
        <w:color w:val="auto"/>
        <w:sz w:val="16"/>
        <w:szCs w:val="16"/>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9" w15:restartNumberingAfterBreak="0">
    <w:nsid w:val="4C8376EC"/>
    <w:multiLevelType w:val="singleLevel"/>
    <w:tmpl w:val="72E408A2"/>
    <w:lvl w:ilvl="0">
      <w:start w:val="1"/>
      <w:numFmt w:val="bullet"/>
      <w:lvlText w:val=""/>
      <w:lvlJc w:val="left"/>
      <w:pPr>
        <w:tabs>
          <w:tab w:val="num" w:pos="360"/>
        </w:tabs>
        <w:ind w:left="360" w:hanging="360"/>
      </w:pPr>
      <w:rPr>
        <w:rFonts w:ascii="Symbol" w:hAnsi="Symbol" w:hint="default"/>
        <w:sz w:val="16"/>
      </w:rPr>
    </w:lvl>
  </w:abstractNum>
  <w:abstractNum w:abstractNumId="30" w15:restartNumberingAfterBreak="0">
    <w:nsid w:val="50CA1481"/>
    <w:multiLevelType w:val="multilevel"/>
    <w:tmpl w:val="D7B850B4"/>
    <w:lvl w:ilvl="0">
      <w:start w:val="1"/>
      <w:numFmt w:val="decimal"/>
      <w:pStyle w:val="A1Heading1"/>
      <w:lvlText w:val="%1"/>
      <w:lvlJc w:val="left"/>
      <w:pPr>
        <w:tabs>
          <w:tab w:val="num" w:pos="432"/>
        </w:tabs>
        <w:ind w:left="432" w:hanging="432"/>
      </w:pPr>
      <w:rPr>
        <w:rFonts w:hint="default"/>
      </w:rPr>
    </w:lvl>
    <w:lvl w:ilvl="1">
      <w:start w:val="1"/>
      <w:numFmt w:val="decimal"/>
      <w:pStyle w:val="A1Heading2"/>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none"/>
      <w:lvlText w:val=""/>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5568389E"/>
    <w:multiLevelType w:val="hybridMultilevel"/>
    <w:tmpl w:val="884C4056"/>
    <w:lvl w:ilvl="0" w:tplc="B4B881A0">
      <w:start w:val="1"/>
      <w:numFmt w:val="bullet"/>
      <w:lvlText w:val=""/>
      <w:lvlJc w:val="left"/>
      <w:pPr>
        <w:tabs>
          <w:tab w:val="num" w:pos="360"/>
        </w:tabs>
        <w:ind w:left="360" w:hanging="360"/>
      </w:pPr>
      <w:rPr>
        <w:rFonts w:ascii="Symbol" w:hAnsi="Symbol" w:hint="default"/>
        <w:color w:val="auto"/>
        <w:sz w:val="16"/>
      </w:rPr>
    </w:lvl>
    <w:lvl w:ilvl="1" w:tplc="DBA619AC">
      <w:start w:val="1"/>
      <w:numFmt w:val="bullet"/>
      <w:lvlText w:val=""/>
      <w:lvlJc w:val="left"/>
      <w:pPr>
        <w:tabs>
          <w:tab w:val="num" w:pos="1440"/>
        </w:tabs>
        <w:ind w:left="1440" w:hanging="360"/>
      </w:pPr>
      <w:rPr>
        <w:rFonts w:ascii="Symbol" w:hAnsi="Symbol" w:hint="default"/>
        <w:color w:val="auto"/>
        <w:sz w:val="16"/>
        <w:szCs w:val="16"/>
      </w:rPr>
    </w:lvl>
    <w:lvl w:ilvl="2" w:tplc="71C05F48" w:tentative="1">
      <w:start w:val="1"/>
      <w:numFmt w:val="bullet"/>
      <w:lvlText w:val=""/>
      <w:lvlJc w:val="left"/>
      <w:pPr>
        <w:tabs>
          <w:tab w:val="num" w:pos="2160"/>
        </w:tabs>
        <w:ind w:left="2160" w:hanging="360"/>
      </w:pPr>
      <w:rPr>
        <w:rFonts w:ascii="Wingdings" w:hAnsi="Wingdings" w:hint="default"/>
      </w:rPr>
    </w:lvl>
    <w:lvl w:ilvl="3" w:tplc="BA7E0E4E" w:tentative="1">
      <w:start w:val="1"/>
      <w:numFmt w:val="bullet"/>
      <w:lvlText w:val=""/>
      <w:lvlJc w:val="left"/>
      <w:pPr>
        <w:tabs>
          <w:tab w:val="num" w:pos="2880"/>
        </w:tabs>
        <w:ind w:left="2880" w:hanging="360"/>
      </w:pPr>
      <w:rPr>
        <w:rFonts w:ascii="Symbol" w:hAnsi="Symbol" w:hint="default"/>
      </w:rPr>
    </w:lvl>
    <w:lvl w:ilvl="4" w:tplc="14BCE194" w:tentative="1">
      <w:start w:val="1"/>
      <w:numFmt w:val="bullet"/>
      <w:lvlText w:val="o"/>
      <w:lvlJc w:val="left"/>
      <w:pPr>
        <w:tabs>
          <w:tab w:val="num" w:pos="3600"/>
        </w:tabs>
        <w:ind w:left="3600" w:hanging="360"/>
      </w:pPr>
      <w:rPr>
        <w:rFonts w:ascii="Courier New" w:hAnsi="Courier New" w:cs="Courier New" w:hint="default"/>
      </w:rPr>
    </w:lvl>
    <w:lvl w:ilvl="5" w:tplc="68AE479E" w:tentative="1">
      <w:start w:val="1"/>
      <w:numFmt w:val="bullet"/>
      <w:lvlText w:val=""/>
      <w:lvlJc w:val="left"/>
      <w:pPr>
        <w:tabs>
          <w:tab w:val="num" w:pos="4320"/>
        </w:tabs>
        <w:ind w:left="4320" w:hanging="360"/>
      </w:pPr>
      <w:rPr>
        <w:rFonts w:ascii="Wingdings" w:hAnsi="Wingdings" w:hint="default"/>
      </w:rPr>
    </w:lvl>
    <w:lvl w:ilvl="6" w:tplc="C4F0D1A4" w:tentative="1">
      <w:start w:val="1"/>
      <w:numFmt w:val="bullet"/>
      <w:lvlText w:val=""/>
      <w:lvlJc w:val="left"/>
      <w:pPr>
        <w:tabs>
          <w:tab w:val="num" w:pos="5040"/>
        </w:tabs>
        <w:ind w:left="5040" w:hanging="360"/>
      </w:pPr>
      <w:rPr>
        <w:rFonts w:ascii="Symbol" w:hAnsi="Symbol" w:hint="default"/>
      </w:rPr>
    </w:lvl>
    <w:lvl w:ilvl="7" w:tplc="223A4D0E" w:tentative="1">
      <w:start w:val="1"/>
      <w:numFmt w:val="bullet"/>
      <w:lvlText w:val="o"/>
      <w:lvlJc w:val="left"/>
      <w:pPr>
        <w:tabs>
          <w:tab w:val="num" w:pos="5760"/>
        </w:tabs>
        <w:ind w:left="5760" w:hanging="360"/>
      </w:pPr>
      <w:rPr>
        <w:rFonts w:ascii="Courier New" w:hAnsi="Courier New" w:cs="Courier New" w:hint="default"/>
      </w:rPr>
    </w:lvl>
    <w:lvl w:ilvl="8" w:tplc="6854D9B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1C284E"/>
    <w:multiLevelType w:val="hybridMultilevel"/>
    <w:tmpl w:val="EF7284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BC964B7"/>
    <w:multiLevelType w:val="multilevel"/>
    <w:tmpl w:val="DFB0EE8A"/>
    <w:lvl w:ilvl="0">
      <w:start w:val="1"/>
      <w:numFmt w:val="upperLetter"/>
      <w:pStyle w:val="Append4"/>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5DE9790E"/>
    <w:multiLevelType w:val="hybridMultilevel"/>
    <w:tmpl w:val="A63A8898"/>
    <w:lvl w:ilvl="0" w:tplc="EC842E28">
      <w:start w:val="1"/>
      <w:numFmt w:val="bullet"/>
      <w:pStyle w:val="dot0"/>
      <w:lvlText w:val=""/>
      <w:lvlJc w:val="left"/>
      <w:pPr>
        <w:tabs>
          <w:tab w:val="num" w:pos="567"/>
        </w:tabs>
        <w:ind w:left="567" w:hanging="567"/>
      </w:pPr>
      <w:rPr>
        <w:rFonts w:ascii="Symbol" w:hAnsi="Symbol" w:hint="default"/>
        <w:sz w:val="16"/>
      </w:rPr>
    </w:lvl>
    <w:lvl w:ilvl="1" w:tplc="375660CA">
      <w:start w:val="1"/>
      <w:numFmt w:val="bullet"/>
      <w:lvlText w:val=""/>
      <w:lvlJc w:val="left"/>
      <w:pPr>
        <w:tabs>
          <w:tab w:val="num" w:pos="900"/>
        </w:tabs>
        <w:ind w:left="900" w:hanging="360"/>
      </w:pPr>
      <w:rPr>
        <w:rFonts w:ascii="Symbol" w:hAnsi="Symbol" w:hint="default"/>
        <w:sz w:val="16"/>
      </w:rPr>
    </w:lvl>
    <w:lvl w:ilvl="2" w:tplc="ADA6646C">
      <w:start w:val="1"/>
      <w:numFmt w:val="bullet"/>
      <w:lvlText w:val=""/>
      <w:lvlJc w:val="left"/>
      <w:pPr>
        <w:tabs>
          <w:tab w:val="num" w:pos="2160"/>
        </w:tabs>
        <w:ind w:left="2160" w:hanging="360"/>
      </w:pPr>
      <w:rPr>
        <w:rFonts w:ascii="Wingdings" w:hAnsi="Wingdings" w:hint="default"/>
      </w:rPr>
    </w:lvl>
    <w:lvl w:ilvl="3" w:tplc="DAEADAE2" w:tentative="1">
      <w:start w:val="1"/>
      <w:numFmt w:val="bullet"/>
      <w:lvlText w:val=""/>
      <w:lvlJc w:val="left"/>
      <w:pPr>
        <w:tabs>
          <w:tab w:val="num" w:pos="2880"/>
        </w:tabs>
        <w:ind w:left="2880" w:hanging="360"/>
      </w:pPr>
      <w:rPr>
        <w:rFonts w:ascii="Symbol" w:hAnsi="Symbol" w:hint="default"/>
      </w:rPr>
    </w:lvl>
    <w:lvl w:ilvl="4" w:tplc="BFD4B7F2" w:tentative="1">
      <w:start w:val="1"/>
      <w:numFmt w:val="bullet"/>
      <w:lvlText w:val="o"/>
      <w:lvlJc w:val="left"/>
      <w:pPr>
        <w:tabs>
          <w:tab w:val="num" w:pos="3600"/>
        </w:tabs>
        <w:ind w:left="3600" w:hanging="360"/>
      </w:pPr>
      <w:rPr>
        <w:rFonts w:ascii="Courier New" w:hAnsi="Courier New" w:cs="Courier New" w:hint="default"/>
      </w:rPr>
    </w:lvl>
    <w:lvl w:ilvl="5" w:tplc="588AF95E" w:tentative="1">
      <w:start w:val="1"/>
      <w:numFmt w:val="bullet"/>
      <w:lvlText w:val=""/>
      <w:lvlJc w:val="left"/>
      <w:pPr>
        <w:tabs>
          <w:tab w:val="num" w:pos="4320"/>
        </w:tabs>
        <w:ind w:left="4320" w:hanging="360"/>
      </w:pPr>
      <w:rPr>
        <w:rFonts w:ascii="Wingdings" w:hAnsi="Wingdings" w:hint="default"/>
      </w:rPr>
    </w:lvl>
    <w:lvl w:ilvl="6" w:tplc="3E26AC8C" w:tentative="1">
      <w:start w:val="1"/>
      <w:numFmt w:val="bullet"/>
      <w:lvlText w:val=""/>
      <w:lvlJc w:val="left"/>
      <w:pPr>
        <w:tabs>
          <w:tab w:val="num" w:pos="5040"/>
        </w:tabs>
        <w:ind w:left="5040" w:hanging="360"/>
      </w:pPr>
      <w:rPr>
        <w:rFonts w:ascii="Symbol" w:hAnsi="Symbol" w:hint="default"/>
      </w:rPr>
    </w:lvl>
    <w:lvl w:ilvl="7" w:tplc="270EBA4E" w:tentative="1">
      <w:start w:val="1"/>
      <w:numFmt w:val="bullet"/>
      <w:lvlText w:val="o"/>
      <w:lvlJc w:val="left"/>
      <w:pPr>
        <w:tabs>
          <w:tab w:val="num" w:pos="5760"/>
        </w:tabs>
        <w:ind w:left="5760" w:hanging="360"/>
      </w:pPr>
      <w:rPr>
        <w:rFonts w:ascii="Courier New" w:hAnsi="Courier New" w:cs="Courier New" w:hint="default"/>
      </w:rPr>
    </w:lvl>
    <w:lvl w:ilvl="8" w:tplc="C098301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862985"/>
    <w:multiLevelType w:val="hybridMultilevel"/>
    <w:tmpl w:val="126E4308"/>
    <w:lvl w:ilvl="0" w:tplc="2D8469AE">
      <w:start w:val="1"/>
      <w:numFmt w:val="bullet"/>
      <w:lvlText w:val=""/>
      <w:lvlJc w:val="left"/>
      <w:pPr>
        <w:ind w:left="720" w:hanging="360"/>
      </w:pPr>
      <w:rPr>
        <w:rFonts w:ascii="Symbol" w:hAnsi="Symbol" w:hint="default"/>
      </w:rPr>
    </w:lvl>
    <w:lvl w:ilvl="1" w:tplc="DBA619AC">
      <w:start w:val="1"/>
      <w:numFmt w:val="bullet"/>
      <w:lvlText w:val=""/>
      <w:lvlJc w:val="left"/>
      <w:pPr>
        <w:ind w:left="1440" w:hanging="360"/>
      </w:pPr>
      <w:rPr>
        <w:rFonts w:ascii="Symbol" w:hAnsi="Symbol" w:hint="default"/>
        <w:sz w:val="16"/>
      </w:rPr>
    </w:lvl>
    <w:lvl w:ilvl="2" w:tplc="2C08A4EE" w:tentative="1">
      <w:start w:val="1"/>
      <w:numFmt w:val="bullet"/>
      <w:lvlText w:val=""/>
      <w:lvlJc w:val="left"/>
      <w:pPr>
        <w:ind w:left="2160" w:hanging="360"/>
      </w:pPr>
      <w:rPr>
        <w:rFonts w:ascii="Wingdings" w:hAnsi="Wingdings" w:hint="default"/>
      </w:rPr>
    </w:lvl>
    <w:lvl w:ilvl="3" w:tplc="AC4EC37E" w:tentative="1">
      <w:start w:val="1"/>
      <w:numFmt w:val="bullet"/>
      <w:lvlText w:val=""/>
      <w:lvlJc w:val="left"/>
      <w:pPr>
        <w:ind w:left="2880" w:hanging="360"/>
      </w:pPr>
      <w:rPr>
        <w:rFonts w:ascii="Symbol" w:hAnsi="Symbol" w:hint="default"/>
      </w:rPr>
    </w:lvl>
    <w:lvl w:ilvl="4" w:tplc="4192D7A2" w:tentative="1">
      <w:start w:val="1"/>
      <w:numFmt w:val="bullet"/>
      <w:lvlText w:val="o"/>
      <w:lvlJc w:val="left"/>
      <w:pPr>
        <w:ind w:left="3600" w:hanging="360"/>
      </w:pPr>
      <w:rPr>
        <w:rFonts w:ascii="Courier New" w:hAnsi="Courier New" w:cs="Courier New" w:hint="default"/>
      </w:rPr>
    </w:lvl>
    <w:lvl w:ilvl="5" w:tplc="0D409BA2" w:tentative="1">
      <w:start w:val="1"/>
      <w:numFmt w:val="bullet"/>
      <w:lvlText w:val=""/>
      <w:lvlJc w:val="left"/>
      <w:pPr>
        <w:ind w:left="4320" w:hanging="360"/>
      </w:pPr>
      <w:rPr>
        <w:rFonts w:ascii="Wingdings" w:hAnsi="Wingdings" w:hint="default"/>
      </w:rPr>
    </w:lvl>
    <w:lvl w:ilvl="6" w:tplc="25663C10" w:tentative="1">
      <w:start w:val="1"/>
      <w:numFmt w:val="bullet"/>
      <w:lvlText w:val=""/>
      <w:lvlJc w:val="left"/>
      <w:pPr>
        <w:ind w:left="5040" w:hanging="360"/>
      </w:pPr>
      <w:rPr>
        <w:rFonts w:ascii="Symbol" w:hAnsi="Symbol" w:hint="default"/>
      </w:rPr>
    </w:lvl>
    <w:lvl w:ilvl="7" w:tplc="96B2D6E6" w:tentative="1">
      <w:start w:val="1"/>
      <w:numFmt w:val="bullet"/>
      <w:lvlText w:val="o"/>
      <w:lvlJc w:val="left"/>
      <w:pPr>
        <w:ind w:left="5760" w:hanging="360"/>
      </w:pPr>
      <w:rPr>
        <w:rFonts w:ascii="Courier New" w:hAnsi="Courier New" w:cs="Courier New" w:hint="default"/>
      </w:rPr>
    </w:lvl>
    <w:lvl w:ilvl="8" w:tplc="BDC4B0A6" w:tentative="1">
      <w:start w:val="1"/>
      <w:numFmt w:val="bullet"/>
      <w:lvlText w:val=""/>
      <w:lvlJc w:val="left"/>
      <w:pPr>
        <w:ind w:left="6480" w:hanging="360"/>
      </w:pPr>
      <w:rPr>
        <w:rFonts w:ascii="Wingdings" w:hAnsi="Wingdings" w:hint="default"/>
      </w:rPr>
    </w:lvl>
  </w:abstractNum>
  <w:abstractNum w:abstractNumId="36" w15:restartNumberingAfterBreak="0">
    <w:nsid w:val="62DE2DB5"/>
    <w:multiLevelType w:val="hybridMultilevel"/>
    <w:tmpl w:val="7D50E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D6314D"/>
    <w:multiLevelType w:val="singleLevel"/>
    <w:tmpl w:val="A0E87EC0"/>
    <w:lvl w:ilvl="0">
      <w:start w:val="1"/>
      <w:numFmt w:val="bullet"/>
      <w:pStyle w:val="Bulletsingle"/>
      <w:lvlText w:val=""/>
      <w:lvlJc w:val="left"/>
      <w:pPr>
        <w:tabs>
          <w:tab w:val="num" w:pos="1080"/>
        </w:tabs>
        <w:ind w:left="1080" w:hanging="360"/>
      </w:pPr>
      <w:rPr>
        <w:rFonts w:ascii="Symbol" w:hAnsi="Symbol" w:hint="default"/>
        <w:sz w:val="20"/>
      </w:rPr>
    </w:lvl>
  </w:abstractNum>
  <w:abstractNum w:abstractNumId="38" w15:restartNumberingAfterBreak="0">
    <w:nsid w:val="6EE87C9A"/>
    <w:multiLevelType w:val="hybridMultilevel"/>
    <w:tmpl w:val="C5C81702"/>
    <w:lvl w:ilvl="0" w:tplc="02944BEC">
      <w:start w:val="1"/>
      <w:numFmt w:val="bullet"/>
      <w:lvlText w:val=""/>
      <w:lvlJc w:val="left"/>
      <w:pPr>
        <w:ind w:left="360" w:hanging="360"/>
      </w:pPr>
      <w:rPr>
        <w:rFonts w:ascii="Symbol" w:hAnsi="Symbol" w:cs="Symbol" w:hint="default"/>
        <w:color w:val="auto"/>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FC93C87"/>
    <w:multiLevelType w:val="multilevel"/>
    <w:tmpl w:val="8A12395E"/>
    <w:lvl w:ilvl="0">
      <w:start w:val="1"/>
      <w:numFmt w:val="decimal"/>
      <w:pStyle w:val="BAHeader1"/>
      <w:lvlText w:val="%1"/>
      <w:lvlJc w:val="left"/>
      <w:pPr>
        <w:tabs>
          <w:tab w:val="num" w:pos="432"/>
        </w:tabs>
        <w:ind w:left="432" w:hanging="432"/>
      </w:pPr>
      <w:rPr>
        <w:rFonts w:cs="Times New Roman" w:hint="default"/>
      </w:rPr>
    </w:lvl>
    <w:lvl w:ilvl="1">
      <w:start w:val="1"/>
      <w:numFmt w:val="decimal"/>
      <w:pStyle w:val="BAHeader2"/>
      <w:lvlText w:val="%1.%2"/>
      <w:lvlJc w:val="left"/>
      <w:pPr>
        <w:tabs>
          <w:tab w:val="num" w:pos="576"/>
        </w:tabs>
        <w:ind w:left="576" w:hanging="576"/>
      </w:pPr>
      <w:rPr>
        <w:rFonts w:cs="Times New Roman" w:hint="default"/>
      </w:rPr>
    </w:lvl>
    <w:lvl w:ilvl="2">
      <w:start w:val="1"/>
      <w:numFmt w:val="decimal"/>
      <w:pStyle w:val="BAHeader3"/>
      <w:lvlText w:val="%1.%2.%3"/>
      <w:lvlJc w:val="left"/>
      <w:pPr>
        <w:tabs>
          <w:tab w:val="num" w:pos="1145"/>
        </w:tabs>
        <w:ind w:left="1145" w:hanging="720"/>
      </w:pPr>
      <w:rPr>
        <w:rFonts w:cs="Times New Roman" w:hint="default"/>
      </w:rPr>
    </w:lvl>
    <w:lvl w:ilvl="3">
      <w:start w:val="1"/>
      <w:numFmt w:val="none"/>
      <w:lvlText w:val=""/>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15:restartNumberingAfterBreak="0">
    <w:nsid w:val="70D330FE"/>
    <w:multiLevelType w:val="singleLevel"/>
    <w:tmpl w:val="05420F66"/>
    <w:lvl w:ilvl="0">
      <w:start w:val="1"/>
      <w:numFmt w:val="lowerLetter"/>
      <w:pStyle w:val="ListNumber2"/>
      <w:lvlText w:val="%1)"/>
      <w:lvlJc w:val="left"/>
      <w:pPr>
        <w:ind w:left="709" w:hanging="426"/>
      </w:pPr>
      <w:rPr>
        <w:rFonts w:hint="default"/>
      </w:rPr>
    </w:lvl>
  </w:abstractNum>
  <w:abstractNum w:abstractNumId="41" w15:restartNumberingAfterBreak="0">
    <w:nsid w:val="74006CBB"/>
    <w:multiLevelType w:val="singleLevel"/>
    <w:tmpl w:val="63A2D460"/>
    <w:lvl w:ilvl="0">
      <w:start w:val="1"/>
      <w:numFmt w:val="decimal"/>
      <w:pStyle w:val="Table"/>
      <w:lvlText w:val="%1."/>
      <w:lvlJc w:val="left"/>
      <w:pPr>
        <w:tabs>
          <w:tab w:val="num" w:pos="360"/>
        </w:tabs>
        <w:ind w:left="360" w:hanging="360"/>
      </w:pPr>
      <w:rPr>
        <w:rFonts w:ascii="Arial" w:hAnsi="Arial" w:hint="default"/>
        <w:b/>
        <w:i w:val="0"/>
        <w:sz w:val="22"/>
      </w:rPr>
    </w:lvl>
  </w:abstractNum>
  <w:abstractNum w:abstractNumId="42" w15:restartNumberingAfterBreak="0">
    <w:nsid w:val="755049DD"/>
    <w:multiLevelType w:val="hybridMultilevel"/>
    <w:tmpl w:val="C4C8BB3C"/>
    <w:lvl w:ilvl="0" w:tplc="1A2A0FEC">
      <w:start w:val="1"/>
      <w:numFmt w:val="decimal"/>
      <w:pStyle w:val="Heading3Numbered"/>
      <w:lvlText w:val="1.%1.1"/>
      <w:lvlJc w:val="left"/>
      <w:pPr>
        <w:ind w:left="360" w:hanging="360"/>
      </w:pPr>
      <w:rPr>
        <w:rFonts w:hint="default"/>
      </w:rPr>
    </w:lvl>
    <w:lvl w:ilvl="1" w:tplc="04090003" w:tentative="1">
      <w:start w:val="1"/>
      <w:numFmt w:val="lowerLetter"/>
      <w:lvlText w:val="%2."/>
      <w:lvlJc w:val="left"/>
      <w:pPr>
        <w:ind w:left="1440" w:hanging="360"/>
      </w:pPr>
    </w:lvl>
    <w:lvl w:ilvl="2" w:tplc="04090005" w:tentative="1">
      <w:start w:val="1"/>
      <w:numFmt w:val="lowerRoman"/>
      <w:pStyle w:val="Heading3Numbered"/>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3" w15:restartNumberingAfterBreak="0">
    <w:nsid w:val="760B58C2"/>
    <w:multiLevelType w:val="hybridMultilevel"/>
    <w:tmpl w:val="A628F092"/>
    <w:lvl w:ilvl="0" w:tplc="F444756A">
      <w:start w:val="1"/>
      <w:numFmt w:val="bullet"/>
      <w:lvlText w:val=""/>
      <w:lvlJc w:val="left"/>
      <w:pPr>
        <w:ind w:left="72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364E19"/>
    <w:multiLevelType w:val="hybridMultilevel"/>
    <w:tmpl w:val="AFAE2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B802132"/>
    <w:multiLevelType w:val="hybridMultilevel"/>
    <w:tmpl w:val="0D1656FE"/>
    <w:lvl w:ilvl="0" w:tplc="DA2A2E22">
      <w:start w:val="1"/>
      <w:numFmt w:val="decimal"/>
      <w:pStyle w:val="DSUSubparaChar"/>
      <w:lvlText w:val="%1."/>
      <w:lvlJc w:val="left"/>
      <w:pPr>
        <w:tabs>
          <w:tab w:val="num" w:pos="936"/>
        </w:tabs>
        <w:ind w:left="0" w:firstLine="0"/>
      </w:pPr>
      <w:rPr>
        <w:rFonts w:hint="default"/>
      </w:rPr>
    </w:lvl>
    <w:lvl w:ilvl="1" w:tplc="25B0482C">
      <w:start w:val="1"/>
      <w:numFmt w:val="bullet"/>
      <w:lvlText w:val="o"/>
      <w:lvlJc w:val="left"/>
      <w:pPr>
        <w:tabs>
          <w:tab w:val="num" w:pos="1440"/>
        </w:tabs>
        <w:ind w:left="1440" w:hanging="360"/>
      </w:pPr>
      <w:rPr>
        <w:rFonts w:ascii="Courier New" w:hAnsi="Courier New" w:cs="Courier New" w:hint="default"/>
      </w:rPr>
    </w:lvl>
    <w:lvl w:ilvl="2" w:tplc="5704B23C" w:tentative="1">
      <w:start w:val="1"/>
      <w:numFmt w:val="lowerRoman"/>
      <w:lvlText w:val="%3."/>
      <w:lvlJc w:val="right"/>
      <w:pPr>
        <w:tabs>
          <w:tab w:val="num" w:pos="2160"/>
        </w:tabs>
        <w:ind w:left="2160" w:hanging="180"/>
      </w:pPr>
    </w:lvl>
    <w:lvl w:ilvl="3" w:tplc="1D4C739C" w:tentative="1">
      <w:start w:val="1"/>
      <w:numFmt w:val="decimal"/>
      <w:lvlText w:val="%4."/>
      <w:lvlJc w:val="left"/>
      <w:pPr>
        <w:tabs>
          <w:tab w:val="num" w:pos="2880"/>
        </w:tabs>
        <w:ind w:left="2880" w:hanging="360"/>
      </w:pPr>
    </w:lvl>
    <w:lvl w:ilvl="4" w:tplc="C4A45CFA" w:tentative="1">
      <w:start w:val="1"/>
      <w:numFmt w:val="lowerLetter"/>
      <w:lvlText w:val="%5."/>
      <w:lvlJc w:val="left"/>
      <w:pPr>
        <w:tabs>
          <w:tab w:val="num" w:pos="3600"/>
        </w:tabs>
        <w:ind w:left="3600" w:hanging="360"/>
      </w:pPr>
    </w:lvl>
    <w:lvl w:ilvl="5" w:tplc="689C8576" w:tentative="1">
      <w:start w:val="1"/>
      <w:numFmt w:val="lowerRoman"/>
      <w:lvlText w:val="%6."/>
      <w:lvlJc w:val="right"/>
      <w:pPr>
        <w:tabs>
          <w:tab w:val="num" w:pos="4320"/>
        </w:tabs>
        <w:ind w:left="4320" w:hanging="180"/>
      </w:pPr>
    </w:lvl>
    <w:lvl w:ilvl="6" w:tplc="899C9394" w:tentative="1">
      <w:start w:val="1"/>
      <w:numFmt w:val="decimal"/>
      <w:lvlText w:val="%7."/>
      <w:lvlJc w:val="left"/>
      <w:pPr>
        <w:tabs>
          <w:tab w:val="num" w:pos="5040"/>
        </w:tabs>
        <w:ind w:left="5040" w:hanging="360"/>
      </w:pPr>
    </w:lvl>
    <w:lvl w:ilvl="7" w:tplc="1F601986" w:tentative="1">
      <w:start w:val="1"/>
      <w:numFmt w:val="lowerLetter"/>
      <w:lvlText w:val="%8."/>
      <w:lvlJc w:val="left"/>
      <w:pPr>
        <w:tabs>
          <w:tab w:val="num" w:pos="5760"/>
        </w:tabs>
        <w:ind w:left="5760" w:hanging="360"/>
      </w:pPr>
    </w:lvl>
    <w:lvl w:ilvl="8" w:tplc="6A4AFDCC"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17"/>
  </w:num>
  <w:num w:numId="4">
    <w:abstractNumId w:val="22"/>
  </w:num>
  <w:num w:numId="5">
    <w:abstractNumId w:val="40"/>
  </w:num>
  <w:num w:numId="6">
    <w:abstractNumId w:val="0"/>
    <w:lvlOverride w:ilvl="0">
      <w:startOverride w:val="1"/>
    </w:lvlOverride>
  </w:num>
  <w:num w:numId="7">
    <w:abstractNumId w:val="27"/>
  </w:num>
  <w:num w:numId="8">
    <w:abstractNumId w:val="13"/>
  </w:num>
  <w:num w:numId="9">
    <w:abstractNumId w:val="20"/>
  </w:num>
  <w:num w:numId="10">
    <w:abstractNumId w:val="42"/>
  </w:num>
  <w:num w:numId="11">
    <w:abstractNumId w:val="39"/>
  </w:num>
  <w:num w:numId="12">
    <w:abstractNumId w:val="41"/>
  </w:num>
  <w:num w:numId="13">
    <w:abstractNumId w:val="45"/>
  </w:num>
  <w:num w:numId="14">
    <w:abstractNumId w:val="3"/>
  </w:num>
  <w:num w:numId="15">
    <w:abstractNumId w:val="9"/>
  </w:num>
  <w:num w:numId="16">
    <w:abstractNumId w:val="37"/>
  </w:num>
  <w:num w:numId="17">
    <w:abstractNumId w:val="19"/>
  </w:num>
  <w:num w:numId="18">
    <w:abstractNumId w:val="11"/>
  </w:num>
  <w:num w:numId="19">
    <w:abstractNumId w:val="14"/>
  </w:num>
  <w:num w:numId="20">
    <w:abstractNumId w:val="26"/>
  </w:num>
  <w:num w:numId="21">
    <w:abstractNumId w:val="30"/>
  </w:num>
  <w:num w:numId="22">
    <w:abstractNumId w:val="7"/>
  </w:num>
  <w:num w:numId="23">
    <w:abstractNumId w:val="23"/>
  </w:num>
  <w:num w:numId="24">
    <w:abstractNumId w:val="25"/>
  </w:num>
  <w:num w:numId="25">
    <w:abstractNumId w:val="33"/>
  </w:num>
  <w:num w:numId="26">
    <w:abstractNumId w:val="24"/>
  </w:num>
  <w:num w:numId="27">
    <w:abstractNumId w:val="18"/>
  </w:num>
  <w:num w:numId="28">
    <w:abstractNumId w:val="4"/>
  </w:num>
  <w:num w:numId="29">
    <w:abstractNumId w:val="34"/>
  </w:num>
  <w:num w:numId="30">
    <w:abstractNumId w:val="10"/>
  </w:num>
  <w:num w:numId="31">
    <w:abstractNumId w:val="21"/>
  </w:num>
  <w:num w:numId="32">
    <w:abstractNumId w:val="29"/>
  </w:num>
  <w:num w:numId="33">
    <w:abstractNumId w:val="31"/>
  </w:num>
  <w:num w:numId="34">
    <w:abstractNumId w:val="6"/>
  </w:num>
  <w:num w:numId="35">
    <w:abstractNumId w:val="43"/>
  </w:num>
  <w:num w:numId="36">
    <w:abstractNumId w:val="38"/>
  </w:num>
  <w:num w:numId="37">
    <w:abstractNumId w:val="35"/>
  </w:num>
  <w:num w:numId="38">
    <w:abstractNumId w:val="16"/>
  </w:num>
  <w:num w:numId="39">
    <w:abstractNumId w:val="36"/>
  </w:num>
  <w:num w:numId="40">
    <w:abstractNumId w:val="21"/>
  </w:num>
  <w:num w:numId="41">
    <w:abstractNumId w:val="2"/>
  </w:num>
  <w:num w:numId="42">
    <w:abstractNumId w:val="8"/>
  </w:num>
  <w:num w:numId="43">
    <w:abstractNumId w:val="5"/>
  </w:num>
  <w:num w:numId="44">
    <w:abstractNumId w:val="12"/>
  </w:num>
  <w:num w:numId="45">
    <w:abstractNumId w:val="32"/>
  </w:num>
  <w:num w:numId="46">
    <w:abstractNumId w:val="28"/>
  </w:num>
  <w:num w:numId="47">
    <w:abstractNumId w:val="15"/>
  </w:num>
  <w:num w:numId="48">
    <w:abstractNumId w:val="4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hideSpellingErrors/>
  <w:linkStyles/>
  <w:stylePaneSortMethod w:val="0000"/>
  <w:defaultTabStop w:val="720"/>
  <w:drawingGridHorizontalSpacing w:val="120"/>
  <w:displayHorizontalDrawingGridEvery w:val="2"/>
  <w:characterSpacingControl w:val="doNotCompress"/>
  <w:hdrShapeDefaults>
    <o:shapedefaults v:ext="edit" spidmax="388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868"/>
    <w:rsid w:val="00022B2C"/>
    <w:rsid w:val="00041B64"/>
    <w:rsid w:val="00110B71"/>
    <w:rsid w:val="002728AE"/>
    <w:rsid w:val="002F0133"/>
    <w:rsid w:val="003A4BDF"/>
    <w:rsid w:val="004100F3"/>
    <w:rsid w:val="00445A71"/>
    <w:rsid w:val="00494159"/>
    <w:rsid w:val="00504AA2"/>
    <w:rsid w:val="00564D24"/>
    <w:rsid w:val="00577D58"/>
    <w:rsid w:val="005A2152"/>
    <w:rsid w:val="00652C73"/>
    <w:rsid w:val="006A1666"/>
    <w:rsid w:val="0076290A"/>
    <w:rsid w:val="008330D4"/>
    <w:rsid w:val="008F7063"/>
    <w:rsid w:val="009052E9"/>
    <w:rsid w:val="00921B86"/>
    <w:rsid w:val="009441D4"/>
    <w:rsid w:val="00A519C9"/>
    <w:rsid w:val="00AB5EB1"/>
    <w:rsid w:val="00AC4A49"/>
    <w:rsid w:val="00AE7868"/>
    <w:rsid w:val="00B75AF9"/>
    <w:rsid w:val="00BB4B16"/>
    <w:rsid w:val="00C5509B"/>
    <w:rsid w:val="00CA6D98"/>
    <w:rsid w:val="00CA764E"/>
    <w:rsid w:val="00CA7BDD"/>
    <w:rsid w:val="00D15C23"/>
    <w:rsid w:val="00DC2725"/>
    <w:rsid w:val="00E57CE7"/>
    <w:rsid w:val="00E94EA0"/>
    <w:rsid w:val="00EE6A5D"/>
    <w:rsid w:val="00F90392"/>
    <w:rsid w:val="00FF2B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8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133"/>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2728AE"/>
    <w:pPr>
      <w:keepNext/>
      <w:keepLines/>
      <w:pageBreakBefore/>
      <w:numPr>
        <w:numId w:val="31"/>
      </w:numPr>
      <w:spacing w:after="240"/>
      <w:outlineLvl w:val="0"/>
    </w:pPr>
    <w:rPr>
      <w:rFonts w:ascii="Calibri" w:hAnsi="Calibri"/>
      <w:bCs/>
      <w:color w:val="000000"/>
      <w:sz w:val="56"/>
      <w:szCs w:val="28"/>
    </w:rPr>
  </w:style>
  <w:style w:type="paragraph" w:styleId="Heading2">
    <w:name w:val="heading 2"/>
    <w:aliases w:val="p"/>
    <w:basedOn w:val="Normal"/>
    <w:next w:val="Normal"/>
    <w:link w:val="Heading2Char"/>
    <w:uiPriority w:val="9"/>
    <w:qFormat/>
    <w:rsid w:val="002728AE"/>
    <w:pPr>
      <w:keepNext/>
      <w:keepLines/>
      <w:numPr>
        <w:ilvl w:val="1"/>
        <w:numId w:val="31"/>
      </w:numPr>
      <w:outlineLvl w:val="1"/>
    </w:pPr>
    <w:rPr>
      <w:rFonts w:ascii="Calibri" w:hAnsi="Calibri"/>
      <w:b/>
      <w:bCs/>
      <w:sz w:val="36"/>
      <w:szCs w:val="26"/>
    </w:rPr>
  </w:style>
  <w:style w:type="paragraph" w:styleId="Heading3">
    <w:name w:val="heading 3"/>
    <w:basedOn w:val="Normal"/>
    <w:next w:val="Normal"/>
    <w:link w:val="Heading3Char"/>
    <w:qFormat/>
    <w:rsid w:val="002728A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5"/>
    <w:qFormat/>
    <w:rsid w:val="002728AE"/>
    <w:pPr>
      <w:keepNext/>
      <w:keepLines/>
      <w:outlineLvl w:val="3"/>
    </w:pPr>
    <w:rPr>
      <w:rFonts w:ascii="Calibri" w:hAnsi="Calibri"/>
      <w:b/>
      <w:bCs/>
      <w:iCs/>
    </w:rPr>
  </w:style>
  <w:style w:type="paragraph" w:styleId="Heading5">
    <w:name w:val="heading 5"/>
    <w:aliases w:val="s,s1,s2,s3,s4,s5"/>
    <w:basedOn w:val="Normal"/>
    <w:next w:val="Normal"/>
    <w:link w:val="Heading5Char"/>
    <w:uiPriority w:val="6"/>
    <w:qFormat/>
    <w:rsid w:val="002728AE"/>
    <w:pPr>
      <w:keepNext/>
      <w:keepLines/>
      <w:outlineLvl w:val="4"/>
    </w:pPr>
    <w:rPr>
      <w:rFonts w:ascii="Calibri" w:hAnsi="Calibri"/>
      <w:b/>
      <w:i/>
    </w:rPr>
  </w:style>
  <w:style w:type="paragraph" w:styleId="Heading6">
    <w:name w:val="heading 6"/>
    <w:basedOn w:val="Normal"/>
    <w:next w:val="Normal"/>
    <w:link w:val="Heading6Char"/>
    <w:uiPriority w:val="9"/>
    <w:qFormat/>
    <w:rsid w:val="002728AE"/>
    <w:pPr>
      <w:keepNext/>
      <w:tabs>
        <w:tab w:val="num" w:pos="1152"/>
      </w:tabs>
      <w:ind w:left="1152" w:hanging="1152"/>
      <w:outlineLvl w:val="5"/>
    </w:pPr>
    <w:rPr>
      <w:rFonts w:ascii="Arial" w:hAnsi="Arial"/>
      <w:b/>
      <w:szCs w:val="20"/>
    </w:rPr>
  </w:style>
  <w:style w:type="paragraph" w:styleId="Heading7">
    <w:name w:val="heading 7"/>
    <w:basedOn w:val="Normal"/>
    <w:next w:val="Normal"/>
    <w:link w:val="Heading7Char"/>
    <w:uiPriority w:val="9"/>
    <w:qFormat/>
    <w:rsid w:val="002728AE"/>
    <w:pPr>
      <w:keepNext/>
      <w:tabs>
        <w:tab w:val="num" w:pos="1296"/>
      </w:tabs>
      <w:spacing w:before="20" w:after="20" w:line="240" w:lineRule="atLeast"/>
      <w:ind w:left="1296" w:hanging="1296"/>
      <w:jc w:val="center"/>
      <w:outlineLvl w:val="6"/>
    </w:pPr>
    <w:rPr>
      <w:rFonts w:ascii="Arial" w:hAnsi="Arial" w:cs="Arial"/>
      <w:b/>
      <w:bCs/>
      <w:sz w:val="20"/>
    </w:rPr>
  </w:style>
  <w:style w:type="paragraph" w:styleId="Heading8">
    <w:name w:val="heading 8"/>
    <w:basedOn w:val="Normal"/>
    <w:next w:val="Normal"/>
    <w:link w:val="Heading8Char"/>
    <w:uiPriority w:val="9"/>
    <w:qFormat/>
    <w:rsid w:val="002728AE"/>
    <w:pPr>
      <w:keepNext/>
      <w:tabs>
        <w:tab w:val="num" w:pos="1440"/>
      </w:tabs>
      <w:ind w:left="1440" w:hanging="1440"/>
      <w:outlineLvl w:val="7"/>
    </w:pPr>
    <w:rPr>
      <w:rFonts w:ascii="Helvetica" w:hAnsi="Helvetica"/>
      <w:b/>
      <w:bCs/>
      <w:sz w:val="20"/>
    </w:rPr>
  </w:style>
  <w:style w:type="paragraph" w:styleId="Heading9">
    <w:name w:val="heading 9"/>
    <w:basedOn w:val="Normal"/>
    <w:next w:val="Normal"/>
    <w:link w:val="Heading9Char"/>
    <w:uiPriority w:val="9"/>
    <w:qFormat/>
    <w:rsid w:val="002728AE"/>
    <w:pPr>
      <w:tabs>
        <w:tab w:val="num" w:pos="1584"/>
      </w:tabs>
      <w:spacing w:before="240" w:after="60"/>
      <w:ind w:left="1584" w:hanging="1584"/>
      <w:outlineLvl w:val="8"/>
    </w:pPr>
    <w:rPr>
      <w:rFonts w:ascii="Arial" w:hAnsi="Arial" w:cs="Arial"/>
    </w:rPr>
  </w:style>
  <w:style w:type="character" w:default="1" w:styleId="DefaultParagraphFont">
    <w:name w:val="Default Paragraph Font"/>
    <w:uiPriority w:val="1"/>
    <w:semiHidden/>
    <w:unhideWhenUsed/>
    <w:rsid w:val="002F013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F0133"/>
  </w:style>
  <w:style w:type="paragraph" w:styleId="CommentText">
    <w:name w:val="annotation text"/>
    <w:basedOn w:val="Normal"/>
    <w:link w:val="CommentTextChar"/>
    <w:uiPriority w:val="99"/>
    <w:unhideWhenUsed/>
    <w:rsid w:val="002728AE"/>
    <w:rPr>
      <w:sz w:val="20"/>
      <w:szCs w:val="20"/>
    </w:rPr>
  </w:style>
  <w:style w:type="character" w:customStyle="1" w:styleId="CommentTextChar">
    <w:name w:val="Comment Text Char"/>
    <w:basedOn w:val="DefaultParagraphFont"/>
    <w:link w:val="CommentText"/>
    <w:uiPriority w:val="99"/>
    <w:rsid w:val="002728AE"/>
    <w:rPr>
      <w:rFonts w:eastAsia="Times New Roman"/>
      <w:sz w:val="20"/>
      <w:szCs w:val="20"/>
    </w:rPr>
  </w:style>
  <w:style w:type="paragraph" w:styleId="Header">
    <w:name w:val="header"/>
    <w:basedOn w:val="Normal"/>
    <w:link w:val="HeaderChar"/>
    <w:uiPriority w:val="99"/>
    <w:rsid w:val="002728AE"/>
    <w:pPr>
      <w:tabs>
        <w:tab w:val="center" w:pos="4820"/>
      </w:tabs>
      <w:jc w:val="center"/>
    </w:pPr>
    <w:rPr>
      <w:rFonts w:ascii="Calibri" w:hAnsi="Calibri"/>
      <w:sz w:val="20"/>
    </w:rPr>
  </w:style>
  <w:style w:type="character" w:customStyle="1" w:styleId="HeaderChar">
    <w:name w:val="Header Char"/>
    <w:basedOn w:val="DefaultParagraphFont"/>
    <w:link w:val="Header"/>
    <w:uiPriority w:val="99"/>
    <w:rsid w:val="002728AE"/>
    <w:rPr>
      <w:rFonts w:ascii="Calibri" w:eastAsia="Times New Roman" w:hAnsi="Calibri"/>
      <w:sz w:val="20"/>
      <w:szCs w:val="24"/>
      <w:lang w:eastAsia="en-US"/>
    </w:rPr>
  </w:style>
  <w:style w:type="paragraph" w:styleId="Footer">
    <w:name w:val="footer"/>
    <w:basedOn w:val="Normal"/>
    <w:link w:val="FooterChar"/>
    <w:uiPriority w:val="99"/>
    <w:rsid w:val="002728AE"/>
    <w:pPr>
      <w:tabs>
        <w:tab w:val="center" w:pos="4536"/>
      </w:tabs>
      <w:spacing w:after="120"/>
      <w:jc w:val="center"/>
    </w:pPr>
    <w:rPr>
      <w:rFonts w:ascii="Calibri" w:hAnsi="Calibri"/>
      <w:sz w:val="20"/>
    </w:rPr>
  </w:style>
  <w:style w:type="character" w:customStyle="1" w:styleId="FooterChar">
    <w:name w:val="Footer Char"/>
    <w:basedOn w:val="DefaultParagraphFont"/>
    <w:link w:val="Footer"/>
    <w:uiPriority w:val="99"/>
    <w:rsid w:val="002728AE"/>
    <w:rPr>
      <w:rFonts w:ascii="Calibri" w:eastAsia="Times New Roman" w:hAnsi="Calibri"/>
      <w:sz w:val="20"/>
      <w:szCs w:val="24"/>
      <w:lang w:eastAsia="en-US"/>
    </w:rPr>
  </w:style>
  <w:style w:type="character" w:styleId="CommentReference">
    <w:name w:val="annotation reference"/>
    <w:basedOn w:val="DefaultParagraphFont"/>
    <w:uiPriority w:val="99"/>
    <w:unhideWhenUsed/>
    <w:rsid w:val="002728AE"/>
    <w:rPr>
      <w:sz w:val="16"/>
      <w:szCs w:val="16"/>
    </w:rPr>
  </w:style>
  <w:style w:type="paragraph" w:styleId="CommentSubject">
    <w:name w:val="annotation subject"/>
    <w:basedOn w:val="CommentText"/>
    <w:next w:val="CommentText"/>
    <w:link w:val="CommentSubjectChar"/>
    <w:uiPriority w:val="99"/>
    <w:unhideWhenUsed/>
    <w:rsid w:val="002728AE"/>
    <w:rPr>
      <w:b/>
      <w:bCs/>
    </w:rPr>
  </w:style>
  <w:style w:type="character" w:customStyle="1" w:styleId="CommentSubjectChar">
    <w:name w:val="Comment Subject Char"/>
    <w:basedOn w:val="CommentTextChar"/>
    <w:link w:val="CommentSubject"/>
    <w:uiPriority w:val="99"/>
    <w:rsid w:val="002728AE"/>
    <w:rPr>
      <w:rFonts w:eastAsia="Times New Roman"/>
      <w:b/>
      <w:bCs/>
      <w:sz w:val="20"/>
      <w:szCs w:val="20"/>
    </w:rPr>
  </w:style>
  <w:style w:type="paragraph" w:styleId="BalloonText">
    <w:name w:val="Balloon Text"/>
    <w:basedOn w:val="Normal"/>
    <w:link w:val="BalloonTextChar"/>
    <w:uiPriority w:val="99"/>
    <w:unhideWhenUsed/>
    <w:rsid w:val="002728AE"/>
    <w:rPr>
      <w:rFonts w:ascii="Calibri" w:hAnsi="Calibri"/>
      <w:sz w:val="18"/>
      <w:szCs w:val="18"/>
    </w:rPr>
  </w:style>
  <w:style w:type="character" w:customStyle="1" w:styleId="BalloonTextChar">
    <w:name w:val="Balloon Text Char"/>
    <w:basedOn w:val="DefaultParagraphFont"/>
    <w:link w:val="BalloonText"/>
    <w:uiPriority w:val="99"/>
    <w:rsid w:val="002728AE"/>
    <w:rPr>
      <w:rFonts w:ascii="Calibri" w:eastAsia="Times New Roman" w:hAnsi="Calibri"/>
      <w:sz w:val="18"/>
      <w:szCs w:val="18"/>
      <w:lang w:eastAsia="en-US"/>
    </w:rPr>
  </w:style>
  <w:style w:type="table" w:styleId="TableGrid">
    <w:name w:val="Table Grid"/>
    <w:basedOn w:val="TableNormal"/>
    <w:uiPriority w:val="99"/>
    <w:rsid w:val="002728A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2728AE"/>
    <w:rPr>
      <w:sz w:val="16"/>
    </w:rPr>
  </w:style>
  <w:style w:type="character" w:customStyle="1" w:styleId="Heading1NumberedChar">
    <w:name w:val="Heading 1 Numbered Char"/>
    <w:basedOn w:val="Heading1Char"/>
    <w:link w:val="Heading1Numbered"/>
    <w:uiPriority w:val="2"/>
    <w:rsid w:val="002728AE"/>
    <w:rPr>
      <w:rFonts w:ascii="Calibri" w:eastAsiaTheme="minorHAnsi" w:hAnsi="Calibri" w:cstheme="minorBidi"/>
      <w:bCs/>
      <w:color w:val="000000"/>
      <w:sz w:val="56"/>
      <w:szCs w:val="28"/>
      <w:lang w:eastAsia="en-US"/>
    </w:rPr>
  </w:style>
  <w:style w:type="character" w:customStyle="1" w:styleId="Heading1Char">
    <w:name w:val="Heading 1 Char"/>
    <w:basedOn w:val="DefaultParagraphFont"/>
    <w:link w:val="Heading1"/>
    <w:uiPriority w:val="9"/>
    <w:rsid w:val="002728AE"/>
    <w:rPr>
      <w:rFonts w:ascii="Calibri" w:eastAsiaTheme="minorHAnsi" w:hAnsi="Calibri" w:cstheme="minorBidi"/>
      <w:bCs/>
      <w:color w:val="000000"/>
      <w:sz w:val="56"/>
      <w:szCs w:val="28"/>
      <w:lang w:eastAsia="en-US"/>
    </w:rPr>
  </w:style>
  <w:style w:type="paragraph" w:customStyle="1" w:styleId="Heading1Numbered">
    <w:name w:val="Heading 1 Numbered"/>
    <w:basedOn w:val="Heading1"/>
    <w:next w:val="Normal"/>
    <w:link w:val="Heading1NumberedChar"/>
    <w:uiPriority w:val="2"/>
    <w:qFormat/>
    <w:rsid w:val="002728AE"/>
    <w:pPr>
      <w:numPr>
        <w:numId w:val="3"/>
      </w:numPr>
      <w:ind w:left="709" w:hanging="709"/>
    </w:pPr>
  </w:style>
  <w:style w:type="character" w:customStyle="1" w:styleId="Heading2Char">
    <w:name w:val="Heading 2 Char"/>
    <w:aliases w:val="p Char"/>
    <w:basedOn w:val="DefaultParagraphFont"/>
    <w:link w:val="Heading2"/>
    <w:uiPriority w:val="9"/>
    <w:rsid w:val="002728AE"/>
    <w:rPr>
      <w:rFonts w:ascii="Calibri" w:eastAsiaTheme="minorHAnsi" w:hAnsi="Calibri" w:cstheme="minorBidi"/>
      <w:b/>
      <w:bCs/>
      <w:sz w:val="36"/>
      <w:szCs w:val="26"/>
      <w:lang w:eastAsia="en-US"/>
    </w:rPr>
  </w:style>
  <w:style w:type="character" w:customStyle="1" w:styleId="Heading3Char">
    <w:name w:val="Heading 3 Char"/>
    <w:basedOn w:val="DefaultParagraphFont"/>
    <w:link w:val="Heading3"/>
    <w:rsid w:val="002728AE"/>
    <w:rPr>
      <w:rFonts w:ascii="Arial" w:eastAsia="Times New Roman" w:hAnsi="Arial" w:cs="Arial"/>
      <w:b/>
      <w:bCs/>
      <w:noProof/>
      <w:sz w:val="26"/>
      <w:szCs w:val="26"/>
    </w:rPr>
  </w:style>
  <w:style w:type="character" w:customStyle="1" w:styleId="Heading4Char">
    <w:name w:val="Heading 4 Char"/>
    <w:basedOn w:val="DefaultParagraphFont"/>
    <w:link w:val="Heading4"/>
    <w:uiPriority w:val="5"/>
    <w:rsid w:val="002728AE"/>
    <w:rPr>
      <w:rFonts w:ascii="Calibri" w:eastAsia="Times New Roman" w:hAnsi="Calibri"/>
      <w:b/>
      <w:bCs/>
      <w:iCs/>
      <w:sz w:val="24"/>
      <w:szCs w:val="24"/>
      <w:lang w:eastAsia="en-US"/>
    </w:rPr>
  </w:style>
  <w:style w:type="character" w:customStyle="1" w:styleId="Heading5Char">
    <w:name w:val="Heading 5 Char"/>
    <w:aliases w:val="s Char,s1 Char,s2 Char,s3 Char,s4 Char,s5 Char"/>
    <w:basedOn w:val="DefaultParagraphFont"/>
    <w:link w:val="Heading5"/>
    <w:uiPriority w:val="9"/>
    <w:rsid w:val="002728AE"/>
    <w:rPr>
      <w:rFonts w:ascii="Calibri" w:eastAsia="Times New Roman" w:hAnsi="Calibri"/>
      <w:b/>
      <w:i/>
      <w:sz w:val="24"/>
      <w:szCs w:val="24"/>
      <w:lang w:eastAsia="en-US"/>
    </w:rPr>
  </w:style>
  <w:style w:type="paragraph" w:styleId="Quote">
    <w:name w:val="Quote"/>
    <w:basedOn w:val="Normal"/>
    <w:next w:val="Normal"/>
    <w:link w:val="QuoteChar"/>
    <w:uiPriority w:val="29"/>
    <w:qFormat/>
    <w:rsid w:val="002728AE"/>
    <w:pPr>
      <w:ind w:left="709" w:right="567"/>
    </w:pPr>
    <w:rPr>
      <w:iCs/>
      <w:color w:val="000000"/>
    </w:rPr>
  </w:style>
  <w:style w:type="character" w:customStyle="1" w:styleId="QuoteChar">
    <w:name w:val="Quote Char"/>
    <w:basedOn w:val="DefaultParagraphFont"/>
    <w:link w:val="Quote"/>
    <w:uiPriority w:val="29"/>
    <w:rsid w:val="002728AE"/>
    <w:rPr>
      <w:rFonts w:eastAsia="Times New Roman"/>
      <w:iCs/>
      <w:color w:val="000000"/>
      <w:szCs w:val="24"/>
      <w:lang w:eastAsia="en-US"/>
    </w:rPr>
  </w:style>
  <w:style w:type="paragraph" w:customStyle="1" w:styleId="BoxText">
    <w:name w:val="Box Text"/>
    <w:basedOn w:val="Normal"/>
    <w:uiPriority w:val="19"/>
    <w:qFormat/>
    <w:rsid w:val="002728AE"/>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link w:val="CaptionChar"/>
    <w:qFormat/>
    <w:rsid w:val="002728AE"/>
    <w:pPr>
      <w:keepNext/>
      <w:spacing w:after="120"/>
    </w:pPr>
    <w:rPr>
      <w:rFonts w:ascii="Calibri" w:hAnsi="Calibri"/>
      <w:b/>
      <w:bCs/>
      <w:szCs w:val="18"/>
    </w:rPr>
  </w:style>
  <w:style w:type="paragraph" w:customStyle="1" w:styleId="FigureTableNoteSource">
    <w:name w:val="Figure/Table Note/Source"/>
    <w:basedOn w:val="Normal"/>
    <w:next w:val="Normal"/>
    <w:uiPriority w:val="16"/>
    <w:qFormat/>
    <w:rsid w:val="002728AE"/>
    <w:pPr>
      <w:spacing w:before="120" w:line="264" w:lineRule="auto"/>
      <w:contextualSpacing/>
    </w:pPr>
    <w:rPr>
      <w:rFonts w:ascii="Calibri" w:hAnsi="Calibri"/>
      <w:sz w:val="18"/>
    </w:rPr>
  </w:style>
  <w:style w:type="paragraph" w:styleId="Title">
    <w:name w:val="Title"/>
    <w:aliases w:val="Title 1"/>
    <w:basedOn w:val="Normal"/>
    <w:next w:val="Subtitle"/>
    <w:link w:val="TitleChar"/>
    <w:uiPriority w:val="22"/>
    <w:qFormat/>
    <w:rsid w:val="002728AE"/>
    <w:pPr>
      <w:spacing w:before="240" w:after="120"/>
    </w:pPr>
    <w:rPr>
      <w:rFonts w:ascii="Calibri" w:hAnsi="Calibri"/>
      <w:b/>
      <w:sz w:val="72"/>
      <w:szCs w:val="72"/>
    </w:rPr>
  </w:style>
  <w:style w:type="character" w:customStyle="1" w:styleId="TitleChar">
    <w:name w:val="Title Char"/>
    <w:aliases w:val="Title 1 Char"/>
    <w:basedOn w:val="DefaultParagraphFont"/>
    <w:link w:val="Title"/>
    <w:uiPriority w:val="22"/>
    <w:rsid w:val="002728AE"/>
    <w:rPr>
      <w:rFonts w:ascii="Calibri" w:eastAsia="Times New Roman" w:hAnsi="Calibri"/>
      <w:b/>
      <w:sz w:val="72"/>
      <w:szCs w:val="72"/>
      <w:lang w:eastAsia="en-US"/>
    </w:rPr>
  </w:style>
  <w:style w:type="paragraph" w:styleId="Subtitle">
    <w:name w:val="Subtitle"/>
    <w:basedOn w:val="Normal"/>
    <w:next w:val="Normal"/>
    <w:link w:val="SubtitleChar"/>
    <w:uiPriority w:val="11"/>
    <w:qFormat/>
    <w:rsid w:val="002728AE"/>
    <w:pPr>
      <w:spacing w:after="840"/>
    </w:pPr>
    <w:rPr>
      <w:rFonts w:ascii="Calibri" w:hAnsi="Calibri" w:cs="Calibri"/>
      <w:sz w:val="68"/>
      <w:szCs w:val="72"/>
    </w:rPr>
  </w:style>
  <w:style w:type="character" w:customStyle="1" w:styleId="SubtitleChar">
    <w:name w:val="Subtitle Char"/>
    <w:basedOn w:val="DefaultParagraphFont"/>
    <w:link w:val="Subtitle"/>
    <w:uiPriority w:val="11"/>
    <w:rsid w:val="002728AE"/>
    <w:rPr>
      <w:rFonts w:ascii="Calibri" w:eastAsia="Times New Roman" w:hAnsi="Calibri" w:cs="Calibri"/>
      <w:sz w:val="68"/>
      <w:szCs w:val="72"/>
      <w:lang w:eastAsia="en-US"/>
    </w:rPr>
  </w:style>
  <w:style w:type="paragraph" w:styleId="TOCHeading">
    <w:name w:val="TOC Heading"/>
    <w:basedOn w:val="Heading1"/>
    <w:next w:val="Normal"/>
    <w:uiPriority w:val="39"/>
    <w:qFormat/>
    <w:rsid w:val="002728AE"/>
    <w:pPr>
      <w:numPr>
        <w:numId w:val="0"/>
      </w:numPr>
      <w:spacing w:before="480" w:after="0"/>
      <w:outlineLvl w:val="9"/>
    </w:pPr>
    <w:rPr>
      <w:lang w:val="en-US"/>
    </w:rPr>
  </w:style>
  <w:style w:type="paragraph" w:styleId="TOC1">
    <w:name w:val="toc 1"/>
    <w:basedOn w:val="Normal"/>
    <w:next w:val="Normal"/>
    <w:uiPriority w:val="39"/>
    <w:unhideWhenUsed/>
    <w:rsid w:val="002728AE"/>
    <w:pPr>
      <w:tabs>
        <w:tab w:val="left" w:pos="426"/>
        <w:tab w:val="right" w:leader="dot" w:pos="9072"/>
      </w:tabs>
      <w:spacing w:before="120" w:after="120"/>
    </w:pPr>
    <w:rPr>
      <w:b/>
    </w:rPr>
  </w:style>
  <w:style w:type="paragraph" w:styleId="TOC2">
    <w:name w:val="toc 2"/>
    <w:basedOn w:val="Normal"/>
    <w:next w:val="Normal"/>
    <w:uiPriority w:val="39"/>
    <w:unhideWhenUsed/>
    <w:rsid w:val="002728AE"/>
    <w:pPr>
      <w:tabs>
        <w:tab w:val="right" w:leader="dot" w:pos="9060"/>
      </w:tabs>
      <w:spacing w:before="120" w:after="120"/>
      <w:ind w:firstLine="425"/>
    </w:pPr>
  </w:style>
  <w:style w:type="paragraph" w:styleId="TOC3">
    <w:name w:val="toc 3"/>
    <w:basedOn w:val="Normal"/>
    <w:next w:val="Normal"/>
    <w:uiPriority w:val="39"/>
    <w:unhideWhenUsed/>
    <w:rsid w:val="002728AE"/>
    <w:pPr>
      <w:tabs>
        <w:tab w:val="right" w:leader="dot" w:pos="9072"/>
      </w:tabs>
      <w:spacing w:before="120" w:after="120"/>
      <w:ind w:firstLine="851"/>
    </w:pPr>
  </w:style>
  <w:style w:type="character" w:styleId="Hyperlink">
    <w:name w:val="Hyperlink"/>
    <w:basedOn w:val="DefaultParagraphFont"/>
    <w:uiPriority w:val="99"/>
    <w:qFormat/>
    <w:rsid w:val="002728AE"/>
    <w:rPr>
      <w:color w:val="165788"/>
      <w:u w:val="single"/>
    </w:rPr>
  </w:style>
  <w:style w:type="paragraph" w:styleId="ListBullet">
    <w:name w:val="List Bullet"/>
    <w:basedOn w:val="Normal"/>
    <w:uiPriority w:val="7"/>
    <w:qFormat/>
    <w:rsid w:val="002728AE"/>
    <w:pPr>
      <w:numPr>
        <w:numId w:val="1"/>
      </w:numPr>
      <w:spacing w:before="120" w:after="120"/>
    </w:pPr>
  </w:style>
  <w:style w:type="paragraph" w:styleId="TableofFigures">
    <w:name w:val="table of figures"/>
    <w:aliases w:val="Table of Tables,Tables and Figures"/>
    <w:basedOn w:val="Normal"/>
    <w:next w:val="Normal"/>
    <w:uiPriority w:val="99"/>
    <w:rsid w:val="002728AE"/>
    <w:pPr>
      <w:spacing w:before="120" w:after="120"/>
    </w:pPr>
  </w:style>
  <w:style w:type="paragraph" w:styleId="ListBullet2">
    <w:name w:val="List Bullet 2"/>
    <w:basedOn w:val="Normal"/>
    <w:uiPriority w:val="99"/>
    <w:qFormat/>
    <w:rsid w:val="002728AE"/>
    <w:pPr>
      <w:numPr>
        <w:numId w:val="2"/>
      </w:numPr>
      <w:tabs>
        <w:tab w:val="clear" w:pos="643"/>
        <w:tab w:val="num" w:pos="567"/>
      </w:tabs>
      <w:spacing w:before="120" w:after="120"/>
      <w:ind w:left="568" w:hanging="284"/>
      <w:contextualSpacing/>
    </w:pPr>
  </w:style>
  <w:style w:type="paragraph" w:styleId="ListNumber">
    <w:name w:val="List Number"/>
    <w:basedOn w:val="Normal"/>
    <w:uiPriority w:val="9"/>
    <w:qFormat/>
    <w:rsid w:val="002728AE"/>
    <w:pPr>
      <w:numPr>
        <w:numId w:val="4"/>
      </w:numPr>
      <w:tabs>
        <w:tab w:val="left" w:pos="284"/>
      </w:tabs>
      <w:spacing w:before="120" w:after="120"/>
      <w:ind w:left="284" w:hanging="284"/>
    </w:pPr>
  </w:style>
  <w:style w:type="paragraph" w:styleId="ListNumber2">
    <w:name w:val="List Number 2"/>
    <w:uiPriority w:val="10"/>
    <w:qFormat/>
    <w:rsid w:val="002728AE"/>
    <w:pPr>
      <w:numPr>
        <w:numId w:val="5"/>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2728AE"/>
    <w:pPr>
      <w:numPr>
        <w:numId w:val="6"/>
      </w:numPr>
      <w:tabs>
        <w:tab w:val="clear" w:pos="926"/>
        <w:tab w:val="num" w:pos="851"/>
      </w:tabs>
      <w:spacing w:before="120" w:after="120" w:line="264" w:lineRule="auto"/>
      <w:ind w:left="851" w:hanging="284"/>
    </w:pPr>
    <w:rPr>
      <w:rFonts w:eastAsia="Times New Roman"/>
      <w:sz w:val="22"/>
      <w:szCs w:val="24"/>
      <w:lang w:eastAsia="en-US"/>
    </w:rPr>
  </w:style>
  <w:style w:type="table" w:customStyle="1" w:styleId="LightShading1">
    <w:name w:val="Light Shading1"/>
    <w:basedOn w:val="TableNormal"/>
    <w:uiPriority w:val="60"/>
    <w:rsid w:val="002728A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2728AE"/>
    <w:rPr>
      <w:color w:val="E36C0A"/>
      <w:lang w:val="en-US" w:eastAsia="en-US"/>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rsid w:val="002728AE"/>
    <w:pPr>
      <w:spacing w:before="60" w:after="60"/>
    </w:pPr>
    <w:rPr>
      <w:sz w:val="18"/>
    </w:rPr>
  </w:style>
  <w:style w:type="table" w:styleId="TableGrid1">
    <w:name w:val="Table Grid 1"/>
    <w:basedOn w:val="TableNormal"/>
    <w:uiPriority w:val="99"/>
    <w:semiHidden/>
    <w:unhideWhenUsed/>
    <w:rsid w:val="002728AE"/>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2728AE"/>
    <w:pPr>
      <w:keepNext/>
    </w:pPr>
    <w:rPr>
      <w:b/>
    </w:rPr>
  </w:style>
  <w:style w:type="character" w:styleId="PlaceholderText">
    <w:name w:val="Placeholder Text"/>
    <w:basedOn w:val="DefaultParagraphFont"/>
    <w:uiPriority w:val="99"/>
    <w:semiHidden/>
    <w:rsid w:val="002728AE"/>
    <w:rPr>
      <w:color w:val="808080"/>
    </w:rPr>
  </w:style>
  <w:style w:type="paragraph" w:customStyle="1" w:styleId="Author">
    <w:name w:val="Author"/>
    <w:basedOn w:val="Normal"/>
    <w:next w:val="Normal"/>
    <w:uiPriority w:val="24"/>
    <w:qFormat/>
    <w:rsid w:val="002728AE"/>
    <w:pPr>
      <w:spacing w:after="60"/>
    </w:pPr>
    <w:rPr>
      <w:b/>
      <w:sz w:val="28"/>
      <w:szCs w:val="28"/>
    </w:rPr>
  </w:style>
  <w:style w:type="paragraph" w:customStyle="1" w:styleId="AuthorOrganisationAffiliation">
    <w:name w:val="Author Organisation/Affiliation"/>
    <w:basedOn w:val="Normal"/>
    <w:next w:val="Normal"/>
    <w:uiPriority w:val="25"/>
    <w:qFormat/>
    <w:rsid w:val="002728AE"/>
    <w:pPr>
      <w:spacing w:after="720"/>
    </w:pPr>
  </w:style>
  <w:style w:type="character" w:styleId="Strong">
    <w:name w:val="Strong"/>
    <w:basedOn w:val="DefaultParagraphFont"/>
    <w:uiPriority w:val="22"/>
    <w:qFormat/>
    <w:rsid w:val="002728AE"/>
    <w:rPr>
      <w:b/>
      <w:bCs/>
    </w:rPr>
  </w:style>
  <w:style w:type="paragraph" w:customStyle="1" w:styleId="Glossary">
    <w:name w:val="Glossary"/>
    <w:basedOn w:val="Normal"/>
    <w:link w:val="GlossaryChar"/>
    <w:uiPriority w:val="28"/>
    <w:qFormat/>
    <w:rsid w:val="002728AE"/>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sid w:val="002728AE"/>
    <w:rPr>
      <w:rFonts w:eastAsia="Calibri"/>
      <w:color w:val="000000"/>
      <w:lang w:eastAsia="en-US"/>
    </w:rPr>
  </w:style>
  <w:style w:type="character" w:styleId="Emphasis">
    <w:name w:val="Emphasis"/>
    <w:basedOn w:val="DefaultParagraphFont"/>
    <w:uiPriority w:val="20"/>
    <w:qFormat/>
    <w:rsid w:val="002728AE"/>
    <w:rPr>
      <w:i/>
      <w:iCs/>
    </w:rPr>
  </w:style>
  <w:style w:type="paragraph" w:styleId="TOAHeading">
    <w:name w:val="toa heading"/>
    <w:basedOn w:val="Heading1"/>
    <w:next w:val="Normal"/>
    <w:uiPriority w:val="99"/>
    <w:semiHidden/>
    <w:unhideWhenUsed/>
    <w:rsid w:val="002728AE"/>
    <w:pPr>
      <w:spacing w:before="120"/>
    </w:pPr>
    <w:rPr>
      <w:b/>
      <w:bCs w:val="0"/>
      <w:sz w:val="24"/>
    </w:rPr>
  </w:style>
  <w:style w:type="paragraph" w:styleId="NormalWeb">
    <w:name w:val="Normal (Web)"/>
    <w:basedOn w:val="Normal"/>
    <w:uiPriority w:val="99"/>
    <w:unhideWhenUsed/>
    <w:rsid w:val="002728AE"/>
    <w:pPr>
      <w:spacing w:after="168" w:line="168" w:lineRule="atLeast"/>
      <w:jc w:val="both"/>
    </w:pPr>
    <w:rPr>
      <w:sz w:val="13"/>
      <w:szCs w:val="13"/>
    </w:rPr>
  </w:style>
  <w:style w:type="paragraph" w:customStyle="1" w:styleId="BoxTextBullet">
    <w:name w:val="Box Text Bullet"/>
    <w:basedOn w:val="BoxText"/>
    <w:uiPriority w:val="21"/>
    <w:qFormat/>
    <w:rsid w:val="002728AE"/>
    <w:pPr>
      <w:numPr>
        <w:numId w:val="7"/>
      </w:numPr>
      <w:ind w:left="357" w:hanging="357"/>
    </w:pPr>
  </w:style>
  <w:style w:type="paragraph" w:customStyle="1" w:styleId="TableBullet">
    <w:name w:val="Table Bullet"/>
    <w:basedOn w:val="TableText"/>
    <w:uiPriority w:val="15"/>
    <w:qFormat/>
    <w:rsid w:val="002728AE"/>
    <w:pPr>
      <w:numPr>
        <w:numId w:val="8"/>
      </w:numPr>
    </w:pPr>
  </w:style>
  <w:style w:type="paragraph" w:styleId="DocumentMap">
    <w:name w:val="Document Map"/>
    <w:basedOn w:val="Normal"/>
    <w:link w:val="DocumentMapChar"/>
    <w:uiPriority w:val="99"/>
    <w:unhideWhenUsed/>
    <w:rsid w:val="002728AE"/>
    <w:rPr>
      <w:rFonts w:ascii="Tahoma" w:hAnsi="Tahoma" w:cs="Tahoma"/>
      <w:sz w:val="16"/>
      <w:szCs w:val="16"/>
    </w:rPr>
  </w:style>
  <w:style w:type="character" w:customStyle="1" w:styleId="DocumentMapChar">
    <w:name w:val="Document Map Char"/>
    <w:basedOn w:val="DefaultParagraphFont"/>
    <w:link w:val="DocumentMap"/>
    <w:uiPriority w:val="99"/>
    <w:rsid w:val="002728AE"/>
    <w:rPr>
      <w:rFonts w:ascii="Tahoma" w:eastAsia="Times New Roman" w:hAnsi="Tahoma" w:cs="Tahoma"/>
      <w:sz w:val="16"/>
      <w:szCs w:val="16"/>
    </w:rPr>
  </w:style>
  <w:style w:type="paragraph" w:customStyle="1" w:styleId="TOCHeadingsamepage">
    <w:name w:val="TOC Heading (same page)"/>
    <w:basedOn w:val="TOCHeading"/>
    <w:next w:val="Normal"/>
    <w:uiPriority w:val="39"/>
    <w:rsid w:val="002728AE"/>
    <w:pPr>
      <w:pageBreakBefore w:val="0"/>
    </w:pPr>
  </w:style>
  <w:style w:type="paragraph" w:customStyle="1" w:styleId="BoxHeading">
    <w:name w:val="Box Heading"/>
    <w:basedOn w:val="BoxText"/>
    <w:uiPriority w:val="20"/>
    <w:qFormat/>
    <w:rsid w:val="002728AE"/>
    <w:rPr>
      <w:b/>
    </w:rPr>
  </w:style>
  <w:style w:type="paragraph" w:customStyle="1" w:styleId="Picture">
    <w:name w:val="Picture"/>
    <w:basedOn w:val="Normal"/>
    <w:uiPriority w:val="17"/>
    <w:qFormat/>
    <w:rsid w:val="002728AE"/>
    <w:pPr>
      <w:spacing w:before="120" w:after="120"/>
    </w:pPr>
  </w:style>
  <w:style w:type="paragraph" w:customStyle="1" w:styleId="Securityclassification">
    <w:name w:val="Security classification"/>
    <w:basedOn w:val="Header"/>
    <w:next w:val="Header"/>
    <w:uiPriority w:val="26"/>
    <w:qFormat/>
    <w:rsid w:val="002728AE"/>
    <w:rPr>
      <w:b/>
      <w:caps/>
      <w:color w:val="FF0000"/>
      <w:sz w:val="36"/>
      <w:szCs w:val="36"/>
    </w:rPr>
  </w:style>
  <w:style w:type="paragraph" w:customStyle="1" w:styleId="DisseminationLimitingMarker">
    <w:name w:val="Dissemination Limiting Marker"/>
    <w:basedOn w:val="Header"/>
    <w:next w:val="Header"/>
    <w:uiPriority w:val="27"/>
    <w:qFormat/>
    <w:rsid w:val="002728AE"/>
    <w:rPr>
      <w:b/>
      <w:color w:val="FF0000"/>
      <w:sz w:val="36"/>
      <w:szCs w:val="36"/>
    </w:rPr>
  </w:style>
  <w:style w:type="paragraph" w:styleId="FootnoteText">
    <w:name w:val="footnote text"/>
    <w:basedOn w:val="Normal"/>
    <w:link w:val="FootnoteTextChar"/>
    <w:unhideWhenUsed/>
    <w:rsid w:val="002728AE"/>
    <w:pPr>
      <w:spacing w:after="60" w:line="264" w:lineRule="auto"/>
    </w:pPr>
    <w:rPr>
      <w:sz w:val="20"/>
      <w:szCs w:val="20"/>
    </w:rPr>
  </w:style>
  <w:style w:type="character" w:customStyle="1" w:styleId="FootnoteTextChar">
    <w:name w:val="Footnote Text Char"/>
    <w:basedOn w:val="DefaultParagraphFont"/>
    <w:link w:val="FootnoteText"/>
    <w:rsid w:val="002728AE"/>
    <w:rPr>
      <w:rFonts w:eastAsia="Times New Roman"/>
      <w:sz w:val="20"/>
      <w:szCs w:val="20"/>
    </w:rPr>
  </w:style>
  <w:style w:type="character" w:styleId="FootnoteReference">
    <w:name w:val="footnote reference"/>
    <w:basedOn w:val="DefaultParagraphFont"/>
    <w:unhideWhenUsed/>
    <w:rsid w:val="002728AE"/>
    <w:rPr>
      <w:vertAlign w:val="superscript"/>
    </w:rPr>
  </w:style>
  <w:style w:type="paragraph" w:styleId="EndnoteText">
    <w:name w:val="endnote text"/>
    <w:basedOn w:val="Normal"/>
    <w:link w:val="EndnoteTextChar"/>
    <w:uiPriority w:val="99"/>
    <w:unhideWhenUsed/>
    <w:rsid w:val="002728AE"/>
    <w:pPr>
      <w:spacing w:after="60" w:line="264" w:lineRule="auto"/>
    </w:pPr>
    <w:rPr>
      <w:sz w:val="20"/>
      <w:szCs w:val="20"/>
    </w:rPr>
  </w:style>
  <w:style w:type="character" w:customStyle="1" w:styleId="EndnoteTextChar">
    <w:name w:val="Endnote Text Char"/>
    <w:basedOn w:val="DefaultParagraphFont"/>
    <w:link w:val="EndnoteText"/>
    <w:uiPriority w:val="99"/>
    <w:rsid w:val="002728AE"/>
    <w:rPr>
      <w:rFonts w:eastAsia="Times New Roman"/>
      <w:sz w:val="20"/>
      <w:szCs w:val="20"/>
    </w:rPr>
  </w:style>
  <w:style w:type="character" w:styleId="EndnoteReference">
    <w:name w:val="endnote reference"/>
    <w:basedOn w:val="DefaultParagraphFont"/>
    <w:uiPriority w:val="99"/>
    <w:unhideWhenUsed/>
    <w:rsid w:val="002728AE"/>
    <w:rPr>
      <w:vertAlign w:val="superscript"/>
    </w:rPr>
  </w:style>
  <w:style w:type="character" w:styleId="FollowedHyperlink">
    <w:name w:val="FollowedHyperlink"/>
    <w:basedOn w:val="DefaultParagraphFont"/>
    <w:uiPriority w:val="99"/>
    <w:unhideWhenUsed/>
    <w:rsid w:val="002728AE"/>
    <w:rPr>
      <w:color w:val="800080"/>
      <w:u w:val="single"/>
    </w:rPr>
  </w:style>
  <w:style w:type="paragraph" w:customStyle="1" w:styleId="BoxSource">
    <w:name w:val="Box Source"/>
    <w:basedOn w:val="FigureTableNoteSource"/>
    <w:uiPriority w:val="22"/>
    <w:qFormat/>
    <w:rsid w:val="002728AE"/>
    <w:pPr>
      <w:pBdr>
        <w:top w:val="single" w:sz="4" w:space="10" w:color="auto"/>
        <w:left w:val="single" w:sz="4" w:space="10" w:color="auto"/>
        <w:bottom w:val="single" w:sz="4" w:space="10" w:color="auto"/>
        <w:right w:val="single" w:sz="4" w:space="10" w:color="auto"/>
      </w:pBdr>
    </w:pPr>
    <w:rPr>
      <w:lang w:val="en-US"/>
    </w:rPr>
  </w:style>
  <w:style w:type="paragraph" w:customStyle="1" w:styleId="Heading2Numbered">
    <w:name w:val="Heading 2 Numbered"/>
    <w:basedOn w:val="Heading2"/>
    <w:next w:val="Normal"/>
    <w:qFormat/>
    <w:rsid w:val="002728AE"/>
    <w:pPr>
      <w:numPr>
        <w:numId w:val="9"/>
      </w:numPr>
    </w:pPr>
  </w:style>
  <w:style w:type="paragraph" w:customStyle="1" w:styleId="Heading3Numbered">
    <w:name w:val="Heading 3 Numbered"/>
    <w:basedOn w:val="Heading3"/>
    <w:next w:val="Normal"/>
    <w:link w:val="Heading3NumberedChar"/>
    <w:qFormat/>
    <w:rsid w:val="002728AE"/>
    <w:pPr>
      <w:numPr>
        <w:numId w:val="10"/>
      </w:numPr>
    </w:pPr>
  </w:style>
  <w:style w:type="character" w:customStyle="1" w:styleId="Heading3NumberedChar">
    <w:name w:val="Heading 3 Numbered Char"/>
    <w:basedOn w:val="Heading3Char"/>
    <w:link w:val="Heading3Numbered"/>
    <w:rsid w:val="002728AE"/>
    <w:rPr>
      <w:rFonts w:ascii="Arial" w:eastAsiaTheme="minorHAnsi" w:hAnsi="Arial" w:cs="Arial"/>
      <w:b/>
      <w:bCs/>
      <w:noProof/>
      <w:sz w:val="26"/>
      <w:szCs w:val="26"/>
      <w:lang w:eastAsia="en-US"/>
    </w:rPr>
  </w:style>
  <w:style w:type="paragraph" w:customStyle="1" w:styleId="TableText0">
    <w:name w:val="TableText"/>
    <w:basedOn w:val="Normal"/>
    <w:link w:val="TableTextChar0"/>
    <w:rsid w:val="002728AE"/>
    <w:pPr>
      <w:keepNext/>
      <w:spacing w:before="60" w:after="60"/>
    </w:pPr>
    <w:rPr>
      <w:color w:val="000000"/>
      <w:sz w:val="16"/>
      <w:szCs w:val="20"/>
    </w:rPr>
  </w:style>
  <w:style w:type="character" w:customStyle="1" w:styleId="TableTextChar0">
    <w:name w:val="TableText Char"/>
    <w:basedOn w:val="DefaultParagraphFont"/>
    <w:link w:val="TableText0"/>
    <w:rsid w:val="002728AE"/>
    <w:rPr>
      <w:rFonts w:ascii="Times New Roman" w:eastAsia="Times New Roman" w:hAnsi="Times New Roman"/>
      <w:color w:val="000000"/>
      <w:sz w:val="16"/>
      <w:lang w:eastAsia="en-US"/>
    </w:rPr>
  </w:style>
  <w:style w:type="paragraph" w:customStyle="1" w:styleId="TableNotes">
    <w:name w:val="TableNotes"/>
    <w:basedOn w:val="Normal"/>
    <w:link w:val="TableNotesChar"/>
    <w:uiPriority w:val="99"/>
    <w:rsid w:val="002728AE"/>
    <w:pPr>
      <w:spacing w:before="40" w:after="180"/>
    </w:pPr>
    <w:rPr>
      <w:rFonts w:ascii="Arial Narrow" w:hAnsi="Arial Narrow"/>
      <w:color w:val="000000"/>
      <w:sz w:val="16"/>
    </w:rPr>
  </w:style>
  <w:style w:type="character" w:customStyle="1" w:styleId="TableNotesChar">
    <w:name w:val="TableNotes Char"/>
    <w:basedOn w:val="DefaultParagraphFont"/>
    <w:link w:val="TableNotes"/>
    <w:rsid w:val="002728AE"/>
    <w:rPr>
      <w:rFonts w:ascii="Arial Narrow" w:eastAsia="Times New Roman" w:hAnsi="Arial Narrow"/>
      <w:color w:val="000000"/>
      <w:sz w:val="16"/>
      <w:szCs w:val="24"/>
      <w:lang w:eastAsia="en-US"/>
    </w:rPr>
  </w:style>
  <w:style w:type="paragraph" w:customStyle="1" w:styleId="AQISNum">
    <w:name w:val="AQIS Num"/>
    <w:basedOn w:val="Normal"/>
    <w:next w:val="Normal"/>
    <w:link w:val="AQISNumChar"/>
    <w:uiPriority w:val="99"/>
    <w:rsid w:val="002728AE"/>
    <w:pPr>
      <w:spacing w:before="60" w:line="280" w:lineRule="atLeast"/>
    </w:pPr>
    <w:rPr>
      <w:szCs w:val="20"/>
    </w:rPr>
  </w:style>
  <w:style w:type="character" w:customStyle="1" w:styleId="TableTextChar">
    <w:name w:val="Table Text Char"/>
    <w:basedOn w:val="DefaultParagraphFont"/>
    <w:link w:val="TableText"/>
    <w:uiPriority w:val="13"/>
    <w:rsid w:val="002728AE"/>
    <w:rPr>
      <w:rFonts w:eastAsia="Times New Roman"/>
      <w:sz w:val="18"/>
      <w:szCs w:val="24"/>
      <w:lang w:eastAsia="en-US"/>
    </w:rPr>
  </w:style>
  <w:style w:type="character" w:customStyle="1" w:styleId="AQISNumChar">
    <w:name w:val="AQIS Num Char"/>
    <w:basedOn w:val="DefaultParagraphFont"/>
    <w:link w:val="AQISNum"/>
    <w:uiPriority w:val="99"/>
    <w:rsid w:val="002728AE"/>
    <w:rPr>
      <w:rFonts w:ascii="Times New Roman" w:eastAsia="Times New Roman" w:hAnsi="Times New Roman"/>
      <w:sz w:val="24"/>
      <w:lang w:eastAsia="en-US"/>
    </w:rPr>
  </w:style>
  <w:style w:type="paragraph" w:styleId="ListParagraph">
    <w:name w:val="List Paragraph"/>
    <w:basedOn w:val="Normal"/>
    <w:uiPriority w:val="34"/>
    <w:qFormat/>
    <w:rsid w:val="002728AE"/>
    <w:pPr>
      <w:overflowPunct w:val="0"/>
      <w:autoSpaceDE w:val="0"/>
      <w:autoSpaceDN w:val="0"/>
      <w:adjustRightInd w:val="0"/>
      <w:ind w:left="720"/>
      <w:contextualSpacing/>
      <w:textAlignment w:val="baseline"/>
    </w:pPr>
    <w:rPr>
      <w:szCs w:val="20"/>
    </w:rPr>
  </w:style>
  <w:style w:type="paragraph" w:customStyle="1" w:styleId="AQISBullet">
    <w:name w:val="AQIS Bullet"/>
    <w:basedOn w:val="Normal"/>
    <w:next w:val="Normal"/>
    <w:rsid w:val="002728AE"/>
    <w:pPr>
      <w:widowControl w:val="0"/>
      <w:tabs>
        <w:tab w:val="num" w:pos="360"/>
      </w:tabs>
      <w:adjustRightInd w:val="0"/>
      <w:spacing w:before="60" w:line="280" w:lineRule="atLeast"/>
      <w:ind w:left="360" w:hanging="360"/>
      <w:jc w:val="both"/>
      <w:textAlignment w:val="baseline"/>
    </w:pPr>
    <w:rPr>
      <w:szCs w:val="20"/>
    </w:rPr>
  </w:style>
  <w:style w:type="paragraph" w:customStyle="1" w:styleId="AQISTable">
    <w:name w:val="AQIS Table"/>
    <w:basedOn w:val="Normal"/>
    <w:next w:val="Normal"/>
    <w:uiPriority w:val="99"/>
    <w:rsid w:val="002728AE"/>
    <w:pPr>
      <w:widowControl w:val="0"/>
      <w:tabs>
        <w:tab w:val="num" w:pos="360"/>
      </w:tabs>
      <w:adjustRightInd w:val="0"/>
      <w:spacing w:before="360" w:after="360" w:line="280" w:lineRule="atLeast"/>
      <w:ind w:left="360" w:hanging="360"/>
      <w:jc w:val="center"/>
      <w:textAlignment w:val="baseline"/>
    </w:pPr>
    <w:rPr>
      <w:rFonts w:ascii="Arial" w:hAnsi="Arial"/>
      <w:b/>
      <w:szCs w:val="20"/>
    </w:rPr>
  </w:style>
  <w:style w:type="paragraph" w:customStyle="1" w:styleId="Bullets">
    <w:name w:val="Bullets"/>
    <w:basedOn w:val="Normal"/>
    <w:link w:val="BulletsChar"/>
    <w:uiPriority w:val="99"/>
    <w:qFormat/>
    <w:rsid w:val="002728AE"/>
    <w:pPr>
      <w:spacing w:after="60" w:line="280" w:lineRule="atLeast"/>
      <w:jc w:val="both"/>
    </w:pPr>
  </w:style>
  <w:style w:type="character" w:customStyle="1" w:styleId="BulletsChar">
    <w:name w:val="Bullets Char"/>
    <w:basedOn w:val="DefaultParagraphFont"/>
    <w:link w:val="Bullets"/>
    <w:uiPriority w:val="99"/>
    <w:locked/>
    <w:rsid w:val="002728AE"/>
    <w:rPr>
      <w:rFonts w:ascii="Times New Roman" w:eastAsia="Times New Roman" w:hAnsi="Times New Roman"/>
      <w:sz w:val="24"/>
      <w:szCs w:val="24"/>
      <w:lang w:eastAsia="en-US"/>
    </w:rPr>
  </w:style>
  <w:style w:type="paragraph" w:customStyle="1" w:styleId="AQISText">
    <w:name w:val="AQIS Text"/>
    <w:basedOn w:val="Normal"/>
    <w:link w:val="AQISTextChar"/>
    <w:rsid w:val="002728AE"/>
    <w:pPr>
      <w:widowControl w:val="0"/>
      <w:adjustRightInd w:val="0"/>
      <w:spacing w:before="160" w:line="280" w:lineRule="atLeast"/>
      <w:jc w:val="both"/>
      <w:textAlignment w:val="baseline"/>
    </w:pPr>
    <w:rPr>
      <w:szCs w:val="20"/>
    </w:rPr>
  </w:style>
  <w:style w:type="character" w:customStyle="1" w:styleId="AQISTextChar">
    <w:name w:val="AQIS Text Char"/>
    <w:basedOn w:val="DefaultParagraphFont"/>
    <w:link w:val="AQISText"/>
    <w:rsid w:val="002728AE"/>
    <w:rPr>
      <w:rFonts w:ascii="Times New Roman" w:eastAsia="Times New Roman" w:hAnsi="Times New Roman"/>
      <w:sz w:val="22"/>
      <w:lang w:eastAsia="en-US"/>
    </w:rPr>
  </w:style>
  <w:style w:type="paragraph" w:styleId="BodyText2">
    <w:name w:val="Body Text 2"/>
    <w:basedOn w:val="Normal"/>
    <w:link w:val="BodyText2Char"/>
    <w:uiPriority w:val="99"/>
    <w:rsid w:val="002728AE"/>
    <w:pPr>
      <w:spacing w:line="288" w:lineRule="auto"/>
      <w:jc w:val="both"/>
    </w:pPr>
    <w:rPr>
      <w:szCs w:val="20"/>
    </w:rPr>
  </w:style>
  <w:style w:type="character" w:customStyle="1" w:styleId="BodyText2Char">
    <w:name w:val="Body Text 2 Char"/>
    <w:basedOn w:val="DefaultParagraphFont"/>
    <w:link w:val="BodyText2"/>
    <w:uiPriority w:val="99"/>
    <w:rsid w:val="002728AE"/>
    <w:rPr>
      <w:rFonts w:ascii="Times New Roman" w:eastAsia="Times New Roman" w:hAnsi="Times New Roman"/>
      <w:sz w:val="24"/>
      <w:lang w:eastAsia="en-US"/>
    </w:rPr>
  </w:style>
  <w:style w:type="paragraph" w:customStyle="1" w:styleId="BAHeader3">
    <w:name w:val="BA Header 3"/>
    <w:basedOn w:val="Normal"/>
    <w:next w:val="Normal"/>
    <w:link w:val="BAHeader3CharChar"/>
    <w:rsid w:val="002728AE"/>
    <w:pPr>
      <w:keepNext/>
      <w:keepLines/>
      <w:numPr>
        <w:ilvl w:val="2"/>
        <w:numId w:val="11"/>
      </w:numPr>
      <w:spacing w:before="360" w:after="120" w:line="340" w:lineRule="atLeast"/>
      <w:outlineLvl w:val="2"/>
    </w:pPr>
    <w:rPr>
      <w:rFonts w:ascii="Arial" w:hAnsi="Arial"/>
      <w:b/>
    </w:rPr>
  </w:style>
  <w:style w:type="paragraph" w:customStyle="1" w:styleId="BAHeader1">
    <w:name w:val="BA Header 1"/>
    <w:basedOn w:val="Normal"/>
    <w:next w:val="Normal"/>
    <w:link w:val="BAHeader1CharChar"/>
    <w:rsid w:val="002728AE"/>
    <w:pPr>
      <w:pageBreakBefore/>
      <w:widowControl w:val="0"/>
      <w:numPr>
        <w:numId w:val="11"/>
      </w:numPr>
      <w:pBdr>
        <w:bottom w:val="single" w:sz="4" w:space="1" w:color="auto"/>
      </w:pBdr>
      <w:spacing w:before="120" w:after="360" w:line="340" w:lineRule="atLeast"/>
      <w:outlineLvl w:val="0"/>
    </w:pPr>
    <w:rPr>
      <w:rFonts w:ascii="Arial" w:hAnsi="Arial"/>
      <w:b/>
      <w:sz w:val="28"/>
      <w:szCs w:val="28"/>
    </w:rPr>
  </w:style>
  <w:style w:type="paragraph" w:customStyle="1" w:styleId="BAHeader2">
    <w:name w:val="BA Header 2"/>
    <w:basedOn w:val="Normal"/>
    <w:next w:val="Normal"/>
    <w:link w:val="BAHeader2CharChar"/>
    <w:rsid w:val="002728AE"/>
    <w:pPr>
      <w:keepNext/>
      <w:keepLines/>
      <w:widowControl w:val="0"/>
      <w:numPr>
        <w:ilvl w:val="1"/>
        <w:numId w:val="11"/>
      </w:numPr>
      <w:spacing w:before="360" w:after="120" w:line="340" w:lineRule="atLeast"/>
      <w:outlineLvl w:val="1"/>
    </w:pPr>
    <w:rPr>
      <w:rFonts w:ascii="Arial" w:hAnsi="Arial"/>
      <w:b/>
      <w:sz w:val="28"/>
      <w:szCs w:val="28"/>
    </w:rPr>
  </w:style>
  <w:style w:type="character" w:customStyle="1" w:styleId="BAHeader2CharChar">
    <w:name w:val="BA Header 2 Char Char"/>
    <w:basedOn w:val="DefaultParagraphFont"/>
    <w:link w:val="BAHeader2"/>
    <w:rsid w:val="002728AE"/>
    <w:rPr>
      <w:rFonts w:ascii="Arial" w:eastAsiaTheme="minorHAnsi" w:hAnsi="Arial" w:cstheme="minorBidi"/>
      <w:b/>
      <w:sz w:val="28"/>
      <w:szCs w:val="28"/>
      <w:lang w:eastAsia="en-US"/>
    </w:rPr>
  </w:style>
  <w:style w:type="paragraph" w:customStyle="1" w:styleId="Default">
    <w:name w:val="Default"/>
    <w:rsid w:val="002728AE"/>
    <w:pPr>
      <w:autoSpaceDE w:val="0"/>
      <w:autoSpaceDN w:val="0"/>
      <w:adjustRightInd w:val="0"/>
    </w:pPr>
    <w:rPr>
      <w:rFonts w:ascii="Times New Roman" w:eastAsia="Times New Roman" w:hAnsi="Times New Roman"/>
      <w:color w:val="000000"/>
      <w:sz w:val="24"/>
      <w:szCs w:val="24"/>
    </w:rPr>
  </w:style>
  <w:style w:type="paragraph" w:styleId="BodyTextIndent">
    <w:name w:val="Body Text Indent"/>
    <w:basedOn w:val="Normal"/>
    <w:link w:val="BodyTextIndentChar"/>
    <w:uiPriority w:val="99"/>
    <w:unhideWhenUsed/>
    <w:rsid w:val="002728AE"/>
    <w:pPr>
      <w:spacing w:after="120"/>
      <w:ind w:left="283"/>
    </w:pPr>
  </w:style>
  <w:style w:type="character" w:customStyle="1" w:styleId="BodyTextIndentChar">
    <w:name w:val="Body Text Indent Char"/>
    <w:basedOn w:val="DefaultParagraphFont"/>
    <w:link w:val="BodyTextIndent"/>
    <w:uiPriority w:val="99"/>
    <w:rsid w:val="002728AE"/>
    <w:rPr>
      <w:rFonts w:eastAsia="Times New Roman"/>
      <w:sz w:val="22"/>
      <w:szCs w:val="24"/>
      <w:lang w:eastAsia="en-US"/>
    </w:rPr>
  </w:style>
  <w:style w:type="character" w:customStyle="1" w:styleId="Heading6Char">
    <w:name w:val="Heading 6 Char"/>
    <w:basedOn w:val="DefaultParagraphFont"/>
    <w:link w:val="Heading6"/>
    <w:uiPriority w:val="9"/>
    <w:rsid w:val="002728AE"/>
    <w:rPr>
      <w:rFonts w:ascii="Arial" w:eastAsia="Times New Roman" w:hAnsi="Arial"/>
      <w:b/>
      <w:sz w:val="22"/>
      <w:lang w:eastAsia="en-US"/>
    </w:rPr>
  </w:style>
  <w:style w:type="character" w:customStyle="1" w:styleId="Heading7Char">
    <w:name w:val="Heading 7 Char"/>
    <w:basedOn w:val="DefaultParagraphFont"/>
    <w:link w:val="Heading7"/>
    <w:uiPriority w:val="9"/>
    <w:rsid w:val="002728AE"/>
    <w:rPr>
      <w:rFonts w:ascii="Arial" w:eastAsia="Times New Roman" w:hAnsi="Arial" w:cs="Arial"/>
      <w:b/>
      <w:bCs/>
      <w:szCs w:val="24"/>
      <w:lang w:eastAsia="en-US"/>
    </w:rPr>
  </w:style>
  <w:style w:type="character" w:customStyle="1" w:styleId="Heading8Char">
    <w:name w:val="Heading 8 Char"/>
    <w:basedOn w:val="DefaultParagraphFont"/>
    <w:link w:val="Heading8"/>
    <w:uiPriority w:val="9"/>
    <w:rsid w:val="002728AE"/>
    <w:rPr>
      <w:rFonts w:ascii="Helvetica" w:eastAsia="Times New Roman" w:hAnsi="Helvetica"/>
      <w:b/>
      <w:bCs/>
      <w:szCs w:val="24"/>
      <w:lang w:eastAsia="en-US"/>
    </w:rPr>
  </w:style>
  <w:style w:type="character" w:customStyle="1" w:styleId="Heading9Char">
    <w:name w:val="Heading 9 Char"/>
    <w:basedOn w:val="DefaultParagraphFont"/>
    <w:link w:val="Heading9"/>
    <w:uiPriority w:val="9"/>
    <w:rsid w:val="002728AE"/>
    <w:rPr>
      <w:rFonts w:ascii="Arial" w:eastAsia="Times New Roman" w:hAnsi="Arial" w:cs="Arial"/>
      <w:sz w:val="22"/>
      <w:szCs w:val="22"/>
      <w:lang w:eastAsia="en-US"/>
    </w:rPr>
  </w:style>
  <w:style w:type="paragraph" w:styleId="ListBullet3">
    <w:name w:val="List Bullet 3"/>
    <w:basedOn w:val="Normal"/>
    <w:autoRedefine/>
    <w:uiPriority w:val="99"/>
    <w:rsid w:val="002728AE"/>
    <w:pPr>
      <w:widowControl w:val="0"/>
      <w:tabs>
        <w:tab w:val="num" w:pos="0"/>
      </w:tabs>
      <w:spacing w:before="40" w:after="40" w:line="240" w:lineRule="atLeast"/>
      <w:ind w:left="72"/>
    </w:pPr>
    <w:rPr>
      <w:rFonts w:ascii="Verdana" w:hAnsi="Verdana" w:cs="Arial"/>
      <w:b/>
      <w:sz w:val="18"/>
      <w:szCs w:val="18"/>
    </w:rPr>
  </w:style>
  <w:style w:type="paragraph" w:customStyle="1" w:styleId="AQISPlate">
    <w:name w:val="AQIS Plate"/>
    <w:basedOn w:val="Normal"/>
    <w:next w:val="Normal"/>
    <w:uiPriority w:val="99"/>
    <w:rsid w:val="002728AE"/>
    <w:pPr>
      <w:tabs>
        <w:tab w:val="num" w:pos="720"/>
      </w:tabs>
      <w:spacing w:before="240" w:after="120" w:line="340" w:lineRule="atLeast"/>
      <w:ind w:left="360" w:hanging="360"/>
      <w:jc w:val="center"/>
    </w:pPr>
    <w:rPr>
      <w:b/>
      <w:szCs w:val="20"/>
    </w:rPr>
  </w:style>
  <w:style w:type="paragraph" w:customStyle="1" w:styleId="DotPoint">
    <w:name w:val="DotPoint"/>
    <w:basedOn w:val="Normal"/>
    <w:uiPriority w:val="99"/>
    <w:rsid w:val="002728AE"/>
    <w:pPr>
      <w:tabs>
        <w:tab w:val="num" w:pos="1557"/>
      </w:tabs>
      <w:overflowPunct w:val="0"/>
      <w:autoSpaceDE w:val="0"/>
      <w:autoSpaceDN w:val="0"/>
      <w:adjustRightInd w:val="0"/>
      <w:ind w:left="1557" w:hanging="425"/>
      <w:textAlignment w:val="baseline"/>
    </w:pPr>
    <w:rPr>
      <w:szCs w:val="20"/>
    </w:rPr>
  </w:style>
  <w:style w:type="paragraph" w:customStyle="1" w:styleId="Table">
    <w:name w:val="Table"/>
    <w:basedOn w:val="Normal"/>
    <w:uiPriority w:val="99"/>
    <w:qFormat/>
    <w:rsid w:val="002728AE"/>
    <w:pPr>
      <w:widowControl w:val="0"/>
      <w:numPr>
        <w:numId w:val="12"/>
      </w:numPr>
      <w:spacing w:line="340" w:lineRule="atLeast"/>
      <w:jc w:val="center"/>
    </w:pPr>
    <w:rPr>
      <w:rFonts w:ascii="Arial" w:hAnsi="Arial"/>
      <w:b/>
      <w:sz w:val="20"/>
      <w:szCs w:val="20"/>
    </w:rPr>
  </w:style>
  <w:style w:type="paragraph" w:styleId="BodyText3">
    <w:name w:val="Body Text 3"/>
    <w:basedOn w:val="Normal"/>
    <w:link w:val="BodyText3Char"/>
    <w:uiPriority w:val="99"/>
    <w:rsid w:val="002728AE"/>
    <w:pPr>
      <w:widowControl w:val="0"/>
      <w:spacing w:before="120" w:after="240" w:line="340" w:lineRule="atLeast"/>
    </w:pPr>
    <w:rPr>
      <w:rFonts w:ascii="Arial" w:hAnsi="Arial"/>
      <w:b/>
      <w:sz w:val="28"/>
      <w:szCs w:val="20"/>
    </w:rPr>
  </w:style>
  <w:style w:type="character" w:customStyle="1" w:styleId="BodyText3Char">
    <w:name w:val="Body Text 3 Char"/>
    <w:basedOn w:val="DefaultParagraphFont"/>
    <w:link w:val="BodyText3"/>
    <w:uiPriority w:val="99"/>
    <w:rsid w:val="002728AE"/>
    <w:rPr>
      <w:rFonts w:ascii="Arial" w:eastAsia="Times New Roman" w:hAnsi="Arial"/>
      <w:b/>
      <w:sz w:val="28"/>
      <w:lang w:eastAsia="en-US"/>
    </w:rPr>
  </w:style>
  <w:style w:type="paragraph" w:customStyle="1" w:styleId="AQIS3">
    <w:name w:val="AQIS3"/>
    <w:basedOn w:val="Normal"/>
    <w:next w:val="AQISText"/>
    <w:uiPriority w:val="99"/>
    <w:rsid w:val="002728AE"/>
    <w:pPr>
      <w:keepNext/>
      <w:keepLines/>
      <w:spacing w:before="600" w:after="120" w:line="340" w:lineRule="atLeast"/>
    </w:pPr>
    <w:rPr>
      <w:rFonts w:ascii="Arial" w:hAnsi="Arial"/>
      <w:b/>
      <w:caps/>
      <w:szCs w:val="20"/>
    </w:rPr>
  </w:style>
  <w:style w:type="paragraph" w:customStyle="1" w:styleId="AQISTextCharCharChar">
    <w:name w:val="AQIS Text Char Char Char"/>
    <w:basedOn w:val="Normal"/>
    <w:uiPriority w:val="99"/>
    <w:rsid w:val="002728AE"/>
    <w:pPr>
      <w:spacing w:before="160" w:line="280" w:lineRule="atLeast"/>
    </w:pPr>
  </w:style>
  <w:style w:type="paragraph" w:customStyle="1" w:styleId="AQISTableText">
    <w:name w:val="AQIS Table Text"/>
    <w:basedOn w:val="AQISText"/>
    <w:link w:val="AQISTableTextChar"/>
    <w:uiPriority w:val="99"/>
    <w:rsid w:val="002728AE"/>
    <w:pPr>
      <w:widowControl/>
      <w:adjustRightInd/>
      <w:spacing w:before="60" w:after="60"/>
      <w:jc w:val="left"/>
      <w:textAlignment w:val="auto"/>
    </w:pPr>
    <w:rPr>
      <w:sz w:val="20"/>
    </w:rPr>
  </w:style>
  <w:style w:type="paragraph" w:customStyle="1" w:styleId="AQIS6">
    <w:name w:val="AQIS6"/>
    <w:basedOn w:val="AQISText"/>
    <w:next w:val="AQISText"/>
    <w:uiPriority w:val="99"/>
    <w:rsid w:val="002728AE"/>
    <w:pPr>
      <w:keepNext/>
      <w:keepLines/>
      <w:widowControl/>
      <w:adjustRightInd/>
      <w:spacing w:before="360"/>
      <w:jc w:val="left"/>
      <w:textAlignment w:val="auto"/>
    </w:pPr>
    <w:rPr>
      <w:rFonts w:ascii="Arial" w:hAnsi="Arial"/>
      <w:b/>
    </w:rPr>
  </w:style>
  <w:style w:type="paragraph" w:styleId="BodyText">
    <w:name w:val="Body Text"/>
    <w:basedOn w:val="Normal"/>
    <w:link w:val="BodyTextChar"/>
    <w:rsid w:val="002728AE"/>
    <w:pPr>
      <w:widowControl w:val="0"/>
      <w:spacing w:before="240" w:after="120" w:line="340" w:lineRule="atLeast"/>
      <w:jc w:val="center"/>
    </w:pPr>
    <w:rPr>
      <w:b/>
      <w:sz w:val="28"/>
      <w:szCs w:val="20"/>
    </w:rPr>
  </w:style>
  <w:style w:type="character" w:customStyle="1" w:styleId="BodyTextChar">
    <w:name w:val="Body Text Char"/>
    <w:basedOn w:val="DefaultParagraphFont"/>
    <w:link w:val="BodyText"/>
    <w:rsid w:val="002728AE"/>
    <w:rPr>
      <w:rFonts w:ascii="Times New Roman" w:eastAsia="Times New Roman" w:hAnsi="Times New Roman"/>
      <w:b/>
      <w:sz w:val="28"/>
      <w:lang w:eastAsia="en-US"/>
    </w:rPr>
  </w:style>
  <w:style w:type="paragraph" w:customStyle="1" w:styleId="AQISsub2">
    <w:name w:val="AQISsub 2"/>
    <w:basedOn w:val="Normal"/>
    <w:next w:val="Normal"/>
    <w:uiPriority w:val="99"/>
    <w:rsid w:val="002728AE"/>
    <w:pPr>
      <w:keepNext/>
      <w:keepLines/>
      <w:widowControl w:val="0"/>
      <w:tabs>
        <w:tab w:val="num" w:pos="360"/>
      </w:tabs>
      <w:spacing w:before="120" w:after="60" w:line="340" w:lineRule="atLeast"/>
      <w:ind w:left="360" w:hanging="360"/>
    </w:pPr>
    <w:rPr>
      <w:rFonts w:ascii="Arial" w:hAnsi="Arial"/>
      <w:b/>
      <w:sz w:val="20"/>
      <w:szCs w:val="20"/>
    </w:rPr>
  </w:style>
  <w:style w:type="paragraph" w:customStyle="1" w:styleId="AQIS2">
    <w:name w:val="AQIS2"/>
    <w:basedOn w:val="AQIS1"/>
    <w:uiPriority w:val="99"/>
    <w:rsid w:val="002728AE"/>
    <w:pPr>
      <w:pBdr>
        <w:bottom w:val="single" w:sz="8" w:space="1" w:color="auto"/>
      </w:pBdr>
      <w:spacing w:after="480"/>
    </w:pPr>
    <w:rPr>
      <w:sz w:val="26"/>
    </w:rPr>
  </w:style>
  <w:style w:type="paragraph" w:customStyle="1" w:styleId="AQIS1">
    <w:name w:val="AQIS1"/>
    <w:basedOn w:val="Normal"/>
    <w:next w:val="AQISText"/>
    <w:uiPriority w:val="99"/>
    <w:rsid w:val="002728AE"/>
    <w:pPr>
      <w:widowControl w:val="0"/>
      <w:pBdr>
        <w:bottom w:val="single" w:sz="4" w:space="1" w:color="auto"/>
      </w:pBdr>
      <w:spacing w:before="120" w:after="360" w:line="340" w:lineRule="atLeast"/>
      <w:jc w:val="right"/>
    </w:pPr>
    <w:rPr>
      <w:rFonts w:ascii="Arial" w:hAnsi="Arial"/>
      <w:b/>
      <w:caps/>
      <w:sz w:val="28"/>
      <w:szCs w:val="20"/>
    </w:rPr>
  </w:style>
  <w:style w:type="paragraph" w:styleId="BodyTextIndent3">
    <w:name w:val="Body Text Indent 3"/>
    <w:basedOn w:val="Normal"/>
    <w:link w:val="BodyTextIndent3Char"/>
    <w:uiPriority w:val="99"/>
    <w:rsid w:val="002728AE"/>
    <w:pPr>
      <w:ind w:left="1440" w:hanging="1440"/>
      <w:jc w:val="both"/>
    </w:pPr>
  </w:style>
  <w:style w:type="character" w:customStyle="1" w:styleId="BodyTextIndent3Char">
    <w:name w:val="Body Text Indent 3 Char"/>
    <w:basedOn w:val="DefaultParagraphFont"/>
    <w:link w:val="BodyTextIndent3"/>
    <w:uiPriority w:val="99"/>
    <w:rsid w:val="002728AE"/>
    <w:rPr>
      <w:rFonts w:ascii="Times New Roman" w:eastAsia="Times New Roman" w:hAnsi="Times New Roman"/>
      <w:sz w:val="24"/>
      <w:szCs w:val="24"/>
      <w:lang w:eastAsia="en-US"/>
    </w:rPr>
  </w:style>
  <w:style w:type="paragraph" w:customStyle="1" w:styleId="References">
    <w:name w:val="References"/>
    <w:basedOn w:val="BodyText"/>
    <w:link w:val="ReferencesChar"/>
    <w:uiPriority w:val="99"/>
    <w:rsid w:val="002728AE"/>
    <w:pPr>
      <w:widowControl/>
      <w:tabs>
        <w:tab w:val="left" w:pos="567"/>
        <w:tab w:val="left" w:pos="1134"/>
        <w:tab w:val="left" w:pos="1701"/>
        <w:tab w:val="left" w:pos="2268"/>
        <w:tab w:val="left" w:pos="2835"/>
        <w:tab w:val="left" w:pos="3402"/>
        <w:tab w:val="left" w:pos="3969"/>
      </w:tabs>
      <w:spacing w:before="0" w:line="288" w:lineRule="auto"/>
      <w:ind w:left="284" w:hanging="284"/>
      <w:jc w:val="both"/>
    </w:pPr>
    <w:rPr>
      <w:rFonts w:ascii="Arial" w:hAnsi="Arial"/>
      <w:b w:val="0"/>
      <w:sz w:val="22"/>
    </w:rPr>
  </w:style>
  <w:style w:type="character" w:styleId="PageNumber">
    <w:name w:val="page number"/>
    <w:basedOn w:val="DefaultParagraphFont"/>
    <w:uiPriority w:val="99"/>
    <w:rsid w:val="002728AE"/>
  </w:style>
  <w:style w:type="paragraph" w:customStyle="1" w:styleId="para">
    <w:name w:val="para"/>
    <w:basedOn w:val="Normal"/>
    <w:next w:val="Normal"/>
    <w:uiPriority w:val="99"/>
    <w:rsid w:val="002728AE"/>
    <w:pPr>
      <w:spacing w:before="120" w:after="240"/>
    </w:pPr>
    <w:rPr>
      <w:szCs w:val="20"/>
    </w:rPr>
  </w:style>
  <w:style w:type="paragraph" w:styleId="BodyTextIndent2">
    <w:name w:val="Body Text Indent 2"/>
    <w:basedOn w:val="Normal"/>
    <w:link w:val="BodyTextIndent2Char"/>
    <w:uiPriority w:val="99"/>
    <w:rsid w:val="002728AE"/>
    <w:pPr>
      <w:spacing w:before="160" w:after="120" w:line="300" w:lineRule="atLeast"/>
      <w:ind w:left="1259" w:hanging="1259"/>
      <w:jc w:val="both"/>
    </w:pPr>
    <w:rPr>
      <w:rFonts w:ascii="Arial" w:hAnsi="Arial" w:cs="Arial"/>
      <w:b/>
      <w:bCs/>
    </w:rPr>
  </w:style>
  <w:style w:type="character" w:customStyle="1" w:styleId="BodyTextIndent2Char">
    <w:name w:val="Body Text Indent 2 Char"/>
    <w:basedOn w:val="DefaultParagraphFont"/>
    <w:link w:val="BodyTextIndent2"/>
    <w:uiPriority w:val="99"/>
    <w:rsid w:val="002728AE"/>
    <w:rPr>
      <w:rFonts w:ascii="Arial" w:eastAsia="Times New Roman" w:hAnsi="Arial" w:cs="Arial"/>
      <w:b/>
      <w:bCs/>
      <w:sz w:val="22"/>
      <w:szCs w:val="24"/>
      <w:lang w:eastAsia="en-US"/>
    </w:rPr>
  </w:style>
  <w:style w:type="paragraph" w:customStyle="1" w:styleId="AQIS5">
    <w:name w:val="AQIS5"/>
    <w:basedOn w:val="Normal"/>
    <w:next w:val="AQISText"/>
    <w:link w:val="AQIS5Char"/>
    <w:uiPriority w:val="99"/>
    <w:rsid w:val="002728AE"/>
    <w:pPr>
      <w:keepNext/>
      <w:keepLines/>
      <w:widowControl w:val="0"/>
      <w:spacing w:before="360" w:line="340" w:lineRule="atLeast"/>
    </w:pPr>
    <w:rPr>
      <w:rFonts w:ascii="Arial" w:hAnsi="Arial"/>
      <w:b/>
      <w:szCs w:val="20"/>
    </w:rPr>
  </w:style>
  <w:style w:type="paragraph" w:styleId="TOC4">
    <w:name w:val="toc 4"/>
    <w:basedOn w:val="Normal"/>
    <w:next w:val="Normal"/>
    <w:autoRedefine/>
    <w:uiPriority w:val="99"/>
    <w:semiHidden/>
    <w:rsid w:val="002728AE"/>
    <w:pPr>
      <w:tabs>
        <w:tab w:val="left" w:pos="1800"/>
        <w:tab w:val="right" w:leader="dot" w:pos="8755"/>
      </w:tabs>
      <w:spacing w:before="20" w:after="20" w:line="240" w:lineRule="atLeast"/>
      <w:ind w:left="1800" w:hanging="1080"/>
    </w:pPr>
    <w:rPr>
      <w:rFonts w:ascii="Helvetica" w:hAnsi="Helvetica"/>
      <w:i/>
      <w:sz w:val="20"/>
      <w:szCs w:val="20"/>
    </w:rPr>
  </w:style>
  <w:style w:type="paragraph" w:styleId="TOC5">
    <w:name w:val="toc 5"/>
    <w:basedOn w:val="Normal"/>
    <w:next w:val="Normal"/>
    <w:autoRedefine/>
    <w:uiPriority w:val="99"/>
    <w:semiHidden/>
    <w:rsid w:val="002728AE"/>
    <w:pPr>
      <w:tabs>
        <w:tab w:val="left" w:pos="2040"/>
        <w:tab w:val="right" w:leader="dot" w:pos="8755"/>
      </w:tabs>
      <w:ind w:left="960"/>
    </w:pPr>
    <w:rPr>
      <w:rFonts w:ascii="Arial" w:hAnsi="Arial" w:cs="Arial"/>
      <w:sz w:val="20"/>
      <w:szCs w:val="20"/>
    </w:rPr>
  </w:style>
  <w:style w:type="paragraph" w:styleId="TOC6">
    <w:name w:val="toc 6"/>
    <w:basedOn w:val="Normal"/>
    <w:next w:val="Normal"/>
    <w:autoRedefine/>
    <w:uiPriority w:val="99"/>
    <w:semiHidden/>
    <w:rsid w:val="002728AE"/>
    <w:pPr>
      <w:ind w:left="1200"/>
    </w:pPr>
  </w:style>
  <w:style w:type="paragraph" w:styleId="TOC7">
    <w:name w:val="toc 7"/>
    <w:basedOn w:val="Normal"/>
    <w:next w:val="Normal"/>
    <w:autoRedefine/>
    <w:uiPriority w:val="99"/>
    <w:semiHidden/>
    <w:rsid w:val="002728AE"/>
    <w:pPr>
      <w:ind w:left="1440"/>
    </w:pPr>
  </w:style>
  <w:style w:type="paragraph" w:styleId="TOC8">
    <w:name w:val="toc 8"/>
    <w:basedOn w:val="Normal"/>
    <w:next w:val="Normal"/>
    <w:autoRedefine/>
    <w:uiPriority w:val="99"/>
    <w:semiHidden/>
    <w:rsid w:val="002728AE"/>
    <w:pPr>
      <w:ind w:left="1680"/>
    </w:pPr>
  </w:style>
  <w:style w:type="paragraph" w:styleId="TOC9">
    <w:name w:val="toc 9"/>
    <w:basedOn w:val="Normal"/>
    <w:next w:val="Normal"/>
    <w:autoRedefine/>
    <w:uiPriority w:val="99"/>
    <w:semiHidden/>
    <w:rsid w:val="002728AE"/>
    <w:pPr>
      <w:ind w:left="1920"/>
    </w:pPr>
  </w:style>
  <w:style w:type="character" w:customStyle="1" w:styleId="goohl0">
    <w:name w:val="goohl0"/>
    <w:basedOn w:val="DefaultParagraphFont"/>
    <w:uiPriority w:val="99"/>
    <w:rsid w:val="002728AE"/>
  </w:style>
  <w:style w:type="character" w:customStyle="1" w:styleId="goohl1">
    <w:name w:val="goohl1"/>
    <w:basedOn w:val="DefaultParagraphFont"/>
    <w:uiPriority w:val="99"/>
    <w:rsid w:val="002728AE"/>
  </w:style>
  <w:style w:type="character" w:customStyle="1" w:styleId="goohl2">
    <w:name w:val="goohl2"/>
    <w:basedOn w:val="DefaultParagraphFont"/>
    <w:uiPriority w:val="99"/>
    <w:rsid w:val="002728AE"/>
  </w:style>
  <w:style w:type="character" w:customStyle="1" w:styleId="goohl3">
    <w:name w:val="goohl3"/>
    <w:basedOn w:val="DefaultParagraphFont"/>
    <w:uiPriority w:val="99"/>
    <w:rsid w:val="002728AE"/>
  </w:style>
  <w:style w:type="character" w:customStyle="1" w:styleId="homesmall">
    <w:name w:val="homesmall"/>
    <w:basedOn w:val="DefaultParagraphFont"/>
    <w:uiPriority w:val="99"/>
    <w:rsid w:val="002728AE"/>
  </w:style>
  <w:style w:type="paragraph" w:styleId="PlainText">
    <w:name w:val="Plain Text"/>
    <w:basedOn w:val="Normal"/>
    <w:link w:val="PlainTextChar"/>
    <w:uiPriority w:val="99"/>
    <w:rsid w:val="002728AE"/>
    <w:rPr>
      <w:rFonts w:ascii="Courier New" w:hAnsi="Courier New"/>
      <w:sz w:val="20"/>
      <w:szCs w:val="20"/>
    </w:rPr>
  </w:style>
  <w:style w:type="character" w:customStyle="1" w:styleId="PlainTextChar">
    <w:name w:val="Plain Text Char"/>
    <w:basedOn w:val="DefaultParagraphFont"/>
    <w:link w:val="PlainText"/>
    <w:uiPriority w:val="99"/>
    <w:rsid w:val="002728AE"/>
    <w:rPr>
      <w:rFonts w:ascii="Courier New" w:eastAsia="Times New Roman" w:hAnsi="Courier New"/>
      <w:lang w:eastAsia="en-US"/>
    </w:rPr>
  </w:style>
  <w:style w:type="paragraph" w:styleId="NormalIndent">
    <w:name w:val="Normal Indent"/>
    <w:basedOn w:val="Normal"/>
    <w:uiPriority w:val="99"/>
    <w:rsid w:val="002728AE"/>
    <w:pPr>
      <w:widowControl w:val="0"/>
      <w:spacing w:line="340" w:lineRule="atLeast"/>
      <w:ind w:left="720"/>
    </w:pPr>
    <w:rPr>
      <w:szCs w:val="20"/>
    </w:rPr>
  </w:style>
  <w:style w:type="paragraph" w:customStyle="1" w:styleId="DSUSubparaChar">
    <w:name w:val="DSU Sub para Char"/>
    <w:basedOn w:val="Normal"/>
    <w:rsid w:val="002728AE"/>
    <w:pPr>
      <w:numPr>
        <w:numId w:val="13"/>
      </w:numPr>
      <w:autoSpaceDE w:val="0"/>
      <w:autoSpaceDN w:val="0"/>
      <w:adjustRightInd w:val="0"/>
      <w:spacing w:before="240" w:after="240"/>
    </w:pPr>
    <w:rPr>
      <w:rFonts w:ascii="TimesNewRoman" w:eastAsia="SimSun" w:hAnsi="TimesNewRoman"/>
      <w:lang w:eastAsia="zh-CN"/>
    </w:rPr>
  </w:style>
  <w:style w:type="paragraph" w:customStyle="1" w:styleId="Heading1Egypt">
    <w:name w:val="Heading 1 Egypt"/>
    <w:basedOn w:val="Heading4"/>
    <w:next w:val="AQISText"/>
    <w:autoRedefine/>
    <w:rsid w:val="002728AE"/>
    <w:pPr>
      <w:keepLines w:val="0"/>
      <w:widowControl w:val="0"/>
      <w:numPr>
        <w:numId w:val="14"/>
      </w:numPr>
      <w:tabs>
        <w:tab w:val="clear" w:pos="360"/>
        <w:tab w:val="num" w:pos="432"/>
      </w:tabs>
      <w:spacing w:before="240" w:after="60" w:line="340" w:lineRule="atLeast"/>
      <w:ind w:left="432" w:hanging="432"/>
    </w:pPr>
    <w:rPr>
      <w:rFonts w:ascii="Arial" w:hAnsi="Arial"/>
      <w:bCs w:val="0"/>
      <w:iCs w:val="0"/>
      <w:caps/>
      <w:sz w:val="28"/>
      <w:szCs w:val="20"/>
    </w:rPr>
  </w:style>
  <w:style w:type="paragraph" w:customStyle="1" w:styleId="Heading3Egypt">
    <w:name w:val="Heading 3 Egypt"/>
    <w:basedOn w:val="Heading2"/>
    <w:autoRedefine/>
    <w:rsid w:val="002728AE"/>
    <w:pPr>
      <w:keepLines w:val="0"/>
      <w:numPr>
        <w:ilvl w:val="2"/>
        <w:numId w:val="14"/>
      </w:numPr>
      <w:tabs>
        <w:tab w:val="left" w:pos="1134"/>
      </w:tabs>
      <w:spacing w:before="240" w:after="60"/>
    </w:pPr>
    <w:rPr>
      <w:rFonts w:ascii="Arial" w:hAnsi="Arial"/>
      <w:bCs w:val="0"/>
      <w:i/>
      <w:sz w:val="24"/>
      <w:szCs w:val="20"/>
    </w:rPr>
  </w:style>
  <w:style w:type="paragraph" w:customStyle="1" w:styleId="Heading2Egypt">
    <w:name w:val="Heading 2 Egypt"/>
    <w:basedOn w:val="Heading1Egypt"/>
    <w:next w:val="AQISText"/>
    <w:autoRedefine/>
    <w:rsid w:val="002728AE"/>
    <w:pPr>
      <w:numPr>
        <w:ilvl w:val="1"/>
      </w:numPr>
      <w:tabs>
        <w:tab w:val="clear" w:pos="720"/>
        <w:tab w:val="num" w:pos="576"/>
      </w:tabs>
      <w:ind w:left="576" w:hanging="576"/>
      <w:outlineLvl w:val="1"/>
    </w:pPr>
    <w:rPr>
      <w:caps w:val="0"/>
      <w:sz w:val="24"/>
    </w:rPr>
  </w:style>
  <w:style w:type="paragraph" w:customStyle="1" w:styleId="AQIS4">
    <w:name w:val="AQIS4"/>
    <w:basedOn w:val="Normal"/>
    <w:next w:val="AQISText"/>
    <w:link w:val="AQIS4Char"/>
    <w:uiPriority w:val="99"/>
    <w:rsid w:val="002728AE"/>
    <w:pPr>
      <w:keepNext/>
      <w:keepLines/>
      <w:widowControl w:val="0"/>
      <w:spacing w:before="360" w:line="340" w:lineRule="atLeast"/>
    </w:pPr>
    <w:rPr>
      <w:rFonts w:ascii="Arial" w:hAnsi="Arial"/>
      <w:b/>
      <w:szCs w:val="20"/>
    </w:rPr>
  </w:style>
  <w:style w:type="paragraph" w:customStyle="1" w:styleId="BAText1">
    <w:name w:val="BA Text 1"/>
    <w:basedOn w:val="Normal"/>
    <w:link w:val="BAText1Char"/>
    <w:rsid w:val="002728AE"/>
    <w:pPr>
      <w:spacing w:line="280" w:lineRule="atLeast"/>
      <w:jc w:val="both"/>
    </w:pPr>
    <w:rPr>
      <w:rFonts w:ascii="Times" w:hAnsi="Times"/>
    </w:rPr>
  </w:style>
  <w:style w:type="character" w:customStyle="1" w:styleId="BAText1Char">
    <w:name w:val="BA Text 1 Char"/>
    <w:basedOn w:val="DefaultParagraphFont"/>
    <w:link w:val="BAText1"/>
    <w:rsid w:val="002728AE"/>
    <w:rPr>
      <w:rFonts w:ascii="Times" w:eastAsia="Times New Roman" w:hAnsi="Times"/>
      <w:sz w:val="24"/>
      <w:szCs w:val="24"/>
      <w:lang w:eastAsia="en-US"/>
    </w:rPr>
  </w:style>
  <w:style w:type="paragraph" w:customStyle="1" w:styleId="BAText">
    <w:name w:val="BA Text"/>
    <w:basedOn w:val="Normal"/>
    <w:link w:val="BATextCharChar"/>
    <w:uiPriority w:val="99"/>
    <w:rsid w:val="002728AE"/>
    <w:pPr>
      <w:spacing w:after="120" w:line="260" w:lineRule="atLeast"/>
    </w:pPr>
    <w:rPr>
      <w:bCs/>
      <w:szCs w:val="20"/>
    </w:rPr>
  </w:style>
  <w:style w:type="character" w:customStyle="1" w:styleId="BATextCharChar">
    <w:name w:val="BA Text Char Char"/>
    <w:basedOn w:val="DefaultParagraphFont"/>
    <w:link w:val="BAText"/>
    <w:uiPriority w:val="99"/>
    <w:rsid w:val="002728AE"/>
    <w:rPr>
      <w:rFonts w:ascii="Times New Roman" w:eastAsia="Times New Roman" w:hAnsi="Times New Roman"/>
      <w:bCs/>
      <w:sz w:val="22"/>
      <w:lang w:eastAsia="en-US"/>
    </w:rPr>
  </w:style>
  <w:style w:type="paragraph" w:customStyle="1" w:styleId="BAText1bullet">
    <w:name w:val="BA Text 1 bullet"/>
    <w:basedOn w:val="BAText1"/>
    <w:link w:val="BAText1bulletChar"/>
    <w:uiPriority w:val="99"/>
    <w:rsid w:val="002728AE"/>
  </w:style>
  <w:style w:type="paragraph" w:customStyle="1" w:styleId="BAReftext1">
    <w:name w:val="BA Ref text 1"/>
    <w:basedOn w:val="Normal"/>
    <w:link w:val="BAReftext1Char"/>
    <w:uiPriority w:val="99"/>
    <w:rsid w:val="002728AE"/>
    <w:pPr>
      <w:tabs>
        <w:tab w:val="left" w:pos="360"/>
      </w:tabs>
      <w:spacing w:before="180" w:line="200" w:lineRule="atLeast"/>
      <w:ind w:left="357" w:hanging="357"/>
      <w:jc w:val="both"/>
    </w:pPr>
    <w:rPr>
      <w:rFonts w:ascii="Times" w:hAnsi="Times"/>
    </w:rPr>
  </w:style>
  <w:style w:type="character" w:customStyle="1" w:styleId="BAReftext1Char">
    <w:name w:val="BA Ref text 1 Char"/>
    <w:basedOn w:val="DefaultParagraphFont"/>
    <w:link w:val="BAReftext1"/>
    <w:uiPriority w:val="99"/>
    <w:rsid w:val="002728AE"/>
    <w:rPr>
      <w:rFonts w:ascii="Times" w:eastAsia="Times New Roman" w:hAnsi="Times"/>
      <w:sz w:val="24"/>
      <w:szCs w:val="22"/>
      <w:lang w:eastAsia="en-US"/>
    </w:rPr>
  </w:style>
  <w:style w:type="paragraph" w:customStyle="1" w:styleId="references0">
    <w:name w:val="references"/>
    <w:basedOn w:val="paraChar"/>
    <w:uiPriority w:val="99"/>
    <w:rsid w:val="002728AE"/>
    <w:pPr>
      <w:numPr>
        <w:numId w:val="0"/>
      </w:numPr>
      <w:tabs>
        <w:tab w:val="num" w:pos="567"/>
      </w:tabs>
      <w:ind w:left="851" w:hanging="851"/>
    </w:pPr>
  </w:style>
  <w:style w:type="paragraph" w:customStyle="1" w:styleId="paraChar">
    <w:name w:val="para Char"/>
    <w:basedOn w:val="Normal"/>
    <w:next w:val="Normal"/>
    <w:uiPriority w:val="99"/>
    <w:rsid w:val="002728AE"/>
    <w:pPr>
      <w:numPr>
        <w:numId w:val="15"/>
      </w:numPr>
      <w:tabs>
        <w:tab w:val="clear" w:pos="360"/>
      </w:tabs>
      <w:spacing w:before="120" w:after="240"/>
      <w:ind w:left="0" w:firstLine="0"/>
    </w:pPr>
    <w:rPr>
      <w:szCs w:val="20"/>
    </w:rPr>
  </w:style>
  <w:style w:type="character" w:customStyle="1" w:styleId="bigger1">
    <w:name w:val="bigger1"/>
    <w:basedOn w:val="DefaultParagraphFont"/>
    <w:uiPriority w:val="99"/>
    <w:rsid w:val="002728AE"/>
    <w:rPr>
      <w:sz w:val="27"/>
      <w:szCs w:val="27"/>
    </w:rPr>
  </w:style>
  <w:style w:type="paragraph" w:customStyle="1" w:styleId="fieldvalue">
    <w:name w:val="fieldvalue"/>
    <w:basedOn w:val="Normal"/>
    <w:uiPriority w:val="99"/>
    <w:rsid w:val="002728AE"/>
    <w:pPr>
      <w:spacing w:before="15" w:after="45"/>
      <w:ind w:right="90"/>
    </w:pPr>
    <w:rPr>
      <w:rFonts w:ascii="Verdana" w:hAnsi="Verdana"/>
      <w:color w:val="000000"/>
      <w:sz w:val="17"/>
      <w:szCs w:val="17"/>
    </w:rPr>
  </w:style>
  <w:style w:type="paragraph" w:customStyle="1" w:styleId="hangingnoindent">
    <w:name w:val="hangingnoindent"/>
    <w:basedOn w:val="Normal"/>
    <w:uiPriority w:val="99"/>
    <w:rsid w:val="002728AE"/>
    <w:pPr>
      <w:spacing w:after="120"/>
      <w:ind w:left="480" w:hanging="480"/>
    </w:pPr>
    <w:rPr>
      <w:sz w:val="19"/>
      <w:szCs w:val="19"/>
    </w:rPr>
  </w:style>
  <w:style w:type="paragraph" w:customStyle="1" w:styleId="AQISReferences">
    <w:name w:val="AQIS References"/>
    <w:basedOn w:val="Normal"/>
    <w:link w:val="AQISReferencesCharChar"/>
    <w:uiPriority w:val="99"/>
    <w:rsid w:val="002728AE"/>
    <w:pPr>
      <w:tabs>
        <w:tab w:val="left" w:pos="567"/>
        <w:tab w:val="left" w:pos="1134"/>
        <w:tab w:val="left" w:pos="1701"/>
        <w:tab w:val="left" w:pos="2268"/>
        <w:tab w:val="left" w:pos="2835"/>
        <w:tab w:val="left" w:pos="3402"/>
        <w:tab w:val="left" w:pos="3969"/>
      </w:tabs>
      <w:spacing w:after="120" w:line="288" w:lineRule="auto"/>
      <w:ind w:left="284" w:hanging="284"/>
    </w:pPr>
  </w:style>
  <w:style w:type="character" w:customStyle="1" w:styleId="AQISReferencesCharChar">
    <w:name w:val="AQIS References Char Char"/>
    <w:basedOn w:val="DefaultParagraphFont"/>
    <w:link w:val="AQISReferences"/>
    <w:uiPriority w:val="99"/>
    <w:rsid w:val="002728AE"/>
    <w:rPr>
      <w:rFonts w:ascii="Times New Roman" w:eastAsia="Times New Roman" w:hAnsi="Times New Roman"/>
      <w:sz w:val="24"/>
      <w:szCs w:val="24"/>
      <w:lang w:eastAsia="en-US"/>
    </w:rPr>
  </w:style>
  <w:style w:type="paragraph" w:customStyle="1" w:styleId="AQISFigure">
    <w:name w:val="AQIS Figure"/>
    <w:basedOn w:val="AQISText"/>
    <w:next w:val="AQISText"/>
    <w:uiPriority w:val="99"/>
    <w:rsid w:val="002728AE"/>
    <w:pPr>
      <w:widowControl/>
      <w:tabs>
        <w:tab w:val="left" w:pos="1134"/>
        <w:tab w:val="left" w:pos="1418"/>
      </w:tabs>
      <w:adjustRightInd/>
      <w:spacing w:before="360" w:after="360"/>
      <w:jc w:val="center"/>
      <w:textAlignment w:val="auto"/>
    </w:pPr>
    <w:rPr>
      <w:rFonts w:ascii="Arial" w:hAnsi="Arial"/>
      <w:b/>
    </w:rPr>
  </w:style>
  <w:style w:type="character" w:customStyle="1" w:styleId="BAHeader3CharChar">
    <w:name w:val="BA Header 3 Char Char"/>
    <w:basedOn w:val="DefaultParagraphFont"/>
    <w:link w:val="BAHeader3"/>
    <w:rsid w:val="002728AE"/>
    <w:rPr>
      <w:rFonts w:ascii="Arial" w:eastAsiaTheme="minorHAnsi" w:hAnsi="Arial" w:cstheme="minorBidi"/>
      <w:b/>
      <w:sz w:val="22"/>
      <w:szCs w:val="22"/>
      <w:lang w:eastAsia="en-US"/>
    </w:rPr>
  </w:style>
  <w:style w:type="paragraph" w:customStyle="1" w:styleId="Bulletsingle">
    <w:name w:val="Bullet (single)"/>
    <w:basedOn w:val="Normal"/>
    <w:uiPriority w:val="99"/>
    <w:rsid w:val="002728AE"/>
    <w:pPr>
      <w:widowControl w:val="0"/>
      <w:numPr>
        <w:numId w:val="16"/>
      </w:numPr>
      <w:spacing w:before="60" w:line="340" w:lineRule="atLeast"/>
    </w:pPr>
    <w:rPr>
      <w:szCs w:val="20"/>
    </w:rPr>
  </w:style>
  <w:style w:type="paragraph" w:customStyle="1" w:styleId="dot0">
    <w:name w:val="dot"/>
    <w:basedOn w:val="Normal"/>
    <w:rsid w:val="002728AE"/>
    <w:pPr>
      <w:numPr>
        <w:numId w:val="29"/>
      </w:numPr>
    </w:pPr>
  </w:style>
  <w:style w:type="paragraph" w:customStyle="1" w:styleId="aqisnum0">
    <w:name w:val="aqisnum"/>
    <w:basedOn w:val="Normal"/>
    <w:uiPriority w:val="99"/>
    <w:rsid w:val="002728AE"/>
    <w:pPr>
      <w:spacing w:before="100" w:beforeAutospacing="1" w:after="100" w:afterAutospacing="1"/>
    </w:pPr>
  </w:style>
  <w:style w:type="table" w:styleId="TableSimple1">
    <w:name w:val="Table Simple 1"/>
    <w:basedOn w:val="TableNormal"/>
    <w:uiPriority w:val="99"/>
    <w:rsid w:val="002728AE"/>
    <w:pPr>
      <w:widowControl w:val="0"/>
      <w:spacing w:line="340" w:lineRule="atLeast"/>
    </w:pPr>
    <w:rPr>
      <w:rFonts w:ascii="Times New Roman" w:eastAsia="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listdetail1">
    <w:name w:val="listdetail1"/>
    <w:basedOn w:val="DefaultParagraphFont"/>
    <w:uiPriority w:val="99"/>
    <w:rsid w:val="002728AE"/>
    <w:rPr>
      <w:rFonts w:ascii="arial sans-serif small" w:hAnsi="arial sans-serif small" w:hint="default"/>
      <w:color w:val="333333"/>
      <w:sz w:val="20"/>
      <w:szCs w:val="20"/>
    </w:rPr>
  </w:style>
  <w:style w:type="paragraph" w:customStyle="1" w:styleId="AppendixHeading1">
    <w:name w:val="Appendix Heading 1."/>
    <w:basedOn w:val="Heading1"/>
    <w:next w:val="Normal"/>
    <w:uiPriority w:val="99"/>
    <w:rsid w:val="002728AE"/>
    <w:pPr>
      <w:keepNext w:val="0"/>
      <w:keepLines w:val="0"/>
      <w:pageBreakBefore w:val="0"/>
      <w:widowControl w:val="0"/>
      <w:numPr>
        <w:numId w:val="17"/>
      </w:numPr>
      <w:pBdr>
        <w:bottom w:val="single" w:sz="4" w:space="1" w:color="auto"/>
      </w:pBdr>
      <w:tabs>
        <w:tab w:val="left" w:pos="1980"/>
      </w:tabs>
      <w:spacing w:before="120" w:after="360" w:line="340" w:lineRule="atLeast"/>
      <w:jc w:val="both"/>
    </w:pPr>
    <w:rPr>
      <w:rFonts w:ascii="Arial" w:hAnsi="Arial"/>
      <w:b/>
      <w:bCs w:val="0"/>
      <w:color w:val="auto"/>
      <w:sz w:val="28"/>
    </w:rPr>
  </w:style>
  <w:style w:type="paragraph" w:customStyle="1" w:styleId="Char1">
    <w:name w:val="Char1"/>
    <w:basedOn w:val="Normal"/>
    <w:uiPriority w:val="99"/>
    <w:rsid w:val="002728AE"/>
    <w:rPr>
      <w:rFonts w:ascii="Arial" w:hAnsi="Arial"/>
      <w:szCs w:val="20"/>
    </w:rPr>
  </w:style>
  <w:style w:type="paragraph" w:customStyle="1" w:styleId="BAAppend1">
    <w:name w:val="BA Append 1"/>
    <w:basedOn w:val="BAHeader1"/>
    <w:uiPriority w:val="99"/>
    <w:rsid w:val="002728AE"/>
    <w:pPr>
      <w:numPr>
        <w:numId w:val="0"/>
      </w:numPr>
    </w:pPr>
  </w:style>
  <w:style w:type="paragraph" w:customStyle="1" w:styleId="BAFigureHeading">
    <w:name w:val="BA Figure Heading"/>
    <w:basedOn w:val="Normal"/>
    <w:autoRedefine/>
    <w:uiPriority w:val="99"/>
    <w:rsid w:val="002728AE"/>
    <w:pPr>
      <w:spacing w:before="60" w:after="60"/>
    </w:pPr>
    <w:rPr>
      <w:rFonts w:ascii="Arial" w:hAnsi="Arial"/>
      <w:b/>
      <w:bCs/>
    </w:rPr>
  </w:style>
  <w:style w:type="character" w:customStyle="1" w:styleId="BAHeader1CharChar">
    <w:name w:val="BA Header 1 Char Char"/>
    <w:basedOn w:val="DefaultParagraphFont"/>
    <w:link w:val="BAHeader1"/>
    <w:rsid w:val="002728AE"/>
    <w:rPr>
      <w:rFonts w:ascii="Arial" w:eastAsiaTheme="minorHAnsi" w:hAnsi="Arial" w:cstheme="minorBidi"/>
      <w:b/>
      <w:sz w:val="28"/>
      <w:szCs w:val="28"/>
      <w:lang w:eastAsia="en-US"/>
    </w:rPr>
  </w:style>
  <w:style w:type="paragraph" w:customStyle="1" w:styleId="Headernonumb">
    <w:name w:val="Header no numb"/>
    <w:basedOn w:val="BAHeader1"/>
    <w:uiPriority w:val="99"/>
    <w:rsid w:val="002728AE"/>
    <w:pPr>
      <w:numPr>
        <w:numId w:val="0"/>
      </w:numPr>
    </w:pPr>
  </w:style>
  <w:style w:type="paragraph" w:customStyle="1" w:styleId="NormalBulletafter">
    <w:name w:val="Normal Bullet after"/>
    <w:basedOn w:val="Normal"/>
    <w:uiPriority w:val="99"/>
    <w:rsid w:val="002728AE"/>
    <w:pPr>
      <w:spacing w:after="120"/>
    </w:pPr>
  </w:style>
  <w:style w:type="numbering" w:customStyle="1" w:styleId="Bullet">
    <w:name w:val="Bullet"/>
    <w:basedOn w:val="NoList"/>
    <w:link w:val="BulletChar"/>
    <w:rsid w:val="002728AE"/>
    <w:pPr>
      <w:numPr>
        <w:numId w:val="18"/>
      </w:numPr>
    </w:pPr>
  </w:style>
  <w:style w:type="paragraph" w:customStyle="1" w:styleId="Bulletlast">
    <w:name w:val="Bullet last"/>
    <w:basedOn w:val="Normal"/>
    <w:uiPriority w:val="99"/>
    <w:rsid w:val="002728AE"/>
    <w:pPr>
      <w:numPr>
        <w:numId w:val="19"/>
      </w:numPr>
      <w:spacing w:after="240"/>
    </w:pPr>
  </w:style>
  <w:style w:type="character" w:customStyle="1" w:styleId="bluetitle">
    <w:name w:val="bluetitle"/>
    <w:basedOn w:val="DefaultParagraphFont"/>
    <w:uiPriority w:val="99"/>
    <w:rsid w:val="002728AE"/>
  </w:style>
  <w:style w:type="paragraph" w:customStyle="1" w:styleId="BATableheader">
    <w:name w:val="BA Table header"/>
    <w:basedOn w:val="AQISText"/>
    <w:next w:val="AQISText"/>
    <w:rsid w:val="002728AE"/>
    <w:pPr>
      <w:widowControl/>
      <w:tabs>
        <w:tab w:val="num" w:pos="1134"/>
      </w:tabs>
      <w:adjustRightInd/>
      <w:spacing w:before="360" w:after="60"/>
      <w:ind w:left="1134" w:hanging="1134"/>
      <w:jc w:val="left"/>
      <w:textAlignment w:val="auto"/>
    </w:pPr>
    <w:rPr>
      <w:rFonts w:ascii="Arial" w:hAnsi="Arial"/>
      <w:b/>
    </w:rPr>
  </w:style>
  <w:style w:type="paragraph" w:customStyle="1" w:styleId="BAHeader4">
    <w:name w:val="BA Header 4"/>
    <w:link w:val="BAHeader4CharChar"/>
    <w:rsid w:val="002728AE"/>
    <w:pPr>
      <w:keepNext/>
      <w:spacing w:before="240" w:after="120"/>
    </w:pPr>
    <w:rPr>
      <w:rFonts w:ascii="Times New Roman" w:eastAsia="Times New Roman" w:hAnsi="Times New Roman"/>
      <w:b/>
      <w:sz w:val="24"/>
      <w:szCs w:val="22"/>
      <w:lang w:eastAsia="en-US"/>
    </w:rPr>
  </w:style>
  <w:style w:type="paragraph" w:customStyle="1" w:styleId="BAHeader5">
    <w:name w:val="BA Header 5"/>
    <w:basedOn w:val="BAHeader3"/>
    <w:link w:val="BAHeader5Char"/>
    <w:uiPriority w:val="99"/>
    <w:rsid w:val="002728AE"/>
    <w:pPr>
      <w:numPr>
        <w:ilvl w:val="0"/>
        <w:numId w:val="0"/>
      </w:numPr>
      <w:tabs>
        <w:tab w:val="num" w:pos="1620"/>
      </w:tabs>
      <w:outlineLvl w:val="9"/>
    </w:pPr>
    <w:rPr>
      <w:sz w:val="20"/>
      <w:szCs w:val="20"/>
      <w:u w:val="single"/>
    </w:rPr>
  </w:style>
  <w:style w:type="paragraph" w:customStyle="1" w:styleId="Heading2a">
    <w:name w:val="Heading 2a"/>
    <w:basedOn w:val="Heading2"/>
    <w:uiPriority w:val="99"/>
    <w:rsid w:val="002728AE"/>
    <w:pPr>
      <w:keepLines w:val="0"/>
      <w:overflowPunct w:val="0"/>
      <w:autoSpaceDE w:val="0"/>
      <w:autoSpaceDN w:val="0"/>
      <w:adjustRightInd w:val="0"/>
      <w:spacing w:before="360" w:after="120" w:line="340" w:lineRule="atLeast"/>
      <w:textAlignment w:val="baseline"/>
      <w:outlineLvl w:val="9"/>
    </w:pPr>
    <w:rPr>
      <w:rFonts w:ascii="Arial" w:hAnsi="Arial" w:cs="Arial"/>
      <w:color w:val="000000"/>
      <w:sz w:val="28"/>
      <w:szCs w:val="20"/>
    </w:rPr>
  </w:style>
  <w:style w:type="paragraph" w:customStyle="1" w:styleId="BodyIndent">
    <w:name w:val="BodyIndent"/>
    <w:basedOn w:val="Normal"/>
    <w:uiPriority w:val="99"/>
    <w:rsid w:val="002728AE"/>
    <w:pPr>
      <w:numPr>
        <w:numId w:val="20"/>
      </w:numPr>
      <w:tabs>
        <w:tab w:val="left" w:pos="567"/>
        <w:tab w:val="left" w:pos="1134"/>
        <w:tab w:val="left" w:pos="1701"/>
        <w:tab w:val="left" w:pos="2268"/>
        <w:tab w:val="left" w:pos="2835"/>
        <w:tab w:val="left" w:pos="3402"/>
        <w:tab w:val="left" w:pos="3969"/>
      </w:tabs>
      <w:spacing w:before="120" w:after="120"/>
      <w:jc w:val="both"/>
    </w:pPr>
    <w:rPr>
      <w:szCs w:val="20"/>
    </w:rPr>
  </w:style>
  <w:style w:type="character" w:customStyle="1" w:styleId="BAHeader5Char">
    <w:name w:val="BA Header 5 Char"/>
    <w:basedOn w:val="DefaultParagraphFont"/>
    <w:link w:val="BAHeader5"/>
    <w:uiPriority w:val="99"/>
    <w:rsid w:val="002728AE"/>
    <w:rPr>
      <w:rFonts w:ascii="Arial" w:eastAsia="Times New Roman" w:hAnsi="Arial"/>
      <w:b/>
      <w:u w:val="single"/>
      <w:lang w:eastAsia="en-US"/>
    </w:rPr>
  </w:style>
  <w:style w:type="character" w:customStyle="1" w:styleId="BAHeader4CharChar">
    <w:name w:val="BA Header 4 Char Char"/>
    <w:basedOn w:val="BAHeader3CharChar"/>
    <w:link w:val="BAHeader4"/>
    <w:locked/>
    <w:rsid w:val="002728AE"/>
    <w:rPr>
      <w:rFonts w:ascii="Times New Roman" w:eastAsia="Times New Roman" w:hAnsi="Times New Roman" w:cstheme="minorBidi"/>
      <w:b/>
      <w:sz w:val="24"/>
      <w:szCs w:val="22"/>
      <w:lang w:eastAsia="en-US"/>
    </w:rPr>
  </w:style>
  <w:style w:type="paragraph" w:customStyle="1" w:styleId="FigureName">
    <w:name w:val="FigureName"/>
    <w:basedOn w:val="Normal"/>
    <w:uiPriority w:val="99"/>
    <w:rsid w:val="002728AE"/>
    <w:pPr>
      <w:keepNext/>
      <w:keepLines/>
      <w:tabs>
        <w:tab w:val="left" w:pos="1276"/>
      </w:tabs>
      <w:spacing w:before="360" w:after="360" w:line="240" w:lineRule="atLeast"/>
      <w:ind w:left="1276" w:hanging="1276"/>
      <w:outlineLvl w:val="8"/>
    </w:pPr>
    <w:rPr>
      <w:rFonts w:ascii="Arial" w:hAnsi="Arial"/>
      <w:b/>
      <w:color w:val="000000"/>
    </w:rPr>
  </w:style>
  <w:style w:type="paragraph" w:customStyle="1" w:styleId="TableName">
    <w:name w:val="TableName"/>
    <w:basedOn w:val="Normal"/>
    <w:rsid w:val="002728AE"/>
    <w:pPr>
      <w:keepNext/>
      <w:keepLines/>
      <w:tabs>
        <w:tab w:val="left" w:pos="1440"/>
      </w:tabs>
      <w:spacing w:before="240" w:after="120"/>
      <w:ind w:left="1440" w:hanging="1440"/>
    </w:pPr>
    <w:rPr>
      <w:rFonts w:ascii="Arial Bold" w:hAnsi="Arial Bold"/>
      <w:b/>
      <w:color w:val="000000"/>
    </w:rPr>
  </w:style>
  <w:style w:type="character" w:customStyle="1" w:styleId="nlmyear">
    <w:name w:val="nlm_year"/>
    <w:basedOn w:val="DefaultParagraphFont"/>
    <w:uiPriority w:val="99"/>
    <w:rsid w:val="002728AE"/>
  </w:style>
  <w:style w:type="character" w:customStyle="1" w:styleId="citationsource-book1">
    <w:name w:val="citation_source-book1"/>
    <w:basedOn w:val="DefaultParagraphFont"/>
    <w:uiPriority w:val="99"/>
    <w:rsid w:val="002728AE"/>
    <w:rPr>
      <w:i/>
      <w:iCs/>
    </w:rPr>
  </w:style>
  <w:style w:type="character" w:customStyle="1" w:styleId="nlmpublisher-name">
    <w:name w:val="nlm_publisher-name"/>
    <w:basedOn w:val="DefaultParagraphFont"/>
    <w:uiPriority w:val="99"/>
    <w:rsid w:val="002728AE"/>
  </w:style>
  <w:style w:type="character" w:customStyle="1" w:styleId="nlmpublisher-loc">
    <w:name w:val="nlm_publisher-loc"/>
    <w:basedOn w:val="DefaultParagraphFont"/>
    <w:uiPriority w:val="99"/>
    <w:rsid w:val="002728AE"/>
  </w:style>
  <w:style w:type="character" w:customStyle="1" w:styleId="nlmarticle-title">
    <w:name w:val="nlm_article-title"/>
    <w:basedOn w:val="DefaultParagraphFont"/>
    <w:uiPriority w:val="99"/>
    <w:rsid w:val="002728AE"/>
  </w:style>
  <w:style w:type="character" w:customStyle="1" w:styleId="citationsource-journal1">
    <w:name w:val="citation_source-journal1"/>
    <w:basedOn w:val="DefaultParagraphFont"/>
    <w:uiPriority w:val="99"/>
    <w:rsid w:val="002728AE"/>
    <w:rPr>
      <w:i/>
      <w:iCs/>
    </w:rPr>
  </w:style>
  <w:style w:type="character" w:customStyle="1" w:styleId="nlmfpage">
    <w:name w:val="nlm_fpage"/>
    <w:basedOn w:val="DefaultParagraphFont"/>
    <w:uiPriority w:val="99"/>
    <w:rsid w:val="002728AE"/>
  </w:style>
  <w:style w:type="character" w:customStyle="1" w:styleId="nlmlpage">
    <w:name w:val="nlm_lpage"/>
    <w:basedOn w:val="DefaultParagraphFont"/>
    <w:uiPriority w:val="99"/>
    <w:rsid w:val="002728AE"/>
  </w:style>
  <w:style w:type="paragraph" w:customStyle="1" w:styleId="CharChar1Char">
    <w:name w:val="Char Char1 Char"/>
    <w:basedOn w:val="Normal"/>
    <w:uiPriority w:val="99"/>
    <w:rsid w:val="002728AE"/>
    <w:rPr>
      <w:rFonts w:ascii="Arial" w:hAnsi="Arial"/>
      <w:szCs w:val="20"/>
    </w:rPr>
  </w:style>
  <w:style w:type="paragraph" w:customStyle="1" w:styleId="A1Heading1">
    <w:name w:val="A1Heading 1"/>
    <w:basedOn w:val="Heading1"/>
    <w:link w:val="A1Heading1Char"/>
    <w:uiPriority w:val="99"/>
    <w:rsid w:val="002728AE"/>
    <w:pPr>
      <w:keepLines w:val="0"/>
      <w:pageBreakBefore w:val="0"/>
      <w:numPr>
        <w:numId w:val="21"/>
      </w:numPr>
      <w:tabs>
        <w:tab w:val="left" w:pos="1276"/>
      </w:tabs>
      <w:spacing w:before="300"/>
    </w:pPr>
    <w:rPr>
      <w:rFonts w:ascii="Arial" w:hAnsi="Arial"/>
      <w:b/>
      <w:color w:val="auto"/>
      <w:sz w:val="28"/>
      <w:szCs w:val="20"/>
    </w:rPr>
  </w:style>
  <w:style w:type="character" w:customStyle="1" w:styleId="A1Heading1Char">
    <w:name w:val="A1Heading 1 Char"/>
    <w:basedOn w:val="DefaultParagraphFont"/>
    <w:link w:val="A1Heading1"/>
    <w:uiPriority w:val="99"/>
    <w:rsid w:val="002728AE"/>
    <w:rPr>
      <w:rFonts w:ascii="Arial" w:eastAsiaTheme="minorHAnsi" w:hAnsi="Arial" w:cstheme="minorBidi"/>
      <w:b/>
      <w:bCs/>
      <w:sz w:val="28"/>
      <w:lang w:eastAsia="en-US"/>
    </w:rPr>
  </w:style>
  <w:style w:type="paragraph" w:customStyle="1" w:styleId="A1Heading2">
    <w:name w:val="A1Heading 2"/>
    <w:basedOn w:val="Heading2"/>
    <w:uiPriority w:val="99"/>
    <w:rsid w:val="002728AE"/>
    <w:pPr>
      <w:keepLines w:val="0"/>
      <w:numPr>
        <w:numId w:val="21"/>
      </w:numPr>
      <w:spacing w:before="360" w:after="120"/>
      <w:jc w:val="both"/>
    </w:pPr>
    <w:rPr>
      <w:rFonts w:ascii="Arial" w:hAnsi="Arial"/>
      <w:b w:val="0"/>
      <w:bCs w:val="0"/>
      <w:sz w:val="28"/>
      <w:szCs w:val="20"/>
    </w:rPr>
  </w:style>
  <w:style w:type="paragraph" w:customStyle="1" w:styleId="A1Heading3">
    <w:name w:val="A1Heading 3"/>
    <w:basedOn w:val="Heading3"/>
    <w:uiPriority w:val="99"/>
    <w:rsid w:val="002728AE"/>
    <w:pPr>
      <w:tabs>
        <w:tab w:val="num" w:pos="432"/>
      </w:tabs>
      <w:spacing w:before="120" w:after="120"/>
      <w:ind w:left="432" w:hanging="432"/>
    </w:pPr>
    <w:rPr>
      <w:bCs w:val="0"/>
      <w:sz w:val="24"/>
      <w:szCs w:val="20"/>
    </w:rPr>
  </w:style>
  <w:style w:type="paragraph" w:customStyle="1" w:styleId="Style1dotpoints">
    <w:name w:val="Style1dotpoints"/>
    <w:basedOn w:val="Normal"/>
    <w:uiPriority w:val="99"/>
    <w:rsid w:val="002728AE"/>
    <w:pPr>
      <w:numPr>
        <w:numId w:val="22"/>
      </w:numPr>
      <w:spacing w:before="160"/>
      <w:ind w:left="714" w:hanging="357"/>
      <w:jc w:val="both"/>
    </w:pPr>
    <w:rPr>
      <w:b/>
      <w:szCs w:val="20"/>
    </w:rPr>
  </w:style>
  <w:style w:type="paragraph" w:customStyle="1" w:styleId="StyleBAHeader116ptLeft0cmFirstline0cm">
    <w:name w:val="Style BA Header 1 + 16 pt Left:  0 cm First line:  0 cm"/>
    <w:basedOn w:val="Normal"/>
    <w:uiPriority w:val="99"/>
    <w:rsid w:val="002728AE"/>
    <w:pPr>
      <w:pageBreakBefore/>
      <w:widowControl w:val="0"/>
      <w:numPr>
        <w:numId w:val="23"/>
      </w:numPr>
      <w:pBdr>
        <w:bottom w:val="single" w:sz="4" w:space="1" w:color="auto"/>
      </w:pBdr>
      <w:spacing w:before="120" w:after="360" w:line="340" w:lineRule="atLeast"/>
      <w:outlineLvl w:val="0"/>
    </w:pPr>
    <w:rPr>
      <w:rFonts w:ascii="Arial" w:hAnsi="Arial"/>
      <w:b/>
      <w:bCs/>
      <w:sz w:val="32"/>
      <w:szCs w:val="20"/>
    </w:rPr>
  </w:style>
  <w:style w:type="character" w:customStyle="1" w:styleId="info1">
    <w:name w:val="info1"/>
    <w:basedOn w:val="DefaultParagraphFont"/>
    <w:uiPriority w:val="99"/>
    <w:rsid w:val="002728AE"/>
    <w:rPr>
      <w:rFonts w:ascii="arial sans-serif" w:hAnsi="arial sans-serif" w:hint="default"/>
      <w:color w:val="000000"/>
      <w:sz w:val="20"/>
      <w:szCs w:val="20"/>
    </w:rPr>
  </w:style>
  <w:style w:type="character" w:customStyle="1" w:styleId="listnote1">
    <w:name w:val="listnote1"/>
    <w:basedOn w:val="DefaultParagraphFont"/>
    <w:uiPriority w:val="99"/>
    <w:rsid w:val="002728AE"/>
    <w:rPr>
      <w:rFonts w:ascii="arial sans-serif" w:hAnsi="arial sans-serif" w:hint="default"/>
      <w:i/>
      <w:iCs/>
      <w:sz w:val="20"/>
      <w:szCs w:val="20"/>
    </w:rPr>
  </w:style>
  <w:style w:type="paragraph" w:customStyle="1" w:styleId="PARAGSUIVANT">
    <w:name w:val="PARAG. SUIVANT"/>
    <w:basedOn w:val="Default"/>
    <w:next w:val="Default"/>
    <w:uiPriority w:val="99"/>
    <w:rsid w:val="002728AE"/>
    <w:rPr>
      <w:color w:val="auto"/>
    </w:rPr>
  </w:style>
  <w:style w:type="character" w:customStyle="1" w:styleId="BAText1bulletChar">
    <w:name w:val="BA Text 1 bullet Char"/>
    <w:basedOn w:val="BAText1Char"/>
    <w:link w:val="BAText1bullet"/>
    <w:uiPriority w:val="99"/>
    <w:locked/>
    <w:rsid w:val="002728AE"/>
    <w:rPr>
      <w:rFonts w:ascii="Times" w:eastAsia="Times New Roman" w:hAnsi="Times"/>
      <w:sz w:val="24"/>
      <w:szCs w:val="22"/>
      <w:lang w:eastAsia="en-US"/>
    </w:rPr>
  </w:style>
  <w:style w:type="paragraph" w:customStyle="1" w:styleId="text-body">
    <w:name w:val="text-body"/>
    <w:basedOn w:val="Normal"/>
    <w:uiPriority w:val="99"/>
    <w:rsid w:val="002728AE"/>
    <w:pPr>
      <w:spacing w:before="100" w:beforeAutospacing="1" w:after="100" w:afterAutospacing="1"/>
    </w:pPr>
    <w:rPr>
      <w:rFonts w:ascii="Arial" w:hAnsi="Arial" w:cs="Arial"/>
      <w:sz w:val="18"/>
      <w:szCs w:val="18"/>
    </w:rPr>
  </w:style>
  <w:style w:type="character" w:customStyle="1" w:styleId="text-body1">
    <w:name w:val="text-body1"/>
    <w:basedOn w:val="DefaultParagraphFont"/>
    <w:uiPriority w:val="99"/>
    <w:rsid w:val="002728AE"/>
    <w:rPr>
      <w:rFonts w:ascii="Arial" w:hAnsi="Arial" w:cs="Arial" w:hint="default"/>
      <w:b w:val="0"/>
      <w:bCs w:val="0"/>
      <w:strike w:val="0"/>
      <w:dstrike w:val="0"/>
      <w:sz w:val="18"/>
      <w:szCs w:val="18"/>
      <w:u w:val="none"/>
      <w:effect w:val="none"/>
    </w:rPr>
  </w:style>
  <w:style w:type="character" w:customStyle="1" w:styleId="BulletChar">
    <w:name w:val="Bullet Char"/>
    <w:basedOn w:val="DefaultParagraphFont"/>
    <w:link w:val="Bullet"/>
    <w:rsid w:val="002728AE"/>
    <w:rPr>
      <w:color w:val="000000"/>
      <w:sz w:val="24"/>
      <w:szCs w:val="24"/>
      <w:lang w:eastAsia="en-US"/>
    </w:rPr>
  </w:style>
  <w:style w:type="paragraph" w:customStyle="1" w:styleId="Heading1appendix">
    <w:name w:val="Heading 1 (appendix)"/>
    <w:basedOn w:val="Normal"/>
    <w:uiPriority w:val="99"/>
    <w:rsid w:val="002728AE"/>
    <w:pPr>
      <w:keepNext/>
      <w:pageBreakBefore/>
      <w:widowControl w:val="0"/>
      <w:pBdr>
        <w:bottom w:val="single" w:sz="4" w:space="1" w:color="auto"/>
      </w:pBdr>
      <w:tabs>
        <w:tab w:val="num" w:pos="2160"/>
      </w:tabs>
      <w:spacing w:before="120" w:after="360" w:line="340" w:lineRule="atLeast"/>
      <w:ind w:left="2160" w:right="-230" w:hanging="2160"/>
      <w:outlineLvl w:val="0"/>
    </w:pPr>
    <w:rPr>
      <w:rFonts w:ascii="Arial" w:hAnsi="Arial"/>
      <w:b/>
      <w:color w:val="000000"/>
      <w:sz w:val="28"/>
      <w:szCs w:val="28"/>
    </w:rPr>
  </w:style>
  <w:style w:type="character" w:customStyle="1" w:styleId="Italiccharacters">
    <w:name w:val="Italic characters"/>
    <w:basedOn w:val="DefaultParagraphFont"/>
    <w:uiPriority w:val="99"/>
    <w:rsid w:val="002728AE"/>
    <w:rPr>
      <w:sz w:val="22"/>
      <w:lang w:val="en-AU" w:eastAsia="en-US" w:bidi="ar-SA"/>
    </w:rPr>
  </w:style>
  <w:style w:type="paragraph" w:customStyle="1" w:styleId="Heading2b">
    <w:name w:val="Heading 2b"/>
    <w:basedOn w:val="Normal"/>
    <w:uiPriority w:val="99"/>
    <w:rsid w:val="002728AE"/>
    <w:pPr>
      <w:widowControl w:val="0"/>
      <w:pBdr>
        <w:bottom w:val="single" w:sz="4" w:space="1" w:color="auto"/>
      </w:pBdr>
      <w:spacing w:before="120" w:after="360" w:line="340" w:lineRule="atLeast"/>
      <w:outlineLvl w:val="0"/>
    </w:pPr>
    <w:rPr>
      <w:rFonts w:ascii="Arial" w:hAnsi="Arial"/>
      <w:b/>
      <w:color w:val="000000"/>
      <w:sz w:val="28"/>
      <w:szCs w:val="28"/>
    </w:rPr>
  </w:style>
  <w:style w:type="paragraph" w:customStyle="1" w:styleId="Dash">
    <w:name w:val="Dash"/>
    <w:basedOn w:val="Normal"/>
    <w:uiPriority w:val="99"/>
    <w:rsid w:val="002728AE"/>
    <w:pPr>
      <w:numPr>
        <w:numId w:val="24"/>
      </w:numPr>
      <w:tabs>
        <w:tab w:val="clear" w:pos="1440"/>
        <w:tab w:val="num" w:pos="720"/>
      </w:tabs>
      <w:spacing w:after="180" w:line="275" w:lineRule="atLeast"/>
      <w:ind w:left="720"/>
    </w:pPr>
    <w:rPr>
      <w:color w:val="000000"/>
    </w:rPr>
  </w:style>
  <w:style w:type="paragraph" w:customStyle="1" w:styleId="TableHeadings">
    <w:name w:val="TableHeadings"/>
    <w:basedOn w:val="TableText0"/>
    <w:uiPriority w:val="99"/>
    <w:rsid w:val="002728AE"/>
    <w:pPr>
      <w:spacing w:before="40"/>
    </w:pPr>
    <w:rPr>
      <w:rFonts w:ascii="Arial" w:hAnsi="Arial"/>
      <w:b/>
    </w:rPr>
  </w:style>
  <w:style w:type="paragraph" w:customStyle="1" w:styleId="Body">
    <w:name w:val="Body"/>
    <w:basedOn w:val="Normal"/>
    <w:link w:val="BodyChar"/>
    <w:uiPriority w:val="99"/>
    <w:qFormat/>
    <w:rsid w:val="002728AE"/>
    <w:pPr>
      <w:spacing w:before="120"/>
      <w:jc w:val="both"/>
    </w:pPr>
    <w:rPr>
      <w:szCs w:val="20"/>
    </w:rPr>
  </w:style>
  <w:style w:type="paragraph" w:customStyle="1" w:styleId="mainheading">
    <w:name w:val="mainheading"/>
    <w:basedOn w:val="Normal"/>
    <w:uiPriority w:val="99"/>
    <w:rsid w:val="002728AE"/>
    <w:pPr>
      <w:spacing w:before="100" w:beforeAutospacing="1" w:after="100" w:afterAutospacing="1"/>
    </w:pPr>
    <w:rPr>
      <w:sz w:val="19"/>
      <w:szCs w:val="19"/>
    </w:rPr>
  </w:style>
  <w:style w:type="character" w:customStyle="1" w:styleId="taxoclass">
    <w:name w:val="taxoclass"/>
    <w:basedOn w:val="DefaultParagraphFont"/>
    <w:uiPriority w:val="99"/>
    <w:rsid w:val="002728AE"/>
  </w:style>
  <w:style w:type="character" w:customStyle="1" w:styleId="AQISTableTextChar">
    <w:name w:val="AQIS Table Text Char"/>
    <w:basedOn w:val="AQISTextChar"/>
    <w:link w:val="AQISTableText"/>
    <w:uiPriority w:val="99"/>
    <w:rsid w:val="002728AE"/>
    <w:rPr>
      <w:rFonts w:ascii="Times New Roman" w:eastAsia="Times New Roman" w:hAnsi="Times New Roman"/>
      <w:sz w:val="22"/>
      <w:lang w:eastAsia="en-US"/>
    </w:rPr>
  </w:style>
  <w:style w:type="character" w:customStyle="1" w:styleId="AQIS5Char">
    <w:name w:val="AQIS5 Char"/>
    <w:basedOn w:val="DefaultParagraphFont"/>
    <w:link w:val="AQIS5"/>
    <w:uiPriority w:val="99"/>
    <w:rsid w:val="002728AE"/>
    <w:rPr>
      <w:rFonts w:ascii="Arial" w:eastAsia="Times New Roman" w:hAnsi="Arial"/>
      <w:b/>
      <w:sz w:val="24"/>
      <w:lang w:eastAsia="en-US"/>
    </w:rPr>
  </w:style>
  <w:style w:type="paragraph" w:customStyle="1" w:styleId="Append4">
    <w:name w:val="Append 4"/>
    <w:basedOn w:val="Normal"/>
    <w:uiPriority w:val="99"/>
    <w:rsid w:val="002728AE"/>
    <w:pPr>
      <w:numPr>
        <w:numId w:val="25"/>
      </w:numPr>
    </w:pPr>
  </w:style>
  <w:style w:type="character" w:customStyle="1" w:styleId="smaller1">
    <w:name w:val="smaller1"/>
    <w:basedOn w:val="DefaultParagraphFont"/>
    <w:uiPriority w:val="99"/>
    <w:rsid w:val="002728AE"/>
    <w:rPr>
      <w:sz w:val="20"/>
      <w:szCs w:val="20"/>
    </w:rPr>
  </w:style>
  <w:style w:type="character" w:customStyle="1" w:styleId="cpctext1">
    <w:name w:val="cpctext1"/>
    <w:basedOn w:val="DefaultParagraphFont"/>
    <w:uiPriority w:val="99"/>
    <w:rsid w:val="002728AE"/>
    <w:rPr>
      <w:rFonts w:ascii="Arial" w:hAnsi="Arial" w:cs="Arial" w:hint="default"/>
      <w:sz w:val="20"/>
      <w:szCs w:val="20"/>
    </w:rPr>
  </w:style>
  <w:style w:type="character" w:customStyle="1" w:styleId="bluetitle1">
    <w:name w:val="bluetitle1"/>
    <w:basedOn w:val="DefaultParagraphFont"/>
    <w:uiPriority w:val="99"/>
    <w:rsid w:val="002728AE"/>
    <w:rPr>
      <w:b/>
      <w:bCs/>
      <w:color w:val="00BAE2"/>
    </w:rPr>
  </w:style>
  <w:style w:type="character" w:customStyle="1" w:styleId="author1">
    <w:name w:val="author1"/>
    <w:basedOn w:val="DefaultParagraphFont"/>
    <w:uiPriority w:val="99"/>
    <w:rsid w:val="002728AE"/>
    <w:rPr>
      <w:rFonts w:ascii="Arial" w:hAnsi="Arial" w:cs="Arial" w:hint="default"/>
      <w:color w:val="777777"/>
      <w:sz w:val="20"/>
      <w:szCs w:val="20"/>
    </w:rPr>
  </w:style>
  <w:style w:type="character" w:customStyle="1" w:styleId="bigblkbld1">
    <w:name w:val="bigblkbld1"/>
    <w:basedOn w:val="DefaultParagraphFont"/>
    <w:uiPriority w:val="99"/>
    <w:rsid w:val="002728AE"/>
    <w:rPr>
      <w:rFonts w:ascii="Arial" w:hAnsi="Arial" w:cs="Arial" w:hint="default"/>
      <w:b/>
      <w:bCs/>
      <w:i w:val="0"/>
      <w:iCs w:val="0"/>
      <w:color w:val="000000"/>
      <w:sz w:val="24"/>
      <w:szCs w:val="24"/>
    </w:rPr>
  </w:style>
  <w:style w:type="paragraph" w:customStyle="1" w:styleId="main">
    <w:name w:val="main"/>
    <w:basedOn w:val="Normal"/>
    <w:uiPriority w:val="99"/>
    <w:rsid w:val="002728AE"/>
    <w:pPr>
      <w:spacing w:before="240"/>
    </w:pPr>
    <w:rPr>
      <w:rFonts w:ascii="Tahoma" w:hAnsi="Tahoma" w:cs="Tahoma"/>
      <w:b/>
      <w:bCs/>
      <w:color w:val="660000"/>
      <w:sz w:val="34"/>
      <w:szCs w:val="34"/>
    </w:rPr>
  </w:style>
  <w:style w:type="character" w:customStyle="1" w:styleId="caps1">
    <w:name w:val="caps1"/>
    <w:basedOn w:val="DefaultParagraphFont"/>
    <w:uiPriority w:val="99"/>
    <w:rsid w:val="002728AE"/>
    <w:rPr>
      <w:caps/>
    </w:rPr>
  </w:style>
  <w:style w:type="character" w:customStyle="1" w:styleId="lowercase-small-caps1">
    <w:name w:val="lowercase-small-caps1"/>
    <w:basedOn w:val="DefaultParagraphFont"/>
    <w:uiPriority w:val="99"/>
    <w:rsid w:val="002728AE"/>
    <w:rPr>
      <w:smallCaps/>
    </w:rPr>
  </w:style>
  <w:style w:type="paragraph" w:customStyle="1" w:styleId="signed">
    <w:name w:val="signed"/>
    <w:basedOn w:val="Normal"/>
    <w:uiPriority w:val="99"/>
    <w:rsid w:val="002728AE"/>
    <w:pPr>
      <w:spacing w:before="100" w:beforeAutospacing="1" w:after="100" w:afterAutospacing="1"/>
    </w:pPr>
  </w:style>
  <w:style w:type="character" w:customStyle="1" w:styleId="small-caps1">
    <w:name w:val="small-caps1"/>
    <w:basedOn w:val="DefaultParagraphFont"/>
    <w:uiPriority w:val="99"/>
    <w:rsid w:val="002728AE"/>
    <w:rPr>
      <w:smallCaps/>
    </w:rPr>
  </w:style>
  <w:style w:type="paragraph" w:customStyle="1" w:styleId="byline">
    <w:name w:val="byline"/>
    <w:basedOn w:val="Normal"/>
    <w:uiPriority w:val="99"/>
    <w:rsid w:val="002728AE"/>
    <w:pPr>
      <w:spacing w:before="100" w:beforeAutospacing="1" w:after="100" w:afterAutospacing="1"/>
    </w:pPr>
  </w:style>
  <w:style w:type="paragraph" w:customStyle="1" w:styleId="style1dotpoints0">
    <w:name w:val="style1dotpoints"/>
    <w:basedOn w:val="Normal"/>
    <w:uiPriority w:val="99"/>
    <w:rsid w:val="002728AE"/>
    <w:pPr>
      <w:numPr>
        <w:numId w:val="26"/>
      </w:numPr>
      <w:spacing w:before="160"/>
      <w:jc w:val="both"/>
    </w:pPr>
    <w:rPr>
      <w:szCs w:val="20"/>
    </w:rPr>
  </w:style>
  <w:style w:type="numbering" w:customStyle="1" w:styleId="StyleBulleted11pt">
    <w:name w:val="Style Bulleted 11 pt"/>
    <w:basedOn w:val="NoList"/>
    <w:rsid w:val="002728AE"/>
    <w:pPr>
      <w:numPr>
        <w:numId w:val="27"/>
      </w:numPr>
    </w:pPr>
  </w:style>
  <w:style w:type="paragraph" w:customStyle="1" w:styleId="BAAppend2">
    <w:name w:val="BA Append 2"/>
    <w:basedOn w:val="BAHeader2"/>
    <w:uiPriority w:val="99"/>
    <w:rsid w:val="002728AE"/>
    <w:pPr>
      <w:numPr>
        <w:numId w:val="28"/>
      </w:numPr>
      <w:tabs>
        <w:tab w:val="clear" w:pos="1116"/>
        <w:tab w:val="num" w:pos="1440"/>
      </w:tabs>
      <w:ind w:left="1440" w:hanging="360"/>
    </w:pPr>
  </w:style>
  <w:style w:type="paragraph" w:customStyle="1" w:styleId="BAAppend3">
    <w:name w:val="BA Append 3"/>
    <w:basedOn w:val="BAHeader3"/>
    <w:uiPriority w:val="99"/>
    <w:rsid w:val="002728AE"/>
    <w:pPr>
      <w:numPr>
        <w:numId w:val="28"/>
      </w:numPr>
      <w:tabs>
        <w:tab w:val="clear" w:pos="720"/>
        <w:tab w:val="num" w:pos="2160"/>
      </w:tabs>
      <w:ind w:left="2160" w:hanging="360"/>
    </w:pPr>
  </w:style>
  <w:style w:type="character" w:customStyle="1" w:styleId="sCharChar">
    <w:name w:val="s Char Char"/>
    <w:basedOn w:val="DefaultParagraphFont"/>
    <w:uiPriority w:val="99"/>
    <w:semiHidden/>
    <w:locked/>
    <w:rsid w:val="002728AE"/>
    <w:rPr>
      <w:bCs/>
      <w:i/>
      <w:iCs/>
      <w:color w:val="000000"/>
      <w:sz w:val="24"/>
      <w:szCs w:val="26"/>
      <w:lang w:val="en-AU" w:eastAsia="en-US" w:bidi="ar-SA"/>
    </w:rPr>
  </w:style>
  <w:style w:type="character" w:customStyle="1" w:styleId="CharChar5">
    <w:name w:val="Char Char5"/>
    <w:basedOn w:val="DefaultParagraphFont"/>
    <w:uiPriority w:val="99"/>
    <w:semiHidden/>
    <w:locked/>
    <w:rsid w:val="002728AE"/>
    <w:rPr>
      <w:rFonts w:cs="Times New Roman"/>
      <w:sz w:val="20"/>
      <w:szCs w:val="20"/>
      <w:lang w:eastAsia="en-US"/>
    </w:rPr>
  </w:style>
  <w:style w:type="character" w:customStyle="1" w:styleId="BAHeader5CharChar">
    <w:name w:val="BA Header 5 Char Char"/>
    <w:basedOn w:val="DefaultParagraphFont"/>
    <w:uiPriority w:val="99"/>
    <w:locked/>
    <w:rsid w:val="002728AE"/>
    <w:rPr>
      <w:rFonts w:cs="Times New Roman"/>
      <w:b/>
      <w:i/>
      <w:sz w:val="24"/>
      <w:lang w:val="en-AU" w:eastAsia="en-US" w:bidi="ar-SA"/>
    </w:rPr>
  </w:style>
  <w:style w:type="paragraph" w:customStyle="1" w:styleId="BAHeader1-unnumbered">
    <w:name w:val="BA Header 1 - unnumbered"/>
    <w:basedOn w:val="Normal"/>
    <w:next w:val="Normal"/>
    <w:link w:val="BAHeader1-unnumberedCharChar"/>
    <w:uiPriority w:val="99"/>
    <w:rsid w:val="002728AE"/>
    <w:pPr>
      <w:pageBreakBefore/>
      <w:widowControl w:val="0"/>
      <w:pBdr>
        <w:bottom w:val="single" w:sz="4" w:space="1" w:color="auto"/>
      </w:pBdr>
      <w:spacing w:before="120" w:after="360" w:line="340" w:lineRule="atLeast"/>
      <w:outlineLvl w:val="0"/>
    </w:pPr>
    <w:rPr>
      <w:rFonts w:ascii="Arial" w:hAnsi="Arial"/>
      <w:b/>
      <w:sz w:val="28"/>
      <w:szCs w:val="28"/>
    </w:rPr>
  </w:style>
  <w:style w:type="character" w:customStyle="1" w:styleId="BAHeader1-unnumberedCharChar">
    <w:name w:val="BA Header 1 - unnumbered Char Char"/>
    <w:basedOn w:val="DefaultParagraphFont"/>
    <w:link w:val="BAHeader1-unnumbered"/>
    <w:uiPriority w:val="99"/>
    <w:locked/>
    <w:rsid w:val="002728AE"/>
    <w:rPr>
      <w:rFonts w:ascii="Arial" w:eastAsia="Times New Roman" w:hAnsi="Arial"/>
      <w:b/>
      <w:sz w:val="28"/>
      <w:szCs w:val="28"/>
      <w:lang w:eastAsia="en-US"/>
    </w:rPr>
  </w:style>
  <w:style w:type="paragraph" w:customStyle="1" w:styleId="BAFiguretext">
    <w:name w:val="BA Figure text"/>
    <w:basedOn w:val="BATableheader"/>
    <w:next w:val="Normal"/>
    <w:rsid w:val="002728AE"/>
    <w:pPr>
      <w:tabs>
        <w:tab w:val="num" w:pos="1276"/>
      </w:tabs>
      <w:autoSpaceDE w:val="0"/>
      <w:autoSpaceDN w:val="0"/>
      <w:adjustRightInd w:val="0"/>
      <w:spacing w:before="0" w:after="240"/>
      <w:ind w:left="1276" w:hanging="1276"/>
      <w:jc w:val="both"/>
    </w:pPr>
  </w:style>
  <w:style w:type="paragraph" w:customStyle="1" w:styleId="BIBLIOGRAPHIE">
    <w:name w:val="BIBLIOGRAPHIE"/>
    <w:basedOn w:val="Default"/>
    <w:next w:val="Default"/>
    <w:uiPriority w:val="99"/>
    <w:rsid w:val="002728AE"/>
    <w:rPr>
      <w:color w:val="auto"/>
    </w:rPr>
  </w:style>
  <w:style w:type="character" w:customStyle="1" w:styleId="highlightedsearchterm">
    <w:name w:val="highlightedsearchterm"/>
    <w:basedOn w:val="DefaultParagraphFont"/>
    <w:uiPriority w:val="99"/>
    <w:rsid w:val="002728AE"/>
    <w:rPr>
      <w:rFonts w:cs="Times New Roman"/>
    </w:rPr>
  </w:style>
  <w:style w:type="paragraph" w:customStyle="1" w:styleId="Style1">
    <w:name w:val="Style1"/>
    <w:basedOn w:val="Heading3"/>
    <w:rsid w:val="002728AE"/>
    <w:pPr>
      <w:tabs>
        <w:tab w:val="left" w:pos="1260"/>
      </w:tabs>
      <w:spacing w:before="180" w:after="120" w:line="280" w:lineRule="atLeast"/>
    </w:pPr>
    <w:rPr>
      <w:rFonts w:ascii="Verdana" w:hAnsi="Verdana"/>
      <w:bCs w:val="0"/>
      <w:i/>
    </w:rPr>
  </w:style>
  <w:style w:type="character" w:customStyle="1" w:styleId="common3">
    <w:name w:val="common3"/>
    <w:basedOn w:val="DefaultParagraphFont"/>
    <w:uiPriority w:val="99"/>
    <w:rsid w:val="002728AE"/>
    <w:rPr>
      <w:rFonts w:ascii="Arial" w:hAnsi="Arial" w:cs="Arial"/>
      <w:sz w:val="17"/>
      <w:szCs w:val="17"/>
    </w:rPr>
  </w:style>
  <w:style w:type="paragraph" w:customStyle="1" w:styleId="AQISTitle">
    <w:name w:val="AQIS Title"/>
    <w:basedOn w:val="Title"/>
    <w:next w:val="Normal"/>
    <w:uiPriority w:val="99"/>
    <w:rsid w:val="002728AE"/>
    <w:pPr>
      <w:spacing w:before="720" w:after="360"/>
      <w:jc w:val="center"/>
    </w:pPr>
    <w:rPr>
      <w:rFonts w:ascii="Arial" w:hAnsi="Arial"/>
      <w:b w:val="0"/>
      <w:sz w:val="52"/>
      <w:szCs w:val="20"/>
    </w:rPr>
  </w:style>
  <w:style w:type="paragraph" w:customStyle="1" w:styleId="TOC41">
    <w:name w:val="TOC 41"/>
    <w:basedOn w:val="TOC1"/>
    <w:uiPriority w:val="99"/>
    <w:rsid w:val="002728AE"/>
    <w:pPr>
      <w:tabs>
        <w:tab w:val="clear" w:pos="426"/>
        <w:tab w:val="clear" w:pos="9072"/>
        <w:tab w:val="left" w:pos="900"/>
        <w:tab w:val="left" w:pos="1800"/>
        <w:tab w:val="right" w:leader="dot" w:pos="9000"/>
        <w:tab w:val="right" w:leader="dot" w:pos="9060"/>
      </w:tabs>
      <w:spacing w:before="240" w:after="0"/>
      <w:ind w:left="902" w:right="82" w:hanging="902"/>
    </w:pPr>
    <w:rPr>
      <w:rFonts w:ascii="Arial" w:hAnsi="Arial" w:cs="Arial"/>
      <w:szCs w:val="28"/>
    </w:rPr>
  </w:style>
  <w:style w:type="character" w:customStyle="1" w:styleId="family">
    <w:name w:val="family"/>
    <w:basedOn w:val="DefaultParagraphFont"/>
    <w:uiPriority w:val="99"/>
    <w:rsid w:val="002728AE"/>
  </w:style>
  <w:style w:type="paragraph" w:customStyle="1" w:styleId="Blotinmargin">
    <w:name w:val="Blot in margin"/>
    <w:basedOn w:val="Default"/>
    <w:next w:val="Default"/>
    <w:uiPriority w:val="99"/>
    <w:rsid w:val="002728AE"/>
    <w:rPr>
      <w:color w:val="auto"/>
    </w:rPr>
  </w:style>
  <w:style w:type="character" w:customStyle="1" w:styleId="addmd1">
    <w:name w:val="addmd1"/>
    <w:basedOn w:val="DefaultParagraphFont"/>
    <w:uiPriority w:val="99"/>
    <w:rsid w:val="002728AE"/>
    <w:rPr>
      <w:rFonts w:ascii="Arial" w:hAnsi="Arial" w:cs="Arial" w:hint="default"/>
      <w:sz w:val="20"/>
      <w:szCs w:val="20"/>
    </w:rPr>
  </w:style>
  <w:style w:type="character" w:customStyle="1" w:styleId="black9pt1">
    <w:name w:val="black9pt1"/>
    <w:basedOn w:val="DefaultParagraphFont"/>
    <w:uiPriority w:val="99"/>
    <w:rsid w:val="002728AE"/>
    <w:rPr>
      <w:color w:val="000000"/>
      <w:sz w:val="18"/>
      <w:szCs w:val="18"/>
    </w:rPr>
  </w:style>
  <w:style w:type="character" w:customStyle="1" w:styleId="a">
    <w:name w:val="a"/>
    <w:basedOn w:val="DefaultParagraphFont"/>
    <w:rsid w:val="002728AE"/>
  </w:style>
  <w:style w:type="paragraph" w:customStyle="1" w:styleId="Header1">
    <w:name w:val="Header1"/>
    <w:basedOn w:val="Normal"/>
    <w:uiPriority w:val="99"/>
    <w:rsid w:val="002728AE"/>
    <w:rPr>
      <w:rFonts w:ascii="Verdana" w:hAnsi="Verdana"/>
      <w:sz w:val="15"/>
      <w:szCs w:val="15"/>
    </w:rPr>
  </w:style>
  <w:style w:type="paragraph" w:customStyle="1" w:styleId="sub2">
    <w:name w:val="sub2"/>
    <w:basedOn w:val="Normal"/>
    <w:uiPriority w:val="99"/>
    <w:rsid w:val="002728AE"/>
    <w:rPr>
      <w:rFonts w:ascii="Verdana" w:hAnsi="Verdana" w:cs="Times"/>
      <w:b/>
      <w:bCs/>
      <w:color w:val="666699"/>
      <w:sz w:val="13"/>
      <w:szCs w:val="13"/>
    </w:rPr>
  </w:style>
  <w:style w:type="character" w:customStyle="1" w:styleId="doi">
    <w:name w:val="doi"/>
    <w:basedOn w:val="DefaultParagraphFont"/>
    <w:uiPriority w:val="99"/>
    <w:rsid w:val="002728AE"/>
  </w:style>
  <w:style w:type="character" w:customStyle="1" w:styleId="value">
    <w:name w:val="value"/>
    <w:basedOn w:val="DefaultParagraphFont"/>
    <w:uiPriority w:val="99"/>
    <w:rsid w:val="002728AE"/>
  </w:style>
  <w:style w:type="character" w:customStyle="1" w:styleId="label1">
    <w:name w:val="label1"/>
    <w:basedOn w:val="DefaultParagraphFont"/>
    <w:uiPriority w:val="99"/>
    <w:rsid w:val="002728AE"/>
  </w:style>
  <w:style w:type="character" w:customStyle="1" w:styleId="pagination">
    <w:name w:val="pagination"/>
    <w:basedOn w:val="DefaultParagraphFont"/>
    <w:uiPriority w:val="99"/>
    <w:rsid w:val="002728AE"/>
  </w:style>
  <w:style w:type="paragraph" w:customStyle="1" w:styleId="authornames">
    <w:name w:val="authornames"/>
    <w:basedOn w:val="Normal"/>
    <w:uiPriority w:val="99"/>
    <w:rsid w:val="002728AE"/>
    <w:pPr>
      <w:spacing w:before="100" w:beforeAutospacing="1" w:after="100" w:afterAutospacing="1"/>
    </w:pPr>
    <w:rPr>
      <w:rFonts w:ascii="Arial Unicode MS" w:eastAsia="Arial Unicode MS" w:hAnsi="Arial Unicode MS" w:cs="Arial Unicode MS"/>
      <w:b/>
      <w:bCs/>
      <w:color w:val="000000"/>
    </w:rPr>
  </w:style>
  <w:style w:type="character" w:customStyle="1" w:styleId="highlight">
    <w:name w:val="highlight"/>
    <w:basedOn w:val="DefaultParagraphFont"/>
    <w:uiPriority w:val="99"/>
    <w:rsid w:val="002728AE"/>
  </w:style>
  <w:style w:type="character" w:customStyle="1" w:styleId="CharChar6">
    <w:name w:val="Char Char6"/>
    <w:basedOn w:val="DefaultParagraphFont"/>
    <w:uiPriority w:val="99"/>
    <w:semiHidden/>
    <w:rsid w:val="002728AE"/>
    <w:rPr>
      <w:rFonts w:ascii="Times New Roman" w:eastAsia="Times New Roman" w:hAnsi="Times New Roman" w:cs="Times New Roman"/>
      <w:sz w:val="20"/>
      <w:szCs w:val="20"/>
      <w:lang w:val="en-AU"/>
    </w:rPr>
  </w:style>
  <w:style w:type="paragraph" w:customStyle="1" w:styleId="plain">
    <w:name w:val="plain"/>
    <w:basedOn w:val="Normal"/>
    <w:uiPriority w:val="99"/>
    <w:rsid w:val="002728AE"/>
    <w:pPr>
      <w:spacing w:before="100" w:beforeAutospacing="1" w:after="100" w:afterAutospacing="1"/>
      <w:ind w:right="720"/>
    </w:pPr>
    <w:rPr>
      <w:sz w:val="19"/>
      <w:szCs w:val="19"/>
    </w:rPr>
  </w:style>
  <w:style w:type="character" w:customStyle="1" w:styleId="ReferencesChar">
    <w:name w:val="References Char"/>
    <w:basedOn w:val="DefaultParagraphFont"/>
    <w:link w:val="References"/>
    <w:uiPriority w:val="99"/>
    <w:rsid w:val="002728AE"/>
    <w:rPr>
      <w:rFonts w:ascii="Arial" w:eastAsia="Times New Roman" w:hAnsi="Arial"/>
      <w:sz w:val="22"/>
      <w:lang w:eastAsia="en-US"/>
    </w:rPr>
  </w:style>
  <w:style w:type="character" w:styleId="HTMLCite">
    <w:name w:val="HTML Cite"/>
    <w:basedOn w:val="DefaultParagraphFont"/>
    <w:uiPriority w:val="99"/>
    <w:unhideWhenUsed/>
    <w:rsid w:val="002728AE"/>
    <w:rPr>
      <w:i/>
      <w:iCs/>
    </w:rPr>
  </w:style>
  <w:style w:type="paragraph" w:customStyle="1" w:styleId="articleref">
    <w:name w:val="articleref"/>
    <w:basedOn w:val="Normal"/>
    <w:uiPriority w:val="99"/>
    <w:rsid w:val="002728AE"/>
    <w:pPr>
      <w:spacing w:after="240"/>
    </w:pPr>
    <w:rPr>
      <w:rFonts w:ascii="Verdana" w:hAnsi="Verdana"/>
      <w:color w:val="58595B"/>
      <w:sz w:val="20"/>
      <w:szCs w:val="20"/>
    </w:rPr>
  </w:style>
  <w:style w:type="paragraph" w:customStyle="1" w:styleId="articlecitation">
    <w:name w:val="articlecitation"/>
    <w:basedOn w:val="Normal"/>
    <w:uiPriority w:val="99"/>
    <w:rsid w:val="002728AE"/>
    <w:pPr>
      <w:spacing w:before="150" w:after="75"/>
    </w:pPr>
    <w:rPr>
      <w:rFonts w:ascii="Verdana" w:hAnsi="Verdana"/>
      <w:color w:val="231F20"/>
      <w:sz w:val="20"/>
      <w:szCs w:val="20"/>
    </w:rPr>
  </w:style>
  <w:style w:type="paragraph" w:customStyle="1" w:styleId="KonuBasligi">
    <w:name w:val="Konu Basligi"/>
    <w:basedOn w:val="Default"/>
    <w:next w:val="Default"/>
    <w:uiPriority w:val="99"/>
    <w:rsid w:val="002728AE"/>
    <w:rPr>
      <w:rFonts w:ascii="Arial" w:hAnsi="Arial" w:cs="Arial"/>
      <w:color w:val="auto"/>
    </w:rPr>
  </w:style>
  <w:style w:type="character" w:customStyle="1" w:styleId="largefont1">
    <w:name w:val="largefont1"/>
    <w:basedOn w:val="DefaultParagraphFont"/>
    <w:uiPriority w:val="99"/>
    <w:rsid w:val="002728AE"/>
    <w:rPr>
      <w:sz w:val="26"/>
      <w:szCs w:val="26"/>
    </w:rPr>
  </w:style>
  <w:style w:type="character" w:customStyle="1" w:styleId="authorname3">
    <w:name w:val="authorname3"/>
    <w:basedOn w:val="DefaultParagraphFont"/>
    <w:rsid w:val="002728AE"/>
    <w:rPr>
      <w:b/>
      <w:bCs/>
    </w:rPr>
  </w:style>
  <w:style w:type="paragraph" w:customStyle="1" w:styleId="FicheInfo">
    <w:name w:val="Fiche Info"/>
    <w:basedOn w:val="Default"/>
    <w:next w:val="Default"/>
    <w:uiPriority w:val="99"/>
    <w:rsid w:val="002728AE"/>
    <w:rPr>
      <w:color w:val="auto"/>
    </w:rPr>
  </w:style>
  <w:style w:type="character" w:customStyle="1" w:styleId="binomial">
    <w:name w:val="binomial"/>
    <w:basedOn w:val="DefaultParagraphFont"/>
    <w:uiPriority w:val="99"/>
    <w:rsid w:val="002728AE"/>
  </w:style>
  <w:style w:type="paragraph" w:customStyle="1" w:styleId="TableText2">
    <w:name w:val="Table Text 2"/>
    <w:basedOn w:val="Normal"/>
    <w:uiPriority w:val="99"/>
    <w:rsid w:val="002728AE"/>
    <w:pPr>
      <w:widowControl w:val="0"/>
      <w:adjustRightInd w:val="0"/>
      <w:spacing w:line="360" w:lineRule="atLeast"/>
      <w:jc w:val="both"/>
      <w:textAlignment w:val="baseline"/>
    </w:pPr>
    <w:rPr>
      <w:rFonts w:ascii="Arial" w:hAnsi="Arial"/>
      <w:sz w:val="16"/>
      <w:szCs w:val="20"/>
      <w:lang w:val="en-US"/>
    </w:rPr>
  </w:style>
  <w:style w:type="character" w:customStyle="1" w:styleId="ms-rtecustom-photocaption1">
    <w:name w:val="ms-rtecustom-photocaption1"/>
    <w:basedOn w:val="DefaultParagraphFont"/>
    <w:uiPriority w:val="99"/>
    <w:rsid w:val="002728AE"/>
    <w:rPr>
      <w:sz w:val="13"/>
      <w:szCs w:val="13"/>
    </w:rPr>
  </w:style>
  <w:style w:type="paragraph" w:customStyle="1" w:styleId="Pa5">
    <w:name w:val="Pa5"/>
    <w:basedOn w:val="Default"/>
    <w:next w:val="Default"/>
    <w:rsid w:val="002728AE"/>
    <w:pPr>
      <w:spacing w:line="241" w:lineRule="atLeast"/>
    </w:pPr>
    <w:rPr>
      <w:color w:val="auto"/>
    </w:rPr>
  </w:style>
  <w:style w:type="character" w:customStyle="1" w:styleId="A4">
    <w:name w:val="A4"/>
    <w:uiPriority w:val="99"/>
    <w:rsid w:val="002728AE"/>
    <w:rPr>
      <w:b/>
      <w:bCs/>
      <w:color w:val="000000"/>
      <w:sz w:val="36"/>
      <w:szCs w:val="36"/>
    </w:rPr>
  </w:style>
  <w:style w:type="character" w:customStyle="1" w:styleId="A1">
    <w:name w:val="A1"/>
    <w:uiPriority w:val="99"/>
    <w:rsid w:val="002728AE"/>
    <w:rPr>
      <w:color w:val="000000"/>
      <w:sz w:val="21"/>
      <w:szCs w:val="21"/>
    </w:rPr>
  </w:style>
  <w:style w:type="paragraph" w:customStyle="1" w:styleId="Pa0">
    <w:name w:val="Pa0"/>
    <w:basedOn w:val="Default"/>
    <w:next w:val="Default"/>
    <w:rsid w:val="002728AE"/>
    <w:pPr>
      <w:spacing w:line="201" w:lineRule="atLeast"/>
    </w:pPr>
    <w:rPr>
      <w:rFonts w:ascii="Arial" w:hAnsi="Arial" w:cs="Arial"/>
      <w:color w:val="auto"/>
    </w:rPr>
  </w:style>
  <w:style w:type="character" w:customStyle="1" w:styleId="A0">
    <w:name w:val="A0"/>
    <w:uiPriority w:val="99"/>
    <w:rsid w:val="002728AE"/>
    <w:rPr>
      <w:color w:val="000000"/>
      <w:sz w:val="16"/>
      <w:szCs w:val="16"/>
    </w:rPr>
  </w:style>
  <w:style w:type="paragraph" w:customStyle="1" w:styleId="AQISTableTitle">
    <w:name w:val="AQIS Table Title"/>
    <w:basedOn w:val="AQISTableText"/>
    <w:next w:val="AQISTableText"/>
    <w:uiPriority w:val="99"/>
    <w:rsid w:val="002728AE"/>
    <w:pPr>
      <w:widowControl w:val="0"/>
      <w:adjustRightInd w:val="0"/>
      <w:jc w:val="both"/>
      <w:textAlignment w:val="baseline"/>
    </w:pPr>
    <w:rPr>
      <w:rFonts w:ascii="Arial" w:hAnsi="Arial"/>
      <w:b/>
    </w:rPr>
  </w:style>
  <w:style w:type="character" w:customStyle="1" w:styleId="AQIS4Char">
    <w:name w:val="AQIS4 Char"/>
    <w:basedOn w:val="DefaultParagraphFont"/>
    <w:link w:val="AQIS4"/>
    <w:uiPriority w:val="99"/>
    <w:rsid w:val="002728AE"/>
    <w:rPr>
      <w:rFonts w:ascii="Arial" w:eastAsia="Times New Roman" w:hAnsi="Arial"/>
      <w:b/>
      <w:sz w:val="24"/>
      <w:lang w:eastAsia="en-US"/>
    </w:rPr>
  </w:style>
  <w:style w:type="paragraph" w:customStyle="1" w:styleId="Char">
    <w:name w:val="Char"/>
    <w:basedOn w:val="Normal"/>
    <w:uiPriority w:val="99"/>
    <w:rsid w:val="002728AE"/>
    <w:pPr>
      <w:widowControl w:val="0"/>
      <w:adjustRightInd w:val="0"/>
      <w:spacing w:line="360" w:lineRule="atLeast"/>
      <w:jc w:val="both"/>
      <w:textAlignment w:val="baseline"/>
    </w:pPr>
    <w:rPr>
      <w:rFonts w:ascii="Arial" w:hAnsi="Arial"/>
      <w:szCs w:val="20"/>
    </w:rPr>
  </w:style>
  <w:style w:type="character" w:customStyle="1" w:styleId="authorname">
    <w:name w:val="authorname"/>
    <w:basedOn w:val="DefaultParagraphFont"/>
    <w:uiPriority w:val="99"/>
    <w:rsid w:val="002728AE"/>
  </w:style>
  <w:style w:type="character" w:customStyle="1" w:styleId="singleaffiliation">
    <w:name w:val="singleaffiliation"/>
    <w:basedOn w:val="DefaultParagraphFont"/>
    <w:uiPriority w:val="99"/>
    <w:rsid w:val="002728AE"/>
  </w:style>
  <w:style w:type="character" w:customStyle="1" w:styleId="CommentTextChar1">
    <w:name w:val="Comment Text Char1"/>
    <w:basedOn w:val="DefaultParagraphFont"/>
    <w:uiPriority w:val="99"/>
    <w:semiHidden/>
    <w:locked/>
    <w:rsid w:val="002728AE"/>
    <w:rPr>
      <w:rFonts w:cs="Times New Roman"/>
      <w:lang w:val="en-AU" w:eastAsia="en-US" w:bidi="ar-SA"/>
    </w:rPr>
  </w:style>
  <w:style w:type="paragraph" w:customStyle="1" w:styleId="Overskrift4">
    <w:name w:val="Overskrift 4"/>
    <w:basedOn w:val="Default"/>
    <w:next w:val="Default"/>
    <w:uiPriority w:val="99"/>
    <w:rsid w:val="002728AE"/>
    <w:pPr>
      <w:widowControl w:val="0"/>
      <w:spacing w:line="360" w:lineRule="atLeast"/>
      <w:jc w:val="both"/>
      <w:textAlignment w:val="baseline"/>
    </w:pPr>
    <w:rPr>
      <w:color w:val="auto"/>
    </w:rPr>
  </w:style>
  <w:style w:type="character" w:customStyle="1" w:styleId="matchhighlight1">
    <w:name w:val="matchhighlight1"/>
    <w:basedOn w:val="DefaultParagraphFont"/>
    <w:uiPriority w:val="99"/>
    <w:rsid w:val="002728AE"/>
    <w:rPr>
      <w:rFonts w:cs="Times New Roman"/>
      <w:b/>
      <w:bCs/>
      <w:color w:val="333366"/>
      <w:u w:val="single"/>
    </w:rPr>
  </w:style>
  <w:style w:type="paragraph" w:styleId="HTMLPreformatted">
    <w:name w:val="HTML Preformatted"/>
    <w:basedOn w:val="Normal"/>
    <w:link w:val="HTMLPreformattedChar"/>
    <w:uiPriority w:val="99"/>
    <w:rsid w:val="002728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jc w:val="both"/>
      <w:textAlignment w:val="baseline"/>
    </w:pPr>
    <w:rPr>
      <w:rFonts w:ascii="Courier New" w:hAnsi="Courier New" w:cs="Courier New"/>
      <w:sz w:val="18"/>
      <w:szCs w:val="18"/>
    </w:rPr>
  </w:style>
  <w:style w:type="character" w:customStyle="1" w:styleId="HTMLPreformattedChar">
    <w:name w:val="HTML Preformatted Char"/>
    <w:basedOn w:val="DefaultParagraphFont"/>
    <w:link w:val="HTMLPreformatted"/>
    <w:uiPriority w:val="99"/>
    <w:rsid w:val="002728AE"/>
    <w:rPr>
      <w:rFonts w:ascii="Courier New" w:eastAsia="Times New Roman" w:hAnsi="Courier New" w:cs="Courier New"/>
      <w:sz w:val="18"/>
      <w:szCs w:val="18"/>
    </w:rPr>
  </w:style>
  <w:style w:type="character" w:customStyle="1" w:styleId="mainarea">
    <w:name w:val="mainarea"/>
    <w:basedOn w:val="DefaultParagraphFont"/>
    <w:uiPriority w:val="99"/>
    <w:rsid w:val="002728AE"/>
    <w:rPr>
      <w:rFonts w:cs="Times New Roman"/>
    </w:rPr>
  </w:style>
  <w:style w:type="paragraph" w:customStyle="1" w:styleId="CM3">
    <w:name w:val="CM3"/>
    <w:basedOn w:val="Default"/>
    <w:next w:val="Default"/>
    <w:uiPriority w:val="99"/>
    <w:rsid w:val="002728AE"/>
    <w:pPr>
      <w:widowControl w:val="0"/>
      <w:spacing w:line="360" w:lineRule="atLeast"/>
      <w:jc w:val="both"/>
      <w:textAlignment w:val="baseline"/>
    </w:pPr>
    <w:rPr>
      <w:color w:val="auto"/>
    </w:rPr>
  </w:style>
  <w:style w:type="paragraph" w:customStyle="1" w:styleId="CM23">
    <w:name w:val="CM23"/>
    <w:basedOn w:val="Default"/>
    <w:next w:val="Default"/>
    <w:uiPriority w:val="99"/>
    <w:rsid w:val="002728AE"/>
    <w:pPr>
      <w:widowControl w:val="0"/>
      <w:spacing w:line="360" w:lineRule="atLeast"/>
      <w:jc w:val="both"/>
      <w:textAlignment w:val="baseline"/>
    </w:pPr>
    <w:rPr>
      <w:color w:val="auto"/>
    </w:rPr>
  </w:style>
  <w:style w:type="paragraph" w:customStyle="1" w:styleId="CM24">
    <w:name w:val="CM24"/>
    <w:basedOn w:val="Default"/>
    <w:next w:val="Default"/>
    <w:uiPriority w:val="99"/>
    <w:rsid w:val="002728AE"/>
    <w:pPr>
      <w:widowControl w:val="0"/>
      <w:spacing w:line="360" w:lineRule="atLeast"/>
      <w:jc w:val="both"/>
      <w:textAlignment w:val="baseline"/>
    </w:pPr>
    <w:rPr>
      <w:color w:val="auto"/>
    </w:rPr>
  </w:style>
  <w:style w:type="paragraph" w:customStyle="1" w:styleId="Char12">
    <w:name w:val="Char12"/>
    <w:basedOn w:val="Normal"/>
    <w:uiPriority w:val="99"/>
    <w:rsid w:val="002728AE"/>
    <w:pPr>
      <w:widowControl w:val="0"/>
      <w:adjustRightInd w:val="0"/>
      <w:spacing w:line="360" w:lineRule="atLeast"/>
      <w:jc w:val="both"/>
      <w:textAlignment w:val="baseline"/>
    </w:pPr>
    <w:rPr>
      <w:rFonts w:ascii="Arial" w:hAnsi="Arial"/>
      <w:szCs w:val="20"/>
    </w:rPr>
  </w:style>
  <w:style w:type="paragraph" w:customStyle="1" w:styleId="Char11">
    <w:name w:val="Char11"/>
    <w:basedOn w:val="Normal"/>
    <w:uiPriority w:val="99"/>
    <w:rsid w:val="002728AE"/>
    <w:pPr>
      <w:widowControl w:val="0"/>
      <w:adjustRightInd w:val="0"/>
      <w:spacing w:line="360" w:lineRule="atLeast"/>
      <w:jc w:val="both"/>
      <w:textAlignment w:val="baseline"/>
    </w:pPr>
    <w:rPr>
      <w:rFonts w:ascii="Arial" w:hAnsi="Arial"/>
      <w:szCs w:val="20"/>
    </w:rPr>
  </w:style>
  <w:style w:type="paragraph" w:customStyle="1" w:styleId="StilOverskrift3IkkeKapitler">
    <w:name w:val="Stil Overskrift 3 + Ikke Kapitéler"/>
    <w:basedOn w:val="Default"/>
    <w:next w:val="Default"/>
    <w:uiPriority w:val="99"/>
    <w:rsid w:val="002728AE"/>
    <w:pPr>
      <w:widowControl w:val="0"/>
      <w:spacing w:line="360" w:lineRule="atLeast"/>
      <w:jc w:val="both"/>
      <w:textAlignment w:val="baseline"/>
    </w:pPr>
    <w:rPr>
      <w:color w:val="auto"/>
    </w:rPr>
  </w:style>
  <w:style w:type="paragraph" w:customStyle="1" w:styleId="CM123">
    <w:name w:val="CM123"/>
    <w:basedOn w:val="Default"/>
    <w:next w:val="Default"/>
    <w:uiPriority w:val="99"/>
    <w:rsid w:val="002728AE"/>
    <w:pPr>
      <w:widowControl w:val="0"/>
      <w:spacing w:line="360" w:lineRule="atLeast"/>
      <w:jc w:val="both"/>
      <w:textAlignment w:val="baseline"/>
    </w:pPr>
    <w:rPr>
      <w:color w:val="auto"/>
    </w:rPr>
  </w:style>
  <w:style w:type="character" w:customStyle="1" w:styleId="ti">
    <w:name w:val="ti"/>
    <w:basedOn w:val="DefaultParagraphFont"/>
    <w:uiPriority w:val="99"/>
    <w:rsid w:val="002728AE"/>
  </w:style>
  <w:style w:type="character" w:customStyle="1" w:styleId="forenames">
    <w:name w:val="forenames"/>
    <w:basedOn w:val="DefaultParagraphFont"/>
    <w:uiPriority w:val="99"/>
    <w:rsid w:val="002728AE"/>
  </w:style>
  <w:style w:type="paragraph" w:customStyle="1" w:styleId="authors">
    <w:name w:val="authors"/>
    <w:basedOn w:val="Normal"/>
    <w:rsid w:val="002728AE"/>
    <w:pPr>
      <w:widowControl w:val="0"/>
      <w:adjustRightInd w:val="0"/>
      <w:spacing w:before="100" w:beforeAutospacing="1" w:after="100" w:afterAutospacing="1" w:line="360" w:lineRule="atLeast"/>
      <w:jc w:val="both"/>
      <w:textAlignment w:val="baseline"/>
    </w:pPr>
  </w:style>
  <w:style w:type="character" w:customStyle="1" w:styleId="name">
    <w:name w:val="name"/>
    <w:basedOn w:val="DefaultParagraphFont"/>
    <w:uiPriority w:val="99"/>
    <w:rsid w:val="002728AE"/>
  </w:style>
  <w:style w:type="character" w:customStyle="1" w:styleId="cit-print-date">
    <w:name w:val="cit-print-date"/>
    <w:basedOn w:val="DefaultParagraphFont"/>
    <w:uiPriority w:val="99"/>
    <w:rsid w:val="002728AE"/>
  </w:style>
  <w:style w:type="character" w:customStyle="1" w:styleId="cit-vol3">
    <w:name w:val="cit-vol3"/>
    <w:basedOn w:val="DefaultParagraphFont"/>
    <w:uiPriority w:val="99"/>
    <w:rsid w:val="002728AE"/>
  </w:style>
  <w:style w:type="character" w:customStyle="1" w:styleId="cit-sep2">
    <w:name w:val="cit-sep2"/>
    <w:basedOn w:val="DefaultParagraphFont"/>
    <w:uiPriority w:val="99"/>
    <w:rsid w:val="002728AE"/>
  </w:style>
  <w:style w:type="character" w:customStyle="1" w:styleId="cit-first-page">
    <w:name w:val="cit-first-page"/>
    <w:basedOn w:val="DefaultParagraphFont"/>
    <w:uiPriority w:val="99"/>
    <w:rsid w:val="002728AE"/>
  </w:style>
  <w:style w:type="character" w:customStyle="1" w:styleId="cit-last-page2">
    <w:name w:val="cit-last-page2"/>
    <w:basedOn w:val="DefaultParagraphFont"/>
    <w:uiPriority w:val="99"/>
    <w:rsid w:val="002728AE"/>
  </w:style>
  <w:style w:type="character" w:customStyle="1" w:styleId="f2">
    <w:name w:val="f2"/>
    <w:basedOn w:val="DefaultParagraphFont"/>
    <w:uiPriority w:val="99"/>
    <w:rsid w:val="002728AE"/>
    <w:rPr>
      <w:color w:val="767676"/>
    </w:rPr>
  </w:style>
  <w:style w:type="character" w:customStyle="1" w:styleId="gl1">
    <w:name w:val="gl1"/>
    <w:basedOn w:val="DefaultParagraphFont"/>
    <w:uiPriority w:val="99"/>
    <w:rsid w:val="002728AE"/>
    <w:rPr>
      <w:color w:val="767676"/>
    </w:rPr>
  </w:style>
  <w:style w:type="character" w:customStyle="1" w:styleId="pubauthornone">
    <w:name w:val="pub_author_none"/>
    <w:basedOn w:val="DefaultParagraphFont"/>
    <w:uiPriority w:val="99"/>
    <w:rsid w:val="002728AE"/>
  </w:style>
  <w:style w:type="character" w:customStyle="1" w:styleId="cit-auth2">
    <w:name w:val="cit-auth2"/>
    <w:basedOn w:val="DefaultParagraphFont"/>
    <w:uiPriority w:val="99"/>
    <w:rsid w:val="002728AE"/>
  </w:style>
  <w:style w:type="character" w:customStyle="1" w:styleId="cit-vol">
    <w:name w:val="cit-vol"/>
    <w:basedOn w:val="DefaultParagraphFont"/>
    <w:uiPriority w:val="99"/>
    <w:rsid w:val="002728AE"/>
  </w:style>
  <w:style w:type="character" w:customStyle="1" w:styleId="printhide">
    <w:name w:val="printhide"/>
    <w:basedOn w:val="DefaultParagraphFont"/>
    <w:uiPriority w:val="99"/>
    <w:rsid w:val="002728AE"/>
  </w:style>
  <w:style w:type="paragraph" w:customStyle="1" w:styleId="IPPTitle18pt">
    <w:name w:val="IPP Title18pt"/>
    <w:basedOn w:val="Default"/>
    <w:next w:val="Default"/>
    <w:uiPriority w:val="99"/>
    <w:rsid w:val="002728AE"/>
    <w:pPr>
      <w:widowControl w:val="0"/>
      <w:spacing w:line="360" w:lineRule="atLeast"/>
      <w:jc w:val="both"/>
      <w:textAlignment w:val="baseline"/>
    </w:pPr>
    <w:rPr>
      <w:rFonts w:ascii="Arial" w:hAnsi="Arial" w:cs="Arial"/>
      <w:color w:val="auto"/>
    </w:rPr>
  </w:style>
  <w:style w:type="paragraph" w:customStyle="1" w:styleId="IPPNormalCloseSpace">
    <w:name w:val="IPP NormalCloseSpace"/>
    <w:basedOn w:val="Default"/>
    <w:next w:val="Default"/>
    <w:uiPriority w:val="99"/>
    <w:rsid w:val="002728AE"/>
    <w:pPr>
      <w:widowControl w:val="0"/>
      <w:spacing w:line="360" w:lineRule="atLeast"/>
      <w:jc w:val="both"/>
      <w:textAlignment w:val="baseline"/>
    </w:pPr>
    <w:rPr>
      <w:color w:val="auto"/>
    </w:rPr>
  </w:style>
  <w:style w:type="character" w:customStyle="1" w:styleId="apple-style-span">
    <w:name w:val="apple-style-span"/>
    <w:basedOn w:val="DefaultParagraphFont"/>
    <w:uiPriority w:val="99"/>
    <w:rsid w:val="002728AE"/>
  </w:style>
  <w:style w:type="character" w:customStyle="1" w:styleId="apple-converted-space">
    <w:name w:val="apple-converted-space"/>
    <w:basedOn w:val="DefaultParagraphFont"/>
    <w:rsid w:val="002728AE"/>
  </w:style>
  <w:style w:type="character" w:styleId="HTMLAcronym">
    <w:name w:val="HTML Acronym"/>
    <w:basedOn w:val="DefaultParagraphFont"/>
    <w:uiPriority w:val="99"/>
    <w:rsid w:val="002728AE"/>
  </w:style>
  <w:style w:type="character" w:customStyle="1" w:styleId="kwd-text">
    <w:name w:val="kwd-text"/>
    <w:basedOn w:val="DefaultParagraphFont"/>
    <w:uiPriority w:val="99"/>
    <w:rsid w:val="002728AE"/>
  </w:style>
  <w:style w:type="character" w:customStyle="1" w:styleId="searchterm01">
    <w:name w:val="searchterm01"/>
    <w:basedOn w:val="DefaultParagraphFont"/>
    <w:uiPriority w:val="99"/>
    <w:rsid w:val="002728AE"/>
    <w:rPr>
      <w:b/>
      <w:bCs/>
      <w:color w:val="000000"/>
      <w:shd w:val="clear" w:color="auto" w:fill="FFFF66"/>
    </w:rPr>
  </w:style>
  <w:style w:type="character" w:customStyle="1" w:styleId="searchterm11">
    <w:name w:val="searchterm11"/>
    <w:basedOn w:val="DefaultParagraphFont"/>
    <w:uiPriority w:val="99"/>
    <w:rsid w:val="002728AE"/>
    <w:rPr>
      <w:b/>
      <w:bCs/>
      <w:color w:val="000000"/>
      <w:shd w:val="clear" w:color="auto" w:fill="A0FFFF"/>
    </w:rPr>
  </w:style>
  <w:style w:type="character" w:customStyle="1" w:styleId="searchterm21">
    <w:name w:val="searchterm21"/>
    <w:basedOn w:val="DefaultParagraphFont"/>
    <w:uiPriority w:val="99"/>
    <w:rsid w:val="002728AE"/>
    <w:rPr>
      <w:b/>
      <w:bCs/>
      <w:color w:val="000000"/>
      <w:shd w:val="clear" w:color="auto" w:fill="99FF99"/>
    </w:rPr>
  </w:style>
  <w:style w:type="paragraph" w:customStyle="1" w:styleId="SYN1ERELIGNE">
    <w:name w:val="SYN.1ERE LIGNE"/>
    <w:basedOn w:val="Default"/>
    <w:next w:val="Default"/>
    <w:uiPriority w:val="99"/>
    <w:rsid w:val="002728AE"/>
    <w:pPr>
      <w:widowControl w:val="0"/>
      <w:spacing w:line="360" w:lineRule="atLeast"/>
      <w:jc w:val="both"/>
      <w:textAlignment w:val="baseline"/>
    </w:pPr>
    <w:rPr>
      <w:color w:val="auto"/>
    </w:rPr>
  </w:style>
  <w:style w:type="paragraph" w:customStyle="1" w:styleId="SYNONYMES">
    <w:name w:val="SYNONYMES"/>
    <w:basedOn w:val="Default"/>
    <w:next w:val="Default"/>
    <w:uiPriority w:val="99"/>
    <w:rsid w:val="002728AE"/>
    <w:pPr>
      <w:widowControl w:val="0"/>
      <w:spacing w:line="360" w:lineRule="atLeast"/>
      <w:jc w:val="both"/>
      <w:textAlignment w:val="baseline"/>
    </w:pPr>
    <w:rPr>
      <w:color w:val="auto"/>
    </w:rPr>
  </w:style>
  <w:style w:type="paragraph" w:customStyle="1" w:styleId="NC1ERELIGNE">
    <w:name w:val="NC 1ERE LIGNE"/>
    <w:basedOn w:val="Default"/>
    <w:next w:val="Default"/>
    <w:uiPriority w:val="99"/>
    <w:rsid w:val="002728AE"/>
    <w:pPr>
      <w:widowControl w:val="0"/>
      <w:spacing w:line="360" w:lineRule="atLeast"/>
      <w:jc w:val="both"/>
      <w:textAlignment w:val="baseline"/>
    </w:pPr>
    <w:rPr>
      <w:color w:val="auto"/>
    </w:rPr>
  </w:style>
  <w:style w:type="paragraph" w:styleId="Revision">
    <w:name w:val="Revision"/>
    <w:hidden/>
    <w:uiPriority w:val="99"/>
    <w:semiHidden/>
    <w:rsid w:val="002728AE"/>
    <w:pPr>
      <w:widowControl w:val="0"/>
      <w:adjustRightInd w:val="0"/>
      <w:spacing w:line="360" w:lineRule="atLeast"/>
      <w:jc w:val="both"/>
      <w:textAlignment w:val="baseline"/>
    </w:pPr>
    <w:rPr>
      <w:rFonts w:ascii="Times New Roman" w:eastAsia="Times New Roman" w:hAnsi="Times New Roman"/>
      <w:sz w:val="24"/>
      <w:szCs w:val="24"/>
      <w:lang w:eastAsia="en-US"/>
    </w:rPr>
  </w:style>
  <w:style w:type="character" w:customStyle="1" w:styleId="genera1">
    <w:name w:val="genera1"/>
    <w:basedOn w:val="DefaultParagraphFont"/>
    <w:rsid w:val="002728AE"/>
    <w:rPr>
      <w:rFonts w:cs="Times New Roman"/>
      <w:i/>
      <w:iCs/>
    </w:rPr>
  </w:style>
  <w:style w:type="character" w:customStyle="1" w:styleId="txtlrg1">
    <w:name w:val="txtlrg1"/>
    <w:basedOn w:val="DefaultParagraphFont"/>
    <w:rsid w:val="002728AE"/>
    <w:rPr>
      <w:rFonts w:ascii="Verdana" w:hAnsi="Verdana" w:cs="Verdana"/>
      <w:sz w:val="20"/>
      <w:szCs w:val="20"/>
    </w:rPr>
  </w:style>
  <w:style w:type="character" w:customStyle="1" w:styleId="fieldheader1">
    <w:name w:val="fieldheader1"/>
    <w:basedOn w:val="DefaultParagraphFont"/>
    <w:rsid w:val="002728AE"/>
    <w:rPr>
      <w:rFonts w:ascii="Verdana" w:hAnsi="Verdana" w:cs="Verdana"/>
      <w:b/>
      <w:bCs/>
      <w:color w:val="auto"/>
      <w:sz w:val="17"/>
      <w:szCs w:val="17"/>
    </w:rPr>
  </w:style>
  <w:style w:type="character" w:customStyle="1" w:styleId="searchmatch">
    <w:name w:val="searchmatch"/>
    <w:basedOn w:val="DefaultParagraphFont"/>
    <w:rsid w:val="002728AE"/>
  </w:style>
  <w:style w:type="paragraph" w:customStyle="1" w:styleId="hanging">
    <w:name w:val="hanging"/>
    <w:basedOn w:val="Normal"/>
    <w:uiPriority w:val="99"/>
    <w:rsid w:val="002728AE"/>
    <w:pPr>
      <w:widowControl w:val="0"/>
      <w:adjustRightInd w:val="0"/>
      <w:spacing w:before="100" w:beforeAutospacing="1" w:after="100" w:afterAutospacing="1" w:line="360" w:lineRule="atLeast"/>
      <w:jc w:val="both"/>
      <w:textAlignment w:val="baseline"/>
    </w:pPr>
    <w:rPr>
      <w:sz w:val="19"/>
      <w:szCs w:val="19"/>
    </w:rPr>
  </w:style>
  <w:style w:type="paragraph" w:customStyle="1" w:styleId="tabletext1">
    <w:name w:val="tabletext"/>
    <w:basedOn w:val="Normal"/>
    <w:rsid w:val="002728AE"/>
    <w:pPr>
      <w:widowControl w:val="0"/>
      <w:adjustRightInd w:val="0"/>
      <w:spacing w:line="288" w:lineRule="auto"/>
      <w:jc w:val="center"/>
      <w:textAlignment w:val="baseline"/>
    </w:pPr>
    <w:rPr>
      <w:rFonts w:ascii="Palatino (PCL6)" w:hAnsi="Palatino (PCL6)"/>
      <w:sz w:val="18"/>
      <w:szCs w:val="18"/>
    </w:rPr>
  </w:style>
  <w:style w:type="paragraph" w:customStyle="1" w:styleId="Navaden">
    <w:name w:val="Navaden"/>
    <w:basedOn w:val="Normal"/>
    <w:next w:val="Normal"/>
    <w:rsid w:val="002728AE"/>
    <w:pPr>
      <w:widowControl w:val="0"/>
      <w:autoSpaceDE w:val="0"/>
      <w:autoSpaceDN w:val="0"/>
      <w:adjustRightInd w:val="0"/>
      <w:spacing w:before="60" w:line="360" w:lineRule="atLeast"/>
      <w:jc w:val="both"/>
      <w:textAlignment w:val="baseline"/>
    </w:pPr>
  </w:style>
  <w:style w:type="paragraph" w:customStyle="1" w:styleId="table0">
    <w:name w:val="table"/>
    <w:basedOn w:val="Normal"/>
    <w:rsid w:val="002728AE"/>
    <w:pPr>
      <w:keepLines/>
      <w:widowControl w:val="0"/>
      <w:tabs>
        <w:tab w:val="left" w:pos="142"/>
        <w:tab w:val="left" w:pos="284"/>
        <w:tab w:val="left" w:pos="426"/>
        <w:tab w:val="left" w:pos="1985"/>
        <w:tab w:val="left" w:pos="2268"/>
        <w:tab w:val="left" w:pos="2552"/>
        <w:tab w:val="left" w:pos="2835"/>
      </w:tabs>
      <w:adjustRightInd w:val="0"/>
      <w:spacing w:before="80" w:after="80" w:line="340" w:lineRule="atLeast"/>
      <w:jc w:val="both"/>
      <w:textAlignment w:val="baseline"/>
    </w:pPr>
    <w:rPr>
      <w:rFonts w:ascii="Palatino" w:hAnsi="Palatino"/>
      <w:color w:val="000080"/>
      <w:sz w:val="20"/>
      <w:szCs w:val="20"/>
      <w:lang w:val="en-US"/>
    </w:rPr>
  </w:style>
  <w:style w:type="character" w:customStyle="1" w:styleId="content">
    <w:name w:val="content"/>
    <w:basedOn w:val="DefaultParagraphFont"/>
    <w:rsid w:val="002728AE"/>
  </w:style>
  <w:style w:type="paragraph" w:customStyle="1" w:styleId="StyleBAText1bulletItalic">
    <w:name w:val="Style BA Text 1 bullet + Italic"/>
    <w:basedOn w:val="Normal"/>
    <w:rsid w:val="002728AE"/>
    <w:pPr>
      <w:widowControl w:val="0"/>
      <w:adjustRightInd w:val="0"/>
      <w:spacing w:line="280" w:lineRule="atLeast"/>
      <w:jc w:val="both"/>
      <w:textAlignment w:val="baseline"/>
    </w:pPr>
    <w:rPr>
      <w:rFonts w:ascii="Times" w:hAnsi="Times"/>
      <w:i/>
      <w:iCs/>
    </w:rPr>
  </w:style>
  <w:style w:type="paragraph" w:customStyle="1" w:styleId="StyleBAText1Italic">
    <w:name w:val="Style BA Text 1 + Italic"/>
    <w:basedOn w:val="Normal"/>
    <w:rsid w:val="002728AE"/>
    <w:pPr>
      <w:widowControl w:val="0"/>
      <w:adjustRightInd w:val="0"/>
      <w:spacing w:line="280" w:lineRule="atLeast"/>
      <w:jc w:val="both"/>
      <w:textAlignment w:val="baseline"/>
    </w:pPr>
    <w:rPr>
      <w:rFonts w:ascii="Times" w:hAnsi="Times"/>
      <w:i/>
      <w:iCs/>
    </w:rPr>
  </w:style>
  <w:style w:type="paragraph" w:customStyle="1" w:styleId="Tableheader">
    <w:name w:val="Table header"/>
    <w:basedOn w:val="Normal"/>
    <w:link w:val="TableheaderCharChar"/>
    <w:rsid w:val="002728AE"/>
    <w:pPr>
      <w:keepNext/>
      <w:keepLines/>
      <w:widowControl w:val="0"/>
      <w:adjustRightInd w:val="0"/>
      <w:spacing w:before="360" w:after="120" w:line="240" w:lineRule="atLeast"/>
      <w:jc w:val="both"/>
      <w:textAlignment w:val="baseline"/>
      <w:outlineLvl w:val="8"/>
    </w:pPr>
    <w:rPr>
      <w:rFonts w:ascii="Arial" w:hAnsi="Arial"/>
      <w:b/>
      <w:bCs/>
    </w:rPr>
  </w:style>
  <w:style w:type="character" w:customStyle="1" w:styleId="TableheaderCharChar">
    <w:name w:val="Table header Char Char"/>
    <w:basedOn w:val="DefaultParagraphFont"/>
    <w:link w:val="Tableheader"/>
    <w:rsid w:val="002728AE"/>
    <w:rPr>
      <w:rFonts w:ascii="Arial" w:eastAsia="Times New Roman" w:hAnsi="Arial"/>
      <w:b/>
      <w:bCs/>
      <w:sz w:val="22"/>
      <w:szCs w:val="24"/>
      <w:lang w:eastAsia="en-US"/>
    </w:rPr>
  </w:style>
  <w:style w:type="table" w:styleId="TableList3">
    <w:name w:val="Table List 3"/>
    <w:basedOn w:val="TableNormal"/>
    <w:rsid w:val="002728AE"/>
    <w:pPr>
      <w:widowControl w:val="0"/>
      <w:spacing w:line="340" w:lineRule="atLeast"/>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CM7">
    <w:name w:val="CM7"/>
    <w:basedOn w:val="Default"/>
    <w:next w:val="Default"/>
    <w:rsid w:val="002728AE"/>
    <w:pPr>
      <w:widowControl w:val="0"/>
      <w:spacing w:after="358" w:line="360" w:lineRule="atLeast"/>
      <w:jc w:val="both"/>
      <w:textAlignment w:val="baseline"/>
    </w:pPr>
    <w:rPr>
      <w:color w:val="auto"/>
    </w:rPr>
  </w:style>
  <w:style w:type="character" w:customStyle="1" w:styleId="sn">
    <w:name w:val="sn"/>
    <w:basedOn w:val="DefaultParagraphFont"/>
    <w:rsid w:val="002728AE"/>
  </w:style>
  <w:style w:type="character" w:customStyle="1" w:styleId="subject1">
    <w:name w:val="subject1"/>
    <w:basedOn w:val="DefaultParagraphFont"/>
    <w:rsid w:val="002728AE"/>
    <w:rPr>
      <w:b/>
      <w:bCs/>
    </w:rPr>
  </w:style>
  <w:style w:type="paragraph" w:customStyle="1" w:styleId="text">
    <w:name w:val="text"/>
    <w:basedOn w:val="Normal"/>
    <w:rsid w:val="002728AE"/>
    <w:pPr>
      <w:widowControl w:val="0"/>
      <w:adjustRightInd w:val="0"/>
      <w:spacing w:before="100" w:beforeAutospacing="1" w:after="100" w:afterAutospacing="1" w:line="360" w:lineRule="atLeast"/>
      <w:jc w:val="both"/>
      <w:textAlignment w:val="baseline"/>
    </w:pPr>
    <w:rPr>
      <w:rFonts w:ascii="Arial" w:hAnsi="Arial" w:cs="Arial"/>
    </w:rPr>
  </w:style>
  <w:style w:type="paragraph" w:customStyle="1" w:styleId="noskip">
    <w:name w:val="noskip"/>
    <w:basedOn w:val="Normal"/>
    <w:uiPriority w:val="99"/>
    <w:rsid w:val="002728AE"/>
    <w:pPr>
      <w:widowControl w:val="0"/>
      <w:adjustRightInd w:val="0"/>
      <w:spacing w:after="100" w:afterAutospacing="1" w:line="360" w:lineRule="atLeast"/>
      <w:jc w:val="both"/>
      <w:textAlignment w:val="baseline"/>
    </w:pPr>
  </w:style>
  <w:style w:type="character" w:customStyle="1" w:styleId="smallcaps3">
    <w:name w:val="smallcaps3"/>
    <w:basedOn w:val="DefaultParagraphFont"/>
    <w:rsid w:val="002728AE"/>
    <w:rPr>
      <w:smallCaps/>
    </w:rPr>
  </w:style>
  <w:style w:type="character" w:customStyle="1" w:styleId="defaultcontent1">
    <w:name w:val="default_content1"/>
    <w:basedOn w:val="DefaultParagraphFont"/>
    <w:rsid w:val="002728AE"/>
    <w:rPr>
      <w:rFonts w:ascii="Arial" w:hAnsi="Arial" w:cs="Arial" w:hint="default"/>
      <w:b w:val="0"/>
      <w:bCs w:val="0"/>
      <w:color w:val="000000"/>
      <w:sz w:val="15"/>
      <w:szCs w:val="15"/>
    </w:rPr>
  </w:style>
  <w:style w:type="character" w:customStyle="1" w:styleId="contenttitle1">
    <w:name w:val="content_title1"/>
    <w:basedOn w:val="DefaultParagraphFont"/>
    <w:rsid w:val="002728AE"/>
    <w:rPr>
      <w:rFonts w:ascii="Arial" w:hAnsi="Arial" w:cs="Arial" w:hint="default"/>
      <w:b/>
      <w:bCs/>
      <w:color w:val="0066AA"/>
      <w:sz w:val="22"/>
      <w:szCs w:val="22"/>
    </w:rPr>
  </w:style>
  <w:style w:type="character" w:customStyle="1" w:styleId="header011">
    <w:name w:val="header011"/>
    <w:basedOn w:val="DefaultParagraphFont"/>
    <w:rsid w:val="002728AE"/>
    <w:rPr>
      <w:rFonts w:ascii="Arial" w:hAnsi="Arial" w:cs="Arial" w:hint="default"/>
      <w:color w:val="007437"/>
      <w:sz w:val="24"/>
      <w:szCs w:val="24"/>
    </w:rPr>
  </w:style>
  <w:style w:type="character" w:customStyle="1" w:styleId="f1">
    <w:name w:val="f1"/>
    <w:basedOn w:val="DefaultParagraphFont"/>
    <w:rsid w:val="002728AE"/>
    <w:rPr>
      <w:color w:val="666666"/>
    </w:rPr>
  </w:style>
  <w:style w:type="paragraph" w:customStyle="1" w:styleId="Titre1">
    <w:name w:val="Titre 1"/>
    <w:basedOn w:val="Default"/>
    <w:next w:val="Default"/>
    <w:rsid w:val="002728AE"/>
    <w:pPr>
      <w:widowControl w:val="0"/>
      <w:spacing w:before="120" w:after="600" w:line="360" w:lineRule="atLeast"/>
      <w:jc w:val="both"/>
      <w:textAlignment w:val="baseline"/>
    </w:pPr>
    <w:rPr>
      <w:color w:val="auto"/>
    </w:rPr>
  </w:style>
  <w:style w:type="character" w:customStyle="1" w:styleId="title3">
    <w:name w:val="title3"/>
    <w:basedOn w:val="DefaultParagraphFont"/>
    <w:rsid w:val="002728AE"/>
  </w:style>
  <w:style w:type="character" w:customStyle="1" w:styleId="journal2">
    <w:name w:val="journal2"/>
    <w:basedOn w:val="DefaultParagraphFont"/>
    <w:rsid w:val="002728AE"/>
  </w:style>
  <w:style w:type="paragraph" w:customStyle="1" w:styleId="articledetails">
    <w:name w:val="articledetails"/>
    <w:basedOn w:val="Normal"/>
    <w:rsid w:val="002728AE"/>
    <w:pPr>
      <w:widowControl w:val="0"/>
      <w:adjustRightInd w:val="0"/>
      <w:spacing w:before="100" w:beforeAutospacing="1" w:after="100" w:afterAutospacing="1" w:line="360" w:lineRule="atLeast"/>
      <w:jc w:val="both"/>
      <w:textAlignment w:val="baseline"/>
    </w:pPr>
  </w:style>
  <w:style w:type="character" w:customStyle="1" w:styleId="articlepagesstyle">
    <w:name w:val="articlepagesstyle"/>
    <w:basedOn w:val="DefaultParagraphFont"/>
    <w:uiPriority w:val="99"/>
    <w:rsid w:val="002728AE"/>
  </w:style>
  <w:style w:type="character" w:customStyle="1" w:styleId="style111">
    <w:name w:val="style111"/>
    <w:basedOn w:val="DefaultParagraphFont"/>
    <w:rsid w:val="002728AE"/>
    <w:rPr>
      <w:rFonts w:ascii="Verdana" w:hAnsi="Verdana" w:hint="default"/>
      <w:b/>
      <w:bCs/>
      <w:color w:val="581E79"/>
      <w:sz w:val="21"/>
      <w:szCs w:val="21"/>
    </w:rPr>
  </w:style>
  <w:style w:type="character" w:customStyle="1" w:styleId="gsa1">
    <w:name w:val="gs_a1"/>
    <w:basedOn w:val="DefaultParagraphFont"/>
    <w:uiPriority w:val="99"/>
    <w:rsid w:val="002728AE"/>
    <w:rPr>
      <w:color w:val="008000"/>
    </w:rPr>
  </w:style>
  <w:style w:type="paragraph" w:customStyle="1" w:styleId="simkop1">
    <w:name w:val="simkop1"/>
    <w:basedOn w:val="Normal"/>
    <w:rsid w:val="002728AE"/>
    <w:pPr>
      <w:widowControl w:val="0"/>
      <w:autoSpaceDE w:val="0"/>
      <w:autoSpaceDN w:val="0"/>
      <w:adjustRightInd w:val="0"/>
      <w:spacing w:line="360" w:lineRule="atLeast"/>
      <w:jc w:val="both"/>
      <w:textAlignment w:val="baseline"/>
    </w:pPr>
    <w:rPr>
      <w:rFonts w:ascii="Arial" w:hAnsi="Arial" w:cs="Arial"/>
      <w:b/>
      <w:bCs/>
      <w:spacing w:val="-3"/>
      <w:sz w:val="32"/>
      <w:szCs w:val="32"/>
    </w:rPr>
  </w:style>
  <w:style w:type="character" w:customStyle="1" w:styleId="personname3">
    <w:name w:val="person_name3"/>
    <w:basedOn w:val="DefaultParagraphFont"/>
    <w:rsid w:val="002728AE"/>
  </w:style>
  <w:style w:type="character" w:customStyle="1" w:styleId="journalabstracttitle1">
    <w:name w:val="journal_abstract_title1"/>
    <w:basedOn w:val="DefaultParagraphFont"/>
    <w:rsid w:val="002728AE"/>
    <w:rPr>
      <w:rFonts w:ascii="Arial" w:hAnsi="Arial" w:cs="Arial" w:hint="default"/>
      <w:b/>
      <w:bCs/>
      <w:caps w:val="0"/>
      <w:sz w:val="23"/>
      <w:szCs w:val="23"/>
    </w:rPr>
  </w:style>
  <w:style w:type="character" w:customStyle="1" w:styleId="author0">
    <w:name w:val="author"/>
    <w:basedOn w:val="DefaultParagraphFont"/>
    <w:uiPriority w:val="99"/>
    <w:rsid w:val="002728AE"/>
  </w:style>
  <w:style w:type="paragraph" w:customStyle="1" w:styleId="H5">
    <w:name w:val="H5"/>
    <w:basedOn w:val="Normal"/>
    <w:next w:val="Normal"/>
    <w:rsid w:val="002728AE"/>
    <w:pPr>
      <w:keepNext/>
      <w:widowControl w:val="0"/>
      <w:adjustRightInd w:val="0"/>
      <w:spacing w:before="100" w:after="100" w:line="360" w:lineRule="atLeast"/>
      <w:jc w:val="both"/>
      <w:textAlignment w:val="baseline"/>
      <w:outlineLvl w:val="5"/>
    </w:pPr>
    <w:rPr>
      <w:b/>
      <w:snapToGrid w:val="0"/>
      <w:sz w:val="20"/>
      <w:szCs w:val="20"/>
    </w:rPr>
  </w:style>
  <w:style w:type="paragraph" w:customStyle="1" w:styleId="DefinitionTerm">
    <w:name w:val="Definition Term"/>
    <w:basedOn w:val="Normal"/>
    <w:next w:val="Normal"/>
    <w:rsid w:val="002728AE"/>
    <w:pPr>
      <w:widowControl w:val="0"/>
      <w:adjustRightInd w:val="0"/>
      <w:spacing w:line="360" w:lineRule="atLeast"/>
      <w:jc w:val="both"/>
      <w:textAlignment w:val="baseline"/>
    </w:pPr>
    <w:rPr>
      <w:snapToGrid w:val="0"/>
      <w:sz w:val="20"/>
      <w:szCs w:val="20"/>
    </w:rPr>
  </w:style>
  <w:style w:type="paragraph" w:customStyle="1" w:styleId="articletitle">
    <w:name w:val="articletitle"/>
    <w:basedOn w:val="Normal"/>
    <w:rsid w:val="002728AE"/>
    <w:pPr>
      <w:widowControl w:val="0"/>
      <w:adjustRightInd w:val="0"/>
      <w:spacing w:before="100" w:beforeAutospacing="1" w:after="100" w:afterAutospacing="1" w:line="360" w:lineRule="atLeast"/>
      <w:jc w:val="both"/>
      <w:textAlignment w:val="baseline"/>
    </w:pPr>
    <w:rPr>
      <w:rFonts w:ascii="Arial Unicode MS" w:eastAsia="Arial Unicode MS" w:hAnsi="Arial Unicode MS" w:cs="Arial Unicode MS"/>
      <w:b/>
      <w:bCs/>
      <w:color w:val="000000"/>
      <w:sz w:val="36"/>
      <w:szCs w:val="36"/>
    </w:rPr>
  </w:style>
  <w:style w:type="character" w:customStyle="1" w:styleId="pubyear">
    <w:name w:val="pubyear"/>
    <w:basedOn w:val="DefaultParagraphFont"/>
    <w:rsid w:val="002728AE"/>
  </w:style>
  <w:style w:type="character" w:customStyle="1" w:styleId="journaltitle2">
    <w:name w:val="journaltitle2"/>
    <w:basedOn w:val="DefaultParagraphFont"/>
    <w:rsid w:val="002728AE"/>
    <w:rPr>
      <w:i/>
      <w:iCs/>
    </w:rPr>
  </w:style>
  <w:style w:type="character" w:customStyle="1" w:styleId="vol2">
    <w:name w:val="vol2"/>
    <w:basedOn w:val="DefaultParagraphFont"/>
    <w:rsid w:val="002728AE"/>
    <w:rPr>
      <w:b/>
      <w:bCs/>
    </w:rPr>
  </w:style>
  <w:style w:type="character" w:customStyle="1" w:styleId="pagefirst">
    <w:name w:val="pagefirst"/>
    <w:basedOn w:val="DefaultParagraphFont"/>
    <w:rsid w:val="002728AE"/>
  </w:style>
  <w:style w:type="character" w:customStyle="1" w:styleId="pagelast">
    <w:name w:val="pagelast"/>
    <w:basedOn w:val="DefaultParagraphFont"/>
    <w:rsid w:val="002728AE"/>
  </w:style>
  <w:style w:type="character" w:customStyle="1" w:styleId="othertitle">
    <w:name w:val="othertitle"/>
    <w:basedOn w:val="DefaultParagraphFont"/>
    <w:rsid w:val="002728AE"/>
  </w:style>
  <w:style w:type="character" w:customStyle="1" w:styleId="mixed-citation">
    <w:name w:val="mixed-citation"/>
    <w:basedOn w:val="DefaultParagraphFont"/>
    <w:rsid w:val="002728AE"/>
  </w:style>
  <w:style w:type="character" w:customStyle="1" w:styleId="ref-title">
    <w:name w:val="ref-title"/>
    <w:basedOn w:val="DefaultParagraphFont"/>
    <w:rsid w:val="002728AE"/>
  </w:style>
  <w:style w:type="character" w:customStyle="1" w:styleId="ref-journal1">
    <w:name w:val="ref-journal1"/>
    <w:basedOn w:val="DefaultParagraphFont"/>
    <w:rsid w:val="002728AE"/>
    <w:rPr>
      <w:i/>
      <w:iCs/>
    </w:rPr>
  </w:style>
  <w:style w:type="character" w:customStyle="1" w:styleId="ref-vol">
    <w:name w:val="ref-vol"/>
    <w:basedOn w:val="DefaultParagraphFont"/>
    <w:rsid w:val="002728AE"/>
  </w:style>
  <w:style w:type="paragraph" w:customStyle="1" w:styleId="CM2">
    <w:name w:val="CM2"/>
    <w:basedOn w:val="Default"/>
    <w:next w:val="Default"/>
    <w:uiPriority w:val="99"/>
    <w:rsid w:val="002728AE"/>
    <w:pPr>
      <w:widowControl w:val="0"/>
      <w:spacing w:line="360" w:lineRule="atLeast"/>
      <w:jc w:val="both"/>
      <w:textAlignment w:val="baseline"/>
    </w:pPr>
    <w:rPr>
      <w:rFonts w:ascii="MDJPP J+ Adv P 1964" w:hAnsi="MDJPP J+ Adv P 1964"/>
      <w:color w:val="auto"/>
    </w:rPr>
  </w:style>
  <w:style w:type="paragraph" w:customStyle="1" w:styleId="CM17">
    <w:name w:val="CM17"/>
    <w:basedOn w:val="Default"/>
    <w:next w:val="Default"/>
    <w:uiPriority w:val="99"/>
    <w:rsid w:val="002728AE"/>
    <w:pPr>
      <w:widowControl w:val="0"/>
      <w:spacing w:line="360" w:lineRule="atLeast"/>
      <w:jc w:val="both"/>
      <w:textAlignment w:val="baseline"/>
    </w:pPr>
    <w:rPr>
      <w:rFonts w:ascii="MDJPP J+ Adv P 1964" w:hAnsi="MDJPP J+ Adv P 1964"/>
      <w:color w:val="auto"/>
    </w:rPr>
  </w:style>
  <w:style w:type="paragraph" w:customStyle="1" w:styleId="CM16">
    <w:name w:val="CM16"/>
    <w:basedOn w:val="Default"/>
    <w:next w:val="Default"/>
    <w:uiPriority w:val="99"/>
    <w:rsid w:val="002728AE"/>
    <w:pPr>
      <w:widowControl w:val="0"/>
      <w:spacing w:line="360" w:lineRule="atLeast"/>
      <w:jc w:val="both"/>
      <w:textAlignment w:val="baseline"/>
    </w:pPr>
    <w:rPr>
      <w:rFonts w:ascii="MDJPP J+ Adv P 1964" w:hAnsi="MDJPP J+ Adv P 1964"/>
      <w:color w:val="auto"/>
    </w:rPr>
  </w:style>
  <w:style w:type="paragraph" w:customStyle="1" w:styleId="CM1">
    <w:name w:val="CM1"/>
    <w:basedOn w:val="Default"/>
    <w:next w:val="Default"/>
    <w:uiPriority w:val="99"/>
    <w:rsid w:val="002728AE"/>
    <w:pPr>
      <w:widowControl w:val="0"/>
      <w:spacing w:line="360" w:lineRule="atLeast"/>
      <w:jc w:val="both"/>
      <w:textAlignment w:val="baseline"/>
    </w:pPr>
    <w:rPr>
      <w:rFonts w:ascii="MDJPO D+ Adv P 1968" w:hAnsi="MDJPO D+ Adv P 1968"/>
      <w:color w:val="auto"/>
    </w:rPr>
  </w:style>
  <w:style w:type="character" w:customStyle="1" w:styleId="cit-pub-date1">
    <w:name w:val="cit-pub-date1"/>
    <w:basedOn w:val="DefaultParagraphFont"/>
    <w:uiPriority w:val="99"/>
    <w:rsid w:val="002728AE"/>
    <w:rPr>
      <w:b/>
      <w:bCs/>
    </w:rPr>
  </w:style>
  <w:style w:type="character" w:customStyle="1" w:styleId="Subtitle1">
    <w:name w:val="Subtitle1"/>
    <w:basedOn w:val="DefaultParagraphFont"/>
    <w:rsid w:val="002728AE"/>
  </w:style>
  <w:style w:type="character" w:customStyle="1" w:styleId="description1">
    <w:name w:val="description1"/>
    <w:basedOn w:val="DefaultParagraphFont"/>
    <w:rsid w:val="002728AE"/>
    <w:rPr>
      <w:sz w:val="20"/>
      <w:szCs w:val="20"/>
    </w:rPr>
  </w:style>
  <w:style w:type="character" w:customStyle="1" w:styleId="fn">
    <w:name w:val="fn"/>
    <w:basedOn w:val="DefaultParagraphFont"/>
    <w:rsid w:val="002728AE"/>
  </w:style>
  <w:style w:type="paragraph" w:styleId="HTMLAddress">
    <w:name w:val="HTML Address"/>
    <w:basedOn w:val="Normal"/>
    <w:link w:val="HTMLAddressChar"/>
    <w:uiPriority w:val="99"/>
    <w:unhideWhenUsed/>
    <w:rsid w:val="002728AE"/>
    <w:pPr>
      <w:widowControl w:val="0"/>
      <w:adjustRightInd w:val="0"/>
      <w:spacing w:line="360" w:lineRule="atLeast"/>
      <w:jc w:val="both"/>
      <w:textAlignment w:val="baseline"/>
    </w:pPr>
    <w:rPr>
      <w:i/>
      <w:iCs/>
    </w:rPr>
  </w:style>
  <w:style w:type="character" w:customStyle="1" w:styleId="HTMLAddressChar">
    <w:name w:val="HTML Address Char"/>
    <w:basedOn w:val="DefaultParagraphFont"/>
    <w:link w:val="HTMLAddress"/>
    <w:uiPriority w:val="99"/>
    <w:rsid w:val="002728AE"/>
    <w:rPr>
      <w:rFonts w:ascii="Times New Roman" w:eastAsia="Times New Roman" w:hAnsi="Times New Roman"/>
      <w:i/>
      <w:iCs/>
      <w:sz w:val="24"/>
      <w:szCs w:val="24"/>
    </w:rPr>
  </w:style>
  <w:style w:type="paragraph" w:customStyle="1" w:styleId="BodyText5">
    <w:name w:val="Body Text+5"/>
    <w:basedOn w:val="Default"/>
    <w:next w:val="Default"/>
    <w:uiPriority w:val="99"/>
    <w:rsid w:val="002728AE"/>
    <w:pPr>
      <w:widowControl w:val="0"/>
      <w:spacing w:line="360" w:lineRule="atLeast"/>
      <w:jc w:val="both"/>
      <w:textAlignment w:val="baseline"/>
    </w:pPr>
    <w:rPr>
      <w:rFonts w:ascii="Arial" w:hAnsi="Arial" w:cs="Arial"/>
      <w:color w:val="auto"/>
    </w:rPr>
  </w:style>
  <w:style w:type="character" w:customStyle="1" w:styleId="hit">
    <w:name w:val="hit"/>
    <w:basedOn w:val="DefaultParagraphFont"/>
    <w:rsid w:val="002728AE"/>
    <w:rPr>
      <w:sz w:val="24"/>
      <w:szCs w:val="24"/>
      <w:bdr w:val="none" w:sz="0" w:space="0" w:color="auto" w:frame="1"/>
      <w:shd w:val="clear" w:color="auto" w:fill="FFFFDD"/>
      <w:vertAlign w:val="baseline"/>
    </w:rPr>
  </w:style>
  <w:style w:type="character" w:customStyle="1" w:styleId="sectiontitle1">
    <w:name w:val="sectiontitle1"/>
    <w:basedOn w:val="DefaultParagraphFont"/>
    <w:rsid w:val="002728AE"/>
    <w:rPr>
      <w:rFonts w:ascii="Verdana" w:hAnsi="Verdana" w:hint="default"/>
      <w:b/>
      <w:bCs/>
      <w:i w:val="0"/>
      <w:iCs w:val="0"/>
      <w:color w:val="284469"/>
      <w:spacing w:val="30"/>
      <w:sz w:val="24"/>
      <w:szCs w:val="24"/>
    </w:rPr>
  </w:style>
  <w:style w:type="paragraph" w:customStyle="1" w:styleId="Dot">
    <w:name w:val="Dot"/>
    <w:basedOn w:val="Normal"/>
    <w:uiPriority w:val="99"/>
    <w:rsid w:val="002728AE"/>
    <w:pPr>
      <w:widowControl w:val="0"/>
      <w:numPr>
        <w:numId w:val="30"/>
      </w:numPr>
      <w:adjustRightInd w:val="0"/>
      <w:spacing w:line="360" w:lineRule="atLeast"/>
      <w:jc w:val="both"/>
      <w:textAlignment w:val="baseline"/>
    </w:pPr>
    <w:rPr>
      <w:szCs w:val="20"/>
    </w:rPr>
  </w:style>
  <w:style w:type="paragraph" w:customStyle="1" w:styleId="Pa1">
    <w:name w:val="Pa1"/>
    <w:basedOn w:val="Default"/>
    <w:next w:val="Default"/>
    <w:uiPriority w:val="99"/>
    <w:rsid w:val="002728AE"/>
    <w:pPr>
      <w:widowControl w:val="0"/>
      <w:spacing w:line="241" w:lineRule="atLeast"/>
      <w:jc w:val="both"/>
      <w:textAlignment w:val="baseline"/>
    </w:pPr>
    <w:rPr>
      <w:rFonts w:ascii="NewCenturySchlbk" w:hAnsi="NewCenturySchlbk"/>
      <w:color w:val="auto"/>
    </w:rPr>
  </w:style>
  <w:style w:type="character" w:customStyle="1" w:styleId="A8">
    <w:name w:val="A8"/>
    <w:uiPriority w:val="99"/>
    <w:rsid w:val="002728AE"/>
    <w:rPr>
      <w:rFonts w:cs="NewCenturySchlbk"/>
      <w:color w:val="000000"/>
      <w:sz w:val="16"/>
      <w:szCs w:val="16"/>
    </w:rPr>
  </w:style>
  <w:style w:type="character" w:customStyle="1" w:styleId="st1">
    <w:name w:val="st1"/>
    <w:basedOn w:val="DefaultParagraphFont"/>
    <w:rsid w:val="002728AE"/>
  </w:style>
  <w:style w:type="character" w:customStyle="1" w:styleId="maintitle">
    <w:name w:val="maintitle"/>
    <w:basedOn w:val="DefaultParagraphFont"/>
    <w:uiPriority w:val="99"/>
    <w:rsid w:val="002728AE"/>
  </w:style>
  <w:style w:type="paragraph" w:styleId="z-TopofForm">
    <w:name w:val="HTML Top of Form"/>
    <w:basedOn w:val="Normal"/>
    <w:next w:val="Normal"/>
    <w:link w:val="z-TopofFormChar"/>
    <w:hidden/>
    <w:uiPriority w:val="99"/>
    <w:unhideWhenUsed/>
    <w:rsid w:val="002728A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2728A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2728A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2728AE"/>
    <w:rPr>
      <w:rFonts w:ascii="Arial" w:eastAsia="Times New Roman" w:hAnsi="Arial" w:cs="Arial"/>
      <w:vanish/>
      <w:sz w:val="16"/>
      <w:szCs w:val="16"/>
    </w:rPr>
  </w:style>
  <w:style w:type="character" w:customStyle="1" w:styleId="A5">
    <w:name w:val="A5"/>
    <w:uiPriority w:val="99"/>
    <w:rsid w:val="002728AE"/>
    <w:rPr>
      <w:color w:val="000000"/>
      <w:sz w:val="14"/>
      <w:szCs w:val="14"/>
    </w:rPr>
  </w:style>
  <w:style w:type="paragraph" w:customStyle="1" w:styleId="SP245776">
    <w:name w:val="SP245776"/>
    <w:basedOn w:val="Default"/>
    <w:next w:val="Default"/>
    <w:uiPriority w:val="99"/>
    <w:rsid w:val="002728AE"/>
    <w:rPr>
      <w:rFonts w:eastAsiaTheme="minorHAnsi"/>
      <w:color w:val="auto"/>
      <w:lang w:eastAsia="en-US"/>
    </w:rPr>
  </w:style>
  <w:style w:type="paragraph" w:customStyle="1" w:styleId="SP245785">
    <w:name w:val="SP245785"/>
    <w:basedOn w:val="Default"/>
    <w:next w:val="Default"/>
    <w:uiPriority w:val="99"/>
    <w:rsid w:val="002728AE"/>
    <w:rPr>
      <w:rFonts w:eastAsiaTheme="minorHAnsi"/>
      <w:color w:val="auto"/>
      <w:lang w:eastAsia="en-US"/>
    </w:rPr>
  </w:style>
  <w:style w:type="character" w:customStyle="1" w:styleId="SC1660">
    <w:name w:val="SC1660"/>
    <w:uiPriority w:val="99"/>
    <w:rsid w:val="002728AE"/>
    <w:rPr>
      <w:color w:val="000000"/>
      <w:sz w:val="21"/>
      <w:szCs w:val="21"/>
    </w:rPr>
  </w:style>
  <w:style w:type="character" w:customStyle="1" w:styleId="singlehighlightclass">
    <w:name w:val="single_highlight_class"/>
    <w:basedOn w:val="DefaultParagraphFont"/>
    <w:rsid w:val="002728AE"/>
  </w:style>
  <w:style w:type="character" w:customStyle="1" w:styleId="big1">
    <w:name w:val="big1"/>
    <w:basedOn w:val="DefaultParagraphFont"/>
    <w:rsid w:val="002728AE"/>
    <w:rPr>
      <w:rFonts w:ascii="Verdana" w:hAnsi="Verdana" w:hint="default"/>
      <w:sz w:val="19"/>
      <w:szCs w:val="19"/>
    </w:rPr>
  </w:style>
  <w:style w:type="character" w:customStyle="1" w:styleId="ms-rtecustom-creditcaption1">
    <w:name w:val="ms-rtecustom-creditcaption1"/>
    <w:basedOn w:val="DefaultParagraphFont"/>
    <w:rsid w:val="002728AE"/>
    <w:rPr>
      <w:sz w:val="12"/>
      <w:szCs w:val="12"/>
    </w:rPr>
  </w:style>
  <w:style w:type="paragraph" w:customStyle="1" w:styleId="CharCharCarCharCarCharCarCharCarChar">
    <w:name w:val="Char Char Car Char Car Char Car Char Car Char"/>
    <w:basedOn w:val="Normal"/>
    <w:rsid w:val="002728AE"/>
    <w:pPr>
      <w:autoSpaceDE w:val="0"/>
      <w:autoSpaceDN w:val="0"/>
      <w:spacing w:line="240" w:lineRule="exact"/>
    </w:pPr>
    <w:rPr>
      <w:rFonts w:ascii="Arial" w:hAnsi="Arial" w:cs="Arial"/>
      <w:sz w:val="20"/>
      <w:szCs w:val="20"/>
      <w:lang w:val="en-US"/>
    </w:rPr>
  </w:style>
  <w:style w:type="character" w:customStyle="1" w:styleId="normaltext1">
    <w:name w:val="normaltext1"/>
    <w:basedOn w:val="DefaultParagraphFont"/>
    <w:rsid w:val="002728AE"/>
    <w:rPr>
      <w:b w:val="0"/>
      <w:bCs w:val="0"/>
      <w:color w:val="32393D"/>
      <w:sz w:val="15"/>
      <w:szCs w:val="15"/>
    </w:rPr>
  </w:style>
  <w:style w:type="character" w:customStyle="1" w:styleId="nlmx">
    <w:name w:val="nlm_x"/>
    <w:basedOn w:val="DefaultParagraphFont"/>
    <w:uiPriority w:val="99"/>
    <w:rsid w:val="002728AE"/>
  </w:style>
  <w:style w:type="paragraph" w:customStyle="1" w:styleId="Description">
    <w:name w:val="Description"/>
    <w:basedOn w:val="Normal"/>
    <w:rsid w:val="002728AE"/>
    <w:pPr>
      <w:widowControl w:val="0"/>
      <w:autoSpaceDE w:val="0"/>
      <w:autoSpaceDN w:val="0"/>
      <w:ind w:firstLine="340"/>
      <w:jc w:val="both"/>
    </w:pPr>
    <w:rPr>
      <w:sz w:val="20"/>
      <w:szCs w:val="20"/>
    </w:rPr>
  </w:style>
  <w:style w:type="paragraph" w:customStyle="1" w:styleId="Title2">
    <w:name w:val="Title 2"/>
    <w:basedOn w:val="Normal"/>
    <w:rsid w:val="002728AE"/>
    <w:pPr>
      <w:jc w:val="center"/>
    </w:pPr>
    <w:rPr>
      <w:rFonts w:ascii="Times" w:hAnsi="Times"/>
      <w:b/>
      <w:sz w:val="36"/>
      <w:szCs w:val="20"/>
    </w:rPr>
  </w:style>
  <w:style w:type="character" w:customStyle="1" w:styleId="citation">
    <w:name w:val="citation"/>
    <w:basedOn w:val="DefaultParagraphFont"/>
    <w:rsid w:val="002728AE"/>
  </w:style>
  <w:style w:type="character" w:customStyle="1" w:styleId="ref-journal">
    <w:name w:val="ref-journal"/>
    <w:basedOn w:val="DefaultParagraphFont"/>
    <w:rsid w:val="002728AE"/>
  </w:style>
  <w:style w:type="paragraph" w:customStyle="1" w:styleId="intro">
    <w:name w:val="intro"/>
    <w:basedOn w:val="Normal"/>
    <w:rsid w:val="002728AE"/>
    <w:pPr>
      <w:spacing w:before="100" w:beforeAutospacing="1" w:after="100" w:afterAutospacing="1"/>
    </w:pPr>
  </w:style>
  <w:style w:type="character" w:customStyle="1" w:styleId="pageheading1">
    <w:name w:val="page_heading1"/>
    <w:basedOn w:val="DefaultParagraphFont"/>
    <w:rsid w:val="002728AE"/>
    <w:rPr>
      <w:b/>
      <w:bCs/>
      <w:color w:val="980000"/>
      <w:sz w:val="34"/>
      <w:szCs w:val="34"/>
    </w:rPr>
  </w:style>
  <w:style w:type="character" w:customStyle="1" w:styleId="ms-rtecustom-edctrdoi1">
    <w:name w:val="ms-rtecustom-edctrdoi1"/>
    <w:basedOn w:val="DefaultParagraphFont"/>
    <w:uiPriority w:val="99"/>
    <w:rsid w:val="002728AE"/>
    <w:rPr>
      <w:sz w:val="10"/>
      <w:szCs w:val="10"/>
    </w:rPr>
  </w:style>
  <w:style w:type="paragraph" w:customStyle="1" w:styleId="caus-symp-txt">
    <w:name w:val="caus-symp-txt"/>
    <w:basedOn w:val="Normal"/>
    <w:rsid w:val="002728AE"/>
    <w:pPr>
      <w:spacing w:before="240" w:after="240"/>
    </w:pPr>
  </w:style>
  <w:style w:type="character" w:customStyle="1" w:styleId="element-citation">
    <w:name w:val="element-citation"/>
    <w:basedOn w:val="DefaultParagraphFont"/>
    <w:rsid w:val="002728AE"/>
  </w:style>
  <w:style w:type="character" w:customStyle="1" w:styleId="citation-abbreviation">
    <w:name w:val="citation-abbreviation"/>
    <w:basedOn w:val="DefaultParagraphFont"/>
    <w:rsid w:val="002728AE"/>
  </w:style>
  <w:style w:type="character" w:customStyle="1" w:styleId="citation-publication-date">
    <w:name w:val="citation-publication-date"/>
    <w:basedOn w:val="DefaultParagraphFont"/>
    <w:rsid w:val="002728AE"/>
  </w:style>
  <w:style w:type="character" w:customStyle="1" w:styleId="citation-volume">
    <w:name w:val="citation-volume"/>
    <w:basedOn w:val="DefaultParagraphFont"/>
    <w:rsid w:val="002728AE"/>
  </w:style>
  <w:style w:type="character" w:customStyle="1" w:styleId="citation-flpages">
    <w:name w:val="citation-flpages"/>
    <w:basedOn w:val="DefaultParagraphFont"/>
    <w:rsid w:val="002728AE"/>
  </w:style>
  <w:style w:type="character" w:customStyle="1" w:styleId="publication-title">
    <w:name w:val="publication-title"/>
    <w:basedOn w:val="DefaultParagraphFont"/>
    <w:rsid w:val="002728AE"/>
  </w:style>
  <w:style w:type="character" w:customStyle="1" w:styleId="BodyChar">
    <w:name w:val="Body Char"/>
    <w:basedOn w:val="DefaultParagraphFont"/>
    <w:link w:val="Body"/>
    <w:rsid w:val="002728AE"/>
    <w:rPr>
      <w:rFonts w:ascii="Times New Roman" w:eastAsia="Times New Roman" w:hAnsi="Times New Roman"/>
      <w:sz w:val="24"/>
      <w:lang w:eastAsia="en-US"/>
    </w:rPr>
  </w:style>
  <w:style w:type="paragraph" w:customStyle="1" w:styleId="articlecategory">
    <w:name w:val="articlecategory"/>
    <w:basedOn w:val="Normal"/>
    <w:rsid w:val="002728AE"/>
    <w:pPr>
      <w:spacing w:before="100" w:beforeAutospacing="1" w:after="100" w:afterAutospacing="1"/>
    </w:pPr>
  </w:style>
  <w:style w:type="character" w:customStyle="1" w:styleId="generaltextvvsmall1">
    <w:name w:val="generaltextvvsmall1"/>
    <w:basedOn w:val="DefaultParagraphFont"/>
    <w:uiPriority w:val="99"/>
    <w:rsid w:val="002728AE"/>
    <w:rPr>
      <w:rFonts w:ascii="Arial" w:hAnsi="Arial" w:cs="Arial" w:hint="default"/>
      <w:color w:val="000000"/>
      <w:sz w:val="17"/>
      <w:szCs w:val="17"/>
    </w:rPr>
  </w:style>
  <w:style w:type="paragraph" w:customStyle="1" w:styleId="Tabletext3">
    <w:name w:val="Table text"/>
    <w:basedOn w:val="Normal"/>
    <w:uiPriority w:val="99"/>
    <w:rsid w:val="002728AE"/>
    <w:pPr>
      <w:spacing w:before="60" w:after="60" w:line="280" w:lineRule="atLeast"/>
    </w:pPr>
    <w:rPr>
      <w:rFonts w:ascii="Arial" w:eastAsiaTheme="minorEastAsia" w:hAnsi="Arial" w:cs="Arial"/>
      <w:sz w:val="18"/>
      <w:szCs w:val="18"/>
      <w:lang w:val="en-GB" w:bidi="en-US"/>
    </w:rPr>
  </w:style>
  <w:style w:type="paragraph" w:customStyle="1" w:styleId="last">
    <w:name w:val="last"/>
    <w:basedOn w:val="Normal"/>
    <w:uiPriority w:val="99"/>
    <w:rsid w:val="002728AE"/>
    <w:pPr>
      <w:spacing w:before="100" w:beforeAutospacing="1" w:after="100" w:afterAutospacing="1"/>
    </w:pPr>
    <w:rPr>
      <w:rFonts w:ascii="Verdana" w:eastAsiaTheme="minorEastAsia" w:hAnsi="Verdana" w:cs="Verdana"/>
      <w:sz w:val="16"/>
      <w:szCs w:val="16"/>
      <w:lang w:val="en-US" w:bidi="en-US"/>
    </w:rPr>
  </w:style>
  <w:style w:type="paragraph" w:customStyle="1" w:styleId="Preformatted">
    <w:name w:val="Preformatted"/>
    <w:basedOn w:val="Normal"/>
    <w:uiPriority w:val="99"/>
    <w:rsid w:val="002728A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heme="minorEastAsia" w:hAnsi="Courier New" w:cs="Courier New"/>
      <w:sz w:val="20"/>
      <w:szCs w:val="20"/>
      <w:lang w:val="en-US" w:bidi="en-US"/>
    </w:rPr>
  </w:style>
  <w:style w:type="paragraph" w:styleId="NoSpacing">
    <w:name w:val="No Spacing"/>
    <w:basedOn w:val="Normal"/>
    <w:uiPriority w:val="1"/>
    <w:qFormat/>
    <w:rsid w:val="002728AE"/>
    <w:rPr>
      <w:rFonts w:eastAsiaTheme="minorEastAsia"/>
      <w:lang w:val="en-US" w:bidi="en-US"/>
    </w:rPr>
  </w:style>
  <w:style w:type="paragraph" w:customStyle="1" w:styleId="bio">
    <w:name w:val="bio"/>
    <w:basedOn w:val="Normal"/>
    <w:uiPriority w:val="99"/>
    <w:rsid w:val="002728AE"/>
    <w:pPr>
      <w:spacing w:before="136" w:after="136"/>
    </w:pPr>
    <w:rPr>
      <w:rFonts w:eastAsiaTheme="minorEastAsia"/>
      <w:lang w:val="en-US" w:bidi="en-US"/>
    </w:rPr>
  </w:style>
  <w:style w:type="character" w:customStyle="1" w:styleId="byline2">
    <w:name w:val="byline2"/>
    <w:basedOn w:val="DefaultParagraphFont"/>
    <w:uiPriority w:val="99"/>
    <w:rsid w:val="002728AE"/>
    <w:rPr>
      <w:color w:val="auto"/>
    </w:rPr>
  </w:style>
  <w:style w:type="character" w:customStyle="1" w:styleId="about2">
    <w:name w:val="about2"/>
    <w:basedOn w:val="DefaultParagraphFont"/>
    <w:uiPriority w:val="99"/>
    <w:rsid w:val="002728AE"/>
  </w:style>
  <w:style w:type="paragraph" w:customStyle="1" w:styleId="Titlepageheading">
    <w:name w:val="Title page heading"/>
    <w:basedOn w:val="Title"/>
    <w:link w:val="TitlepageheadingChar"/>
    <w:uiPriority w:val="99"/>
    <w:locked/>
    <w:rsid w:val="002728AE"/>
    <w:pPr>
      <w:pBdr>
        <w:bottom w:val="single" w:sz="4" w:space="1" w:color="auto"/>
      </w:pBdr>
      <w:spacing w:before="0" w:after="200"/>
      <w:ind w:left="426"/>
      <w:contextualSpacing/>
    </w:pPr>
    <w:rPr>
      <w:rFonts w:eastAsiaTheme="majorEastAsia" w:cs="Calibri"/>
      <w:bCs/>
      <w:spacing w:val="5"/>
      <w:kern w:val="28"/>
      <w:sz w:val="54"/>
      <w:szCs w:val="54"/>
      <w:lang w:val="en-US" w:eastAsia="ja-JP" w:bidi="en-US"/>
    </w:rPr>
  </w:style>
  <w:style w:type="character" w:customStyle="1" w:styleId="TitlepageheadingChar">
    <w:name w:val="Title page heading Char"/>
    <w:basedOn w:val="DefaultParagraphFont"/>
    <w:link w:val="Titlepageheading"/>
    <w:uiPriority w:val="99"/>
    <w:locked/>
    <w:rsid w:val="002728AE"/>
    <w:rPr>
      <w:rFonts w:ascii="Calibri" w:eastAsiaTheme="majorEastAsia" w:hAnsi="Calibri" w:cs="Calibri"/>
      <w:b/>
      <w:bCs/>
      <w:spacing w:val="5"/>
      <w:kern w:val="28"/>
      <w:sz w:val="54"/>
      <w:szCs w:val="54"/>
      <w:lang w:val="en-US" w:eastAsia="ja-JP" w:bidi="en-US"/>
    </w:rPr>
  </w:style>
  <w:style w:type="paragraph" w:customStyle="1" w:styleId="AuthorsNameBookCoversFrontcover">
    <w:name w:val="Author's Name (Book Covers:Front cover)"/>
    <w:basedOn w:val="Normal"/>
    <w:uiPriority w:val="99"/>
    <w:rsid w:val="002728AE"/>
    <w:pPr>
      <w:widowControl w:val="0"/>
      <w:suppressAutoHyphens/>
      <w:autoSpaceDE w:val="0"/>
      <w:autoSpaceDN w:val="0"/>
      <w:adjustRightInd w:val="0"/>
      <w:spacing w:before="227" w:line="300" w:lineRule="atLeast"/>
      <w:textAlignment w:val="center"/>
    </w:pPr>
    <w:rPr>
      <w:rFonts w:ascii="MiloPro-Light" w:eastAsiaTheme="minorEastAsia" w:hAnsi="MiloPro-Light" w:cs="MiloPro-Light"/>
      <w:lang w:val="en-GB" w:bidi="en-US"/>
    </w:rPr>
  </w:style>
  <w:style w:type="paragraph" w:customStyle="1" w:styleId="Char14">
    <w:name w:val="Char14"/>
    <w:basedOn w:val="Normal"/>
    <w:uiPriority w:val="99"/>
    <w:rsid w:val="002728AE"/>
    <w:rPr>
      <w:rFonts w:ascii="Arial" w:eastAsiaTheme="minorEastAsia" w:hAnsi="Arial" w:cs="Arial"/>
      <w:lang w:val="en-US" w:bidi="en-US"/>
    </w:rPr>
  </w:style>
  <w:style w:type="paragraph" w:customStyle="1" w:styleId="CharChar1Char3">
    <w:name w:val="Char Char1 Char3"/>
    <w:basedOn w:val="Normal"/>
    <w:uiPriority w:val="99"/>
    <w:rsid w:val="002728AE"/>
    <w:rPr>
      <w:rFonts w:ascii="Arial" w:eastAsiaTheme="minorEastAsia" w:hAnsi="Arial" w:cs="Arial"/>
      <w:lang w:val="en-US" w:bidi="en-US"/>
    </w:rPr>
  </w:style>
  <w:style w:type="character" w:customStyle="1" w:styleId="CharChar52">
    <w:name w:val="Char Char52"/>
    <w:basedOn w:val="DefaultParagraphFont"/>
    <w:uiPriority w:val="99"/>
    <w:semiHidden/>
    <w:locked/>
    <w:rsid w:val="002728AE"/>
    <w:rPr>
      <w:sz w:val="20"/>
      <w:szCs w:val="20"/>
      <w:lang w:eastAsia="en-US"/>
    </w:rPr>
  </w:style>
  <w:style w:type="paragraph" w:customStyle="1" w:styleId="Header12">
    <w:name w:val="Header12"/>
    <w:basedOn w:val="Normal"/>
    <w:uiPriority w:val="99"/>
    <w:rsid w:val="002728AE"/>
    <w:rPr>
      <w:rFonts w:ascii="Verdana" w:eastAsiaTheme="minorEastAsia" w:hAnsi="Verdana" w:cs="Verdana"/>
      <w:sz w:val="15"/>
      <w:szCs w:val="15"/>
      <w:lang w:val="en-US" w:bidi="en-US"/>
    </w:rPr>
  </w:style>
  <w:style w:type="character" w:customStyle="1" w:styleId="CharChar62">
    <w:name w:val="Char Char62"/>
    <w:basedOn w:val="DefaultParagraphFont"/>
    <w:uiPriority w:val="99"/>
    <w:semiHidden/>
    <w:rsid w:val="002728AE"/>
    <w:rPr>
      <w:rFonts w:ascii="Times New Roman" w:hAnsi="Times New Roman" w:cs="Times New Roman"/>
      <w:sz w:val="20"/>
      <w:szCs w:val="20"/>
      <w:lang w:val="en-AU"/>
    </w:rPr>
  </w:style>
  <w:style w:type="character" w:customStyle="1" w:styleId="links1">
    <w:name w:val="links1"/>
    <w:basedOn w:val="DefaultParagraphFont"/>
    <w:uiPriority w:val="99"/>
    <w:rsid w:val="002728AE"/>
    <w:rPr>
      <w:rFonts w:ascii="Arial" w:hAnsi="Arial" w:cs="Arial"/>
      <w:sz w:val="20"/>
      <w:szCs w:val="20"/>
    </w:rPr>
  </w:style>
  <w:style w:type="paragraph" w:customStyle="1" w:styleId="style21">
    <w:name w:val="style21"/>
    <w:basedOn w:val="Normal"/>
    <w:uiPriority w:val="99"/>
    <w:rsid w:val="002728AE"/>
    <w:pPr>
      <w:spacing w:before="100" w:beforeAutospacing="1" w:after="100" w:afterAutospacing="1"/>
    </w:pPr>
    <w:rPr>
      <w:rFonts w:ascii="Arial" w:eastAsiaTheme="minorEastAsia" w:hAnsi="Arial" w:cs="Arial"/>
      <w:b/>
      <w:bCs/>
      <w:sz w:val="20"/>
      <w:szCs w:val="20"/>
      <w:lang w:val="en-US" w:bidi="en-US"/>
    </w:rPr>
  </w:style>
  <w:style w:type="character" w:customStyle="1" w:styleId="pest-scientific-name2">
    <w:name w:val="pest-scientific-name2"/>
    <w:basedOn w:val="DefaultParagraphFont"/>
    <w:uiPriority w:val="99"/>
    <w:rsid w:val="002728AE"/>
    <w:rPr>
      <w:b/>
      <w:bCs/>
      <w:i/>
      <w:iCs/>
    </w:rPr>
  </w:style>
  <w:style w:type="character" w:customStyle="1" w:styleId="pest-taxonomy2">
    <w:name w:val="pest-taxonomy2"/>
    <w:basedOn w:val="DefaultParagraphFont"/>
    <w:uiPriority w:val="99"/>
    <w:rsid w:val="002728AE"/>
    <w:rPr>
      <w:b/>
      <w:bCs/>
    </w:rPr>
  </w:style>
  <w:style w:type="character" w:customStyle="1" w:styleId="pest-scientific-author2">
    <w:name w:val="pest-scientific-author2"/>
    <w:basedOn w:val="DefaultParagraphFont"/>
    <w:uiPriority w:val="99"/>
    <w:rsid w:val="002728AE"/>
    <w:rPr>
      <w:b/>
      <w:bCs/>
    </w:rPr>
  </w:style>
  <w:style w:type="paragraph" w:customStyle="1" w:styleId="AppendixHeading">
    <w:name w:val="Appendix Heading"/>
    <w:basedOn w:val="Normal"/>
    <w:uiPriority w:val="99"/>
    <w:rsid w:val="002728AE"/>
    <w:pPr>
      <w:pBdr>
        <w:bottom w:val="thinThickThinSmallGap" w:sz="24" w:space="1" w:color="008000"/>
      </w:pBdr>
      <w:jc w:val="center"/>
    </w:pPr>
    <w:rPr>
      <w:rFonts w:ascii="Verdana" w:eastAsiaTheme="minorEastAsia" w:hAnsi="Verdana" w:cs="Verdana"/>
      <w:b/>
      <w:bCs/>
      <w:sz w:val="52"/>
      <w:szCs w:val="52"/>
      <w:lang w:val="en-US" w:bidi="en-US"/>
    </w:rPr>
  </w:style>
  <w:style w:type="character" w:customStyle="1" w:styleId="style31">
    <w:name w:val="style31"/>
    <w:basedOn w:val="DefaultParagraphFont"/>
    <w:uiPriority w:val="99"/>
    <w:rsid w:val="002728AE"/>
    <w:rPr>
      <w:rFonts w:ascii="Arial" w:hAnsi="Arial" w:cs="Arial"/>
      <w:sz w:val="18"/>
      <w:szCs w:val="18"/>
    </w:rPr>
  </w:style>
  <w:style w:type="character" w:customStyle="1" w:styleId="style41">
    <w:name w:val="style41"/>
    <w:basedOn w:val="DefaultParagraphFont"/>
    <w:uiPriority w:val="99"/>
    <w:rsid w:val="002728AE"/>
    <w:rPr>
      <w:rFonts w:ascii="Arial" w:hAnsi="Arial" w:cs="Arial"/>
      <w:b/>
      <w:bCs/>
      <w:color w:val="FFFFFF"/>
      <w:sz w:val="24"/>
      <w:szCs w:val="24"/>
    </w:rPr>
  </w:style>
  <w:style w:type="paragraph" w:customStyle="1" w:styleId="SingleSpace">
    <w:name w:val="Single Space"/>
    <w:basedOn w:val="Normal"/>
    <w:uiPriority w:val="99"/>
    <w:locked/>
    <w:rsid w:val="002728AE"/>
    <w:pPr>
      <w:tabs>
        <w:tab w:val="left" w:pos="1134"/>
      </w:tabs>
    </w:pPr>
    <w:rPr>
      <w:rFonts w:eastAsiaTheme="minorEastAsia"/>
      <w:lang w:val="en-US" w:bidi="en-US"/>
    </w:rPr>
  </w:style>
  <w:style w:type="paragraph" w:customStyle="1" w:styleId="StyleBAHeader1Verdana10ptNotBold">
    <w:name w:val="Style BA Header 1 + Verdana 10 pt Not Bold"/>
    <w:basedOn w:val="BAHeader1"/>
    <w:uiPriority w:val="99"/>
    <w:rsid w:val="002728AE"/>
    <w:pPr>
      <w:numPr>
        <w:numId w:val="0"/>
      </w:numPr>
      <w:tabs>
        <w:tab w:val="num" w:pos="432"/>
      </w:tabs>
      <w:ind w:left="432" w:hanging="432"/>
    </w:pPr>
    <w:rPr>
      <w:rFonts w:ascii="Verdana" w:eastAsiaTheme="minorEastAsia" w:hAnsi="Verdana" w:cs="Verdana"/>
      <w:bCs/>
      <w:sz w:val="32"/>
      <w:szCs w:val="32"/>
      <w:lang w:val="en-US" w:bidi="en-US"/>
    </w:rPr>
  </w:style>
  <w:style w:type="character" w:customStyle="1" w:styleId="other-scientific-name1">
    <w:name w:val="other-scientific-name1"/>
    <w:basedOn w:val="DefaultParagraphFont"/>
    <w:uiPriority w:val="99"/>
    <w:rsid w:val="002728AE"/>
    <w:rPr>
      <w:i/>
      <w:iCs/>
    </w:rPr>
  </w:style>
  <w:style w:type="character" w:customStyle="1" w:styleId="copyright1">
    <w:name w:val="copyright1"/>
    <w:basedOn w:val="DefaultParagraphFont"/>
    <w:uiPriority w:val="99"/>
    <w:rsid w:val="002728AE"/>
    <w:rPr>
      <w:color w:val="auto"/>
      <w:sz w:val="18"/>
      <w:szCs w:val="18"/>
      <w:u w:val="none"/>
      <w:effect w:val="none"/>
    </w:rPr>
  </w:style>
  <w:style w:type="character" w:customStyle="1" w:styleId="header10">
    <w:name w:val="header1"/>
    <w:basedOn w:val="DefaultParagraphFont"/>
    <w:uiPriority w:val="99"/>
    <w:rsid w:val="002728AE"/>
    <w:rPr>
      <w:sz w:val="27"/>
      <w:szCs w:val="27"/>
    </w:rPr>
  </w:style>
  <w:style w:type="character" w:customStyle="1" w:styleId="FootnoteTextChar1">
    <w:name w:val="Footnote Text Char1"/>
    <w:uiPriority w:val="99"/>
    <w:locked/>
    <w:rsid w:val="002728AE"/>
    <w:rPr>
      <w:rFonts w:ascii="Arial" w:hAnsi="Arial" w:cs="Arial"/>
      <w:sz w:val="18"/>
      <w:szCs w:val="18"/>
      <w:lang w:val="en-AU" w:eastAsia="en-US"/>
    </w:rPr>
  </w:style>
  <w:style w:type="paragraph" w:customStyle="1" w:styleId="Char13">
    <w:name w:val="Char13"/>
    <w:basedOn w:val="Normal"/>
    <w:uiPriority w:val="99"/>
    <w:rsid w:val="002728AE"/>
    <w:rPr>
      <w:rFonts w:ascii="Arial" w:eastAsiaTheme="minorEastAsia" w:hAnsi="Arial" w:cs="Arial"/>
      <w:lang w:val="en-US" w:bidi="en-US"/>
    </w:rPr>
  </w:style>
  <w:style w:type="paragraph" w:customStyle="1" w:styleId="CharChar1Char2">
    <w:name w:val="Char Char1 Char2"/>
    <w:basedOn w:val="Normal"/>
    <w:uiPriority w:val="99"/>
    <w:rsid w:val="002728AE"/>
    <w:rPr>
      <w:rFonts w:ascii="Arial" w:eastAsiaTheme="minorEastAsia" w:hAnsi="Arial" w:cs="Arial"/>
      <w:lang w:val="en-US" w:bidi="en-US"/>
    </w:rPr>
  </w:style>
  <w:style w:type="character" w:customStyle="1" w:styleId="CharChar51">
    <w:name w:val="Char Char51"/>
    <w:uiPriority w:val="99"/>
    <w:semiHidden/>
    <w:locked/>
    <w:rsid w:val="002728AE"/>
    <w:rPr>
      <w:sz w:val="20"/>
      <w:szCs w:val="20"/>
      <w:lang w:eastAsia="en-US"/>
    </w:rPr>
  </w:style>
  <w:style w:type="paragraph" w:customStyle="1" w:styleId="Header11">
    <w:name w:val="Header11"/>
    <w:basedOn w:val="Normal"/>
    <w:uiPriority w:val="99"/>
    <w:rsid w:val="002728AE"/>
    <w:rPr>
      <w:rFonts w:ascii="Verdana" w:eastAsiaTheme="minorEastAsia" w:hAnsi="Verdana" w:cs="Verdana"/>
      <w:sz w:val="15"/>
      <w:szCs w:val="15"/>
      <w:lang w:val="en-US" w:bidi="en-US"/>
    </w:rPr>
  </w:style>
  <w:style w:type="character" w:customStyle="1" w:styleId="CharChar61">
    <w:name w:val="Char Char61"/>
    <w:uiPriority w:val="99"/>
    <w:semiHidden/>
    <w:rsid w:val="002728AE"/>
    <w:rPr>
      <w:rFonts w:ascii="Times New Roman" w:hAnsi="Times New Roman" w:cs="Times New Roman"/>
      <w:sz w:val="20"/>
      <w:szCs w:val="20"/>
      <w:lang w:val="en-AU"/>
    </w:rPr>
  </w:style>
  <w:style w:type="character" w:customStyle="1" w:styleId="xref-sep2">
    <w:name w:val="xref-sep2"/>
    <w:uiPriority w:val="99"/>
    <w:rsid w:val="002728AE"/>
  </w:style>
  <w:style w:type="character" w:customStyle="1" w:styleId="slug-pub-date3">
    <w:name w:val="slug-pub-date3"/>
    <w:uiPriority w:val="99"/>
    <w:rsid w:val="002728AE"/>
    <w:rPr>
      <w:b/>
      <w:bCs/>
    </w:rPr>
  </w:style>
  <w:style w:type="character" w:customStyle="1" w:styleId="slug-vol">
    <w:name w:val="slug-vol"/>
    <w:uiPriority w:val="99"/>
    <w:rsid w:val="002728AE"/>
  </w:style>
  <w:style w:type="character" w:customStyle="1" w:styleId="slug-issue">
    <w:name w:val="slug-issue"/>
    <w:uiPriority w:val="99"/>
    <w:rsid w:val="002728AE"/>
  </w:style>
  <w:style w:type="character" w:customStyle="1" w:styleId="slug-pages3">
    <w:name w:val="slug-pages3"/>
    <w:uiPriority w:val="99"/>
    <w:rsid w:val="002728AE"/>
    <w:rPr>
      <w:b/>
      <w:bCs/>
    </w:rPr>
  </w:style>
  <w:style w:type="character" w:customStyle="1" w:styleId="container2">
    <w:name w:val="container2"/>
    <w:uiPriority w:val="99"/>
    <w:rsid w:val="002728AE"/>
  </w:style>
  <w:style w:type="character" w:customStyle="1" w:styleId="year">
    <w:name w:val="year"/>
    <w:uiPriority w:val="99"/>
    <w:rsid w:val="002728AE"/>
  </w:style>
  <w:style w:type="character" w:customStyle="1" w:styleId="info3">
    <w:name w:val="info3"/>
    <w:uiPriority w:val="99"/>
    <w:rsid w:val="002728AE"/>
  </w:style>
  <w:style w:type="character" w:customStyle="1" w:styleId="volume">
    <w:name w:val="volume"/>
    <w:uiPriority w:val="99"/>
    <w:rsid w:val="002728AE"/>
  </w:style>
  <w:style w:type="character" w:customStyle="1" w:styleId="issue">
    <w:name w:val="issue"/>
    <w:uiPriority w:val="99"/>
    <w:rsid w:val="002728AE"/>
  </w:style>
  <w:style w:type="character" w:customStyle="1" w:styleId="pages">
    <w:name w:val="pages"/>
    <w:uiPriority w:val="99"/>
    <w:rsid w:val="002728AE"/>
  </w:style>
  <w:style w:type="character" w:customStyle="1" w:styleId="cit-source">
    <w:name w:val="cit-source"/>
    <w:uiPriority w:val="99"/>
    <w:rsid w:val="002728AE"/>
  </w:style>
  <w:style w:type="character" w:customStyle="1" w:styleId="cit-fpage">
    <w:name w:val="cit-fpage"/>
    <w:uiPriority w:val="99"/>
    <w:rsid w:val="002728AE"/>
  </w:style>
  <w:style w:type="character" w:customStyle="1" w:styleId="bold1">
    <w:name w:val="bold1"/>
    <w:uiPriority w:val="99"/>
    <w:rsid w:val="002728AE"/>
    <w:rPr>
      <w:b/>
      <w:bCs/>
    </w:rPr>
  </w:style>
  <w:style w:type="paragraph" w:customStyle="1" w:styleId="CharChar1Char1">
    <w:name w:val="Char Char1 Char1"/>
    <w:basedOn w:val="Normal"/>
    <w:uiPriority w:val="99"/>
    <w:rsid w:val="002728AE"/>
    <w:rPr>
      <w:rFonts w:ascii="Arial" w:eastAsiaTheme="minorEastAsia" w:hAnsi="Arial" w:cs="Arial"/>
      <w:lang w:val="en-US" w:bidi="en-US"/>
    </w:rPr>
  </w:style>
  <w:style w:type="character" w:customStyle="1" w:styleId="search1">
    <w:name w:val="search1"/>
    <w:uiPriority w:val="99"/>
    <w:rsid w:val="002728AE"/>
    <w:rPr>
      <w:color w:val="auto"/>
    </w:rPr>
  </w:style>
  <w:style w:type="character" w:customStyle="1" w:styleId="popup1">
    <w:name w:val="popup1"/>
    <w:uiPriority w:val="99"/>
    <w:rsid w:val="002728AE"/>
    <w:rPr>
      <w:color w:val="auto"/>
      <w:u w:val="none"/>
      <w:effect w:val="none"/>
    </w:rPr>
  </w:style>
  <w:style w:type="character" w:customStyle="1" w:styleId="generaltitletext1">
    <w:name w:val="generaltitletext1"/>
    <w:uiPriority w:val="99"/>
    <w:rsid w:val="002728AE"/>
    <w:rPr>
      <w:rFonts w:ascii="Arial" w:hAnsi="Arial" w:cs="Arial"/>
      <w:b/>
      <w:bCs/>
      <w:caps/>
      <w:color w:val="auto"/>
      <w:sz w:val="24"/>
      <w:szCs w:val="24"/>
    </w:rPr>
  </w:style>
  <w:style w:type="character" w:customStyle="1" w:styleId="searchterm1">
    <w:name w:val="searchterm1"/>
    <w:uiPriority w:val="99"/>
    <w:rsid w:val="002728AE"/>
  </w:style>
  <w:style w:type="character" w:customStyle="1" w:styleId="personname">
    <w:name w:val="person_name"/>
    <w:uiPriority w:val="99"/>
    <w:rsid w:val="002728AE"/>
  </w:style>
  <w:style w:type="paragraph" w:customStyle="1" w:styleId="Pa20">
    <w:name w:val="Pa20"/>
    <w:basedOn w:val="Default"/>
    <w:next w:val="Default"/>
    <w:uiPriority w:val="99"/>
    <w:rsid w:val="002728AE"/>
    <w:pPr>
      <w:spacing w:line="181" w:lineRule="atLeast"/>
    </w:pPr>
    <w:rPr>
      <w:rFonts w:ascii="Sabon" w:eastAsiaTheme="minorEastAsia" w:hAnsi="Sabon" w:cs="Sabon"/>
      <w:color w:val="auto"/>
      <w:lang w:val="en-US" w:eastAsia="en-US" w:bidi="en-US"/>
    </w:rPr>
  </w:style>
  <w:style w:type="paragraph" w:customStyle="1" w:styleId="side1">
    <w:name w:val="side1"/>
    <w:basedOn w:val="Normal"/>
    <w:uiPriority w:val="99"/>
    <w:rsid w:val="002728AE"/>
    <w:pPr>
      <w:spacing w:before="75"/>
      <w:ind w:left="150"/>
    </w:pPr>
    <w:rPr>
      <w:rFonts w:ascii="Arial" w:eastAsiaTheme="minorEastAsia" w:hAnsi="Arial" w:cs="Arial"/>
      <w:color w:val="330066"/>
      <w:lang w:val="en-US" w:bidi="en-US"/>
    </w:rPr>
  </w:style>
  <w:style w:type="paragraph" w:customStyle="1" w:styleId="StyleBodyTextBodyTextCharCharJustified">
    <w:name w:val="Style Body TextBody Text Char Char + Justified"/>
    <w:basedOn w:val="BodyText"/>
    <w:uiPriority w:val="99"/>
    <w:rsid w:val="002728AE"/>
    <w:pPr>
      <w:widowControl/>
      <w:spacing w:after="240" w:line="278" w:lineRule="auto"/>
      <w:jc w:val="both"/>
    </w:pPr>
    <w:rPr>
      <w:rFonts w:ascii="Georgia" w:eastAsiaTheme="minorEastAsia" w:hAnsi="Georgia" w:cs="Georgia"/>
      <w:b w:val="0"/>
      <w:kern w:val="28"/>
      <w:sz w:val="20"/>
      <w:lang w:val="en-CA" w:eastAsia="en-CA" w:bidi="en-US"/>
    </w:rPr>
  </w:style>
  <w:style w:type="paragraph" w:customStyle="1" w:styleId="TextBoxTitle">
    <w:name w:val="Text Box Title"/>
    <w:basedOn w:val="Normal"/>
    <w:uiPriority w:val="99"/>
    <w:rsid w:val="002728AE"/>
    <w:pPr>
      <w:spacing w:before="100" w:after="60" w:line="278" w:lineRule="auto"/>
      <w:jc w:val="center"/>
    </w:pPr>
    <w:rPr>
      <w:rFonts w:ascii="Georgia" w:eastAsiaTheme="minorEastAsia" w:cs="Georgia"/>
      <w:b/>
      <w:bCs/>
      <w:kern w:val="28"/>
      <w:sz w:val="20"/>
      <w:szCs w:val="20"/>
      <w:lang w:val="en-CA" w:eastAsia="en-CA" w:bidi="en-US"/>
    </w:rPr>
  </w:style>
  <w:style w:type="paragraph" w:customStyle="1" w:styleId="TextBoxText">
    <w:name w:val="Text Box Text"/>
    <w:basedOn w:val="Normal"/>
    <w:uiPriority w:val="99"/>
    <w:rsid w:val="002728AE"/>
    <w:pPr>
      <w:spacing w:before="100" w:after="100" w:line="278" w:lineRule="auto"/>
    </w:pPr>
    <w:rPr>
      <w:rFonts w:ascii="Georgia" w:eastAsiaTheme="minorEastAsia" w:hAnsi="Georgia" w:cs="Georgia"/>
      <w:kern w:val="28"/>
      <w:sz w:val="20"/>
      <w:szCs w:val="20"/>
      <w:lang w:val="en-CA" w:eastAsia="en-CA" w:bidi="en-US"/>
    </w:rPr>
  </w:style>
  <w:style w:type="paragraph" w:customStyle="1" w:styleId="NormalText">
    <w:name w:val="Normal Text"/>
    <w:uiPriority w:val="99"/>
    <w:rsid w:val="002728AE"/>
    <w:pPr>
      <w:autoSpaceDE w:val="0"/>
      <w:autoSpaceDN w:val="0"/>
      <w:adjustRightInd w:val="0"/>
      <w:spacing w:after="200" w:line="276" w:lineRule="auto"/>
    </w:pPr>
    <w:rPr>
      <w:rFonts w:asciiTheme="minorHAnsi" w:eastAsiaTheme="minorEastAsia" w:hAnsiTheme="minorHAnsi" w:cstheme="minorBidi"/>
      <w:lang w:val="en-US" w:eastAsia="en-US" w:bidi="en-US"/>
    </w:rPr>
  </w:style>
  <w:style w:type="character" w:customStyle="1" w:styleId="style14">
    <w:name w:val="style14"/>
    <w:uiPriority w:val="99"/>
    <w:rsid w:val="002728AE"/>
  </w:style>
  <w:style w:type="character" w:customStyle="1" w:styleId="style25">
    <w:name w:val="style25"/>
    <w:uiPriority w:val="99"/>
    <w:rsid w:val="002728AE"/>
  </w:style>
  <w:style w:type="paragraph" w:styleId="Index1">
    <w:name w:val="index 1"/>
    <w:basedOn w:val="Normal"/>
    <w:next w:val="Normal"/>
    <w:autoRedefine/>
    <w:uiPriority w:val="99"/>
    <w:semiHidden/>
    <w:rsid w:val="002728AE"/>
    <w:pPr>
      <w:overflowPunct w:val="0"/>
      <w:autoSpaceDE w:val="0"/>
      <w:autoSpaceDN w:val="0"/>
      <w:adjustRightInd w:val="0"/>
      <w:textAlignment w:val="baseline"/>
    </w:pPr>
    <w:rPr>
      <w:rFonts w:eastAsiaTheme="minorEastAsia"/>
      <w:sz w:val="16"/>
      <w:szCs w:val="16"/>
      <w:lang w:val="en-GB" w:bidi="en-US"/>
    </w:rPr>
  </w:style>
  <w:style w:type="character" w:customStyle="1" w:styleId="search">
    <w:name w:val="search"/>
    <w:uiPriority w:val="99"/>
    <w:rsid w:val="002728AE"/>
  </w:style>
  <w:style w:type="paragraph" w:customStyle="1" w:styleId="caption-value">
    <w:name w:val="caption-value"/>
    <w:basedOn w:val="Normal"/>
    <w:uiPriority w:val="99"/>
    <w:rsid w:val="002728AE"/>
    <w:pPr>
      <w:spacing w:before="100" w:beforeAutospacing="1" w:after="100" w:afterAutospacing="1"/>
    </w:pPr>
    <w:rPr>
      <w:rFonts w:eastAsiaTheme="minorEastAsia"/>
      <w:lang w:val="en-US" w:bidi="en-US"/>
    </w:rPr>
  </w:style>
  <w:style w:type="character" w:customStyle="1" w:styleId="l9">
    <w:name w:val="l9"/>
    <w:basedOn w:val="DefaultParagraphFont"/>
    <w:rsid w:val="002728AE"/>
  </w:style>
  <w:style w:type="character" w:customStyle="1" w:styleId="l8">
    <w:name w:val="l8"/>
    <w:basedOn w:val="DefaultParagraphFont"/>
    <w:rsid w:val="002728AE"/>
  </w:style>
  <w:style w:type="character" w:customStyle="1" w:styleId="l10">
    <w:name w:val="l10"/>
    <w:basedOn w:val="DefaultParagraphFont"/>
    <w:rsid w:val="002728AE"/>
  </w:style>
  <w:style w:type="character" w:customStyle="1" w:styleId="l11">
    <w:name w:val="l11"/>
    <w:basedOn w:val="DefaultParagraphFont"/>
    <w:rsid w:val="002728AE"/>
  </w:style>
  <w:style w:type="character" w:customStyle="1" w:styleId="l12">
    <w:name w:val="l12"/>
    <w:basedOn w:val="DefaultParagraphFont"/>
    <w:rsid w:val="002728AE"/>
  </w:style>
  <w:style w:type="character" w:customStyle="1" w:styleId="l">
    <w:name w:val="l"/>
    <w:basedOn w:val="DefaultParagraphFont"/>
    <w:rsid w:val="002728AE"/>
  </w:style>
  <w:style w:type="paragraph" w:customStyle="1" w:styleId="pagetitletext">
    <w:name w:val="pagetitletext"/>
    <w:basedOn w:val="Normal"/>
    <w:rsid w:val="002728AE"/>
    <w:pPr>
      <w:spacing w:after="100" w:afterAutospacing="1"/>
    </w:pPr>
    <w:rPr>
      <w:rFonts w:eastAsiaTheme="minorEastAsia"/>
      <w:b/>
      <w:bCs/>
      <w:color w:val="008080"/>
      <w:sz w:val="36"/>
      <w:szCs w:val="36"/>
      <w:lang w:val="en-US" w:bidi="en-US"/>
    </w:rPr>
  </w:style>
  <w:style w:type="paragraph" w:styleId="IntenseQuote">
    <w:name w:val="Intense Quote"/>
    <w:basedOn w:val="Normal"/>
    <w:next w:val="Normal"/>
    <w:link w:val="IntenseQuoteChar"/>
    <w:uiPriority w:val="30"/>
    <w:qFormat/>
    <w:rsid w:val="002728AE"/>
    <w:pPr>
      <w:pBdr>
        <w:bottom w:val="single" w:sz="4" w:space="1" w:color="auto"/>
      </w:pBdr>
      <w:spacing w:after="280"/>
      <w:ind w:left="1008" w:right="1152"/>
      <w:jc w:val="both"/>
    </w:pPr>
    <w:rPr>
      <w:rFonts w:eastAsiaTheme="minorEastAsia"/>
      <w:b/>
      <w:bCs/>
      <w:i/>
      <w:iCs/>
      <w:lang w:val="en-US" w:bidi="en-US"/>
    </w:rPr>
  </w:style>
  <w:style w:type="character" w:customStyle="1" w:styleId="IntenseQuoteChar">
    <w:name w:val="Intense Quote Char"/>
    <w:basedOn w:val="DefaultParagraphFont"/>
    <w:link w:val="IntenseQuote"/>
    <w:uiPriority w:val="30"/>
    <w:rsid w:val="002728AE"/>
    <w:rPr>
      <w:rFonts w:asciiTheme="minorHAnsi" w:eastAsiaTheme="minorEastAsia" w:hAnsiTheme="minorHAnsi" w:cstheme="minorBidi"/>
      <w:b/>
      <w:bCs/>
      <w:i/>
      <w:iCs/>
      <w:sz w:val="22"/>
      <w:szCs w:val="22"/>
      <w:lang w:val="en-US" w:eastAsia="en-US" w:bidi="en-US"/>
    </w:rPr>
  </w:style>
  <w:style w:type="character" w:styleId="SubtleEmphasis">
    <w:name w:val="Subtle Emphasis"/>
    <w:uiPriority w:val="19"/>
    <w:qFormat/>
    <w:rsid w:val="002728AE"/>
    <w:rPr>
      <w:i/>
      <w:iCs/>
    </w:rPr>
  </w:style>
  <w:style w:type="character" w:styleId="IntenseEmphasis">
    <w:name w:val="Intense Emphasis"/>
    <w:uiPriority w:val="21"/>
    <w:qFormat/>
    <w:rsid w:val="002728AE"/>
    <w:rPr>
      <w:b/>
      <w:bCs/>
    </w:rPr>
  </w:style>
  <w:style w:type="character" w:styleId="SubtleReference">
    <w:name w:val="Subtle Reference"/>
    <w:uiPriority w:val="31"/>
    <w:qFormat/>
    <w:rsid w:val="002728AE"/>
    <w:rPr>
      <w:smallCaps/>
    </w:rPr>
  </w:style>
  <w:style w:type="character" w:styleId="IntenseReference">
    <w:name w:val="Intense Reference"/>
    <w:uiPriority w:val="32"/>
    <w:qFormat/>
    <w:rsid w:val="002728AE"/>
    <w:rPr>
      <w:smallCaps/>
      <w:spacing w:val="5"/>
      <w:u w:val="single"/>
    </w:rPr>
  </w:style>
  <w:style w:type="character" w:styleId="BookTitle">
    <w:name w:val="Book Title"/>
    <w:uiPriority w:val="33"/>
    <w:qFormat/>
    <w:rsid w:val="002728AE"/>
    <w:rPr>
      <w:i/>
      <w:iCs/>
      <w:smallCaps/>
      <w:spacing w:val="5"/>
    </w:rPr>
  </w:style>
  <w:style w:type="paragraph" w:customStyle="1" w:styleId="Heading1nonumbers">
    <w:name w:val="Heading 1 (no numbers)"/>
    <w:basedOn w:val="Heading1"/>
    <w:qFormat/>
    <w:rsid w:val="002728AE"/>
    <w:pPr>
      <w:pageBreakBefore w:val="0"/>
      <w:numPr>
        <w:numId w:val="0"/>
      </w:numPr>
      <w:spacing w:before="480" w:after="120"/>
    </w:pPr>
    <w:rPr>
      <w:rFonts w:eastAsiaTheme="majorEastAsia" w:cstheme="majorBidi"/>
      <w:b/>
      <w:color w:val="D52B1E"/>
      <w:sz w:val="34"/>
      <w:lang w:val="en-US"/>
    </w:rPr>
  </w:style>
  <w:style w:type="paragraph" w:customStyle="1" w:styleId="Heading3Nonumber">
    <w:name w:val="Heading 3 No number"/>
    <w:basedOn w:val="Heading3"/>
    <w:qFormat/>
    <w:rsid w:val="002728AE"/>
    <w:pPr>
      <w:keepLines/>
      <w:spacing w:before="120" w:after="200"/>
    </w:pPr>
    <w:rPr>
      <w:rFonts w:ascii="Calibri" w:hAnsi="Calibri" w:cstheme="minorBidi"/>
      <w:sz w:val="24"/>
      <w:szCs w:val="22"/>
    </w:rPr>
  </w:style>
  <w:style w:type="paragraph" w:customStyle="1" w:styleId="RS2Texte">
    <w:name w:val="RS2 Texte"/>
    <w:basedOn w:val="Normal"/>
    <w:rsid w:val="002728AE"/>
    <w:pPr>
      <w:spacing w:line="300" w:lineRule="exact"/>
      <w:jc w:val="both"/>
    </w:pPr>
    <w:rPr>
      <w:szCs w:val="20"/>
      <w:lang w:val="en-GB" w:eastAsia="fr-FR"/>
    </w:rPr>
  </w:style>
  <w:style w:type="character" w:customStyle="1" w:styleId="current-selection">
    <w:name w:val="current-selection"/>
    <w:basedOn w:val="DefaultParagraphFont"/>
    <w:rsid w:val="002728AE"/>
  </w:style>
  <w:style w:type="character" w:customStyle="1" w:styleId="a2">
    <w:name w:val="_"/>
    <w:basedOn w:val="DefaultParagraphFont"/>
    <w:rsid w:val="002728AE"/>
  </w:style>
  <w:style w:type="paragraph" w:customStyle="1" w:styleId="SPStalkingpoint">
    <w:name w:val="SPS talking point"/>
    <w:autoRedefine/>
    <w:rsid w:val="002728AE"/>
    <w:pPr>
      <w:spacing w:before="120" w:after="120" w:line="276" w:lineRule="auto"/>
    </w:pPr>
    <w:rPr>
      <w:rFonts w:eastAsia="Times New Roman"/>
      <w:bCs/>
      <w:sz w:val="22"/>
      <w:szCs w:val="22"/>
      <w:lang w:eastAsia="en-US"/>
    </w:rPr>
  </w:style>
  <w:style w:type="character" w:customStyle="1" w:styleId="notranslate">
    <w:name w:val="notranslate"/>
    <w:basedOn w:val="DefaultParagraphFont"/>
    <w:rsid w:val="002728AE"/>
  </w:style>
  <w:style w:type="character" w:customStyle="1" w:styleId="CaptionChar">
    <w:name w:val="Caption Char"/>
    <w:basedOn w:val="Heading1Char"/>
    <w:link w:val="Caption"/>
    <w:rsid w:val="002728AE"/>
    <w:rPr>
      <w:rFonts w:ascii="Calibri" w:eastAsiaTheme="minorHAnsi" w:hAnsi="Calibri" w:cstheme="minorBidi"/>
      <w:b/>
      <w:bCs/>
      <w:color w:val="000000"/>
      <w:sz w:val="22"/>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79081">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29214">
      <w:bodyDiv w:val="1"/>
      <w:marLeft w:val="0"/>
      <w:marRight w:val="0"/>
      <w:marTop w:val="0"/>
      <w:marBottom w:val="0"/>
      <w:divBdr>
        <w:top w:val="none" w:sz="0" w:space="0" w:color="auto"/>
        <w:left w:val="none" w:sz="0" w:space="0" w:color="auto"/>
        <w:bottom w:val="none" w:sz="0" w:space="0" w:color="auto"/>
        <w:right w:val="none" w:sz="0" w:space="0" w:color="auto"/>
      </w:divBdr>
    </w:div>
    <w:div w:id="166336207">
      <w:bodyDiv w:val="1"/>
      <w:marLeft w:val="0"/>
      <w:marRight w:val="0"/>
      <w:marTop w:val="0"/>
      <w:marBottom w:val="0"/>
      <w:divBdr>
        <w:top w:val="none" w:sz="0" w:space="0" w:color="auto"/>
        <w:left w:val="none" w:sz="0" w:space="0" w:color="auto"/>
        <w:bottom w:val="none" w:sz="0" w:space="0" w:color="auto"/>
        <w:right w:val="none" w:sz="0" w:space="0" w:color="auto"/>
      </w:divBdr>
    </w:div>
    <w:div w:id="302468950">
      <w:bodyDiv w:val="1"/>
      <w:marLeft w:val="0"/>
      <w:marRight w:val="0"/>
      <w:marTop w:val="0"/>
      <w:marBottom w:val="0"/>
      <w:divBdr>
        <w:top w:val="none" w:sz="0" w:space="0" w:color="auto"/>
        <w:left w:val="none" w:sz="0" w:space="0" w:color="auto"/>
        <w:bottom w:val="none" w:sz="0" w:space="0" w:color="auto"/>
        <w:right w:val="none" w:sz="0" w:space="0" w:color="auto"/>
      </w:divBdr>
      <w:divsChild>
        <w:div w:id="900334993">
          <w:marLeft w:val="0"/>
          <w:marRight w:val="0"/>
          <w:marTop w:val="0"/>
          <w:marBottom w:val="0"/>
          <w:divBdr>
            <w:top w:val="none" w:sz="0" w:space="0" w:color="auto"/>
            <w:left w:val="none" w:sz="0" w:space="0" w:color="auto"/>
            <w:bottom w:val="none" w:sz="0" w:space="0" w:color="auto"/>
            <w:right w:val="none" w:sz="0" w:space="0" w:color="auto"/>
          </w:divBdr>
        </w:div>
        <w:div w:id="1281113520">
          <w:marLeft w:val="0"/>
          <w:marRight w:val="0"/>
          <w:marTop w:val="0"/>
          <w:marBottom w:val="0"/>
          <w:divBdr>
            <w:top w:val="none" w:sz="0" w:space="0" w:color="auto"/>
            <w:left w:val="none" w:sz="0" w:space="0" w:color="auto"/>
            <w:bottom w:val="none" w:sz="0" w:space="0" w:color="auto"/>
            <w:right w:val="none" w:sz="0" w:space="0" w:color="auto"/>
          </w:divBdr>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920226">
      <w:bodyDiv w:val="1"/>
      <w:marLeft w:val="0"/>
      <w:marRight w:val="0"/>
      <w:marTop w:val="0"/>
      <w:marBottom w:val="0"/>
      <w:divBdr>
        <w:top w:val="none" w:sz="0" w:space="0" w:color="auto"/>
        <w:left w:val="none" w:sz="0" w:space="0" w:color="auto"/>
        <w:bottom w:val="none" w:sz="0" w:space="0" w:color="auto"/>
        <w:right w:val="none" w:sz="0" w:space="0" w:color="auto"/>
      </w:divBdr>
    </w:div>
    <w:div w:id="412439479">
      <w:bodyDiv w:val="1"/>
      <w:marLeft w:val="0"/>
      <w:marRight w:val="0"/>
      <w:marTop w:val="0"/>
      <w:marBottom w:val="0"/>
      <w:divBdr>
        <w:top w:val="none" w:sz="0" w:space="0" w:color="auto"/>
        <w:left w:val="none" w:sz="0" w:space="0" w:color="auto"/>
        <w:bottom w:val="none" w:sz="0" w:space="0" w:color="auto"/>
        <w:right w:val="none" w:sz="0" w:space="0" w:color="auto"/>
      </w:divBdr>
      <w:divsChild>
        <w:div w:id="1563903125">
          <w:marLeft w:val="0"/>
          <w:marRight w:val="0"/>
          <w:marTop w:val="0"/>
          <w:marBottom w:val="0"/>
          <w:divBdr>
            <w:top w:val="none" w:sz="0" w:space="0" w:color="auto"/>
            <w:left w:val="none" w:sz="0" w:space="0" w:color="auto"/>
            <w:bottom w:val="none" w:sz="0" w:space="0" w:color="auto"/>
            <w:right w:val="none" w:sz="0" w:space="0" w:color="auto"/>
          </w:divBdr>
          <w:divsChild>
            <w:div w:id="1798403670">
              <w:marLeft w:val="0"/>
              <w:marRight w:val="0"/>
              <w:marTop w:val="0"/>
              <w:marBottom w:val="0"/>
              <w:divBdr>
                <w:top w:val="none" w:sz="0" w:space="0" w:color="auto"/>
                <w:left w:val="none" w:sz="0" w:space="0" w:color="auto"/>
                <w:bottom w:val="none" w:sz="0" w:space="0" w:color="auto"/>
                <w:right w:val="none" w:sz="0" w:space="0" w:color="auto"/>
              </w:divBdr>
              <w:divsChild>
                <w:div w:id="1072701782">
                  <w:marLeft w:val="0"/>
                  <w:marRight w:val="0"/>
                  <w:marTop w:val="0"/>
                  <w:marBottom w:val="0"/>
                  <w:divBdr>
                    <w:top w:val="none" w:sz="0" w:space="0" w:color="auto"/>
                    <w:left w:val="none" w:sz="0" w:space="0" w:color="auto"/>
                    <w:bottom w:val="none" w:sz="0" w:space="0" w:color="auto"/>
                    <w:right w:val="none" w:sz="0" w:space="0" w:color="auto"/>
                  </w:divBdr>
                  <w:divsChild>
                    <w:div w:id="816073351">
                      <w:marLeft w:val="0"/>
                      <w:marRight w:val="0"/>
                      <w:marTop w:val="0"/>
                      <w:marBottom w:val="0"/>
                      <w:divBdr>
                        <w:top w:val="none" w:sz="0" w:space="0" w:color="auto"/>
                        <w:left w:val="none" w:sz="0" w:space="0" w:color="auto"/>
                        <w:bottom w:val="none" w:sz="0" w:space="0" w:color="auto"/>
                        <w:right w:val="none" w:sz="0" w:space="0" w:color="auto"/>
                      </w:divBdr>
                      <w:divsChild>
                        <w:div w:id="2083139305">
                          <w:marLeft w:val="0"/>
                          <w:marRight w:val="0"/>
                          <w:marTop w:val="0"/>
                          <w:marBottom w:val="0"/>
                          <w:divBdr>
                            <w:top w:val="none" w:sz="0" w:space="0" w:color="auto"/>
                            <w:left w:val="none" w:sz="0" w:space="0" w:color="auto"/>
                            <w:bottom w:val="none" w:sz="0" w:space="0" w:color="auto"/>
                            <w:right w:val="none" w:sz="0" w:space="0" w:color="auto"/>
                          </w:divBdr>
                          <w:divsChild>
                            <w:div w:id="1899897261">
                              <w:marLeft w:val="0"/>
                              <w:marRight w:val="0"/>
                              <w:marTop w:val="0"/>
                              <w:marBottom w:val="0"/>
                              <w:divBdr>
                                <w:top w:val="none" w:sz="0" w:space="0" w:color="auto"/>
                                <w:left w:val="none" w:sz="0" w:space="0" w:color="auto"/>
                                <w:bottom w:val="none" w:sz="0" w:space="0" w:color="auto"/>
                                <w:right w:val="none" w:sz="0" w:space="0" w:color="auto"/>
                              </w:divBdr>
                              <w:divsChild>
                                <w:div w:id="1835535837">
                                  <w:marLeft w:val="0"/>
                                  <w:marRight w:val="0"/>
                                  <w:marTop w:val="0"/>
                                  <w:marBottom w:val="0"/>
                                  <w:divBdr>
                                    <w:top w:val="none" w:sz="0" w:space="0" w:color="auto"/>
                                    <w:left w:val="none" w:sz="0" w:space="0" w:color="auto"/>
                                    <w:bottom w:val="none" w:sz="0" w:space="0" w:color="auto"/>
                                    <w:right w:val="none" w:sz="0" w:space="0" w:color="auto"/>
                                  </w:divBdr>
                                  <w:divsChild>
                                    <w:div w:id="1423717853">
                                      <w:marLeft w:val="0"/>
                                      <w:marRight w:val="0"/>
                                      <w:marTop w:val="0"/>
                                      <w:marBottom w:val="0"/>
                                      <w:divBdr>
                                        <w:top w:val="none" w:sz="0" w:space="0" w:color="auto"/>
                                        <w:left w:val="none" w:sz="0" w:space="0" w:color="auto"/>
                                        <w:bottom w:val="none" w:sz="0" w:space="0" w:color="auto"/>
                                        <w:right w:val="none" w:sz="0" w:space="0" w:color="auto"/>
                                      </w:divBdr>
                                      <w:divsChild>
                                        <w:div w:id="188910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36142094">
      <w:bodyDiv w:val="1"/>
      <w:marLeft w:val="0"/>
      <w:marRight w:val="0"/>
      <w:marTop w:val="0"/>
      <w:marBottom w:val="0"/>
      <w:divBdr>
        <w:top w:val="none" w:sz="0" w:space="0" w:color="auto"/>
        <w:left w:val="none" w:sz="0" w:space="0" w:color="auto"/>
        <w:bottom w:val="none" w:sz="0" w:space="0" w:color="auto"/>
        <w:right w:val="none" w:sz="0" w:space="0" w:color="auto"/>
      </w:divBdr>
      <w:divsChild>
        <w:div w:id="1020014746">
          <w:marLeft w:val="0"/>
          <w:marRight w:val="0"/>
          <w:marTop w:val="0"/>
          <w:marBottom w:val="0"/>
          <w:divBdr>
            <w:top w:val="none" w:sz="0" w:space="0" w:color="auto"/>
            <w:left w:val="none" w:sz="0" w:space="0" w:color="auto"/>
            <w:bottom w:val="none" w:sz="0" w:space="0" w:color="auto"/>
            <w:right w:val="none" w:sz="0" w:space="0" w:color="auto"/>
          </w:divBdr>
          <w:divsChild>
            <w:div w:id="1654408852">
              <w:marLeft w:val="0"/>
              <w:marRight w:val="0"/>
              <w:marTop w:val="0"/>
              <w:marBottom w:val="0"/>
              <w:divBdr>
                <w:top w:val="none" w:sz="0" w:space="0" w:color="auto"/>
                <w:left w:val="none" w:sz="0" w:space="0" w:color="auto"/>
                <w:bottom w:val="none" w:sz="0" w:space="0" w:color="auto"/>
                <w:right w:val="none" w:sz="0" w:space="0" w:color="auto"/>
              </w:divBdr>
              <w:divsChild>
                <w:div w:id="2049987969">
                  <w:marLeft w:val="0"/>
                  <w:marRight w:val="0"/>
                  <w:marTop w:val="0"/>
                  <w:marBottom w:val="0"/>
                  <w:divBdr>
                    <w:top w:val="none" w:sz="0" w:space="0" w:color="auto"/>
                    <w:left w:val="none" w:sz="0" w:space="0" w:color="auto"/>
                    <w:bottom w:val="none" w:sz="0" w:space="0" w:color="auto"/>
                    <w:right w:val="none" w:sz="0" w:space="0" w:color="auto"/>
                  </w:divBdr>
                  <w:divsChild>
                    <w:div w:id="18829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506087">
      <w:bodyDiv w:val="1"/>
      <w:marLeft w:val="0"/>
      <w:marRight w:val="0"/>
      <w:marTop w:val="0"/>
      <w:marBottom w:val="0"/>
      <w:divBdr>
        <w:top w:val="none" w:sz="0" w:space="0" w:color="auto"/>
        <w:left w:val="none" w:sz="0" w:space="0" w:color="auto"/>
        <w:bottom w:val="none" w:sz="0" w:space="0" w:color="auto"/>
        <w:right w:val="none" w:sz="0" w:space="0" w:color="auto"/>
      </w:divBdr>
      <w:divsChild>
        <w:div w:id="1414278681">
          <w:marLeft w:val="0"/>
          <w:marRight w:val="0"/>
          <w:marTop w:val="0"/>
          <w:marBottom w:val="0"/>
          <w:divBdr>
            <w:top w:val="none" w:sz="0" w:space="0" w:color="auto"/>
            <w:left w:val="none" w:sz="0" w:space="0" w:color="auto"/>
            <w:bottom w:val="none" w:sz="0" w:space="0" w:color="auto"/>
            <w:right w:val="none" w:sz="0" w:space="0" w:color="auto"/>
          </w:divBdr>
          <w:divsChild>
            <w:div w:id="1185940476">
              <w:marLeft w:val="0"/>
              <w:marRight w:val="0"/>
              <w:marTop w:val="0"/>
              <w:marBottom w:val="0"/>
              <w:divBdr>
                <w:top w:val="none" w:sz="0" w:space="0" w:color="auto"/>
                <w:left w:val="none" w:sz="0" w:space="0" w:color="auto"/>
                <w:bottom w:val="none" w:sz="0" w:space="0" w:color="auto"/>
                <w:right w:val="none" w:sz="0" w:space="0" w:color="auto"/>
              </w:divBdr>
              <w:divsChild>
                <w:div w:id="1130781060">
                  <w:marLeft w:val="0"/>
                  <w:marRight w:val="0"/>
                  <w:marTop w:val="0"/>
                  <w:marBottom w:val="0"/>
                  <w:divBdr>
                    <w:top w:val="none" w:sz="0" w:space="0" w:color="auto"/>
                    <w:left w:val="none" w:sz="0" w:space="0" w:color="auto"/>
                    <w:bottom w:val="none" w:sz="0" w:space="0" w:color="auto"/>
                    <w:right w:val="none" w:sz="0" w:space="0" w:color="auto"/>
                  </w:divBdr>
                  <w:divsChild>
                    <w:div w:id="1494179268">
                      <w:marLeft w:val="0"/>
                      <w:marRight w:val="0"/>
                      <w:marTop w:val="0"/>
                      <w:marBottom w:val="0"/>
                      <w:divBdr>
                        <w:top w:val="none" w:sz="0" w:space="0" w:color="auto"/>
                        <w:left w:val="none" w:sz="0" w:space="0" w:color="auto"/>
                        <w:bottom w:val="none" w:sz="0" w:space="0" w:color="auto"/>
                        <w:right w:val="none" w:sz="0" w:space="0" w:color="auto"/>
                      </w:divBdr>
                      <w:divsChild>
                        <w:div w:id="1764376262">
                          <w:marLeft w:val="0"/>
                          <w:marRight w:val="0"/>
                          <w:marTop w:val="0"/>
                          <w:marBottom w:val="0"/>
                          <w:divBdr>
                            <w:top w:val="none" w:sz="0" w:space="0" w:color="auto"/>
                            <w:left w:val="none" w:sz="0" w:space="0" w:color="auto"/>
                            <w:bottom w:val="none" w:sz="0" w:space="0" w:color="auto"/>
                            <w:right w:val="none" w:sz="0" w:space="0" w:color="auto"/>
                          </w:divBdr>
                          <w:divsChild>
                            <w:div w:id="95329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055326">
      <w:bodyDiv w:val="1"/>
      <w:marLeft w:val="0"/>
      <w:marRight w:val="0"/>
      <w:marTop w:val="0"/>
      <w:marBottom w:val="0"/>
      <w:divBdr>
        <w:top w:val="none" w:sz="0" w:space="0" w:color="auto"/>
        <w:left w:val="none" w:sz="0" w:space="0" w:color="auto"/>
        <w:bottom w:val="none" w:sz="0" w:space="0" w:color="auto"/>
        <w:right w:val="none" w:sz="0" w:space="0" w:color="auto"/>
      </w:divBdr>
      <w:divsChild>
        <w:div w:id="1403606056">
          <w:marLeft w:val="438"/>
          <w:marRight w:val="0"/>
          <w:marTop w:val="0"/>
          <w:marBottom w:val="250"/>
          <w:divBdr>
            <w:top w:val="single" w:sz="2" w:space="6" w:color="A9A9A9"/>
            <w:left w:val="single" w:sz="2" w:space="0" w:color="A9A9A9"/>
            <w:bottom w:val="single" w:sz="2" w:space="0" w:color="A9A9A9"/>
            <w:right w:val="single" w:sz="2" w:space="0" w:color="A9A9A9"/>
          </w:divBdr>
          <w:divsChild>
            <w:div w:id="110323851">
              <w:marLeft w:val="0"/>
              <w:marRight w:val="0"/>
              <w:marTop w:val="0"/>
              <w:marBottom w:val="0"/>
              <w:divBdr>
                <w:top w:val="none" w:sz="0" w:space="0" w:color="auto"/>
                <w:left w:val="none" w:sz="0" w:space="0" w:color="auto"/>
                <w:bottom w:val="none" w:sz="0" w:space="0" w:color="auto"/>
                <w:right w:val="none" w:sz="0" w:space="0" w:color="auto"/>
              </w:divBdr>
              <w:divsChild>
                <w:div w:id="36648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7852148">
      <w:bodyDiv w:val="1"/>
      <w:marLeft w:val="0"/>
      <w:marRight w:val="0"/>
      <w:marTop w:val="0"/>
      <w:marBottom w:val="0"/>
      <w:divBdr>
        <w:top w:val="none" w:sz="0" w:space="0" w:color="auto"/>
        <w:left w:val="none" w:sz="0" w:space="0" w:color="auto"/>
        <w:bottom w:val="none" w:sz="0" w:space="0" w:color="auto"/>
        <w:right w:val="none" w:sz="0" w:space="0" w:color="auto"/>
      </w:divBdr>
      <w:divsChild>
        <w:div w:id="1193811063">
          <w:marLeft w:val="0"/>
          <w:marRight w:val="0"/>
          <w:marTop w:val="0"/>
          <w:marBottom w:val="0"/>
          <w:divBdr>
            <w:top w:val="none" w:sz="0" w:space="0" w:color="auto"/>
            <w:left w:val="none" w:sz="0" w:space="0" w:color="auto"/>
            <w:bottom w:val="none" w:sz="0" w:space="0" w:color="auto"/>
            <w:right w:val="none" w:sz="0" w:space="0" w:color="auto"/>
          </w:divBdr>
          <w:divsChild>
            <w:div w:id="14531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889520">
      <w:bodyDiv w:val="1"/>
      <w:marLeft w:val="0"/>
      <w:marRight w:val="0"/>
      <w:marTop w:val="0"/>
      <w:marBottom w:val="0"/>
      <w:divBdr>
        <w:top w:val="none" w:sz="0" w:space="0" w:color="auto"/>
        <w:left w:val="none" w:sz="0" w:space="0" w:color="auto"/>
        <w:bottom w:val="none" w:sz="0" w:space="0" w:color="auto"/>
        <w:right w:val="none" w:sz="0" w:space="0" w:color="auto"/>
      </w:divBdr>
      <w:divsChild>
        <w:div w:id="1726220483">
          <w:marLeft w:val="438"/>
          <w:marRight w:val="0"/>
          <w:marTop w:val="0"/>
          <w:marBottom w:val="250"/>
          <w:divBdr>
            <w:top w:val="single" w:sz="2" w:space="6" w:color="A9A9A9"/>
            <w:left w:val="single" w:sz="2" w:space="0" w:color="A9A9A9"/>
            <w:bottom w:val="single" w:sz="2" w:space="0" w:color="A9A9A9"/>
            <w:right w:val="single" w:sz="2" w:space="0" w:color="A9A9A9"/>
          </w:divBdr>
          <w:divsChild>
            <w:div w:id="192822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136710">
      <w:bodyDiv w:val="1"/>
      <w:marLeft w:val="0"/>
      <w:marRight w:val="0"/>
      <w:marTop w:val="0"/>
      <w:marBottom w:val="0"/>
      <w:divBdr>
        <w:top w:val="none" w:sz="0" w:space="0" w:color="auto"/>
        <w:left w:val="none" w:sz="0" w:space="0" w:color="auto"/>
        <w:bottom w:val="none" w:sz="0" w:space="0" w:color="auto"/>
        <w:right w:val="none" w:sz="0" w:space="0" w:color="auto"/>
      </w:divBdr>
      <w:divsChild>
        <w:div w:id="2014261419">
          <w:marLeft w:val="0"/>
          <w:marRight w:val="0"/>
          <w:marTop w:val="0"/>
          <w:marBottom w:val="196"/>
          <w:divBdr>
            <w:top w:val="single" w:sz="4" w:space="6" w:color="D3D1D1"/>
            <w:left w:val="single" w:sz="4" w:space="0" w:color="D3D1D1"/>
            <w:bottom w:val="single" w:sz="4" w:space="6" w:color="D3D1D1"/>
            <w:right w:val="single" w:sz="4" w:space="0" w:color="D3D1D1"/>
          </w:divBdr>
          <w:divsChild>
            <w:div w:id="1844785635">
              <w:marLeft w:val="87"/>
              <w:marRight w:val="87"/>
              <w:marTop w:val="0"/>
              <w:marBottom w:val="0"/>
              <w:divBdr>
                <w:top w:val="none" w:sz="0" w:space="0" w:color="auto"/>
                <w:left w:val="none" w:sz="0" w:space="0" w:color="auto"/>
                <w:bottom w:val="none" w:sz="0" w:space="0" w:color="auto"/>
                <w:right w:val="none" w:sz="0" w:space="0" w:color="auto"/>
              </w:divBdr>
              <w:divsChild>
                <w:div w:id="584650582">
                  <w:marLeft w:val="0"/>
                  <w:marRight w:val="0"/>
                  <w:marTop w:val="0"/>
                  <w:marBottom w:val="0"/>
                  <w:divBdr>
                    <w:top w:val="none" w:sz="0" w:space="0" w:color="auto"/>
                    <w:left w:val="none" w:sz="0" w:space="0" w:color="auto"/>
                    <w:bottom w:val="none" w:sz="0" w:space="0" w:color="auto"/>
                    <w:right w:val="none" w:sz="0" w:space="0" w:color="auto"/>
                  </w:divBdr>
                  <w:divsChild>
                    <w:div w:id="720440322">
                      <w:marLeft w:val="0"/>
                      <w:marRight w:val="0"/>
                      <w:marTop w:val="0"/>
                      <w:marBottom w:val="0"/>
                      <w:divBdr>
                        <w:top w:val="none" w:sz="0" w:space="0" w:color="auto"/>
                        <w:left w:val="none" w:sz="0" w:space="0" w:color="auto"/>
                        <w:bottom w:val="none" w:sz="0" w:space="0" w:color="auto"/>
                        <w:right w:val="none" w:sz="0" w:space="0" w:color="auto"/>
                      </w:divBdr>
                      <w:divsChild>
                        <w:div w:id="14752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421335">
      <w:bodyDiv w:val="1"/>
      <w:marLeft w:val="0"/>
      <w:marRight w:val="0"/>
      <w:marTop w:val="0"/>
      <w:marBottom w:val="0"/>
      <w:divBdr>
        <w:top w:val="none" w:sz="0" w:space="0" w:color="auto"/>
        <w:left w:val="none" w:sz="0" w:space="0" w:color="auto"/>
        <w:bottom w:val="none" w:sz="0" w:space="0" w:color="auto"/>
        <w:right w:val="none" w:sz="0" w:space="0" w:color="auto"/>
      </w:divBdr>
      <w:divsChild>
        <w:div w:id="413094705">
          <w:marLeft w:val="0"/>
          <w:marRight w:val="0"/>
          <w:marTop w:val="0"/>
          <w:marBottom w:val="0"/>
          <w:divBdr>
            <w:top w:val="none" w:sz="0" w:space="0" w:color="auto"/>
            <w:left w:val="none" w:sz="0" w:space="0" w:color="auto"/>
            <w:bottom w:val="none" w:sz="0" w:space="0" w:color="auto"/>
            <w:right w:val="none" w:sz="0" w:space="0" w:color="auto"/>
          </w:divBdr>
          <w:divsChild>
            <w:div w:id="51029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2445">
      <w:bodyDiv w:val="1"/>
      <w:marLeft w:val="0"/>
      <w:marRight w:val="0"/>
      <w:marTop w:val="0"/>
      <w:marBottom w:val="0"/>
      <w:divBdr>
        <w:top w:val="none" w:sz="0" w:space="0" w:color="auto"/>
        <w:left w:val="none" w:sz="0" w:space="0" w:color="auto"/>
        <w:bottom w:val="none" w:sz="0" w:space="0" w:color="auto"/>
        <w:right w:val="none" w:sz="0" w:space="0" w:color="auto"/>
      </w:divBdr>
      <w:divsChild>
        <w:div w:id="133330827">
          <w:marLeft w:val="0"/>
          <w:marRight w:val="0"/>
          <w:marTop w:val="0"/>
          <w:marBottom w:val="0"/>
          <w:divBdr>
            <w:top w:val="none" w:sz="0" w:space="0" w:color="auto"/>
            <w:left w:val="none" w:sz="0" w:space="0" w:color="auto"/>
            <w:bottom w:val="none" w:sz="0" w:space="0" w:color="auto"/>
            <w:right w:val="none" w:sz="0" w:space="0" w:color="auto"/>
          </w:divBdr>
        </w:div>
        <w:div w:id="794755340">
          <w:marLeft w:val="0"/>
          <w:marRight w:val="0"/>
          <w:marTop w:val="0"/>
          <w:marBottom w:val="0"/>
          <w:divBdr>
            <w:top w:val="none" w:sz="0" w:space="0" w:color="auto"/>
            <w:left w:val="none" w:sz="0" w:space="0" w:color="auto"/>
            <w:bottom w:val="none" w:sz="0" w:space="0" w:color="auto"/>
            <w:right w:val="none" w:sz="0" w:space="0" w:color="auto"/>
          </w:divBdr>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845601">
      <w:bodyDiv w:val="1"/>
      <w:marLeft w:val="0"/>
      <w:marRight w:val="0"/>
      <w:marTop w:val="0"/>
      <w:marBottom w:val="0"/>
      <w:divBdr>
        <w:top w:val="none" w:sz="0" w:space="0" w:color="auto"/>
        <w:left w:val="none" w:sz="0" w:space="0" w:color="auto"/>
        <w:bottom w:val="none" w:sz="0" w:space="0" w:color="auto"/>
        <w:right w:val="none" w:sz="0" w:space="0" w:color="auto"/>
      </w:divBdr>
      <w:divsChild>
        <w:div w:id="1164278700">
          <w:marLeft w:val="2625"/>
          <w:marRight w:val="0"/>
          <w:marTop w:val="600"/>
          <w:marBottom w:val="600"/>
          <w:divBdr>
            <w:top w:val="none" w:sz="0" w:space="0" w:color="auto"/>
            <w:left w:val="none" w:sz="0" w:space="0" w:color="auto"/>
            <w:bottom w:val="none" w:sz="0" w:space="0" w:color="auto"/>
            <w:right w:val="none" w:sz="0" w:space="0" w:color="auto"/>
          </w:divBdr>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56107151">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551487">
      <w:bodyDiv w:val="1"/>
      <w:marLeft w:val="0"/>
      <w:marRight w:val="0"/>
      <w:marTop w:val="0"/>
      <w:marBottom w:val="0"/>
      <w:divBdr>
        <w:top w:val="none" w:sz="0" w:space="0" w:color="auto"/>
        <w:left w:val="none" w:sz="0" w:space="0" w:color="auto"/>
        <w:bottom w:val="none" w:sz="0" w:space="0" w:color="auto"/>
        <w:right w:val="none" w:sz="0" w:space="0" w:color="auto"/>
      </w:divBdr>
    </w:div>
    <w:div w:id="1140654716">
      <w:bodyDiv w:val="1"/>
      <w:marLeft w:val="0"/>
      <w:marRight w:val="0"/>
      <w:marTop w:val="0"/>
      <w:marBottom w:val="0"/>
      <w:divBdr>
        <w:top w:val="none" w:sz="0" w:space="0" w:color="auto"/>
        <w:left w:val="none" w:sz="0" w:space="0" w:color="auto"/>
        <w:bottom w:val="none" w:sz="0" w:space="0" w:color="auto"/>
        <w:right w:val="none" w:sz="0" w:space="0" w:color="auto"/>
      </w:divBdr>
      <w:divsChild>
        <w:div w:id="861748287">
          <w:marLeft w:val="1775"/>
          <w:marRight w:val="0"/>
          <w:marTop w:val="406"/>
          <w:marBottom w:val="406"/>
          <w:divBdr>
            <w:top w:val="none" w:sz="0" w:space="0" w:color="auto"/>
            <w:left w:val="none" w:sz="0" w:space="0" w:color="auto"/>
            <w:bottom w:val="none" w:sz="0" w:space="0" w:color="auto"/>
            <w:right w:val="none" w:sz="0" w:space="0" w:color="auto"/>
          </w:divBdr>
        </w:div>
      </w:divsChild>
    </w:div>
    <w:div w:id="1158695040">
      <w:bodyDiv w:val="1"/>
      <w:marLeft w:val="0"/>
      <w:marRight w:val="0"/>
      <w:marTop w:val="0"/>
      <w:marBottom w:val="0"/>
      <w:divBdr>
        <w:top w:val="none" w:sz="0" w:space="0" w:color="auto"/>
        <w:left w:val="none" w:sz="0" w:space="0" w:color="auto"/>
        <w:bottom w:val="none" w:sz="0" w:space="0" w:color="auto"/>
        <w:right w:val="none" w:sz="0" w:space="0" w:color="auto"/>
      </w:divBdr>
      <w:divsChild>
        <w:div w:id="1575436381">
          <w:marLeft w:val="355"/>
          <w:marRight w:val="0"/>
          <w:marTop w:val="0"/>
          <w:marBottom w:val="203"/>
          <w:divBdr>
            <w:top w:val="none" w:sz="0" w:space="0" w:color="auto"/>
            <w:left w:val="none" w:sz="0" w:space="0" w:color="auto"/>
            <w:bottom w:val="none" w:sz="0" w:space="0" w:color="auto"/>
            <w:right w:val="none" w:sz="0" w:space="0" w:color="auto"/>
          </w:divBdr>
          <w:divsChild>
            <w:div w:id="11041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37577">
      <w:bodyDiv w:val="1"/>
      <w:marLeft w:val="0"/>
      <w:marRight w:val="0"/>
      <w:marTop w:val="0"/>
      <w:marBottom w:val="0"/>
      <w:divBdr>
        <w:top w:val="none" w:sz="0" w:space="0" w:color="auto"/>
        <w:left w:val="none" w:sz="0" w:space="0" w:color="auto"/>
        <w:bottom w:val="none" w:sz="0" w:space="0" w:color="auto"/>
        <w:right w:val="none" w:sz="0" w:space="0" w:color="auto"/>
      </w:divBdr>
    </w:div>
    <w:div w:id="1166553221">
      <w:bodyDiv w:val="1"/>
      <w:marLeft w:val="0"/>
      <w:marRight w:val="0"/>
      <w:marTop w:val="0"/>
      <w:marBottom w:val="0"/>
      <w:divBdr>
        <w:top w:val="none" w:sz="0" w:space="0" w:color="auto"/>
        <w:left w:val="none" w:sz="0" w:space="0" w:color="auto"/>
        <w:bottom w:val="none" w:sz="0" w:space="0" w:color="auto"/>
        <w:right w:val="none" w:sz="0" w:space="0" w:color="auto"/>
      </w:divBdr>
      <w:divsChild>
        <w:div w:id="171336149">
          <w:marLeft w:val="0"/>
          <w:marRight w:val="0"/>
          <w:marTop w:val="0"/>
          <w:marBottom w:val="0"/>
          <w:divBdr>
            <w:top w:val="none" w:sz="0" w:space="0" w:color="auto"/>
            <w:left w:val="none" w:sz="0" w:space="0" w:color="auto"/>
            <w:bottom w:val="none" w:sz="0" w:space="0" w:color="auto"/>
            <w:right w:val="none" w:sz="0" w:space="0" w:color="auto"/>
          </w:divBdr>
          <w:divsChild>
            <w:div w:id="113537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27185">
      <w:bodyDiv w:val="1"/>
      <w:marLeft w:val="0"/>
      <w:marRight w:val="0"/>
      <w:marTop w:val="0"/>
      <w:marBottom w:val="0"/>
      <w:divBdr>
        <w:top w:val="none" w:sz="0" w:space="0" w:color="auto"/>
        <w:left w:val="none" w:sz="0" w:space="0" w:color="auto"/>
        <w:bottom w:val="none" w:sz="0" w:space="0" w:color="auto"/>
        <w:right w:val="none" w:sz="0" w:space="0" w:color="auto"/>
      </w:divBdr>
      <w:divsChild>
        <w:div w:id="1109084961">
          <w:marLeft w:val="0"/>
          <w:marRight w:val="0"/>
          <w:marTop w:val="120"/>
          <w:marBottom w:val="0"/>
          <w:divBdr>
            <w:top w:val="none" w:sz="0" w:space="0" w:color="auto"/>
            <w:left w:val="none" w:sz="0" w:space="0" w:color="auto"/>
            <w:bottom w:val="none" w:sz="0" w:space="0" w:color="auto"/>
            <w:right w:val="none" w:sz="0" w:space="0" w:color="auto"/>
          </w:divBdr>
          <w:divsChild>
            <w:div w:id="1471822807">
              <w:marLeft w:val="0"/>
              <w:marRight w:val="0"/>
              <w:marTop w:val="0"/>
              <w:marBottom w:val="240"/>
              <w:divBdr>
                <w:top w:val="none" w:sz="0" w:space="0" w:color="auto"/>
                <w:left w:val="none" w:sz="0" w:space="0" w:color="auto"/>
                <w:bottom w:val="none" w:sz="0" w:space="0" w:color="auto"/>
                <w:right w:val="none" w:sz="0" w:space="0" w:color="auto"/>
              </w:divBdr>
            </w:div>
          </w:divsChild>
        </w:div>
        <w:div w:id="1919747201">
          <w:marLeft w:val="0"/>
          <w:marRight w:val="240"/>
          <w:marTop w:val="120"/>
          <w:marBottom w:val="0"/>
          <w:divBdr>
            <w:top w:val="none" w:sz="0" w:space="0" w:color="auto"/>
            <w:left w:val="none" w:sz="0" w:space="0" w:color="auto"/>
            <w:bottom w:val="none" w:sz="0" w:space="0" w:color="auto"/>
            <w:right w:val="none" w:sz="0" w:space="0" w:color="auto"/>
          </w:divBdr>
          <w:divsChild>
            <w:div w:id="585845111">
              <w:marLeft w:val="84"/>
              <w:marRight w:val="0"/>
              <w:marTop w:val="84"/>
              <w:marBottom w:val="360"/>
              <w:divBdr>
                <w:top w:val="none" w:sz="0" w:space="0" w:color="auto"/>
                <w:left w:val="none" w:sz="0" w:space="0" w:color="auto"/>
                <w:bottom w:val="none" w:sz="0" w:space="0" w:color="auto"/>
                <w:right w:val="none" w:sz="0" w:space="0" w:color="auto"/>
              </w:divBdr>
            </w:div>
          </w:divsChild>
        </w:div>
      </w:divsChild>
    </w:div>
    <w:div w:id="1222669300">
      <w:bodyDiv w:val="1"/>
      <w:marLeft w:val="0"/>
      <w:marRight w:val="0"/>
      <w:marTop w:val="0"/>
      <w:marBottom w:val="0"/>
      <w:divBdr>
        <w:top w:val="none" w:sz="0" w:space="0" w:color="auto"/>
        <w:left w:val="none" w:sz="0" w:space="0" w:color="auto"/>
        <w:bottom w:val="none" w:sz="0" w:space="0" w:color="auto"/>
        <w:right w:val="none" w:sz="0" w:space="0" w:color="auto"/>
      </w:divBdr>
      <w:divsChild>
        <w:div w:id="1448430786">
          <w:marLeft w:val="0"/>
          <w:marRight w:val="0"/>
          <w:marTop w:val="0"/>
          <w:marBottom w:val="0"/>
          <w:divBdr>
            <w:top w:val="none" w:sz="0" w:space="0" w:color="auto"/>
            <w:left w:val="none" w:sz="0" w:space="0" w:color="auto"/>
            <w:bottom w:val="none" w:sz="0" w:space="0" w:color="auto"/>
            <w:right w:val="none" w:sz="0" w:space="0" w:color="auto"/>
          </w:divBdr>
          <w:divsChild>
            <w:div w:id="985667918">
              <w:marLeft w:val="0"/>
              <w:marRight w:val="0"/>
              <w:marTop w:val="0"/>
              <w:marBottom w:val="0"/>
              <w:divBdr>
                <w:top w:val="none" w:sz="0" w:space="0" w:color="auto"/>
                <w:left w:val="none" w:sz="0" w:space="0" w:color="auto"/>
                <w:bottom w:val="none" w:sz="0" w:space="0" w:color="auto"/>
                <w:right w:val="none" w:sz="0" w:space="0" w:color="auto"/>
              </w:divBdr>
              <w:divsChild>
                <w:div w:id="6112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5830">
      <w:bodyDiv w:val="1"/>
      <w:marLeft w:val="0"/>
      <w:marRight w:val="0"/>
      <w:marTop w:val="0"/>
      <w:marBottom w:val="0"/>
      <w:divBdr>
        <w:top w:val="single" w:sz="18" w:space="0" w:color="318E20"/>
        <w:left w:val="none" w:sz="0" w:space="0" w:color="auto"/>
        <w:bottom w:val="none" w:sz="0" w:space="0" w:color="auto"/>
        <w:right w:val="none" w:sz="0" w:space="0" w:color="auto"/>
      </w:divBdr>
      <w:divsChild>
        <w:div w:id="2078286589">
          <w:marLeft w:val="0"/>
          <w:marRight w:val="0"/>
          <w:marTop w:val="0"/>
          <w:marBottom w:val="0"/>
          <w:divBdr>
            <w:top w:val="none" w:sz="0" w:space="0" w:color="auto"/>
            <w:left w:val="none" w:sz="0" w:space="0" w:color="auto"/>
            <w:bottom w:val="none" w:sz="0" w:space="0" w:color="auto"/>
            <w:right w:val="none" w:sz="0" w:space="0" w:color="auto"/>
          </w:divBdr>
          <w:divsChild>
            <w:div w:id="184713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9563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513198">
      <w:bodyDiv w:val="1"/>
      <w:marLeft w:val="0"/>
      <w:marRight w:val="0"/>
      <w:marTop w:val="0"/>
      <w:marBottom w:val="0"/>
      <w:divBdr>
        <w:top w:val="none" w:sz="0" w:space="0" w:color="auto"/>
        <w:left w:val="none" w:sz="0" w:space="0" w:color="auto"/>
        <w:bottom w:val="none" w:sz="0" w:space="0" w:color="auto"/>
        <w:right w:val="none" w:sz="0" w:space="0" w:color="auto"/>
      </w:divBdr>
      <w:divsChild>
        <w:div w:id="1322540601">
          <w:marLeft w:val="0"/>
          <w:marRight w:val="0"/>
          <w:marTop w:val="0"/>
          <w:marBottom w:val="0"/>
          <w:divBdr>
            <w:top w:val="none" w:sz="0" w:space="0" w:color="auto"/>
            <w:left w:val="none" w:sz="0" w:space="0" w:color="auto"/>
            <w:bottom w:val="none" w:sz="0" w:space="0" w:color="auto"/>
            <w:right w:val="none" w:sz="0" w:space="0" w:color="auto"/>
          </w:divBdr>
        </w:div>
        <w:div w:id="1665207305">
          <w:marLeft w:val="0"/>
          <w:marRight w:val="0"/>
          <w:marTop w:val="0"/>
          <w:marBottom w:val="0"/>
          <w:divBdr>
            <w:top w:val="none" w:sz="0" w:space="0" w:color="auto"/>
            <w:left w:val="none" w:sz="0" w:space="0" w:color="auto"/>
            <w:bottom w:val="none" w:sz="0" w:space="0" w:color="auto"/>
            <w:right w:val="none" w:sz="0" w:space="0" w:color="auto"/>
          </w:divBdr>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48094920">
      <w:bodyDiv w:val="1"/>
      <w:marLeft w:val="0"/>
      <w:marRight w:val="0"/>
      <w:marTop w:val="0"/>
      <w:marBottom w:val="0"/>
      <w:divBdr>
        <w:top w:val="none" w:sz="0" w:space="0" w:color="auto"/>
        <w:left w:val="none" w:sz="0" w:space="0" w:color="auto"/>
        <w:bottom w:val="none" w:sz="0" w:space="0" w:color="auto"/>
        <w:right w:val="none" w:sz="0" w:space="0" w:color="auto"/>
      </w:divBdr>
    </w:div>
    <w:div w:id="1367873255">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394847">
      <w:bodyDiv w:val="1"/>
      <w:marLeft w:val="0"/>
      <w:marRight w:val="0"/>
      <w:marTop w:val="0"/>
      <w:marBottom w:val="0"/>
      <w:divBdr>
        <w:top w:val="none" w:sz="0" w:space="0" w:color="auto"/>
        <w:left w:val="none" w:sz="0" w:space="0" w:color="auto"/>
        <w:bottom w:val="none" w:sz="0" w:space="0" w:color="auto"/>
        <w:right w:val="none" w:sz="0" w:space="0" w:color="auto"/>
      </w:divBdr>
      <w:divsChild>
        <w:div w:id="1944991323">
          <w:marLeft w:val="0"/>
          <w:marRight w:val="0"/>
          <w:marTop w:val="0"/>
          <w:marBottom w:val="0"/>
          <w:divBdr>
            <w:top w:val="none" w:sz="0" w:space="0" w:color="auto"/>
            <w:left w:val="none" w:sz="0" w:space="0" w:color="auto"/>
            <w:bottom w:val="none" w:sz="0" w:space="0" w:color="auto"/>
            <w:right w:val="none" w:sz="0" w:space="0" w:color="auto"/>
          </w:divBdr>
          <w:divsChild>
            <w:div w:id="1175418881">
              <w:marLeft w:val="0"/>
              <w:marRight w:val="0"/>
              <w:marTop w:val="0"/>
              <w:marBottom w:val="0"/>
              <w:divBdr>
                <w:top w:val="none" w:sz="0" w:space="0" w:color="auto"/>
                <w:left w:val="none" w:sz="0" w:space="0" w:color="auto"/>
                <w:bottom w:val="none" w:sz="0" w:space="0" w:color="auto"/>
                <w:right w:val="none" w:sz="0" w:space="0" w:color="auto"/>
              </w:divBdr>
              <w:divsChild>
                <w:div w:id="13601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6151">
      <w:bodyDiv w:val="1"/>
      <w:marLeft w:val="0"/>
      <w:marRight w:val="0"/>
      <w:marTop w:val="0"/>
      <w:marBottom w:val="0"/>
      <w:divBdr>
        <w:top w:val="none" w:sz="0" w:space="0" w:color="auto"/>
        <w:left w:val="none" w:sz="0" w:space="0" w:color="auto"/>
        <w:bottom w:val="none" w:sz="0" w:space="0" w:color="auto"/>
        <w:right w:val="none" w:sz="0" w:space="0" w:color="auto"/>
      </w:divBdr>
      <w:divsChild>
        <w:div w:id="279187306">
          <w:marLeft w:val="0"/>
          <w:marRight w:val="0"/>
          <w:marTop w:val="0"/>
          <w:marBottom w:val="0"/>
          <w:divBdr>
            <w:top w:val="none" w:sz="0" w:space="0" w:color="auto"/>
            <w:left w:val="none" w:sz="0" w:space="0" w:color="auto"/>
            <w:bottom w:val="none" w:sz="0" w:space="0" w:color="auto"/>
            <w:right w:val="none" w:sz="0" w:space="0" w:color="auto"/>
          </w:divBdr>
          <w:divsChild>
            <w:div w:id="1264917393">
              <w:marLeft w:val="0"/>
              <w:marRight w:val="0"/>
              <w:marTop w:val="0"/>
              <w:marBottom w:val="0"/>
              <w:divBdr>
                <w:top w:val="none" w:sz="0" w:space="0" w:color="auto"/>
                <w:left w:val="none" w:sz="0" w:space="0" w:color="auto"/>
                <w:bottom w:val="none" w:sz="0" w:space="0" w:color="auto"/>
                <w:right w:val="none" w:sz="0" w:space="0" w:color="auto"/>
              </w:divBdr>
              <w:divsChild>
                <w:div w:id="127559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51825">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90306235">
      <w:bodyDiv w:val="1"/>
      <w:marLeft w:val="0"/>
      <w:marRight w:val="0"/>
      <w:marTop w:val="0"/>
      <w:marBottom w:val="0"/>
      <w:divBdr>
        <w:top w:val="none" w:sz="0" w:space="0" w:color="auto"/>
        <w:left w:val="none" w:sz="0" w:space="0" w:color="auto"/>
        <w:bottom w:val="none" w:sz="0" w:space="0" w:color="auto"/>
        <w:right w:val="none" w:sz="0" w:space="0" w:color="auto"/>
      </w:divBdr>
      <w:divsChild>
        <w:div w:id="1316103273">
          <w:marLeft w:val="0"/>
          <w:marRight w:val="0"/>
          <w:marTop w:val="0"/>
          <w:marBottom w:val="150"/>
          <w:divBdr>
            <w:top w:val="none" w:sz="0" w:space="0" w:color="auto"/>
            <w:left w:val="none" w:sz="0" w:space="0" w:color="auto"/>
            <w:bottom w:val="none" w:sz="0" w:space="0" w:color="auto"/>
            <w:right w:val="none" w:sz="0" w:space="0" w:color="auto"/>
          </w:divBdr>
          <w:divsChild>
            <w:div w:id="99970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865509">
      <w:bodyDiv w:val="1"/>
      <w:marLeft w:val="0"/>
      <w:marRight w:val="0"/>
      <w:marTop w:val="0"/>
      <w:marBottom w:val="0"/>
      <w:divBdr>
        <w:top w:val="none" w:sz="0" w:space="0" w:color="auto"/>
        <w:left w:val="none" w:sz="0" w:space="0" w:color="auto"/>
        <w:bottom w:val="none" w:sz="0" w:space="0" w:color="auto"/>
        <w:right w:val="none" w:sz="0" w:space="0" w:color="auto"/>
      </w:divBdr>
      <w:divsChild>
        <w:div w:id="1991208877">
          <w:marLeft w:val="0"/>
          <w:marRight w:val="0"/>
          <w:marTop w:val="0"/>
          <w:marBottom w:val="0"/>
          <w:divBdr>
            <w:top w:val="none" w:sz="0" w:space="0" w:color="auto"/>
            <w:left w:val="none" w:sz="0" w:space="0" w:color="auto"/>
            <w:bottom w:val="none" w:sz="0" w:space="0" w:color="auto"/>
            <w:right w:val="none" w:sz="0" w:space="0" w:color="auto"/>
          </w:divBdr>
          <w:divsChild>
            <w:div w:id="171990893">
              <w:marLeft w:val="0"/>
              <w:marRight w:val="0"/>
              <w:marTop w:val="0"/>
              <w:marBottom w:val="0"/>
              <w:divBdr>
                <w:top w:val="none" w:sz="0" w:space="0" w:color="auto"/>
                <w:left w:val="none" w:sz="0" w:space="0" w:color="auto"/>
                <w:bottom w:val="none" w:sz="0" w:space="0" w:color="auto"/>
                <w:right w:val="none" w:sz="0" w:space="0" w:color="auto"/>
              </w:divBdr>
              <w:divsChild>
                <w:div w:id="1671760160">
                  <w:marLeft w:val="0"/>
                  <w:marRight w:val="0"/>
                  <w:marTop w:val="0"/>
                  <w:marBottom w:val="0"/>
                  <w:divBdr>
                    <w:top w:val="none" w:sz="0" w:space="0" w:color="auto"/>
                    <w:left w:val="none" w:sz="0" w:space="0" w:color="auto"/>
                    <w:bottom w:val="none" w:sz="0" w:space="0" w:color="auto"/>
                    <w:right w:val="none" w:sz="0" w:space="0" w:color="auto"/>
                  </w:divBdr>
                  <w:divsChild>
                    <w:div w:id="748579840">
                      <w:marLeft w:val="0"/>
                      <w:marRight w:val="0"/>
                      <w:marTop w:val="0"/>
                      <w:marBottom w:val="0"/>
                      <w:divBdr>
                        <w:top w:val="none" w:sz="0" w:space="0" w:color="auto"/>
                        <w:left w:val="none" w:sz="0" w:space="0" w:color="auto"/>
                        <w:bottom w:val="none" w:sz="0" w:space="0" w:color="auto"/>
                        <w:right w:val="none" w:sz="0" w:space="0" w:color="auto"/>
                      </w:divBdr>
                      <w:divsChild>
                        <w:div w:id="1238633257">
                          <w:marLeft w:val="0"/>
                          <w:marRight w:val="0"/>
                          <w:marTop w:val="0"/>
                          <w:marBottom w:val="0"/>
                          <w:divBdr>
                            <w:top w:val="none" w:sz="0" w:space="0" w:color="auto"/>
                            <w:left w:val="none" w:sz="0" w:space="0" w:color="auto"/>
                            <w:bottom w:val="none" w:sz="0" w:space="0" w:color="auto"/>
                            <w:right w:val="none" w:sz="0" w:space="0" w:color="auto"/>
                          </w:divBdr>
                          <w:divsChild>
                            <w:div w:id="1665628591">
                              <w:marLeft w:val="0"/>
                              <w:marRight w:val="0"/>
                              <w:marTop w:val="0"/>
                              <w:marBottom w:val="0"/>
                              <w:divBdr>
                                <w:top w:val="none" w:sz="0" w:space="0" w:color="auto"/>
                                <w:left w:val="none" w:sz="0" w:space="0" w:color="auto"/>
                                <w:bottom w:val="none" w:sz="0" w:space="0" w:color="auto"/>
                                <w:right w:val="none" w:sz="0" w:space="0" w:color="auto"/>
                              </w:divBdr>
                              <w:divsChild>
                                <w:div w:id="1289629802">
                                  <w:marLeft w:val="0"/>
                                  <w:marRight w:val="0"/>
                                  <w:marTop w:val="0"/>
                                  <w:marBottom w:val="0"/>
                                  <w:divBdr>
                                    <w:top w:val="none" w:sz="0" w:space="0" w:color="auto"/>
                                    <w:left w:val="none" w:sz="0" w:space="0" w:color="auto"/>
                                    <w:bottom w:val="none" w:sz="0" w:space="0" w:color="auto"/>
                                    <w:right w:val="none" w:sz="0" w:space="0" w:color="auto"/>
                                  </w:divBdr>
                                  <w:divsChild>
                                    <w:div w:id="9991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955554">
      <w:bodyDiv w:val="1"/>
      <w:marLeft w:val="0"/>
      <w:marRight w:val="0"/>
      <w:marTop w:val="0"/>
      <w:marBottom w:val="0"/>
      <w:divBdr>
        <w:top w:val="none" w:sz="0" w:space="0" w:color="auto"/>
        <w:left w:val="none" w:sz="0" w:space="0" w:color="auto"/>
        <w:bottom w:val="none" w:sz="0" w:space="0" w:color="auto"/>
        <w:right w:val="none" w:sz="0" w:space="0" w:color="auto"/>
      </w:divBdr>
    </w:div>
    <w:div w:id="1667977265">
      <w:bodyDiv w:val="1"/>
      <w:marLeft w:val="0"/>
      <w:marRight w:val="0"/>
      <w:marTop w:val="0"/>
      <w:marBottom w:val="0"/>
      <w:divBdr>
        <w:top w:val="none" w:sz="0" w:space="0" w:color="auto"/>
        <w:left w:val="none" w:sz="0" w:space="0" w:color="auto"/>
        <w:bottom w:val="none" w:sz="0" w:space="0" w:color="auto"/>
        <w:right w:val="none" w:sz="0" w:space="0" w:color="auto"/>
      </w:divBdr>
      <w:divsChild>
        <w:div w:id="355083429">
          <w:marLeft w:val="0"/>
          <w:marRight w:val="0"/>
          <w:marTop w:val="0"/>
          <w:marBottom w:val="0"/>
          <w:divBdr>
            <w:top w:val="none" w:sz="0" w:space="0" w:color="auto"/>
            <w:left w:val="none" w:sz="0" w:space="0" w:color="auto"/>
            <w:bottom w:val="none" w:sz="0" w:space="0" w:color="auto"/>
            <w:right w:val="none" w:sz="0" w:space="0" w:color="auto"/>
          </w:divBdr>
        </w:div>
        <w:div w:id="616525921">
          <w:marLeft w:val="0"/>
          <w:marRight w:val="0"/>
          <w:marTop w:val="0"/>
          <w:marBottom w:val="0"/>
          <w:divBdr>
            <w:top w:val="none" w:sz="0" w:space="0" w:color="auto"/>
            <w:left w:val="none" w:sz="0" w:space="0" w:color="auto"/>
            <w:bottom w:val="none" w:sz="0" w:space="0" w:color="auto"/>
            <w:right w:val="none" w:sz="0" w:space="0" w:color="auto"/>
          </w:divBdr>
        </w:div>
        <w:div w:id="1504515177">
          <w:marLeft w:val="0"/>
          <w:marRight w:val="0"/>
          <w:marTop w:val="0"/>
          <w:marBottom w:val="0"/>
          <w:divBdr>
            <w:top w:val="none" w:sz="0" w:space="0" w:color="auto"/>
            <w:left w:val="none" w:sz="0" w:space="0" w:color="auto"/>
            <w:bottom w:val="none" w:sz="0" w:space="0" w:color="auto"/>
            <w:right w:val="none" w:sz="0" w:space="0" w:color="auto"/>
          </w:divBdr>
        </w:div>
      </w:divsChild>
    </w:div>
    <w:div w:id="1670912281">
      <w:bodyDiv w:val="1"/>
      <w:marLeft w:val="0"/>
      <w:marRight w:val="0"/>
      <w:marTop w:val="0"/>
      <w:marBottom w:val="0"/>
      <w:divBdr>
        <w:top w:val="none" w:sz="0" w:space="0" w:color="auto"/>
        <w:left w:val="none" w:sz="0" w:space="0" w:color="auto"/>
        <w:bottom w:val="none" w:sz="0" w:space="0" w:color="auto"/>
        <w:right w:val="none" w:sz="0" w:space="0" w:color="auto"/>
      </w:divBdr>
      <w:divsChild>
        <w:div w:id="438136772">
          <w:marLeft w:val="0"/>
          <w:marRight w:val="0"/>
          <w:marTop w:val="0"/>
          <w:marBottom w:val="196"/>
          <w:divBdr>
            <w:top w:val="single" w:sz="4" w:space="6" w:color="D3D1D1"/>
            <w:left w:val="single" w:sz="4" w:space="0" w:color="D3D1D1"/>
            <w:bottom w:val="single" w:sz="4" w:space="6" w:color="D3D1D1"/>
            <w:right w:val="single" w:sz="4" w:space="0" w:color="D3D1D1"/>
          </w:divBdr>
          <w:divsChild>
            <w:div w:id="953709954">
              <w:marLeft w:val="87"/>
              <w:marRight w:val="87"/>
              <w:marTop w:val="0"/>
              <w:marBottom w:val="0"/>
              <w:divBdr>
                <w:top w:val="none" w:sz="0" w:space="0" w:color="auto"/>
                <w:left w:val="none" w:sz="0" w:space="0" w:color="auto"/>
                <w:bottom w:val="none" w:sz="0" w:space="0" w:color="auto"/>
                <w:right w:val="none" w:sz="0" w:space="0" w:color="auto"/>
              </w:divBdr>
              <w:divsChild>
                <w:div w:id="1977248443">
                  <w:marLeft w:val="0"/>
                  <w:marRight w:val="0"/>
                  <w:marTop w:val="0"/>
                  <w:marBottom w:val="0"/>
                  <w:divBdr>
                    <w:top w:val="none" w:sz="0" w:space="0" w:color="auto"/>
                    <w:left w:val="none" w:sz="0" w:space="0" w:color="auto"/>
                    <w:bottom w:val="none" w:sz="0" w:space="0" w:color="auto"/>
                    <w:right w:val="none" w:sz="0" w:space="0" w:color="auto"/>
                  </w:divBdr>
                  <w:divsChild>
                    <w:div w:id="388724037">
                      <w:marLeft w:val="0"/>
                      <w:marRight w:val="0"/>
                      <w:marTop w:val="0"/>
                      <w:marBottom w:val="0"/>
                      <w:divBdr>
                        <w:top w:val="none" w:sz="0" w:space="0" w:color="auto"/>
                        <w:left w:val="none" w:sz="0" w:space="0" w:color="auto"/>
                        <w:bottom w:val="none" w:sz="0" w:space="0" w:color="auto"/>
                        <w:right w:val="none" w:sz="0" w:space="0" w:color="auto"/>
                      </w:divBdr>
                      <w:divsChild>
                        <w:div w:id="184401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750397">
      <w:bodyDiv w:val="1"/>
      <w:marLeft w:val="0"/>
      <w:marRight w:val="0"/>
      <w:marTop w:val="0"/>
      <w:marBottom w:val="0"/>
      <w:divBdr>
        <w:top w:val="none" w:sz="0" w:space="0" w:color="auto"/>
        <w:left w:val="none" w:sz="0" w:space="0" w:color="auto"/>
        <w:bottom w:val="none" w:sz="0" w:space="0" w:color="auto"/>
        <w:right w:val="none" w:sz="0" w:space="0" w:color="auto"/>
      </w:divBdr>
      <w:divsChild>
        <w:div w:id="259459335">
          <w:marLeft w:val="0"/>
          <w:marRight w:val="0"/>
          <w:marTop w:val="0"/>
          <w:marBottom w:val="0"/>
          <w:divBdr>
            <w:top w:val="none" w:sz="0" w:space="0" w:color="auto"/>
            <w:left w:val="none" w:sz="0" w:space="0" w:color="auto"/>
            <w:bottom w:val="none" w:sz="0" w:space="0" w:color="auto"/>
            <w:right w:val="none" w:sz="0" w:space="0" w:color="auto"/>
          </w:divBdr>
          <w:divsChild>
            <w:div w:id="16042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326893">
      <w:bodyDiv w:val="1"/>
      <w:marLeft w:val="0"/>
      <w:marRight w:val="0"/>
      <w:marTop w:val="0"/>
      <w:marBottom w:val="0"/>
      <w:divBdr>
        <w:top w:val="none" w:sz="0" w:space="0" w:color="auto"/>
        <w:left w:val="none" w:sz="0" w:space="0" w:color="auto"/>
        <w:bottom w:val="none" w:sz="0" w:space="0" w:color="auto"/>
        <w:right w:val="none" w:sz="0" w:space="0" w:color="auto"/>
      </w:divBdr>
    </w:div>
    <w:div w:id="1708870023">
      <w:bodyDiv w:val="1"/>
      <w:marLeft w:val="0"/>
      <w:marRight w:val="0"/>
      <w:marTop w:val="0"/>
      <w:marBottom w:val="0"/>
      <w:divBdr>
        <w:top w:val="none" w:sz="0" w:space="0" w:color="auto"/>
        <w:left w:val="none" w:sz="0" w:space="0" w:color="auto"/>
        <w:bottom w:val="none" w:sz="0" w:space="0" w:color="auto"/>
        <w:right w:val="none" w:sz="0" w:space="0" w:color="auto"/>
      </w:divBdr>
      <w:divsChild>
        <w:div w:id="1063215380">
          <w:marLeft w:val="0"/>
          <w:marRight w:val="0"/>
          <w:marTop w:val="0"/>
          <w:marBottom w:val="0"/>
          <w:divBdr>
            <w:top w:val="none" w:sz="0" w:space="0" w:color="auto"/>
            <w:left w:val="none" w:sz="0" w:space="0" w:color="auto"/>
            <w:bottom w:val="none" w:sz="0" w:space="0" w:color="auto"/>
            <w:right w:val="none" w:sz="0" w:space="0" w:color="auto"/>
          </w:divBdr>
          <w:divsChild>
            <w:div w:id="221866837">
              <w:marLeft w:val="0"/>
              <w:marRight w:val="0"/>
              <w:marTop w:val="0"/>
              <w:marBottom w:val="0"/>
              <w:divBdr>
                <w:top w:val="none" w:sz="0" w:space="0" w:color="auto"/>
                <w:left w:val="none" w:sz="0" w:space="0" w:color="auto"/>
                <w:bottom w:val="none" w:sz="0" w:space="0" w:color="auto"/>
                <w:right w:val="none" w:sz="0" w:space="0" w:color="auto"/>
              </w:divBdr>
              <w:divsChild>
                <w:div w:id="133032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18473">
      <w:bodyDiv w:val="1"/>
      <w:marLeft w:val="0"/>
      <w:marRight w:val="0"/>
      <w:marTop w:val="0"/>
      <w:marBottom w:val="0"/>
      <w:divBdr>
        <w:top w:val="none" w:sz="0" w:space="0" w:color="auto"/>
        <w:left w:val="none" w:sz="0" w:space="0" w:color="auto"/>
        <w:bottom w:val="none" w:sz="0" w:space="0" w:color="auto"/>
        <w:right w:val="none" w:sz="0" w:space="0" w:color="auto"/>
      </w:divBdr>
      <w:divsChild>
        <w:div w:id="2051610041">
          <w:marLeft w:val="0"/>
          <w:marRight w:val="0"/>
          <w:marTop w:val="0"/>
          <w:marBottom w:val="0"/>
          <w:divBdr>
            <w:top w:val="none" w:sz="0" w:space="0" w:color="auto"/>
            <w:left w:val="none" w:sz="0" w:space="0" w:color="auto"/>
            <w:bottom w:val="none" w:sz="0" w:space="0" w:color="auto"/>
            <w:right w:val="none" w:sz="0" w:space="0" w:color="auto"/>
          </w:divBdr>
          <w:divsChild>
            <w:div w:id="1750226089">
              <w:marLeft w:val="0"/>
              <w:marRight w:val="0"/>
              <w:marTop w:val="0"/>
              <w:marBottom w:val="0"/>
              <w:divBdr>
                <w:top w:val="none" w:sz="0" w:space="0" w:color="auto"/>
                <w:left w:val="none" w:sz="0" w:space="0" w:color="auto"/>
                <w:bottom w:val="none" w:sz="0" w:space="0" w:color="auto"/>
                <w:right w:val="none" w:sz="0" w:space="0" w:color="auto"/>
              </w:divBdr>
              <w:divsChild>
                <w:div w:id="2056418989">
                  <w:marLeft w:val="0"/>
                  <w:marRight w:val="0"/>
                  <w:marTop w:val="0"/>
                  <w:marBottom w:val="0"/>
                  <w:divBdr>
                    <w:top w:val="none" w:sz="0" w:space="0" w:color="auto"/>
                    <w:left w:val="none" w:sz="0" w:space="0" w:color="auto"/>
                    <w:bottom w:val="none" w:sz="0" w:space="0" w:color="auto"/>
                    <w:right w:val="none" w:sz="0" w:space="0" w:color="auto"/>
                  </w:divBdr>
                  <w:divsChild>
                    <w:div w:id="11231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8726412">
      <w:bodyDiv w:val="1"/>
      <w:marLeft w:val="0"/>
      <w:marRight w:val="0"/>
      <w:marTop w:val="0"/>
      <w:marBottom w:val="0"/>
      <w:divBdr>
        <w:top w:val="none" w:sz="0" w:space="0" w:color="auto"/>
        <w:left w:val="none" w:sz="0" w:space="0" w:color="auto"/>
        <w:bottom w:val="none" w:sz="0" w:space="0" w:color="auto"/>
        <w:right w:val="none" w:sz="0" w:space="0" w:color="auto"/>
      </w:divBdr>
      <w:divsChild>
        <w:div w:id="2136749613">
          <w:marLeft w:val="0"/>
          <w:marRight w:val="0"/>
          <w:marTop w:val="0"/>
          <w:marBottom w:val="0"/>
          <w:divBdr>
            <w:top w:val="none" w:sz="0" w:space="0" w:color="auto"/>
            <w:left w:val="none" w:sz="0" w:space="0" w:color="auto"/>
            <w:bottom w:val="none" w:sz="0" w:space="0" w:color="auto"/>
            <w:right w:val="none" w:sz="0" w:space="0" w:color="auto"/>
          </w:divBdr>
          <w:divsChild>
            <w:div w:id="1957590568">
              <w:marLeft w:val="2282"/>
              <w:marRight w:val="0"/>
              <w:marTop w:val="0"/>
              <w:marBottom w:val="120"/>
              <w:divBdr>
                <w:top w:val="none" w:sz="0" w:space="0" w:color="auto"/>
                <w:left w:val="none" w:sz="0" w:space="0" w:color="auto"/>
                <w:bottom w:val="none" w:sz="0" w:space="0" w:color="auto"/>
                <w:right w:val="none" w:sz="0" w:space="0" w:color="auto"/>
              </w:divBdr>
              <w:divsChild>
                <w:div w:id="891041966">
                  <w:marLeft w:val="0"/>
                  <w:marRight w:val="0"/>
                  <w:marTop w:val="0"/>
                  <w:marBottom w:val="0"/>
                  <w:divBdr>
                    <w:top w:val="none" w:sz="0" w:space="0" w:color="auto"/>
                    <w:left w:val="none" w:sz="0" w:space="0" w:color="auto"/>
                    <w:bottom w:val="none" w:sz="0" w:space="0" w:color="auto"/>
                    <w:right w:val="none" w:sz="0" w:space="0" w:color="auto"/>
                  </w:divBdr>
                  <w:divsChild>
                    <w:div w:id="58873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plant@agriculture.gov.au" TargetMode="External"/><Relationship Id="rId26" Type="http://schemas.openxmlformats.org/officeDocument/2006/relationships/image" Target="media/image5.jpeg"/><Relationship Id="rId39" Type="http://schemas.openxmlformats.org/officeDocument/2006/relationships/diagramColors" Target="diagrams/colors1.xml"/><Relationship Id="rId21" Type="http://schemas.openxmlformats.org/officeDocument/2006/relationships/footer" Target="footer3.xml"/><Relationship Id="rId34" Type="http://schemas.openxmlformats.org/officeDocument/2006/relationships/image" Target="media/image7.png"/><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header" Target="header12.xml"/><Relationship Id="rId55" Type="http://schemas.openxmlformats.org/officeDocument/2006/relationships/header" Target="header17.xml"/><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opyright@agriculture.gov.au" TargetMode="External"/><Relationship Id="rId29" Type="http://schemas.openxmlformats.org/officeDocument/2006/relationships/header" Target="header8.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13.png"/><Relationship Id="rId53" Type="http://schemas.openxmlformats.org/officeDocument/2006/relationships/header" Target="header15.xml"/><Relationship Id="rId58" Type="http://schemas.openxmlformats.org/officeDocument/2006/relationships/header" Target="header18.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hyperlink" Target="http://www.agriculture.gov.au/ba/memos" TargetMode="External"/><Relationship Id="rId14" Type="http://schemas.openxmlformats.org/officeDocument/2006/relationships/hyperlink" Target="http://creativecommons.org/licenses/by/3.0/au/deed.en" TargetMode="Externa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hyperlink" Target="http://www.daff.gov.au/ba/ira/process-handbook" TargetMode="External"/><Relationship Id="rId35" Type="http://schemas.openxmlformats.org/officeDocument/2006/relationships/image" Target="media/image8.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hyperlink" Target="http://www.aphis.usda.gov/" TargetMode="External"/><Relationship Id="rId8" Type="http://schemas.openxmlformats.org/officeDocument/2006/relationships/image" Target="media/image1.jpeg"/><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daff.gov.au/" TargetMode="External"/><Relationship Id="rId25" Type="http://schemas.openxmlformats.org/officeDocument/2006/relationships/image" Target="media/image4.png"/><Relationship Id="rId33" Type="http://schemas.openxmlformats.org/officeDocument/2006/relationships/image" Target="media/image6.png"/><Relationship Id="rId38" Type="http://schemas.openxmlformats.org/officeDocument/2006/relationships/diagramQuickStyle" Target="diagrams/quickStyle1.xml"/><Relationship Id="rId46" Type="http://schemas.openxmlformats.org/officeDocument/2006/relationships/image" Target="media/image14.png"/><Relationship Id="rId59"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9.png"/><Relationship Id="rId54" Type="http://schemas.openxmlformats.org/officeDocument/2006/relationships/header" Target="header16.xm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reativecommons.org/licenses/by/3.0/au/legalcode" TargetMode="Externa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diagramData" Target="diagrams/data1.xml"/><Relationship Id="rId49" Type="http://schemas.openxmlformats.org/officeDocument/2006/relationships/header" Target="header11.xml"/><Relationship Id="rId57" Type="http://schemas.openxmlformats.org/officeDocument/2006/relationships/hyperlink" Target="http://www.cabdirect.org/search.html?q=do%3A%22Mitteilungen+der+Schweizerischen+Entomologischen+Gesellschaft%22" TargetMode="External"/><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image" Target="media/image12.png"/><Relationship Id="rId52" Type="http://schemas.openxmlformats.org/officeDocument/2006/relationships/header" Target="header14.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404193-994E-405D-AF34-B86775C23415}"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AU"/>
        </a:p>
      </dgm:t>
    </dgm:pt>
    <dgm:pt modelId="{46084EAA-A8DA-4C70-BC8B-FC439510F5DE}">
      <dgm:prSet phldrT="[Text]"/>
      <dgm:spPr/>
      <dgm:t>
        <a:bodyPr/>
        <a:lstStyle/>
        <a:p>
          <a:r>
            <a:rPr lang="en-AU"/>
            <a:t>Psyllid feeds on infected host plant (phloem tissue) </a:t>
          </a:r>
        </a:p>
      </dgm:t>
    </dgm:pt>
    <dgm:pt modelId="{1220263D-A325-4869-84EC-EFE4C695812F}" type="parTrans" cxnId="{15902881-D626-4602-861C-E1BF419FC755}">
      <dgm:prSet/>
      <dgm:spPr/>
      <dgm:t>
        <a:bodyPr/>
        <a:lstStyle/>
        <a:p>
          <a:endParaRPr lang="en-AU"/>
        </a:p>
      </dgm:t>
    </dgm:pt>
    <dgm:pt modelId="{7FBFC801-087D-4227-80A2-19A2EA65FECB}" type="sibTrans" cxnId="{15902881-D626-4602-861C-E1BF419FC755}">
      <dgm:prSet/>
      <dgm:spPr/>
      <dgm:t>
        <a:bodyPr/>
        <a:lstStyle/>
        <a:p>
          <a:endParaRPr lang="en-AU"/>
        </a:p>
      </dgm:t>
    </dgm:pt>
    <dgm:pt modelId="{B7CBC205-C701-4493-A6D6-903BF8F5EDDC}">
      <dgm:prSet phldrT="[Text]"/>
      <dgm:spPr/>
      <dgm:t>
        <a:bodyPr/>
        <a:lstStyle/>
        <a:p>
          <a:r>
            <a:rPr lang="en-AU"/>
            <a:t>Psyllid acquires bacterium</a:t>
          </a:r>
        </a:p>
      </dgm:t>
    </dgm:pt>
    <dgm:pt modelId="{F80197A0-A162-4D15-8B4E-10DFBA385E4F}" type="parTrans" cxnId="{A6A7157E-9AF1-4F02-AF3E-EB0EA1B7E550}">
      <dgm:prSet/>
      <dgm:spPr/>
      <dgm:t>
        <a:bodyPr/>
        <a:lstStyle/>
        <a:p>
          <a:endParaRPr lang="en-AU"/>
        </a:p>
      </dgm:t>
    </dgm:pt>
    <dgm:pt modelId="{3159EBB4-EE71-4633-9C49-B555E5FCABAF}" type="sibTrans" cxnId="{A6A7157E-9AF1-4F02-AF3E-EB0EA1B7E550}">
      <dgm:prSet/>
      <dgm:spPr/>
      <dgm:t>
        <a:bodyPr/>
        <a:lstStyle/>
        <a:p>
          <a:endParaRPr lang="en-AU"/>
        </a:p>
      </dgm:t>
    </dgm:pt>
    <dgm:pt modelId="{DB8D033D-73D2-4530-9A5C-408FDD85B12B}">
      <dgm:prSet phldrT="[Text]"/>
      <dgm:spPr/>
      <dgm:t>
        <a:bodyPr/>
        <a:lstStyle/>
        <a:p>
          <a:r>
            <a:rPr lang="en-AU"/>
            <a:t>Bacterium multiplies in the psyllid</a:t>
          </a:r>
        </a:p>
      </dgm:t>
    </dgm:pt>
    <dgm:pt modelId="{E9D18791-81F0-4008-8F6B-74ACCDC2BF7B}" type="parTrans" cxnId="{8050157C-C56C-4D8F-B039-A10763EF965C}">
      <dgm:prSet/>
      <dgm:spPr/>
      <dgm:t>
        <a:bodyPr/>
        <a:lstStyle/>
        <a:p>
          <a:endParaRPr lang="en-AU"/>
        </a:p>
      </dgm:t>
    </dgm:pt>
    <dgm:pt modelId="{ABB49127-EB9C-40BA-9550-8E21EC123623}" type="sibTrans" cxnId="{8050157C-C56C-4D8F-B039-A10763EF965C}">
      <dgm:prSet/>
      <dgm:spPr/>
      <dgm:t>
        <a:bodyPr/>
        <a:lstStyle/>
        <a:p>
          <a:endParaRPr lang="en-AU"/>
        </a:p>
      </dgm:t>
    </dgm:pt>
    <dgm:pt modelId="{D88DC072-0C6F-4FA4-8461-9EF7B71F9F68}">
      <dgm:prSet phldrT="[Text]"/>
      <dgm:spPr/>
      <dgm:t>
        <a:bodyPr/>
        <a:lstStyle/>
        <a:p>
          <a:r>
            <a:rPr lang="en-AU"/>
            <a:t>Psyllid feeds on healthy host plant (prefers new flush)</a:t>
          </a:r>
        </a:p>
      </dgm:t>
    </dgm:pt>
    <dgm:pt modelId="{8B376465-4970-48C5-BC8E-D301A3288D45}" type="parTrans" cxnId="{636DADC8-AA1F-4F30-AD49-C29AF22978D9}">
      <dgm:prSet/>
      <dgm:spPr/>
      <dgm:t>
        <a:bodyPr/>
        <a:lstStyle/>
        <a:p>
          <a:endParaRPr lang="en-AU"/>
        </a:p>
      </dgm:t>
    </dgm:pt>
    <dgm:pt modelId="{E511324F-D5B5-4768-B4A6-E5DD049C1D94}" type="sibTrans" cxnId="{636DADC8-AA1F-4F30-AD49-C29AF22978D9}">
      <dgm:prSet/>
      <dgm:spPr/>
      <dgm:t>
        <a:bodyPr/>
        <a:lstStyle/>
        <a:p>
          <a:endParaRPr lang="en-AU"/>
        </a:p>
      </dgm:t>
    </dgm:pt>
    <dgm:pt modelId="{90C8A0EC-DC16-4C70-816B-2A435C9D2F69}">
      <dgm:prSet phldrT="[Text]"/>
      <dgm:spPr/>
      <dgm:t>
        <a:bodyPr/>
        <a:lstStyle/>
        <a:p>
          <a:r>
            <a:rPr lang="en-AU"/>
            <a:t>Feeding process transmits bacterium to host plant</a:t>
          </a:r>
        </a:p>
      </dgm:t>
    </dgm:pt>
    <dgm:pt modelId="{199C80C9-3F55-4D10-8D42-F5BB02425051}" type="parTrans" cxnId="{930C5BC4-408A-4B0E-9F44-99FF0C42EEEB}">
      <dgm:prSet/>
      <dgm:spPr/>
      <dgm:t>
        <a:bodyPr/>
        <a:lstStyle/>
        <a:p>
          <a:endParaRPr lang="en-AU"/>
        </a:p>
      </dgm:t>
    </dgm:pt>
    <dgm:pt modelId="{62ED4593-2C7E-4208-AD3A-41CB12CC5FE2}" type="sibTrans" cxnId="{930C5BC4-408A-4B0E-9F44-99FF0C42EEEB}">
      <dgm:prSet/>
      <dgm:spPr/>
      <dgm:t>
        <a:bodyPr/>
        <a:lstStyle/>
        <a:p>
          <a:endParaRPr lang="en-AU"/>
        </a:p>
      </dgm:t>
    </dgm:pt>
    <dgm:pt modelId="{860B3C59-2A4F-48B8-A982-8FC97D4572B2}">
      <dgm:prSet/>
      <dgm:spPr/>
      <dgm:t>
        <a:bodyPr/>
        <a:lstStyle/>
        <a:p>
          <a:r>
            <a:rPr lang="en-AU"/>
            <a:t>Bacteria spread systemically in host plant</a:t>
          </a:r>
        </a:p>
      </dgm:t>
    </dgm:pt>
    <dgm:pt modelId="{C491523B-70C5-49FE-B07F-6C0A679164B1}" type="parTrans" cxnId="{40A6001D-9B6D-4034-BB7D-8DB90ADD2A60}">
      <dgm:prSet/>
      <dgm:spPr/>
      <dgm:t>
        <a:bodyPr/>
        <a:lstStyle/>
        <a:p>
          <a:endParaRPr lang="en-AU"/>
        </a:p>
      </dgm:t>
    </dgm:pt>
    <dgm:pt modelId="{77363920-82D0-4918-9C35-7E3578D83FD9}" type="sibTrans" cxnId="{40A6001D-9B6D-4034-BB7D-8DB90ADD2A60}">
      <dgm:prSet/>
      <dgm:spPr/>
      <dgm:t>
        <a:bodyPr/>
        <a:lstStyle/>
        <a:p>
          <a:endParaRPr lang="en-AU"/>
        </a:p>
      </dgm:t>
    </dgm:pt>
    <dgm:pt modelId="{66C87DF0-DF4E-4305-96CB-782704741146}">
      <dgm:prSet/>
      <dgm:spPr/>
      <dgm:t>
        <a:bodyPr/>
        <a:lstStyle/>
        <a:p>
          <a:r>
            <a:rPr lang="en-AU"/>
            <a:t>Symptoms develop  in host plant</a:t>
          </a:r>
        </a:p>
      </dgm:t>
    </dgm:pt>
    <dgm:pt modelId="{99EBDF3D-E6B6-479C-804E-F2ED92A039BE}" type="parTrans" cxnId="{17685512-50D7-4E4A-ADB9-5B58F30D2515}">
      <dgm:prSet/>
      <dgm:spPr/>
      <dgm:t>
        <a:bodyPr/>
        <a:lstStyle/>
        <a:p>
          <a:endParaRPr lang="en-AU"/>
        </a:p>
      </dgm:t>
    </dgm:pt>
    <dgm:pt modelId="{97DFB863-4465-4F70-AF02-CDBBB9656BA0}" type="sibTrans" cxnId="{17685512-50D7-4E4A-ADB9-5B58F30D2515}">
      <dgm:prSet/>
      <dgm:spPr/>
      <dgm:t>
        <a:bodyPr/>
        <a:lstStyle/>
        <a:p>
          <a:endParaRPr lang="en-AU"/>
        </a:p>
      </dgm:t>
    </dgm:pt>
    <dgm:pt modelId="{A5EE306E-CFE8-4BF1-9F49-D7C85DA8C4F4}" type="pres">
      <dgm:prSet presAssocID="{79404193-994E-405D-AF34-B86775C23415}" presName="diagram" presStyleCnt="0">
        <dgm:presLayoutVars>
          <dgm:dir/>
          <dgm:resizeHandles val="exact"/>
        </dgm:presLayoutVars>
      </dgm:prSet>
      <dgm:spPr/>
      <dgm:t>
        <a:bodyPr/>
        <a:lstStyle/>
        <a:p>
          <a:endParaRPr lang="en-AU"/>
        </a:p>
      </dgm:t>
    </dgm:pt>
    <dgm:pt modelId="{56B6A348-0A0E-4DC3-8E37-35B2E003F3D2}" type="pres">
      <dgm:prSet presAssocID="{46084EAA-A8DA-4C70-BC8B-FC439510F5DE}" presName="node" presStyleLbl="node1" presStyleIdx="0" presStyleCnt="7">
        <dgm:presLayoutVars>
          <dgm:bulletEnabled val="1"/>
        </dgm:presLayoutVars>
      </dgm:prSet>
      <dgm:spPr/>
      <dgm:t>
        <a:bodyPr/>
        <a:lstStyle/>
        <a:p>
          <a:endParaRPr lang="en-AU"/>
        </a:p>
      </dgm:t>
    </dgm:pt>
    <dgm:pt modelId="{44451CB5-B1D5-42BE-857B-85467E65B96E}" type="pres">
      <dgm:prSet presAssocID="{7FBFC801-087D-4227-80A2-19A2EA65FECB}" presName="sibTrans" presStyleLbl="sibTrans2D1" presStyleIdx="0" presStyleCnt="6"/>
      <dgm:spPr/>
      <dgm:t>
        <a:bodyPr/>
        <a:lstStyle/>
        <a:p>
          <a:endParaRPr lang="en-AU"/>
        </a:p>
      </dgm:t>
    </dgm:pt>
    <dgm:pt modelId="{C1A1CE1C-4CC7-475A-98B6-6091775730EC}" type="pres">
      <dgm:prSet presAssocID="{7FBFC801-087D-4227-80A2-19A2EA65FECB}" presName="connectorText" presStyleLbl="sibTrans2D1" presStyleIdx="0" presStyleCnt="6"/>
      <dgm:spPr/>
      <dgm:t>
        <a:bodyPr/>
        <a:lstStyle/>
        <a:p>
          <a:endParaRPr lang="en-AU"/>
        </a:p>
      </dgm:t>
    </dgm:pt>
    <dgm:pt modelId="{45A3BCBB-145A-47A2-B705-4923D0ADEB10}" type="pres">
      <dgm:prSet presAssocID="{B7CBC205-C701-4493-A6D6-903BF8F5EDDC}" presName="node" presStyleLbl="node1" presStyleIdx="1" presStyleCnt="7">
        <dgm:presLayoutVars>
          <dgm:bulletEnabled val="1"/>
        </dgm:presLayoutVars>
      </dgm:prSet>
      <dgm:spPr/>
      <dgm:t>
        <a:bodyPr/>
        <a:lstStyle/>
        <a:p>
          <a:endParaRPr lang="en-AU"/>
        </a:p>
      </dgm:t>
    </dgm:pt>
    <dgm:pt modelId="{B6602BD2-8177-490E-A8F9-6E5AA1CEF6BE}" type="pres">
      <dgm:prSet presAssocID="{3159EBB4-EE71-4633-9C49-B555E5FCABAF}" presName="sibTrans" presStyleLbl="sibTrans2D1" presStyleIdx="1" presStyleCnt="6"/>
      <dgm:spPr/>
      <dgm:t>
        <a:bodyPr/>
        <a:lstStyle/>
        <a:p>
          <a:endParaRPr lang="en-AU"/>
        </a:p>
      </dgm:t>
    </dgm:pt>
    <dgm:pt modelId="{B6875988-9BE8-4C1D-9E89-B44244627F7C}" type="pres">
      <dgm:prSet presAssocID="{3159EBB4-EE71-4633-9C49-B555E5FCABAF}" presName="connectorText" presStyleLbl="sibTrans2D1" presStyleIdx="1" presStyleCnt="6"/>
      <dgm:spPr/>
      <dgm:t>
        <a:bodyPr/>
        <a:lstStyle/>
        <a:p>
          <a:endParaRPr lang="en-AU"/>
        </a:p>
      </dgm:t>
    </dgm:pt>
    <dgm:pt modelId="{355AD377-75DE-4E30-A62A-7B1384705C91}" type="pres">
      <dgm:prSet presAssocID="{DB8D033D-73D2-4530-9A5C-408FDD85B12B}" presName="node" presStyleLbl="node1" presStyleIdx="2" presStyleCnt="7">
        <dgm:presLayoutVars>
          <dgm:bulletEnabled val="1"/>
        </dgm:presLayoutVars>
      </dgm:prSet>
      <dgm:spPr/>
      <dgm:t>
        <a:bodyPr/>
        <a:lstStyle/>
        <a:p>
          <a:endParaRPr lang="en-AU"/>
        </a:p>
      </dgm:t>
    </dgm:pt>
    <dgm:pt modelId="{5673C564-5F43-4347-8BAD-DB245CF1B39B}" type="pres">
      <dgm:prSet presAssocID="{ABB49127-EB9C-40BA-9550-8E21EC123623}" presName="sibTrans" presStyleLbl="sibTrans2D1" presStyleIdx="2" presStyleCnt="6"/>
      <dgm:spPr/>
      <dgm:t>
        <a:bodyPr/>
        <a:lstStyle/>
        <a:p>
          <a:endParaRPr lang="en-AU"/>
        </a:p>
      </dgm:t>
    </dgm:pt>
    <dgm:pt modelId="{9B514657-68EC-43E6-86E7-32F9F9C7214C}" type="pres">
      <dgm:prSet presAssocID="{ABB49127-EB9C-40BA-9550-8E21EC123623}" presName="connectorText" presStyleLbl="sibTrans2D1" presStyleIdx="2" presStyleCnt="6"/>
      <dgm:spPr/>
      <dgm:t>
        <a:bodyPr/>
        <a:lstStyle/>
        <a:p>
          <a:endParaRPr lang="en-AU"/>
        </a:p>
      </dgm:t>
    </dgm:pt>
    <dgm:pt modelId="{BD9107AA-4FC9-4D2D-95CE-B4607DFFC34D}" type="pres">
      <dgm:prSet presAssocID="{D88DC072-0C6F-4FA4-8461-9EF7B71F9F68}" presName="node" presStyleLbl="node1" presStyleIdx="3" presStyleCnt="7">
        <dgm:presLayoutVars>
          <dgm:bulletEnabled val="1"/>
        </dgm:presLayoutVars>
      </dgm:prSet>
      <dgm:spPr/>
      <dgm:t>
        <a:bodyPr/>
        <a:lstStyle/>
        <a:p>
          <a:endParaRPr lang="en-AU"/>
        </a:p>
      </dgm:t>
    </dgm:pt>
    <dgm:pt modelId="{BAB6A62C-2944-407F-A0CC-289F5F3D4506}" type="pres">
      <dgm:prSet presAssocID="{E511324F-D5B5-4768-B4A6-E5DD049C1D94}" presName="sibTrans" presStyleLbl="sibTrans2D1" presStyleIdx="3" presStyleCnt="6"/>
      <dgm:spPr/>
      <dgm:t>
        <a:bodyPr/>
        <a:lstStyle/>
        <a:p>
          <a:endParaRPr lang="en-AU"/>
        </a:p>
      </dgm:t>
    </dgm:pt>
    <dgm:pt modelId="{48D9F9AE-23EF-4AE5-88EB-7CC001F8F8DF}" type="pres">
      <dgm:prSet presAssocID="{E511324F-D5B5-4768-B4A6-E5DD049C1D94}" presName="connectorText" presStyleLbl="sibTrans2D1" presStyleIdx="3" presStyleCnt="6"/>
      <dgm:spPr/>
      <dgm:t>
        <a:bodyPr/>
        <a:lstStyle/>
        <a:p>
          <a:endParaRPr lang="en-AU"/>
        </a:p>
      </dgm:t>
    </dgm:pt>
    <dgm:pt modelId="{B3D73FFD-F8BB-44B7-BA74-2526C49043BB}" type="pres">
      <dgm:prSet presAssocID="{90C8A0EC-DC16-4C70-816B-2A435C9D2F69}" presName="node" presStyleLbl="node1" presStyleIdx="4" presStyleCnt="7">
        <dgm:presLayoutVars>
          <dgm:bulletEnabled val="1"/>
        </dgm:presLayoutVars>
      </dgm:prSet>
      <dgm:spPr/>
      <dgm:t>
        <a:bodyPr/>
        <a:lstStyle/>
        <a:p>
          <a:endParaRPr lang="en-AU"/>
        </a:p>
      </dgm:t>
    </dgm:pt>
    <dgm:pt modelId="{E4E1F3FF-B030-4613-B74C-8A8AD7E80590}" type="pres">
      <dgm:prSet presAssocID="{62ED4593-2C7E-4208-AD3A-41CB12CC5FE2}" presName="sibTrans" presStyleLbl="sibTrans2D1" presStyleIdx="4" presStyleCnt="6"/>
      <dgm:spPr/>
      <dgm:t>
        <a:bodyPr/>
        <a:lstStyle/>
        <a:p>
          <a:endParaRPr lang="en-AU"/>
        </a:p>
      </dgm:t>
    </dgm:pt>
    <dgm:pt modelId="{EE13E8B0-90EF-417B-8D1C-19572A59936C}" type="pres">
      <dgm:prSet presAssocID="{62ED4593-2C7E-4208-AD3A-41CB12CC5FE2}" presName="connectorText" presStyleLbl="sibTrans2D1" presStyleIdx="4" presStyleCnt="6"/>
      <dgm:spPr/>
      <dgm:t>
        <a:bodyPr/>
        <a:lstStyle/>
        <a:p>
          <a:endParaRPr lang="en-AU"/>
        </a:p>
      </dgm:t>
    </dgm:pt>
    <dgm:pt modelId="{EF5B9B6A-E65C-453A-A158-8A2D80A24B81}" type="pres">
      <dgm:prSet presAssocID="{860B3C59-2A4F-48B8-A982-8FC97D4572B2}" presName="node" presStyleLbl="node1" presStyleIdx="5" presStyleCnt="7">
        <dgm:presLayoutVars>
          <dgm:bulletEnabled val="1"/>
        </dgm:presLayoutVars>
      </dgm:prSet>
      <dgm:spPr/>
      <dgm:t>
        <a:bodyPr/>
        <a:lstStyle/>
        <a:p>
          <a:endParaRPr lang="en-AU"/>
        </a:p>
      </dgm:t>
    </dgm:pt>
    <dgm:pt modelId="{5C29177E-2CAF-49C3-BC05-2C66C746B8EE}" type="pres">
      <dgm:prSet presAssocID="{77363920-82D0-4918-9C35-7E3578D83FD9}" presName="sibTrans" presStyleLbl="sibTrans2D1" presStyleIdx="5" presStyleCnt="6"/>
      <dgm:spPr/>
      <dgm:t>
        <a:bodyPr/>
        <a:lstStyle/>
        <a:p>
          <a:endParaRPr lang="en-AU"/>
        </a:p>
      </dgm:t>
    </dgm:pt>
    <dgm:pt modelId="{2A19CB50-72D7-4BAC-8D72-7DC8AD1655C7}" type="pres">
      <dgm:prSet presAssocID="{77363920-82D0-4918-9C35-7E3578D83FD9}" presName="connectorText" presStyleLbl="sibTrans2D1" presStyleIdx="5" presStyleCnt="6"/>
      <dgm:spPr/>
      <dgm:t>
        <a:bodyPr/>
        <a:lstStyle/>
        <a:p>
          <a:endParaRPr lang="en-AU"/>
        </a:p>
      </dgm:t>
    </dgm:pt>
    <dgm:pt modelId="{050E05FC-86F2-4663-B271-7B3715EBAD99}" type="pres">
      <dgm:prSet presAssocID="{66C87DF0-DF4E-4305-96CB-782704741146}" presName="node" presStyleLbl="node1" presStyleIdx="6" presStyleCnt="7">
        <dgm:presLayoutVars>
          <dgm:bulletEnabled val="1"/>
        </dgm:presLayoutVars>
      </dgm:prSet>
      <dgm:spPr/>
      <dgm:t>
        <a:bodyPr/>
        <a:lstStyle/>
        <a:p>
          <a:endParaRPr lang="en-AU"/>
        </a:p>
      </dgm:t>
    </dgm:pt>
  </dgm:ptLst>
  <dgm:cxnLst>
    <dgm:cxn modelId="{C63BC9D9-5BD9-45EF-823F-4397C2F0B669}" type="presOf" srcId="{E511324F-D5B5-4768-B4A6-E5DD049C1D94}" destId="{BAB6A62C-2944-407F-A0CC-289F5F3D4506}" srcOrd="0" destOrd="0" presId="urn:microsoft.com/office/officeart/2005/8/layout/process5"/>
    <dgm:cxn modelId="{654614B0-9C3B-4DEA-A671-935FAC01C024}" type="presOf" srcId="{62ED4593-2C7E-4208-AD3A-41CB12CC5FE2}" destId="{E4E1F3FF-B030-4613-B74C-8A8AD7E80590}" srcOrd="0" destOrd="0" presId="urn:microsoft.com/office/officeart/2005/8/layout/process5"/>
    <dgm:cxn modelId="{636DADC8-AA1F-4F30-AD49-C29AF22978D9}" srcId="{79404193-994E-405D-AF34-B86775C23415}" destId="{D88DC072-0C6F-4FA4-8461-9EF7B71F9F68}" srcOrd="3" destOrd="0" parTransId="{8B376465-4970-48C5-BC8E-D301A3288D45}" sibTransId="{E511324F-D5B5-4768-B4A6-E5DD049C1D94}"/>
    <dgm:cxn modelId="{C220FF3B-8005-465A-82E8-C46A68221E0D}" type="presOf" srcId="{7FBFC801-087D-4227-80A2-19A2EA65FECB}" destId="{C1A1CE1C-4CC7-475A-98B6-6091775730EC}" srcOrd="1" destOrd="0" presId="urn:microsoft.com/office/officeart/2005/8/layout/process5"/>
    <dgm:cxn modelId="{A6A7157E-9AF1-4F02-AF3E-EB0EA1B7E550}" srcId="{79404193-994E-405D-AF34-B86775C23415}" destId="{B7CBC205-C701-4493-A6D6-903BF8F5EDDC}" srcOrd="1" destOrd="0" parTransId="{F80197A0-A162-4D15-8B4E-10DFBA385E4F}" sibTransId="{3159EBB4-EE71-4633-9C49-B555E5FCABAF}"/>
    <dgm:cxn modelId="{2B22A726-9F91-4B39-B032-4162D0FC6607}" type="presOf" srcId="{3159EBB4-EE71-4633-9C49-B555E5FCABAF}" destId="{B6875988-9BE8-4C1D-9E89-B44244627F7C}" srcOrd="1" destOrd="0" presId="urn:microsoft.com/office/officeart/2005/8/layout/process5"/>
    <dgm:cxn modelId="{15902881-D626-4602-861C-E1BF419FC755}" srcId="{79404193-994E-405D-AF34-B86775C23415}" destId="{46084EAA-A8DA-4C70-BC8B-FC439510F5DE}" srcOrd="0" destOrd="0" parTransId="{1220263D-A325-4869-84EC-EFE4C695812F}" sibTransId="{7FBFC801-087D-4227-80A2-19A2EA65FECB}"/>
    <dgm:cxn modelId="{E11464DD-EC35-425D-A15A-B61609F339FD}" type="presOf" srcId="{ABB49127-EB9C-40BA-9550-8E21EC123623}" destId="{9B514657-68EC-43E6-86E7-32F9F9C7214C}" srcOrd="1" destOrd="0" presId="urn:microsoft.com/office/officeart/2005/8/layout/process5"/>
    <dgm:cxn modelId="{4210458D-2686-4063-B624-8CBBE3AAF4C9}" type="presOf" srcId="{90C8A0EC-DC16-4C70-816B-2A435C9D2F69}" destId="{B3D73FFD-F8BB-44B7-BA74-2526C49043BB}" srcOrd="0" destOrd="0" presId="urn:microsoft.com/office/officeart/2005/8/layout/process5"/>
    <dgm:cxn modelId="{1305E161-F894-46D6-968B-8BF2F549A6EE}" type="presOf" srcId="{77363920-82D0-4918-9C35-7E3578D83FD9}" destId="{2A19CB50-72D7-4BAC-8D72-7DC8AD1655C7}" srcOrd="1" destOrd="0" presId="urn:microsoft.com/office/officeart/2005/8/layout/process5"/>
    <dgm:cxn modelId="{3BAD9692-B08B-4116-A46D-64A45054B1E0}" type="presOf" srcId="{7FBFC801-087D-4227-80A2-19A2EA65FECB}" destId="{44451CB5-B1D5-42BE-857B-85467E65B96E}" srcOrd="0" destOrd="0" presId="urn:microsoft.com/office/officeart/2005/8/layout/process5"/>
    <dgm:cxn modelId="{B3EA94BD-28B0-4A61-BE71-D660F3083EA7}" type="presOf" srcId="{77363920-82D0-4918-9C35-7E3578D83FD9}" destId="{5C29177E-2CAF-49C3-BC05-2C66C746B8EE}" srcOrd="0" destOrd="0" presId="urn:microsoft.com/office/officeart/2005/8/layout/process5"/>
    <dgm:cxn modelId="{8050157C-C56C-4D8F-B039-A10763EF965C}" srcId="{79404193-994E-405D-AF34-B86775C23415}" destId="{DB8D033D-73D2-4530-9A5C-408FDD85B12B}" srcOrd="2" destOrd="0" parTransId="{E9D18791-81F0-4008-8F6B-74ACCDC2BF7B}" sibTransId="{ABB49127-EB9C-40BA-9550-8E21EC123623}"/>
    <dgm:cxn modelId="{D45358AD-A9CE-4530-A1E7-48B6E8C99D01}" type="presOf" srcId="{3159EBB4-EE71-4633-9C49-B555E5FCABAF}" destId="{B6602BD2-8177-490E-A8F9-6E5AA1CEF6BE}" srcOrd="0" destOrd="0" presId="urn:microsoft.com/office/officeart/2005/8/layout/process5"/>
    <dgm:cxn modelId="{0CAB0139-573E-4DE5-80E6-C3D2D0FC73CD}" type="presOf" srcId="{79404193-994E-405D-AF34-B86775C23415}" destId="{A5EE306E-CFE8-4BF1-9F49-D7C85DA8C4F4}" srcOrd="0" destOrd="0" presId="urn:microsoft.com/office/officeart/2005/8/layout/process5"/>
    <dgm:cxn modelId="{E9016615-E4D7-4372-9EE4-91AB320BBB80}" type="presOf" srcId="{B7CBC205-C701-4493-A6D6-903BF8F5EDDC}" destId="{45A3BCBB-145A-47A2-B705-4923D0ADEB10}" srcOrd="0" destOrd="0" presId="urn:microsoft.com/office/officeart/2005/8/layout/process5"/>
    <dgm:cxn modelId="{930C5BC4-408A-4B0E-9F44-99FF0C42EEEB}" srcId="{79404193-994E-405D-AF34-B86775C23415}" destId="{90C8A0EC-DC16-4C70-816B-2A435C9D2F69}" srcOrd="4" destOrd="0" parTransId="{199C80C9-3F55-4D10-8D42-F5BB02425051}" sibTransId="{62ED4593-2C7E-4208-AD3A-41CB12CC5FE2}"/>
    <dgm:cxn modelId="{0227961A-09EA-4D0B-8B55-C3796FF6A594}" type="presOf" srcId="{D88DC072-0C6F-4FA4-8461-9EF7B71F9F68}" destId="{BD9107AA-4FC9-4D2D-95CE-B4607DFFC34D}" srcOrd="0" destOrd="0" presId="urn:microsoft.com/office/officeart/2005/8/layout/process5"/>
    <dgm:cxn modelId="{48C7A29C-54CF-44AE-B243-8AC9E77A13FF}" type="presOf" srcId="{DB8D033D-73D2-4530-9A5C-408FDD85B12B}" destId="{355AD377-75DE-4E30-A62A-7B1384705C91}" srcOrd="0" destOrd="0" presId="urn:microsoft.com/office/officeart/2005/8/layout/process5"/>
    <dgm:cxn modelId="{9D5D9EC1-868F-47B6-8845-598BB6759205}" type="presOf" srcId="{62ED4593-2C7E-4208-AD3A-41CB12CC5FE2}" destId="{EE13E8B0-90EF-417B-8D1C-19572A59936C}" srcOrd="1" destOrd="0" presId="urn:microsoft.com/office/officeart/2005/8/layout/process5"/>
    <dgm:cxn modelId="{8801C8F3-317F-44F5-8807-264D4C0EAE70}" type="presOf" srcId="{46084EAA-A8DA-4C70-BC8B-FC439510F5DE}" destId="{56B6A348-0A0E-4DC3-8E37-35B2E003F3D2}" srcOrd="0" destOrd="0" presId="urn:microsoft.com/office/officeart/2005/8/layout/process5"/>
    <dgm:cxn modelId="{40A6001D-9B6D-4034-BB7D-8DB90ADD2A60}" srcId="{79404193-994E-405D-AF34-B86775C23415}" destId="{860B3C59-2A4F-48B8-A982-8FC97D4572B2}" srcOrd="5" destOrd="0" parTransId="{C491523B-70C5-49FE-B07F-6C0A679164B1}" sibTransId="{77363920-82D0-4918-9C35-7E3578D83FD9}"/>
    <dgm:cxn modelId="{6FC1D397-30FB-4CA7-837B-2E97DFE89C5C}" type="presOf" srcId="{E511324F-D5B5-4768-B4A6-E5DD049C1D94}" destId="{48D9F9AE-23EF-4AE5-88EB-7CC001F8F8DF}" srcOrd="1" destOrd="0" presId="urn:microsoft.com/office/officeart/2005/8/layout/process5"/>
    <dgm:cxn modelId="{5B9C1676-3150-4127-84FC-154AA602A808}" type="presOf" srcId="{860B3C59-2A4F-48B8-A982-8FC97D4572B2}" destId="{EF5B9B6A-E65C-453A-A158-8A2D80A24B81}" srcOrd="0" destOrd="0" presId="urn:microsoft.com/office/officeart/2005/8/layout/process5"/>
    <dgm:cxn modelId="{17685512-50D7-4E4A-ADB9-5B58F30D2515}" srcId="{79404193-994E-405D-AF34-B86775C23415}" destId="{66C87DF0-DF4E-4305-96CB-782704741146}" srcOrd="6" destOrd="0" parTransId="{99EBDF3D-E6B6-479C-804E-F2ED92A039BE}" sibTransId="{97DFB863-4465-4F70-AF02-CDBBB9656BA0}"/>
    <dgm:cxn modelId="{77C25FD3-4D63-445A-B6F2-3671254B0C7A}" type="presOf" srcId="{ABB49127-EB9C-40BA-9550-8E21EC123623}" destId="{5673C564-5F43-4347-8BAD-DB245CF1B39B}" srcOrd="0" destOrd="0" presId="urn:microsoft.com/office/officeart/2005/8/layout/process5"/>
    <dgm:cxn modelId="{7D91618B-B078-4514-9220-439660CA4A05}" type="presOf" srcId="{66C87DF0-DF4E-4305-96CB-782704741146}" destId="{050E05FC-86F2-4663-B271-7B3715EBAD99}" srcOrd="0" destOrd="0" presId="urn:microsoft.com/office/officeart/2005/8/layout/process5"/>
    <dgm:cxn modelId="{E369933C-509C-41BB-AA4C-717E9093E5DE}" type="presParOf" srcId="{A5EE306E-CFE8-4BF1-9F49-D7C85DA8C4F4}" destId="{56B6A348-0A0E-4DC3-8E37-35B2E003F3D2}" srcOrd="0" destOrd="0" presId="urn:microsoft.com/office/officeart/2005/8/layout/process5"/>
    <dgm:cxn modelId="{3C6D47AA-ABC7-40F7-8CF6-1DA1653CAE04}" type="presParOf" srcId="{A5EE306E-CFE8-4BF1-9F49-D7C85DA8C4F4}" destId="{44451CB5-B1D5-42BE-857B-85467E65B96E}" srcOrd="1" destOrd="0" presId="urn:microsoft.com/office/officeart/2005/8/layout/process5"/>
    <dgm:cxn modelId="{18F4503D-19EF-4F3E-8DAB-706A90F3E216}" type="presParOf" srcId="{44451CB5-B1D5-42BE-857B-85467E65B96E}" destId="{C1A1CE1C-4CC7-475A-98B6-6091775730EC}" srcOrd="0" destOrd="0" presId="urn:microsoft.com/office/officeart/2005/8/layout/process5"/>
    <dgm:cxn modelId="{2AC90E0A-D3A6-49A0-823D-AF68BB9B6E1E}" type="presParOf" srcId="{A5EE306E-CFE8-4BF1-9F49-D7C85DA8C4F4}" destId="{45A3BCBB-145A-47A2-B705-4923D0ADEB10}" srcOrd="2" destOrd="0" presId="urn:microsoft.com/office/officeart/2005/8/layout/process5"/>
    <dgm:cxn modelId="{003E2176-F499-4D6F-B24F-65E80C3098A4}" type="presParOf" srcId="{A5EE306E-CFE8-4BF1-9F49-D7C85DA8C4F4}" destId="{B6602BD2-8177-490E-A8F9-6E5AA1CEF6BE}" srcOrd="3" destOrd="0" presId="urn:microsoft.com/office/officeart/2005/8/layout/process5"/>
    <dgm:cxn modelId="{1C6961B8-248F-4DA7-9660-B3F1B1E359D2}" type="presParOf" srcId="{B6602BD2-8177-490E-A8F9-6E5AA1CEF6BE}" destId="{B6875988-9BE8-4C1D-9E89-B44244627F7C}" srcOrd="0" destOrd="0" presId="urn:microsoft.com/office/officeart/2005/8/layout/process5"/>
    <dgm:cxn modelId="{99C34F1B-CCF9-48B4-B732-432A5A1C3383}" type="presParOf" srcId="{A5EE306E-CFE8-4BF1-9F49-D7C85DA8C4F4}" destId="{355AD377-75DE-4E30-A62A-7B1384705C91}" srcOrd="4" destOrd="0" presId="urn:microsoft.com/office/officeart/2005/8/layout/process5"/>
    <dgm:cxn modelId="{89B4EB76-73A9-4947-880A-8834FC26FCAE}" type="presParOf" srcId="{A5EE306E-CFE8-4BF1-9F49-D7C85DA8C4F4}" destId="{5673C564-5F43-4347-8BAD-DB245CF1B39B}" srcOrd="5" destOrd="0" presId="urn:microsoft.com/office/officeart/2005/8/layout/process5"/>
    <dgm:cxn modelId="{74371E08-23B4-4499-ACF7-3C4516D5B732}" type="presParOf" srcId="{5673C564-5F43-4347-8BAD-DB245CF1B39B}" destId="{9B514657-68EC-43E6-86E7-32F9F9C7214C}" srcOrd="0" destOrd="0" presId="urn:microsoft.com/office/officeart/2005/8/layout/process5"/>
    <dgm:cxn modelId="{0E8BD028-8117-44F7-BF7D-309ED5981F69}" type="presParOf" srcId="{A5EE306E-CFE8-4BF1-9F49-D7C85DA8C4F4}" destId="{BD9107AA-4FC9-4D2D-95CE-B4607DFFC34D}" srcOrd="6" destOrd="0" presId="urn:microsoft.com/office/officeart/2005/8/layout/process5"/>
    <dgm:cxn modelId="{72416249-309B-467C-B85B-E730C81A8F26}" type="presParOf" srcId="{A5EE306E-CFE8-4BF1-9F49-D7C85DA8C4F4}" destId="{BAB6A62C-2944-407F-A0CC-289F5F3D4506}" srcOrd="7" destOrd="0" presId="urn:microsoft.com/office/officeart/2005/8/layout/process5"/>
    <dgm:cxn modelId="{E98A67FE-912D-440A-8516-8E694916E1CC}" type="presParOf" srcId="{BAB6A62C-2944-407F-A0CC-289F5F3D4506}" destId="{48D9F9AE-23EF-4AE5-88EB-7CC001F8F8DF}" srcOrd="0" destOrd="0" presId="urn:microsoft.com/office/officeart/2005/8/layout/process5"/>
    <dgm:cxn modelId="{764DE944-1C5B-4FA1-8199-13F07DAD6332}" type="presParOf" srcId="{A5EE306E-CFE8-4BF1-9F49-D7C85DA8C4F4}" destId="{B3D73FFD-F8BB-44B7-BA74-2526C49043BB}" srcOrd="8" destOrd="0" presId="urn:microsoft.com/office/officeart/2005/8/layout/process5"/>
    <dgm:cxn modelId="{141F7E53-30B1-424E-BC0E-A138982CB831}" type="presParOf" srcId="{A5EE306E-CFE8-4BF1-9F49-D7C85DA8C4F4}" destId="{E4E1F3FF-B030-4613-B74C-8A8AD7E80590}" srcOrd="9" destOrd="0" presId="urn:microsoft.com/office/officeart/2005/8/layout/process5"/>
    <dgm:cxn modelId="{BDF8A5B1-3A4D-46A2-9F55-3DD5E6F713BD}" type="presParOf" srcId="{E4E1F3FF-B030-4613-B74C-8A8AD7E80590}" destId="{EE13E8B0-90EF-417B-8D1C-19572A59936C}" srcOrd="0" destOrd="0" presId="urn:microsoft.com/office/officeart/2005/8/layout/process5"/>
    <dgm:cxn modelId="{DDCC6720-C920-429D-8685-1D1C7B1007D9}" type="presParOf" srcId="{A5EE306E-CFE8-4BF1-9F49-D7C85DA8C4F4}" destId="{EF5B9B6A-E65C-453A-A158-8A2D80A24B81}" srcOrd="10" destOrd="0" presId="urn:microsoft.com/office/officeart/2005/8/layout/process5"/>
    <dgm:cxn modelId="{4F659412-93CC-4597-A6CF-DA9084342FF3}" type="presParOf" srcId="{A5EE306E-CFE8-4BF1-9F49-D7C85DA8C4F4}" destId="{5C29177E-2CAF-49C3-BC05-2C66C746B8EE}" srcOrd="11" destOrd="0" presId="urn:microsoft.com/office/officeart/2005/8/layout/process5"/>
    <dgm:cxn modelId="{B483B1B1-8421-4E63-AC7A-B3E058ED7AE7}" type="presParOf" srcId="{5C29177E-2CAF-49C3-BC05-2C66C746B8EE}" destId="{2A19CB50-72D7-4BAC-8D72-7DC8AD1655C7}" srcOrd="0" destOrd="0" presId="urn:microsoft.com/office/officeart/2005/8/layout/process5"/>
    <dgm:cxn modelId="{F1BD9EA7-4A2A-40E2-B6CA-3222692EEC63}" type="presParOf" srcId="{A5EE306E-CFE8-4BF1-9F49-D7C85DA8C4F4}" destId="{050E05FC-86F2-4663-B271-7B3715EBAD99}" srcOrd="12" destOrd="0" presId="urn:microsoft.com/office/officeart/2005/8/layout/process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B6A348-0A0E-4DC3-8E37-35B2E003F3D2}">
      <dsp:nvSpPr>
        <dsp:cNvPr id="0" name=""/>
        <dsp:cNvSpPr/>
      </dsp:nvSpPr>
      <dsp:spPr>
        <a:xfrm>
          <a:off x="397245" y="1051"/>
          <a:ext cx="1245861" cy="7475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Psyllid feeds on infected host plant (phloem tissue) </a:t>
          </a:r>
        </a:p>
      </dsp:txBody>
      <dsp:txXfrm>
        <a:off x="419139" y="22945"/>
        <a:ext cx="1202073" cy="703729"/>
      </dsp:txXfrm>
    </dsp:sp>
    <dsp:sp modelId="{44451CB5-B1D5-42BE-857B-85467E65B96E}">
      <dsp:nvSpPr>
        <dsp:cNvPr id="0" name=""/>
        <dsp:cNvSpPr/>
      </dsp:nvSpPr>
      <dsp:spPr>
        <a:xfrm>
          <a:off x="1752742" y="220322"/>
          <a:ext cx="264122" cy="3089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AU" sz="900" kern="1200"/>
        </a:p>
      </dsp:txBody>
      <dsp:txXfrm>
        <a:off x="1752742" y="282117"/>
        <a:ext cx="184885" cy="185383"/>
      </dsp:txXfrm>
    </dsp:sp>
    <dsp:sp modelId="{45A3BCBB-145A-47A2-B705-4923D0ADEB10}">
      <dsp:nvSpPr>
        <dsp:cNvPr id="0" name=""/>
        <dsp:cNvSpPr/>
      </dsp:nvSpPr>
      <dsp:spPr>
        <a:xfrm>
          <a:off x="2141451" y="1051"/>
          <a:ext cx="1245861" cy="7475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Psyllid acquires bacterium</a:t>
          </a:r>
        </a:p>
      </dsp:txBody>
      <dsp:txXfrm>
        <a:off x="2163345" y="22945"/>
        <a:ext cx="1202073" cy="703729"/>
      </dsp:txXfrm>
    </dsp:sp>
    <dsp:sp modelId="{B6602BD2-8177-490E-A8F9-6E5AA1CEF6BE}">
      <dsp:nvSpPr>
        <dsp:cNvPr id="0" name=""/>
        <dsp:cNvSpPr/>
      </dsp:nvSpPr>
      <dsp:spPr>
        <a:xfrm>
          <a:off x="3496949" y="220322"/>
          <a:ext cx="264122" cy="3089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AU" sz="900" kern="1200"/>
        </a:p>
      </dsp:txBody>
      <dsp:txXfrm>
        <a:off x="3496949" y="282117"/>
        <a:ext cx="184885" cy="185383"/>
      </dsp:txXfrm>
    </dsp:sp>
    <dsp:sp modelId="{355AD377-75DE-4E30-A62A-7B1384705C91}">
      <dsp:nvSpPr>
        <dsp:cNvPr id="0" name=""/>
        <dsp:cNvSpPr/>
      </dsp:nvSpPr>
      <dsp:spPr>
        <a:xfrm>
          <a:off x="3885658" y="1051"/>
          <a:ext cx="1245861" cy="7475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Bacterium multiplies in the psyllid</a:t>
          </a:r>
        </a:p>
      </dsp:txBody>
      <dsp:txXfrm>
        <a:off x="3907552" y="22945"/>
        <a:ext cx="1202073" cy="703729"/>
      </dsp:txXfrm>
    </dsp:sp>
    <dsp:sp modelId="{5673C564-5F43-4347-8BAD-DB245CF1B39B}">
      <dsp:nvSpPr>
        <dsp:cNvPr id="0" name=""/>
        <dsp:cNvSpPr/>
      </dsp:nvSpPr>
      <dsp:spPr>
        <a:xfrm rot="5400000">
          <a:off x="4376527" y="835778"/>
          <a:ext cx="264122" cy="3089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AU" sz="900" kern="1200"/>
        </a:p>
      </dsp:txBody>
      <dsp:txXfrm rot="-5400000">
        <a:off x="4415897" y="858204"/>
        <a:ext cx="185383" cy="184885"/>
      </dsp:txXfrm>
    </dsp:sp>
    <dsp:sp modelId="{BD9107AA-4FC9-4D2D-95CE-B4607DFFC34D}">
      <dsp:nvSpPr>
        <dsp:cNvPr id="0" name=""/>
        <dsp:cNvSpPr/>
      </dsp:nvSpPr>
      <dsp:spPr>
        <a:xfrm>
          <a:off x="3885658" y="1246912"/>
          <a:ext cx="1245861" cy="7475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Psyllid feeds on healthy host plant (prefers new flush)</a:t>
          </a:r>
        </a:p>
      </dsp:txBody>
      <dsp:txXfrm>
        <a:off x="3907552" y="1268806"/>
        <a:ext cx="1202073" cy="703729"/>
      </dsp:txXfrm>
    </dsp:sp>
    <dsp:sp modelId="{BAB6A62C-2944-407F-A0CC-289F5F3D4506}">
      <dsp:nvSpPr>
        <dsp:cNvPr id="0" name=""/>
        <dsp:cNvSpPr/>
      </dsp:nvSpPr>
      <dsp:spPr>
        <a:xfrm rot="10800000">
          <a:off x="3511899" y="1466184"/>
          <a:ext cx="264122" cy="3089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AU" sz="900" kern="1200"/>
        </a:p>
      </dsp:txBody>
      <dsp:txXfrm rot="10800000">
        <a:off x="3591136" y="1527979"/>
        <a:ext cx="184885" cy="185383"/>
      </dsp:txXfrm>
    </dsp:sp>
    <dsp:sp modelId="{B3D73FFD-F8BB-44B7-BA74-2526C49043BB}">
      <dsp:nvSpPr>
        <dsp:cNvPr id="0" name=""/>
        <dsp:cNvSpPr/>
      </dsp:nvSpPr>
      <dsp:spPr>
        <a:xfrm>
          <a:off x="2141451" y="1246912"/>
          <a:ext cx="1245861" cy="7475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Feeding process transmits bacterium to host plant</a:t>
          </a:r>
        </a:p>
      </dsp:txBody>
      <dsp:txXfrm>
        <a:off x="2163345" y="1268806"/>
        <a:ext cx="1202073" cy="703729"/>
      </dsp:txXfrm>
    </dsp:sp>
    <dsp:sp modelId="{E4E1F3FF-B030-4613-B74C-8A8AD7E80590}">
      <dsp:nvSpPr>
        <dsp:cNvPr id="0" name=""/>
        <dsp:cNvSpPr/>
      </dsp:nvSpPr>
      <dsp:spPr>
        <a:xfrm rot="10800000">
          <a:off x="1767693" y="1466184"/>
          <a:ext cx="264122" cy="3089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AU" sz="900" kern="1200"/>
        </a:p>
      </dsp:txBody>
      <dsp:txXfrm rot="10800000">
        <a:off x="1846930" y="1527979"/>
        <a:ext cx="184885" cy="185383"/>
      </dsp:txXfrm>
    </dsp:sp>
    <dsp:sp modelId="{EF5B9B6A-E65C-453A-A158-8A2D80A24B81}">
      <dsp:nvSpPr>
        <dsp:cNvPr id="0" name=""/>
        <dsp:cNvSpPr/>
      </dsp:nvSpPr>
      <dsp:spPr>
        <a:xfrm>
          <a:off x="397245" y="1246912"/>
          <a:ext cx="1245861" cy="7475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Bacteria spread systemically in host plant</a:t>
          </a:r>
        </a:p>
      </dsp:txBody>
      <dsp:txXfrm>
        <a:off x="419139" y="1268806"/>
        <a:ext cx="1202073" cy="703729"/>
      </dsp:txXfrm>
    </dsp:sp>
    <dsp:sp modelId="{5C29177E-2CAF-49C3-BC05-2C66C746B8EE}">
      <dsp:nvSpPr>
        <dsp:cNvPr id="0" name=""/>
        <dsp:cNvSpPr/>
      </dsp:nvSpPr>
      <dsp:spPr>
        <a:xfrm rot="5400000">
          <a:off x="888114" y="2081640"/>
          <a:ext cx="264122" cy="3089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AU" sz="900" kern="1200"/>
        </a:p>
      </dsp:txBody>
      <dsp:txXfrm rot="-5400000">
        <a:off x="927484" y="2104066"/>
        <a:ext cx="185383" cy="184885"/>
      </dsp:txXfrm>
    </dsp:sp>
    <dsp:sp modelId="{050E05FC-86F2-4663-B271-7B3715EBAD99}">
      <dsp:nvSpPr>
        <dsp:cNvPr id="0" name=""/>
        <dsp:cNvSpPr/>
      </dsp:nvSpPr>
      <dsp:spPr>
        <a:xfrm>
          <a:off x="397245" y="2492774"/>
          <a:ext cx="1245861" cy="7475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Symptoms develop  in host plant</a:t>
          </a:r>
        </a:p>
      </dsp:txBody>
      <dsp:txXfrm>
        <a:off x="419139" y="2514668"/>
        <a:ext cx="1202073" cy="70372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264666C6-3332-4A2C-9ABF-BF00D58367AA}"/>
</file>

<file path=customXml/itemProps2.xml><?xml version="1.0" encoding="utf-8"?>
<ds:datastoreItem xmlns:ds="http://schemas.openxmlformats.org/officeDocument/2006/customXml" ds:itemID="{EFA544A7-7008-476D-9D9A-3A4A3944FC99}"/>
</file>

<file path=customXml/itemProps3.xml><?xml version="1.0" encoding="utf-8"?>
<ds:datastoreItem xmlns:ds="http://schemas.openxmlformats.org/officeDocument/2006/customXml" ds:itemID="{F12A405A-A6FE-4430-B33E-F45DF077EA8C}"/>
</file>

<file path=customXml/itemProps4.xml><?xml version="1.0" encoding="utf-8"?>
<ds:datastoreItem xmlns:ds="http://schemas.openxmlformats.org/officeDocument/2006/customXml" ds:itemID="{E3B865F1-1F17-4A30-A6CD-B4065DECDD15}"/>
</file>

<file path=docProps/app.xml><?xml version="1.0" encoding="utf-8"?>
<Properties xmlns="http://schemas.openxmlformats.org/officeDocument/2006/extended-properties" xmlns:vt="http://schemas.openxmlformats.org/officeDocument/2006/docPropsVTypes">
  <Template>Normal</Template>
  <TotalTime>0</TotalTime>
  <Pages>83</Pages>
  <Words>40315</Words>
  <Characters>229800</Characters>
  <Application>Microsoft Office Word</Application>
  <DocSecurity>0</DocSecurity>
  <Lines>1915</Lines>
  <Paragraphs>539</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269576</CharactersWithSpaces>
  <SharedDoc>false</SharedDoc>
  <HyperlinkBase>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2014-06-10T23:50:00Z</cp:lastPrinted>
  <dcterms:created xsi:type="dcterms:W3CDTF">2015-12-09T03:17:00Z</dcterms:created>
  <dcterms:modified xsi:type="dcterms:W3CDTF">2015-12-09T03:18:00Z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