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AE60DA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nOVEMBER 2017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115,312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128,283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162,848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97,227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47,797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5,107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566,043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6,970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137,800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2,110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144,770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79,230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27,153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89,042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30,142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2,505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237,164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251,001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136,669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136,740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2,562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311,635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261,202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8,925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1,098,099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374,413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212,862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126,001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270,342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266,265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6,883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11,976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1,258,851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191,061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120,748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4,026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413,885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37,580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48,609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18,738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5,239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9,124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835,860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137,726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74,209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50,931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586</w:t>
            </w:r>
            <w:bookmarkStart w:id="0" w:name="_GoBack"/>
            <w:bookmarkEnd w:id="0"/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53,627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17,469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4,203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340,407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131,900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78,596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46,265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28,432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3,662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305,438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4,287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4,056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17,276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47,576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24,400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30,250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12,841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6,276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122,617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32,518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165,947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22,592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14,972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3,013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256,615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13,664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12,060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14,189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20,930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24,243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3,111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987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88,197</w:t>
            </w:r>
          </w:p>
        </w:tc>
      </w:tr>
      <w:tr w:rsidR="00AE60DA" w:rsidTr="00AE60DA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1,802</w:t>
            </w:r>
          </w:p>
        </w:tc>
      </w:tr>
      <w:tr w:rsidR="00AE60DA" w:rsidTr="00AE60DA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AE60DA" w:rsidRDefault="00AE60DA" w:rsidP="00AE60D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60DA" w:rsidRDefault="00AE60DA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AE60DA" w:rsidRDefault="00AE60DA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14,601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1,384,921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11,464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986,409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12,398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1,199,394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8,505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899,617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5,391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719,863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73,183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9,752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53,339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AE60DA" w:rsidRDefault="00AE60DA" w:rsidP="00AE60DA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5,273,139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AE60DA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AE60DA">
        <w:rPr>
          <w:rFonts w:asciiTheme="minorHAnsi" w:hAnsiTheme="minorHAnsi" w:cstheme="minorHAnsi"/>
          <w:i/>
          <w:sz w:val="18"/>
          <w:szCs w:val="18"/>
        </w:rPr>
        <w:t xml:space="preserve">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AE60DA">
        <w:rPr>
          <w:rFonts w:asciiTheme="minorHAnsi" w:hAnsiTheme="minorHAnsi" w:cstheme="minorHAnsi"/>
          <w:i/>
          <w:sz w:val="18"/>
          <w:szCs w:val="18"/>
        </w:rPr>
        <w:t xml:space="preserve">Queensland, South Australian,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965C9"/>
    <w:rsid w:val="001E0EEC"/>
    <w:rsid w:val="002539BA"/>
    <w:rsid w:val="002B3381"/>
    <w:rsid w:val="002F7136"/>
    <w:rsid w:val="0058350E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AE60DA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9078CAE-40FF-44FC-9796-BF59AA9701D1}"/>
</file>

<file path=customXml/itemProps2.xml><?xml version="1.0" encoding="utf-8"?>
<ds:datastoreItem xmlns:ds="http://schemas.openxmlformats.org/officeDocument/2006/customXml" ds:itemID="{7B873142-25A3-482C-8482-0BF43A91A844}"/>
</file>

<file path=customXml/itemProps3.xml><?xml version="1.0" encoding="utf-8"?>
<ds:datastoreItem xmlns:ds="http://schemas.openxmlformats.org/officeDocument/2006/customXml" ds:itemID="{99A24399-C2AD-48B6-ACAD-F846B4F432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2884</Characters>
  <Application>Microsoft Office Word</Application>
  <DocSecurity>0</DocSecurity>
  <Lines>310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2019-06-21T01:17:00Z</dcterms:created>
  <dcterms:modified xsi:type="dcterms:W3CDTF">2019-06-21T01:18:00Z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