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0C6310" w:rsidRDefault="000C6310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march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78,750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98,532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116,817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69,576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38,126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12,637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4,092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415,928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4,130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101,839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105,969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42,148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28,947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49,728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19,006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6,354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1,919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148,497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143,768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133,644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60,554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225,521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176,520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7,682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740,933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242,762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195,840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76,369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2,189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199,259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203,080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10,330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924,928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81,609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63,472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202,001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16,862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20,466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5,315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396,189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69,511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45,909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29,508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34,781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11,508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2,982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196,293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62,671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54,708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29,631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19,994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2,779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182,228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3,384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11,921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30,400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18,166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25,141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88,992</w:t>
            </w:r>
          </w:p>
        </w:tc>
      </w:tr>
      <w:tr w:rsidR="000C631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28,762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175,930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3,372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256,610</w:t>
            </w:r>
          </w:p>
        </w:tc>
      </w:tr>
      <w:tr w:rsidR="000C6310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12,894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11,420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12,753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11,877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68,084</w:t>
            </w:r>
          </w:p>
        </w:tc>
      </w:tr>
      <w:tr w:rsidR="000C6310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1,743</w:t>
            </w:r>
          </w:p>
        </w:tc>
      </w:tr>
      <w:tr w:rsidR="000C6310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0C6310" w:rsidRDefault="000C6310" w:rsidP="000C63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6310" w:rsidRDefault="000C6310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0C6310" w:rsidRDefault="000C6310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10,738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800,396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11,159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829,649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7,806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707,244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635,604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4,243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503,682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57,470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42,130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0C6310" w:rsidRDefault="000C6310" w:rsidP="000C631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3,538,315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0C6310">
        <w:rPr>
          <w:rFonts w:asciiTheme="minorHAnsi" w:hAnsiTheme="minorHAnsi" w:cstheme="minorHAnsi"/>
          <w:i/>
          <w:sz w:val="18"/>
          <w:szCs w:val="18"/>
        </w:rPr>
        <w:t xml:space="preserve">, grain, sheep, </w:t>
      </w:r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0C6310">
        <w:rPr>
          <w:rFonts w:asciiTheme="minorHAnsi" w:hAnsiTheme="minorHAnsi" w:cstheme="minorHAnsi"/>
          <w:i/>
          <w:sz w:val="18"/>
          <w:szCs w:val="18"/>
        </w:rPr>
        <w:t xml:space="preserve">and dairy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0C6310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E6014E-2621-49E3-8762-B55A3582A881}"/>
</file>

<file path=customXml/itemProps2.xml><?xml version="1.0" encoding="utf-8"?>
<ds:datastoreItem xmlns:ds="http://schemas.openxmlformats.org/officeDocument/2006/customXml" ds:itemID="{4AAD0C2A-BC0C-4DD9-9650-58BD3C3BADE7}"/>
</file>

<file path=customXml/itemProps3.xml><?xml version="1.0" encoding="utf-8"?>
<ds:datastoreItem xmlns:ds="http://schemas.openxmlformats.org/officeDocument/2006/customXml" ds:itemID="{5ACD7B8A-7029-465A-B843-FFC650B75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2016-03-04T03:29:00Z</dcterms:created>
  <dcterms:modified xsi:type="dcterms:W3CDTF">2016-03-04T03:29:00Z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