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1FA737" w14:textId="77777777" w:rsidR="003F4055" w:rsidRDefault="0074664F">
      <w:pPr>
        <w:pStyle w:val="Heading1"/>
      </w:pPr>
      <w:r>
        <w:t xml:space="preserve">Review of the </w:t>
      </w:r>
      <w:r w:rsidRPr="0074664F">
        <w:t>sugar code of c</w:t>
      </w:r>
      <w:bookmarkStart w:id="0" w:name="_GoBack"/>
      <w:bookmarkEnd w:id="0"/>
      <w:r w:rsidRPr="0074664F">
        <w:t>onduct</w:t>
      </w:r>
    </w:p>
    <w:p w14:paraId="6B5EC5F7" w14:textId="77777777" w:rsidR="003F4055" w:rsidRDefault="0074664F">
      <w:pPr>
        <w:pStyle w:val="Picture"/>
      </w:pPr>
      <w:r>
        <w:drawing>
          <wp:inline distT="0" distB="0" distL="0" distR="0" wp14:anchorId="2E3813D5" wp14:editId="385D9FC8">
            <wp:extent cx="5516245" cy="551624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2DDD7E88" w14:textId="77777777" w:rsidR="003F4055" w:rsidRDefault="0074664F">
      <w:pPr>
        <w:pStyle w:val="Normalsmall"/>
      </w:pPr>
      <w:r>
        <w:br w:type="page"/>
      </w:r>
      <w:r>
        <w:lastRenderedPageBreak/>
        <w:t>© Commonwealth of Australia 2018</w:t>
      </w:r>
    </w:p>
    <w:p w14:paraId="254BED2B" w14:textId="77777777" w:rsidR="003F4055" w:rsidRDefault="0074664F">
      <w:pPr>
        <w:pStyle w:val="Normalsmall"/>
        <w:rPr>
          <w:rStyle w:val="Strong"/>
        </w:rPr>
      </w:pPr>
      <w:r>
        <w:rPr>
          <w:rStyle w:val="Strong"/>
        </w:rPr>
        <w:t>Ownership of intellectual property rights</w:t>
      </w:r>
    </w:p>
    <w:p w14:paraId="6CD64237" w14:textId="77777777" w:rsidR="003F4055" w:rsidRDefault="0074664F">
      <w:pPr>
        <w:pStyle w:val="Normalsmall"/>
      </w:pPr>
      <w:r>
        <w:t>Unless otherwise noted, copyright (and any other intellectual property rights, if any) in this publication is owned by the Commonwealth of Australia (referred to as the Commonwealth).</w:t>
      </w:r>
    </w:p>
    <w:p w14:paraId="72B72FA3" w14:textId="77777777" w:rsidR="003F4055" w:rsidRDefault="0074664F">
      <w:pPr>
        <w:pStyle w:val="Normalsmall"/>
        <w:rPr>
          <w:rStyle w:val="Strong"/>
        </w:rPr>
      </w:pPr>
      <w:proofErr w:type="gramStart"/>
      <w:r>
        <w:rPr>
          <w:rStyle w:val="Strong"/>
        </w:rPr>
        <w:t>Creative Commons</w:t>
      </w:r>
      <w:proofErr w:type="gramEnd"/>
      <w:r>
        <w:rPr>
          <w:rStyle w:val="Strong"/>
        </w:rPr>
        <w:t xml:space="preserve"> licence</w:t>
      </w:r>
    </w:p>
    <w:p w14:paraId="78AB8390" w14:textId="77777777" w:rsidR="003F4055" w:rsidRDefault="0074664F">
      <w:pPr>
        <w:pStyle w:val="Normalsmall"/>
      </w:pPr>
      <w:r>
        <w:t xml:space="preserve">All material in this publication is licensed under a Creative </w:t>
      </w:r>
      <w:hyperlink r:id="rId12" w:history="1">
        <w:r>
          <w:rPr>
            <w:rStyle w:val="Hyperlink"/>
          </w:rPr>
          <w:t>Commons Attribution 4.0 International Licence</w:t>
        </w:r>
      </w:hyperlink>
      <w:r>
        <w:t xml:space="preserve"> except content supplied by third parties, logos and the Commonwealth Coat of Arms.</w:t>
      </w:r>
    </w:p>
    <w:p w14:paraId="66E3152F" w14:textId="77777777" w:rsidR="003F4055" w:rsidRDefault="0074664F">
      <w:pPr>
        <w:pStyle w:val="Normalsmall"/>
      </w:pPr>
      <w:r>
        <w:t xml:space="preserve">Inquiries about the licence and any use of this document should be emailed to </w:t>
      </w:r>
      <w:hyperlink r:id="rId13" w:history="1">
        <w:r>
          <w:rPr>
            <w:rStyle w:val="Hyperlink"/>
          </w:rPr>
          <w:t>copyright@agriculture.gov.au</w:t>
        </w:r>
      </w:hyperlink>
      <w:r>
        <w:t>.</w:t>
      </w:r>
    </w:p>
    <w:p w14:paraId="30B09F3E" w14:textId="77777777" w:rsidR="003F4055" w:rsidRDefault="0074664F">
      <w:pPr>
        <w:pStyle w:val="Normalsmall"/>
      </w:pPr>
      <w:r>
        <w:rPr>
          <w:noProof/>
          <w:lang w:eastAsia="en-AU"/>
        </w:rPr>
        <w:drawing>
          <wp:inline distT="0" distB="0" distL="0" distR="0" wp14:anchorId="7AC7877B" wp14:editId="53A572FE">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2D9C7F9" w14:textId="77777777" w:rsidR="003F4055" w:rsidRDefault="0074664F">
      <w:pPr>
        <w:pStyle w:val="Normalsmall"/>
        <w:rPr>
          <w:rStyle w:val="Strong"/>
        </w:rPr>
      </w:pPr>
      <w:r>
        <w:rPr>
          <w:rStyle w:val="Strong"/>
        </w:rPr>
        <w:t>Cataloguing data</w:t>
      </w:r>
    </w:p>
    <w:p w14:paraId="77D942A4" w14:textId="77777777" w:rsidR="003F4055" w:rsidRDefault="0074664F">
      <w:pPr>
        <w:pStyle w:val="Normalsmall"/>
      </w:pPr>
      <w:r>
        <w:t xml:space="preserve">This publication (and any material sourced from it) should be attributed as: </w:t>
      </w:r>
      <w:r w:rsidRPr="00A30DE9">
        <w:t xml:space="preserve">Department of Agriculture and Water Resources 2018, </w:t>
      </w:r>
      <w:r w:rsidRPr="00A30DE9">
        <w:rPr>
          <w:i/>
        </w:rPr>
        <w:t>Review of the sugar code of conduct</w:t>
      </w:r>
      <w:r w:rsidRPr="00A30DE9">
        <w:t>, Canberra, November</w:t>
      </w:r>
      <w:r>
        <w:t>. CC BY 4.0.</w:t>
      </w:r>
    </w:p>
    <w:p w14:paraId="64DE8DB5" w14:textId="3B6B8E91" w:rsidR="003F4055" w:rsidRPr="007F11D2" w:rsidRDefault="0074664F">
      <w:pPr>
        <w:pStyle w:val="Normalsmall"/>
      </w:pPr>
      <w:r w:rsidRPr="007F11D2">
        <w:t xml:space="preserve">ISBN </w:t>
      </w:r>
      <w:r w:rsidR="00C52424" w:rsidRPr="007F11D2">
        <w:t>978</w:t>
      </w:r>
      <w:r w:rsidRPr="007F11D2">
        <w:t>-</w:t>
      </w:r>
      <w:r w:rsidR="00C52424" w:rsidRPr="007F11D2">
        <w:t>1</w:t>
      </w:r>
      <w:r w:rsidRPr="007F11D2">
        <w:t>-</w:t>
      </w:r>
      <w:r w:rsidR="007F11D2" w:rsidRPr="007F11D2">
        <w:t>76003</w:t>
      </w:r>
      <w:r w:rsidRPr="007F11D2">
        <w:t>-</w:t>
      </w:r>
      <w:r w:rsidR="007F11D2" w:rsidRPr="007F11D2">
        <w:t>188</w:t>
      </w:r>
      <w:r w:rsidRPr="007F11D2">
        <w:t>-</w:t>
      </w:r>
      <w:r w:rsidR="007F11D2" w:rsidRPr="007F11D2">
        <w:t>6</w:t>
      </w:r>
    </w:p>
    <w:p w14:paraId="48EF3A89" w14:textId="77777777" w:rsidR="003F4055" w:rsidRDefault="0074664F">
      <w:pPr>
        <w:pStyle w:val="Normalsmall"/>
      </w:pPr>
      <w:r>
        <w:t xml:space="preserve">This publication is </w:t>
      </w:r>
      <w:r w:rsidRPr="00C52424">
        <w:t xml:space="preserve">available at </w:t>
      </w:r>
      <w:hyperlink r:id="rId15" w:history="1">
        <w:r w:rsidRPr="00C52424">
          <w:rPr>
            <w:rStyle w:val="Hyperlink"/>
          </w:rPr>
          <w:t>agriculture.gov.au/publications</w:t>
        </w:r>
      </w:hyperlink>
      <w:r w:rsidRPr="00C52424">
        <w:t>.</w:t>
      </w:r>
    </w:p>
    <w:p w14:paraId="1CA5752F" w14:textId="77777777" w:rsidR="003F4055" w:rsidRDefault="0074664F">
      <w:pPr>
        <w:pStyle w:val="Normalsmall"/>
        <w:spacing w:after="0"/>
      </w:pPr>
      <w:r>
        <w:t>Department of Agriculture and Water Resources</w:t>
      </w:r>
    </w:p>
    <w:p w14:paraId="128D56A2" w14:textId="77777777" w:rsidR="003F4055" w:rsidRDefault="0074664F">
      <w:pPr>
        <w:pStyle w:val="Normalsmall"/>
        <w:spacing w:after="0"/>
      </w:pPr>
      <w:r>
        <w:t>GPO Box 858 Canberra ACT 2601</w:t>
      </w:r>
    </w:p>
    <w:p w14:paraId="53412E10" w14:textId="77777777" w:rsidR="003F4055" w:rsidRDefault="0074664F">
      <w:pPr>
        <w:pStyle w:val="Normalsmall"/>
        <w:spacing w:after="0"/>
      </w:pPr>
      <w:r>
        <w:t>Telephone 1800 900 090</w:t>
      </w:r>
    </w:p>
    <w:p w14:paraId="0690F1E9" w14:textId="77777777" w:rsidR="003F4055" w:rsidRDefault="0074664F">
      <w:pPr>
        <w:pStyle w:val="Normalsmall"/>
      </w:pPr>
      <w:r>
        <w:t xml:space="preserve">Web </w:t>
      </w:r>
      <w:hyperlink r:id="rId16" w:history="1">
        <w:r>
          <w:rPr>
            <w:rStyle w:val="Hyperlink"/>
          </w:rPr>
          <w:t>agriculture.gov.au</w:t>
        </w:r>
      </w:hyperlink>
    </w:p>
    <w:p w14:paraId="019D1FCF" w14:textId="77777777" w:rsidR="003F4055" w:rsidRPr="00C52424" w:rsidRDefault="0074664F">
      <w:pPr>
        <w:pStyle w:val="Normalsmall"/>
      </w:pPr>
      <w:r>
        <w:t xml:space="preserve">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w:t>
      </w:r>
      <w:r w:rsidRPr="00C52424">
        <w:t>relying on any of the information or data in this publication to the maximum extent permitted by law.</w:t>
      </w:r>
    </w:p>
    <w:p w14:paraId="03DA0977" w14:textId="77777777" w:rsidR="003F4055" w:rsidRPr="00C52424" w:rsidRDefault="0074664F">
      <w:pPr>
        <w:pStyle w:val="Normalsmall"/>
        <w:rPr>
          <w:rStyle w:val="Strong"/>
        </w:rPr>
      </w:pPr>
      <w:r w:rsidRPr="00C52424">
        <w:rPr>
          <w:rStyle w:val="Strong"/>
        </w:rPr>
        <w:t>Acknowledgements</w:t>
      </w:r>
    </w:p>
    <w:p w14:paraId="5EA9D5B9" w14:textId="0948EF52" w:rsidR="003F4055" w:rsidRDefault="0074664F">
      <w:pPr>
        <w:pStyle w:val="Normalsmall"/>
      </w:pPr>
      <w:r w:rsidRPr="00C52424">
        <w:t xml:space="preserve">The authors thank </w:t>
      </w:r>
      <w:r w:rsidR="00C52424" w:rsidRPr="00C52424">
        <w:t>industry</w:t>
      </w:r>
      <w:r w:rsidR="0001417C">
        <w:t xml:space="preserve"> and community</w:t>
      </w:r>
      <w:r w:rsidR="00C52424" w:rsidRPr="00C52424">
        <w:t xml:space="preserve"> participants for their input.</w:t>
      </w:r>
    </w:p>
    <w:p w14:paraId="34790816" w14:textId="77777777" w:rsidR="003F4055" w:rsidRDefault="0074664F">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2380178" w14:textId="77777777" w:rsidR="003F4055" w:rsidRDefault="0074664F">
          <w:pPr>
            <w:pStyle w:val="TOCHeading"/>
          </w:pPr>
          <w:r>
            <w:t>Contents</w:t>
          </w:r>
        </w:p>
        <w:p w14:paraId="0BDA43C8" w14:textId="77777777" w:rsidR="003D2926" w:rsidRDefault="0074664F">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30149416" w:history="1">
            <w:r w:rsidR="003D2926" w:rsidRPr="00A85F9F">
              <w:rPr>
                <w:rStyle w:val="Hyperlink"/>
              </w:rPr>
              <w:t>Summary</w:t>
            </w:r>
            <w:r w:rsidR="003D2926">
              <w:rPr>
                <w:webHidden/>
              </w:rPr>
              <w:tab/>
            </w:r>
            <w:r w:rsidR="003D2926">
              <w:rPr>
                <w:webHidden/>
              </w:rPr>
              <w:fldChar w:fldCharType="begin"/>
            </w:r>
            <w:r w:rsidR="003D2926">
              <w:rPr>
                <w:webHidden/>
              </w:rPr>
              <w:instrText xml:space="preserve"> PAGEREF _Toc530149416 \h </w:instrText>
            </w:r>
            <w:r w:rsidR="003D2926">
              <w:rPr>
                <w:webHidden/>
              </w:rPr>
            </w:r>
            <w:r w:rsidR="003D2926">
              <w:rPr>
                <w:webHidden/>
              </w:rPr>
              <w:fldChar w:fldCharType="separate"/>
            </w:r>
            <w:r w:rsidR="008C3C20">
              <w:rPr>
                <w:webHidden/>
              </w:rPr>
              <w:t>v</w:t>
            </w:r>
            <w:r w:rsidR="003D2926">
              <w:rPr>
                <w:webHidden/>
              </w:rPr>
              <w:fldChar w:fldCharType="end"/>
            </w:r>
          </w:hyperlink>
        </w:p>
        <w:p w14:paraId="4F6701A2" w14:textId="77777777" w:rsidR="003D2926" w:rsidRDefault="002314DF">
          <w:pPr>
            <w:pStyle w:val="TOC2"/>
            <w:rPr>
              <w:rFonts w:asciiTheme="minorHAnsi" w:eastAsiaTheme="minorEastAsia" w:hAnsiTheme="minorHAnsi"/>
              <w:lang w:eastAsia="en-AU"/>
            </w:rPr>
          </w:pPr>
          <w:hyperlink w:anchor="_Toc530149417" w:history="1">
            <w:r w:rsidR="003D2926" w:rsidRPr="00A85F9F">
              <w:rPr>
                <w:rStyle w:val="Hyperlink"/>
              </w:rPr>
              <w:t>Key findings of the review</w:t>
            </w:r>
            <w:r w:rsidR="003D2926">
              <w:rPr>
                <w:webHidden/>
              </w:rPr>
              <w:tab/>
            </w:r>
            <w:r w:rsidR="003D2926">
              <w:rPr>
                <w:webHidden/>
              </w:rPr>
              <w:fldChar w:fldCharType="begin"/>
            </w:r>
            <w:r w:rsidR="003D2926">
              <w:rPr>
                <w:webHidden/>
              </w:rPr>
              <w:instrText xml:space="preserve"> PAGEREF _Toc530149417 \h </w:instrText>
            </w:r>
            <w:r w:rsidR="003D2926">
              <w:rPr>
                <w:webHidden/>
              </w:rPr>
            </w:r>
            <w:r w:rsidR="003D2926">
              <w:rPr>
                <w:webHidden/>
              </w:rPr>
              <w:fldChar w:fldCharType="separate"/>
            </w:r>
            <w:r w:rsidR="008C3C20">
              <w:rPr>
                <w:webHidden/>
              </w:rPr>
              <w:t>v</w:t>
            </w:r>
            <w:r w:rsidR="003D2926">
              <w:rPr>
                <w:webHidden/>
              </w:rPr>
              <w:fldChar w:fldCharType="end"/>
            </w:r>
          </w:hyperlink>
        </w:p>
        <w:p w14:paraId="3DB6839C" w14:textId="77777777" w:rsidR="003D2926" w:rsidRDefault="002314DF">
          <w:pPr>
            <w:pStyle w:val="TOC1"/>
            <w:rPr>
              <w:rFonts w:asciiTheme="minorHAnsi" w:eastAsiaTheme="minorEastAsia" w:hAnsiTheme="minorHAnsi"/>
              <w:b w:val="0"/>
              <w:lang w:eastAsia="en-AU"/>
            </w:rPr>
          </w:pPr>
          <w:hyperlink w:anchor="_Toc530149418" w:history="1">
            <w:r w:rsidR="003D2926" w:rsidRPr="00A85F9F">
              <w:rPr>
                <w:rStyle w:val="Hyperlink"/>
              </w:rPr>
              <w:t>Recommendations</w:t>
            </w:r>
            <w:r w:rsidR="003D2926">
              <w:rPr>
                <w:webHidden/>
              </w:rPr>
              <w:tab/>
            </w:r>
            <w:r w:rsidR="003D2926">
              <w:rPr>
                <w:webHidden/>
              </w:rPr>
              <w:fldChar w:fldCharType="begin"/>
            </w:r>
            <w:r w:rsidR="003D2926">
              <w:rPr>
                <w:webHidden/>
              </w:rPr>
              <w:instrText xml:space="preserve"> PAGEREF _Toc530149418 \h </w:instrText>
            </w:r>
            <w:r w:rsidR="003D2926">
              <w:rPr>
                <w:webHidden/>
              </w:rPr>
            </w:r>
            <w:r w:rsidR="003D2926">
              <w:rPr>
                <w:webHidden/>
              </w:rPr>
              <w:fldChar w:fldCharType="separate"/>
            </w:r>
            <w:r w:rsidR="008C3C20">
              <w:rPr>
                <w:webHidden/>
              </w:rPr>
              <w:t>vii</w:t>
            </w:r>
            <w:r w:rsidR="003D2926">
              <w:rPr>
                <w:webHidden/>
              </w:rPr>
              <w:fldChar w:fldCharType="end"/>
            </w:r>
          </w:hyperlink>
        </w:p>
        <w:p w14:paraId="1DE3D6C2" w14:textId="77777777" w:rsidR="003D2926" w:rsidRDefault="002314DF">
          <w:pPr>
            <w:pStyle w:val="TOC1"/>
            <w:rPr>
              <w:rFonts w:asciiTheme="minorHAnsi" w:eastAsiaTheme="minorEastAsia" w:hAnsiTheme="minorHAnsi"/>
              <w:b w:val="0"/>
              <w:lang w:eastAsia="en-AU"/>
            </w:rPr>
          </w:pPr>
          <w:hyperlink w:anchor="_Toc530149419" w:history="1">
            <w:r w:rsidR="003D2926" w:rsidRPr="00A85F9F">
              <w:rPr>
                <w:rStyle w:val="Hyperlink"/>
              </w:rPr>
              <w:t>Introduction</w:t>
            </w:r>
            <w:r w:rsidR="003D2926">
              <w:rPr>
                <w:webHidden/>
              </w:rPr>
              <w:tab/>
            </w:r>
            <w:r w:rsidR="003D2926">
              <w:rPr>
                <w:webHidden/>
              </w:rPr>
              <w:fldChar w:fldCharType="begin"/>
            </w:r>
            <w:r w:rsidR="003D2926">
              <w:rPr>
                <w:webHidden/>
              </w:rPr>
              <w:instrText xml:space="preserve"> PAGEREF _Toc530149419 \h </w:instrText>
            </w:r>
            <w:r w:rsidR="003D2926">
              <w:rPr>
                <w:webHidden/>
              </w:rPr>
            </w:r>
            <w:r w:rsidR="003D2926">
              <w:rPr>
                <w:webHidden/>
              </w:rPr>
              <w:fldChar w:fldCharType="separate"/>
            </w:r>
            <w:r w:rsidR="008C3C20">
              <w:rPr>
                <w:webHidden/>
              </w:rPr>
              <w:t>8</w:t>
            </w:r>
            <w:r w:rsidR="003D2926">
              <w:rPr>
                <w:webHidden/>
              </w:rPr>
              <w:fldChar w:fldCharType="end"/>
            </w:r>
          </w:hyperlink>
        </w:p>
        <w:p w14:paraId="48B29735" w14:textId="77777777" w:rsidR="003D2926" w:rsidRDefault="002314DF">
          <w:pPr>
            <w:pStyle w:val="TOC2"/>
            <w:rPr>
              <w:rFonts w:asciiTheme="minorHAnsi" w:eastAsiaTheme="minorEastAsia" w:hAnsiTheme="minorHAnsi"/>
              <w:lang w:eastAsia="en-AU"/>
            </w:rPr>
          </w:pPr>
          <w:hyperlink w:anchor="_Toc530149420" w:history="1">
            <w:r w:rsidR="003D2926" w:rsidRPr="00A85F9F">
              <w:rPr>
                <w:rStyle w:val="Hyperlink"/>
                <w:lang w:eastAsia="ja-JP"/>
              </w:rPr>
              <w:t>Review context</w:t>
            </w:r>
            <w:r w:rsidR="003D2926">
              <w:rPr>
                <w:webHidden/>
              </w:rPr>
              <w:tab/>
            </w:r>
            <w:r w:rsidR="003D2926">
              <w:rPr>
                <w:webHidden/>
              </w:rPr>
              <w:fldChar w:fldCharType="begin"/>
            </w:r>
            <w:r w:rsidR="003D2926">
              <w:rPr>
                <w:webHidden/>
              </w:rPr>
              <w:instrText xml:space="preserve"> PAGEREF _Toc530149420 \h </w:instrText>
            </w:r>
            <w:r w:rsidR="003D2926">
              <w:rPr>
                <w:webHidden/>
              </w:rPr>
            </w:r>
            <w:r w:rsidR="003D2926">
              <w:rPr>
                <w:webHidden/>
              </w:rPr>
              <w:fldChar w:fldCharType="separate"/>
            </w:r>
            <w:r w:rsidR="008C3C20">
              <w:rPr>
                <w:webHidden/>
              </w:rPr>
              <w:t>8</w:t>
            </w:r>
            <w:r w:rsidR="003D2926">
              <w:rPr>
                <w:webHidden/>
              </w:rPr>
              <w:fldChar w:fldCharType="end"/>
            </w:r>
          </w:hyperlink>
        </w:p>
        <w:p w14:paraId="065FB814" w14:textId="77777777" w:rsidR="003D2926" w:rsidRDefault="002314DF">
          <w:pPr>
            <w:pStyle w:val="TOC2"/>
            <w:rPr>
              <w:rFonts w:asciiTheme="minorHAnsi" w:eastAsiaTheme="minorEastAsia" w:hAnsiTheme="minorHAnsi"/>
              <w:lang w:eastAsia="en-AU"/>
            </w:rPr>
          </w:pPr>
          <w:hyperlink w:anchor="_Toc530149421" w:history="1">
            <w:r w:rsidR="003D2926" w:rsidRPr="00A85F9F">
              <w:rPr>
                <w:rStyle w:val="Hyperlink"/>
              </w:rPr>
              <w:t>Review approach</w:t>
            </w:r>
            <w:r w:rsidR="003D2926">
              <w:rPr>
                <w:webHidden/>
              </w:rPr>
              <w:tab/>
            </w:r>
            <w:r w:rsidR="003D2926">
              <w:rPr>
                <w:webHidden/>
              </w:rPr>
              <w:fldChar w:fldCharType="begin"/>
            </w:r>
            <w:r w:rsidR="003D2926">
              <w:rPr>
                <w:webHidden/>
              </w:rPr>
              <w:instrText xml:space="preserve"> PAGEREF _Toc530149421 \h </w:instrText>
            </w:r>
            <w:r w:rsidR="003D2926">
              <w:rPr>
                <w:webHidden/>
              </w:rPr>
            </w:r>
            <w:r w:rsidR="003D2926">
              <w:rPr>
                <w:webHidden/>
              </w:rPr>
              <w:fldChar w:fldCharType="separate"/>
            </w:r>
            <w:r w:rsidR="008C3C20">
              <w:rPr>
                <w:webHidden/>
              </w:rPr>
              <w:t>8</w:t>
            </w:r>
            <w:r w:rsidR="003D2926">
              <w:rPr>
                <w:webHidden/>
              </w:rPr>
              <w:fldChar w:fldCharType="end"/>
            </w:r>
          </w:hyperlink>
        </w:p>
        <w:p w14:paraId="2125995B" w14:textId="77777777" w:rsidR="003D2926" w:rsidRDefault="002314DF">
          <w:pPr>
            <w:pStyle w:val="TOC2"/>
            <w:rPr>
              <w:rFonts w:asciiTheme="minorHAnsi" w:eastAsiaTheme="minorEastAsia" w:hAnsiTheme="minorHAnsi"/>
              <w:lang w:eastAsia="en-AU"/>
            </w:rPr>
          </w:pPr>
          <w:hyperlink w:anchor="_Toc530149422" w:history="1">
            <w:r w:rsidR="003D2926" w:rsidRPr="00A85F9F">
              <w:rPr>
                <w:rStyle w:val="Hyperlink"/>
              </w:rPr>
              <w:t>Review terms of reference</w:t>
            </w:r>
            <w:r w:rsidR="003D2926">
              <w:rPr>
                <w:webHidden/>
              </w:rPr>
              <w:tab/>
            </w:r>
            <w:r w:rsidR="003D2926">
              <w:rPr>
                <w:webHidden/>
              </w:rPr>
              <w:fldChar w:fldCharType="begin"/>
            </w:r>
            <w:r w:rsidR="003D2926">
              <w:rPr>
                <w:webHidden/>
              </w:rPr>
              <w:instrText xml:space="preserve"> PAGEREF _Toc530149422 \h </w:instrText>
            </w:r>
            <w:r w:rsidR="003D2926">
              <w:rPr>
                <w:webHidden/>
              </w:rPr>
            </w:r>
            <w:r w:rsidR="003D2926">
              <w:rPr>
                <w:webHidden/>
              </w:rPr>
              <w:fldChar w:fldCharType="separate"/>
            </w:r>
            <w:r w:rsidR="008C3C20">
              <w:rPr>
                <w:webHidden/>
              </w:rPr>
              <w:t>8</w:t>
            </w:r>
            <w:r w:rsidR="003D2926">
              <w:rPr>
                <w:webHidden/>
              </w:rPr>
              <w:fldChar w:fldCharType="end"/>
            </w:r>
          </w:hyperlink>
        </w:p>
        <w:p w14:paraId="3A78F37A" w14:textId="77777777" w:rsidR="003D2926" w:rsidRDefault="002314DF">
          <w:pPr>
            <w:pStyle w:val="TOC2"/>
            <w:rPr>
              <w:rFonts w:asciiTheme="minorHAnsi" w:eastAsiaTheme="minorEastAsia" w:hAnsiTheme="minorHAnsi"/>
              <w:lang w:eastAsia="en-AU"/>
            </w:rPr>
          </w:pPr>
          <w:hyperlink w:anchor="_Toc530149423" w:history="1">
            <w:r w:rsidR="003D2926" w:rsidRPr="00A85F9F">
              <w:rPr>
                <w:rStyle w:val="Hyperlink"/>
              </w:rPr>
              <w:t>Written submissions and consultations</w:t>
            </w:r>
            <w:r w:rsidR="003D2926">
              <w:rPr>
                <w:webHidden/>
              </w:rPr>
              <w:tab/>
            </w:r>
            <w:r w:rsidR="003D2926">
              <w:rPr>
                <w:webHidden/>
              </w:rPr>
              <w:fldChar w:fldCharType="begin"/>
            </w:r>
            <w:r w:rsidR="003D2926">
              <w:rPr>
                <w:webHidden/>
              </w:rPr>
              <w:instrText xml:space="preserve"> PAGEREF _Toc530149423 \h </w:instrText>
            </w:r>
            <w:r w:rsidR="003D2926">
              <w:rPr>
                <w:webHidden/>
              </w:rPr>
            </w:r>
            <w:r w:rsidR="003D2926">
              <w:rPr>
                <w:webHidden/>
              </w:rPr>
              <w:fldChar w:fldCharType="separate"/>
            </w:r>
            <w:r w:rsidR="008C3C20">
              <w:rPr>
                <w:webHidden/>
              </w:rPr>
              <w:t>9</w:t>
            </w:r>
            <w:r w:rsidR="003D2926">
              <w:rPr>
                <w:webHidden/>
              </w:rPr>
              <w:fldChar w:fldCharType="end"/>
            </w:r>
          </w:hyperlink>
        </w:p>
        <w:p w14:paraId="4D216ABB" w14:textId="77777777" w:rsidR="003D2926" w:rsidRDefault="002314DF">
          <w:pPr>
            <w:pStyle w:val="TOC1"/>
            <w:rPr>
              <w:rFonts w:asciiTheme="minorHAnsi" w:eastAsiaTheme="minorEastAsia" w:hAnsiTheme="minorHAnsi"/>
              <w:b w:val="0"/>
              <w:lang w:eastAsia="en-AU"/>
            </w:rPr>
          </w:pPr>
          <w:hyperlink w:anchor="_Toc530149424" w:history="1">
            <w:r w:rsidR="003D2926" w:rsidRPr="00A85F9F">
              <w:rPr>
                <w:rStyle w:val="Hyperlink"/>
              </w:rPr>
              <w:t>1</w:t>
            </w:r>
            <w:r w:rsidR="003D2926">
              <w:rPr>
                <w:rFonts w:asciiTheme="minorHAnsi" w:eastAsiaTheme="minorEastAsia" w:hAnsiTheme="minorHAnsi"/>
                <w:b w:val="0"/>
                <w:lang w:eastAsia="en-AU"/>
              </w:rPr>
              <w:tab/>
            </w:r>
            <w:r w:rsidR="003D2926" w:rsidRPr="00A85F9F">
              <w:rPr>
                <w:rStyle w:val="Hyperlink"/>
              </w:rPr>
              <w:t>Australian sugar industry</w:t>
            </w:r>
            <w:r w:rsidR="003D2926">
              <w:rPr>
                <w:webHidden/>
              </w:rPr>
              <w:tab/>
            </w:r>
            <w:r w:rsidR="003D2926">
              <w:rPr>
                <w:webHidden/>
              </w:rPr>
              <w:fldChar w:fldCharType="begin"/>
            </w:r>
            <w:r w:rsidR="003D2926">
              <w:rPr>
                <w:webHidden/>
              </w:rPr>
              <w:instrText xml:space="preserve"> PAGEREF _Toc530149424 \h </w:instrText>
            </w:r>
            <w:r w:rsidR="003D2926">
              <w:rPr>
                <w:webHidden/>
              </w:rPr>
            </w:r>
            <w:r w:rsidR="003D2926">
              <w:rPr>
                <w:webHidden/>
              </w:rPr>
              <w:fldChar w:fldCharType="separate"/>
            </w:r>
            <w:r w:rsidR="008C3C20">
              <w:rPr>
                <w:webHidden/>
              </w:rPr>
              <w:t>11</w:t>
            </w:r>
            <w:r w:rsidR="003D2926">
              <w:rPr>
                <w:webHidden/>
              </w:rPr>
              <w:fldChar w:fldCharType="end"/>
            </w:r>
          </w:hyperlink>
        </w:p>
        <w:p w14:paraId="160878DA" w14:textId="77777777" w:rsidR="003D2926" w:rsidRDefault="002314DF">
          <w:pPr>
            <w:pStyle w:val="TOC2"/>
            <w:tabs>
              <w:tab w:val="left" w:pos="1100"/>
            </w:tabs>
            <w:rPr>
              <w:rFonts w:asciiTheme="minorHAnsi" w:eastAsiaTheme="minorEastAsia" w:hAnsiTheme="minorHAnsi"/>
              <w:lang w:eastAsia="en-AU"/>
            </w:rPr>
          </w:pPr>
          <w:hyperlink w:anchor="_Toc530149425" w:history="1">
            <w:r w:rsidR="003D2926" w:rsidRPr="00A85F9F">
              <w:rPr>
                <w:rStyle w:val="Hyperlink"/>
              </w:rPr>
              <w:t>1.1</w:t>
            </w:r>
            <w:r w:rsidR="003D2926">
              <w:rPr>
                <w:rFonts w:asciiTheme="minorHAnsi" w:eastAsiaTheme="minorEastAsia" w:hAnsiTheme="minorHAnsi"/>
                <w:lang w:eastAsia="en-AU"/>
              </w:rPr>
              <w:tab/>
            </w:r>
            <w:r w:rsidR="003D2926" w:rsidRPr="00A85F9F">
              <w:rPr>
                <w:rStyle w:val="Hyperlink"/>
              </w:rPr>
              <w:t>Industry structure</w:t>
            </w:r>
            <w:r w:rsidR="003D2926">
              <w:rPr>
                <w:webHidden/>
              </w:rPr>
              <w:tab/>
            </w:r>
            <w:r w:rsidR="003D2926">
              <w:rPr>
                <w:webHidden/>
              </w:rPr>
              <w:fldChar w:fldCharType="begin"/>
            </w:r>
            <w:r w:rsidR="003D2926">
              <w:rPr>
                <w:webHidden/>
              </w:rPr>
              <w:instrText xml:space="preserve"> PAGEREF _Toc530149425 \h </w:instrText>
            </w:r>
            <w:r w:rsidR="003D2926">
              <w:rPr>
                <w:webHidden/>
              </w:rPr>
            </w:r>
            <w:r w:rsidR="003D2926">
              <w:rPr>
                <w:webHidden/>
              </w:rPr>
              <w:fldChar w:fldCharType="separate"/>
            </w:r>
            <w:r w:rsidR="008C3C20">
              <w:rPr>
                <w:webHidden/>
              </w:rPr>
              <w:t>11</w:t>
            </w:r>
            <w:r w:rsidR="003D2926">
              <w:rPr>
                <w:webHidden/>
              </w:rPr>
              <w:fldChar w:fldCharType="end"/>
            </w:r>
          </w:hyperlink>
        </w:p>
        <w:p w14:paraId="5E1112C5" w14:textId="77777777" w:rsidR="003D2926" w:rsidRDefault="002314DF">
          <w:pPr>
            <w:pStyle w:val="TOC2"/>
            <w:tabs>
              <w:tab w:val="left" w:pos="1100"/>
            </w:tabs>
            <w:rPr>
              <w:rFonts w:asciiTheme="minorHAnsi" w:eastAsiaTheme="minorEastAsia" w:hAnsiTheme="minorHAnsi"/>
              <w:lang w:eastAsia="en-AU"/>
            </w:rPr>
          </w:pPr>
          <w:hyperlink w:anchor="_Toc530149426" w:history="1">
            <w:r w:rsidR="003D2926" w:rsidRPr="00A85F9F">
              <w:rPr>
                <w:rStyle w:val="Hyperlink"/>
              </w:rPr>
              <w:t>1.2</w:t>
            </w:r>
            <w:r w:rsidR="003D2926">
              <w:rPr>
                <w:rFonts w:asciiTheme="minorHAnsi" w:eastAsiaTheme="minorEastAsia" w:hAnsiTheme="minorHAnsi"/>
                <w:lang w:eastAsia="en-AU"/>
              </w:rPr>
              <w:tab/>
            </w:r>
            <w:r w:rsidR="003D2926" w:rsidRPr="00A85F9F">
              <w:rPr>
                <w:rStyle w:val="Hyperlink"/>
              </w:rPr>
              <w:t>Mutual dependence</w:t>
            </w:r>
            <w:r w:rsidR="003D2926">
              <w:rPr>
                <w:webHidden/>
              </w:rPr>
              <w:tab/>
            </w:r>
            <w:r w:rsidR="003D2926">
              <w:rPr>
                <w:webHidden/>
              </w:rPr>
              <w:fldChar w:fldCharType="begin"/>
            </w:r>
            <w:r w:rsidR="003D2926">
              <w:rPr>
                <w:webHidden/>
              </w:rPr>
              <w:instrText xml:space="preserve"> PAGEREF _Toc530149426 \h </w:instrText>
            </w:r>
            <w:r w:rsidR="003D2926">
              <w:rPr>
                <w:webHidden/>
              </w:rPr>
            </w:r>
            <w:r w:rsidR="003D2926">
              <w:rPr>
                <w:webHidden/>
              </w:rPr>
              <w:fldChar w:fldCharType="separate"/>
            </w:r>
            <w:r w:rsidR="008C3C20">
              <w:rPr>
                <w:webHidden/>
              </w:rPr>
              <w:t>11</w:t>
            </w:r>
            <w:r w:rsidR="003D2926">
              <w:rPr>
                <w:webHidden/>
              </w:rPr>
              <w:fldChar w:fldCharType="end"/>
            </w:r>
          </w:hyperlink>
        </w:p>
        <w:p w14:paraId="5009E5A9" w14:textId="77777777" w:rsidR="003D2926" w:rsidRDefault="002314DF">
          <w:pPr>
            <w:pStyle w:val="TOC2"/>
            <w:tabs>
              <w:tab w:val="left" w:pos="1100"/>
            </w:tabs>
            <w:rPr>
              <w:rFonts w:asciiTheme="minorHAnsi" w:eastAsiaTheme="minorEastAsia" w:hAnsiTheme="minorHAnsi"/>
              <w:lang w:eastAsia="en-AU"/>
            </w:rPr>
          </w:pPr>
          <w:hyperlink w:anchor="_Toc530149427" w:history="1">
            <w:r w:rsidR="003D2926" w:rsidRPr="00A85F9F">
              <w:rPr>
                <w:rStyle w:val="Hyperlink"/>
              </w:rPr>
              <w:t>1.3</w:t>
            </w:r>
            <w:r w:rsidR="003D2926">
              <w:rPr>
                <w:rFonts w:asciiTheme="minorHAnsi" w:eastAsiaTheme="minorEastAsia" w:hAnsiTheme="minorHAnsi"/>
                <w:lang w:eastAsia="en-AU"/>
              </w:rPr>
              <w:tab/>
            </w:r>
            <w:r w:rsidR="003D2926" w:rsidRPr="00A85F9F">
              <w:rPr>
                <w:rStyle w:val="Hyperlink"/>
              </w:rPr>
              <w:t>Sugar price and cane payments</w:t>
            </w:r>
            <w:r w:rsidR="003D2926">
              <w:rPr>
                <w:webHidden/>
              </w:rPr>
              <w:tab/>
            </w:r>
            <w:r w:rsidR="003D2926">
              <w:rPr>
                <w:webHidden/>
              </w:rPr>
              <w:fldChar w:fldCharType="begin"/>
            </w:r>
            <w:r w:rsidR="003D2926">
              <w:rPr>
                <w:webHidden/>
              </w:rPr>
              <w:instrText xml:space="preserve"> PAGEREF _Toc530149427 \h </w:instrText>
            </w:r>
            <w:r w:rsidR="003D2926">
              <w:rPr>
                <w:webHidden/>
              </w:rPr>
            </w:r>
            <w:r w:rsidR="003D2926">
              <w:rPr>
                <w:webHidden/>
              </w:rPr>
              <w:fldChar w:fldCharType="separate"/>
            </w:r>
            <w:r w:rsidR="008C3C20">
              <w:rPr>
                <w:webHidden/>
              </w:rPr>
              <w:t>12</w:t>
            </w:r>
            <w:r w:rsidR="003D2926">
              <w:rPr>
                <w:webHidden/>
              </w:rPr>
              <w:fldChar w:fldCharType="end"/>
            </w:r>
          </w:hyperlink>
        </w:p>
        <w:p w14:paraId="26BC52EC" w14:textId="77777777" w:rsidR="003D2926" w:rsidRDefault="002314DF">
          <w:pPr>
            <w:pStyle w:val="TOC2"/>
            <w:tabs>
              <w:tab w:val="left" w:pos="1100"/>
            </w:tabs>
            <w:rPr>
              <w:rFonts w:asciiTheme="minorHAnsi" w:eastAsiaTheme="minorEastAsia" w:hAnsiTheme="minorHAnsi"/>
              <w:lang w:eastAsia="en-AU"/>
            </w:rPr>
          </w:pPr>
          <w:hyperlink w:anchor="_Toc530149428" w:history="1">
            <w:r w:rsidR="003D2926" w:rsidRPr="00A85F9F">
              <w:rPr>
                <w:rStyle w:val="Hyperlink"/>
              </w:rPr>
              <w:t>1.4</w:t>
            </w:r>
            <w:r w:rsidR="003D2926">
              <w:rPr>
                <w:rFonts w:asciiTheme="minorHAnsi" w:eastAsiaTheme="minorEastAsia" w:hAnsiTheme="minorHAnsi"/>
                <w:lang w:eastAsia="en-AU"/>
              </w:rPr>
              <w:tab/>
            </w:r>
            <w:r w:rsidR="003D2926" w:rsidRPr="00A85F9F">
              <w:rPr>
                <w:rStyle w:val="Hyperlink"/>
              </w:rPr>
              <w:t>Sugar industry deregulation</w:t>
            </w:r>
            <w:r w:rsidR="003D2926">
              <w:rPr>
                <w:webHidden/>
              </w:rPr>
              <w:tab/>
            </w:r>
            <w:r w:rsidR="003D2926">
              <w:rPr>
                <w:webHidden/>
              </w:rPr>
              <w:fldChar w:fldCharType="begin"/>
            </w:r>
            <w:r w:rsidR="003D2926">
              <w:rPr>
                <w:webHidden/>
              </w:rPr>
              <w:instrText xml:space="preserve"> PAGEREF _Toc530149428 \h </w:instrText>
            </w:r>
            <w:r w:rsidR="003D2926">
              <w:rPr>
                <w:webHidden/>
              </w:rPr>
            </w:r>
            <w:r w:rsidR="003D2926">
              <w:rPr>
                <w:webHidden/>
              </w:rPr>
              <w:fldChar w:fldCharType="separate"/>
            </w:r>
            <w:r w:rsidR="008C3C20">
              <w:rPr>
                <w:webHidden/>
              </w:rPr>
              <w:t>12</w:t>
            </w:r>
            <w:r w:rsidR="003D2926">
              <w:rPr>
                <w:webHidden/>
              </w:rPr>
              <w:fldChar w:fldCharType="end"/>
            </w:r>
          </w:hyperlink>
        </w:p>
        <w:p w14:paraId="21C5E900" w14:textId="77777777" w:rsidR="003D2926" w:rsidRDefault="002314DF">
          <w:pPr>
            <w:pStyle w:val="TOC1"/>
            <w:rPr>
              <w:rFonts w:asciiTheme="minorHAnsi" w:eastAsiaTheme="minorEastAsia" w:hAnsiTheme="minorHAnsi"/>
              <w:b w:val="0"/>
              <w:lang w:eastAsia="en-AU"/>
            </w:rPr>
          </w:pPr>
          <w:hyperlink w:anchor="_Toc530149429" w:history="1">
            <w:r w:rsidR="003D2926" w:rsidRPr="00A85F9F">
              <w:rPr>
                <w:rStyle w:val="Hyperlink"/>
              </w:rPr>
              <w:t>2</w:t>
            </w:r>
            <w:r w:rsidR="003D2926">
              <w:rPr>
                <w:rFonts w:asciiTheme="minorHAnsi" w:eastAsiaTheme="minorEastAsia" w:hAnsiTheme="minorHAnsi"/>
                <w:b w:val="0"/>
                <w:lang w:eastAsia="en-AU"/>
              </w:rPr>
              <w:tab/>
            </w:r>
            <w:r w:rsidR="003D2926" w:rsidRPr="00A85F9F">
              <w:rPr>
                <w:rStyle w:val="Hyperlink"/>
              </w:rPr>
              <w:t>Sugar code of conduct</w:t>
            </w:r>
            <w:r w:rsidR="003D2926">
              <w:rPr>
                <w:webHidden/>
              </w:rPr>
              <w:tab/>
            </w:r>
            <w:r w:rsidR="003D2926">
              <w:rPr>
                <w:webHidden/>
              </w:rPr>
              <w:fldChar w:fldCharType="begin"/>
            </w:r>
            <w:r w:rsidR="003D2926">
              <w:rPr>
                <w:webHidden/>
              </w:rPr>
              <w:instrText xml:space="preserve"> PAGEREF _Toc530149429 \h </w:instrText>
            </w:r>
            <w:r w:rsidR="003D2926">
              <w:rPr>
                <w:webHidden/>
              </w:rPr>
            </w:r>
            <w:r w:rsidR="003D2926">
              <w:rPr>
                <w:webHidden/>
              </w:rPr>
              <w:fldChar w:fldCharType="separate"/>
            </w:r>
            <w:r w:rsidR="008C3C20">
              <w:rPr>
                <w:webHidden/>
              </w:rPr>
              <w:t>14</w:t>
            </w:r>
            <w:r w:rsidR="003D2926">
              <w:rPr>
                <w:webHidden/>
              </w:rPr>
              <w:fldChar w:fldCharType="end"/>
            </w:r>
          </w:hyperlink>
        </w:p>
        <w:p w14:paraId="4088607E" w14:textId="77777777" w:rsidR="003D2926" w:rsidRDefault="002314DF">
          <w:pPr>
            <w:pStyle w:val="TOC2"/>
            <w:tabs>
              <w:tab w:val="left" w:pos="1100"/>
            </w:tabs>
            <w:rPr>
              <w:rFonts w:asciiTheme="minorHAnsi" w:eastAsiaTheme="minorEastAsia" w:hAnsiTheme="minorHAnsi"/>
              <w:lang w:eastAsia="en-AU"/>
            </w:rPr>
          </w:pPr>
          <w:hyperlink w:anchor="_Toc530149430" w:history="1">
            <w:r w:rsidR="003D2926" w:rsidRPr="00A85F9F">
              <w:rPr>
                <w:rStyle w:val="Hyperlink"/>
              </w:rPr>
              <w:t>2.1</w:t>
            </w:r>
            <w:r w:rsidR="003D2926">
              <w:rPr>
                <w:rFonts w:asciiTheme="minorHAnsi" w:eastAsiaTheme="minorEastAsia" w:hAnsiTheme="minorHAnsi"/>
                <w:lang w:eastAsia="en-AU"/>
              </w:rPr>
              <w:tab/>
            </w:r>
            <w:r w:rsidR="003D2926" w:rsidRPr="00A85F9F">
              <w:rPr>
                <w:rStyle w:val="Hyperlink"/>
              </w:rPr>
              <w:t>Code background</w:t>
            </w:r>
            <w:r w:rsidR="003D2926">
              <w:rPr>
                <w:webHidden/>
              </w:rPr>
              <w:tab/>
            </w:r>
            <w:r w:rsidR="003D2926">
              <w:rPr>
                <w:webHidden/>
              </w:rPr>
              <w:fldChar w:fldCharType="begin"/>
            </w:r>
            <w:r w:rsidR="003D2926">
              <w:rPr>
                <w:webHidden/>
              </w:rPr>
              <w:instrText xml:space="preserve"> PAGEREF _Toc530149430 \h </w:instrText>
            </w:r>
            <w:r w:rsidR="003D2926">
              <w:rPr>
                <w:webHidden/>
              </w:rPr>
            </w:r>
            <w:r w:rsidR="003D2926">
              <w:rPr>
                <w:webHidden/>
              </w:rPr>
              <w:fldChar w:fldCharType="separate"/>
            </w:r>
            <w:r w:rsidR="008C3C20">
              <w:rPr>
                <w:webHidden/>
              </w:rPr>
              <w:t>14</w:t>
            </w:r>
            <w:r w:rsidR="003D2926">
              <w:rPr>
                <w:webHidden/>
              </w:rPr>
              <w:fldChar w:fldCharType="end"/>
            </w:r>
          </w:hyperlink>
        </w:p>
        <w:p w14:paraId="4AEAA427" w14:textId="77777777" w:rsidR="003D2926" w:rsidRDefault="002314DF">
          <w:pPr>
            <w:pStyle w:val="TOC2"/>
            <w:tabs>
              <w:tab w:val="left" w:pos="1100"/>
            </w:tabs>
            <w:rPr>
              <w:rFonts w:asciiTheme="minorHAnsi" w:eastAsiaTheme="minorEastAsia" w:hAnsiTheme="minorHAnsi"/>
              <w:lang w:eastAsia="en-AU"/>
            </w:rPr>
          </w:pPr>
          <w:hyperlink w:anchor="_Toc530149431" w:history="1">
            <w:r w:rsidR="003D2926" w:rsidRPr="00A85F9F">
              <w:rPr>
                <w:rStyle w:val="Hyperlink"/>
              </w:rPr>
              <w:t>2.2</w:t>
            </w:r>
            <w:r w:rsidR="003D2926">
              <w:rPr>
                <w:rFonts w:asciiTheme="minorHAnsi" w:eastAsiaTheme="minorEastAsia" w:hAnsiTheme="minorHAnsi"/>
                <w:lang w:eastAsia="en-AU"/>
              </w:rPr>
              <w:tab/>
            </w:r>
            <w:r w:rsidR="003D2926" w:rsidRPr="00A85F9F">
              <w:rPr>
                <w:rStyle w:val="Hyperlink"/>
              </w:rPr>
              <w:t>Code impact</w:t>
            </w:r>
            <w:r w:rsidR="003D2926">
              <w:rPr>
                <w:webHidden/>
              </w:rPr>
              <w:tab/>
            </w:r>
            <w:r w:rsidR="003D2926">
              <w:rPr>
                <w:webHidden/>
              </w:rPr>
              <w:fldChar w:fldCharType="begin"/>
            </w:r>
            <w:r w:rsidR="003D2926">
              <w:rPr>
                <w:webHidden/>
              </w:rPr>
              <w:instrText xml:space="preserve"> PAGEREF _Toc530149431 \h </w:instrText>
            </w:r>
            <w:r w:rsidR="003D2926">
              <w:rPr>
                <w:webHidden/>
              </w:rPr>
            </w:r>
            <w:r w:rsidR="003D2926">
              <w:rPr>
                <w:webHidden/>
              </w:rPr>
              <w:fldChar w:fldCharType="separate"/>
            </w:r>
            <w:r w:rsidR="008C3C20">
              <w:rPr>
                <w:webHidden/>
              </w:rPr>
              <w:t>15</w:t>
            </w:r>
            <w:r w:rsidR="003D2926">
              <w:rPr>
                <w:webHidden/>
              </w:rPr>
              <w:fldChar w:fldCharType="end"/>
            </w:r>
          </w:hyperlink>
        </w:p>
        <w:p w14:paraId="26A858F7" w14:textId="77777777" w:rsidR="003D2926" w:rsidRDefault="002314DF">
          <w:pPr>
            <w:pStyle w:val="TOC2"/>
            <w:tabs>
              <w:tab w:val="left" w:pos="1100"/>
            </w:tabs>
            <w:rPr>
              <w:rFonts w:asciiTheme="minorHAnsi" w:eastAsiaTheme="minorEastAsia" w:hAnsiTheme="minorHAnsi"/>
              <w:lang w:eastAsia="en-AU"/>
            </w:rPr>
          </w:pPr>
          <w:hyperlink w:anchor="_Toc530149432" w:history="1">
            <w:r w:rsidR="003D2926" w:rsidRPr="00A85F9F">
              <w:rPr>
                <w:rStyle w:val="Hyperlink"/>
              </w:rPr>
              <w:t>2.3</w:t>
            </w:r>
            <w:r w:rsidR="003D2926">
              <w:rPr>
                <w:rFonts w:asciiTheme="minorHAnsi" w:eastAsiaTheme="minorEastAsia" w:hAnsiTheme="minorHAnsi"/>
                <w:lang w:eastAsia="en-AU"/>
              </w:rPr>
              <w:tab/>
            </w:r>
            <w:r w:rsidR="003D2926" w:rsidRPr="00A85F9F">
              <w:rPr>
                <w:rStyle w:val="Hyperlink"/>
              </w:rPr>
              <w:t>Code evaluation</w:t>
            </w:r>
            <w:r w:rsidR="003D2926">
              <w:rPr>
                <w:webHidden/>
              </w:rPr>
              <w:tab/>
            </w:r>
            <w:r w:rsidR="003D2926">
              <w:rPr>
                <w:webHidden/>
              </w:rPr>
              <w:fldChar w:fldCharType="begin"/>
            </w:r>
            <w:r w:rsidR="003D2926">
              <w:rPr>
                <w:webHidden/>
              </w:rPr>
              <w:instrText xml:space="preserve"> PAGEREF _Toc530149432 \h </w:instrText>
            </w:r>
            <w:r w:rsidR="003D2926">
              <w:rPr>
                <w:webHidden/>
              </w:rPr>
            </w:r>
            <w:r w:rsidR="003D2926">
              <w:rPr>
                <w:webHidden/>
              </w:rPr>
              <w:fldChar w:fldCharType="separate"/>
            </w:r>
            <w:r w:rsidR="008C3C20">
              <w:rPr>
                <w:webHidden/>
              </w:rPr>
              <w:t>16</w:t>
            </w:r>
            <w:r w:rsidR="003D2926">
              <w:rPr>
                <w:webHidden/>
              </w:rPr>
              <w:fldChar w:fldCharType="end"/>
            </w:r>
          </w:hyperlink>
        </w:p>
        <w:p w14:paraId="2369CBAE" w14:textId="77777777" w:rsidR="003D2926" w:rsidRDefault="002314DF">
          <w:pPr>
            <w:pStyle w:val="TOC2"/>
            <w:tabs>
              <w:tab w:val="left" w:pos="1100"/>
            </w:tabs>
            <w:rPr>
              <w:rFonts w:asciiTheme="minorHAnsi" w:eastAsiaTheme="minorEastAsia" w:hAnsiTheme="minorHAnsi"/>
              <w:lang w:eastAsia="en-AU"/>
            </w:rPr>
          </w:pPr>
          <w:hyperlink w:anchor="_Toc530149433" w:history="1">
            <w:r w:rsidR="003D2926" w:rsidRPr="00A85F9F">
              <w:rPr>
                <w:rStyle w:val="Hyperlink"/>
              </w:rPr>
              <w:t>2.4</w:t>
            </w:r>
            <w:r w:rsidR="003D2926">
              <w:rPr>
                <w:rFonts w:asciiTheme="minorHAnsi" w:eastAsiaTheme="minorEastAsia" w:hAnsiTheme="minorHAnsi"/>
                <w:lang w:eastAsia="en-AU"/>
              </w:rPr>
              <w:tab/>
            </w:r>
            <w:r w:rsidR="003D2926" w:rsidRPr="00A85F9F">
              <w:rPr>
                <w:rStyle w:val="Hyperlink"/>
              </w:rPr>
              <w:t>Potential conflicts with Part IV of the Competition and Consumer Act 2010</w:t>
            </w:r>
            <w:r w:rsidR="003D2926">
              <w:rPr>
                <w:webHidden/>
              </w:rPr>
              <w:tab/>
            </w:r>
            <w:r w:rsidR="003D2926">
              <w:rPr>
                <w:webHidden/>
              </w:rPr>
              <w:fldChar w:fldCharType="begin"/>
            </w:r>
            <w:r w:rsidR="003D2926">
              <w:rPr>
                <w:webHidden/>
              </w:rPr>
              <w:instrText xml:space="preserve"> PAGEREF _Toc530149433 \h </w:instrText>
            </w:r>
            <w:r w:rsidR="003D2926">
              <w:rPr>
                <w:webHidden/>
              </w:rPr>
            </w:r>
            <w:r w:rsidR="003D2926">
              <w:rPr>
                <w:webHidden/>
              </w:rPr>
              <w:fldChar w:fldCharType="separate"/>
            </w:r>
            <w:r w:rsidR="008C3C20">
              <w:rPr>
                <w:webHidden/>
              </w:rPr>
              <w:t>17</w:t>
            </w:r>
            <w:r w:rsidR="003D2926">
              <w:rPr>
                <w:webHidden/>
              </w:rPr>
              <w:fldChar w:fldCharType="end"/>
            </w:r>
          </w:hyperlink>
        </w:p>
        <w:p w14:paraId="2CB7A4C9" w14:textId="77777777" w:rsidR="003D2926" w:rsidRDefault="002314DF">
          <w:pPr>
            <w:pStyle w:val="TOC1"/>
            <w:rPr>
              <w:rFonts w:asciiTheme="minorHAnsi" w:eastAsiaTheme="minorEastAsia" w:hAnsiTheme="minorHAnsi"/>
              <w:b w:val="0"/>
              <w:lang w:eastAsia="en-AU"/>
            </w:rPr>
          </w:pPr>
          <w:hyperlink w:anchor="_Toc530149434" w:history="1">
            <w:r w:rsidR="003D2926" w:rsidRPr="00A85F9F">
              <w:rPr>
                <w:rStyle w:val="Hyperlink"/>
              </w:rPr>
              <w:t>3</w:t>
            </w:r>
            <w:r w:rsidR="003D2926">
              <w:rPr>
                <w:rFonts w:asciiTheme="minorHAnsi" w:eastAsiaTheme="minorEastAsia" w:hAnsiTheme="minorHAnsi"/>
                <w:b w:val="0"/>
                <w:lang w:eastAsia="en-AU"/>
              </w:rPr>
              <w:tab/>
            </w:r>
            <w:r w:rsidR="003D2926" w:rsidRPr="00A85F9F">
              <w:rPr>
                <w:rStyle w:val="Hyperlink"/>
              </w:rPr>
              <w:t>Long-term strategy</w:t>
            </w:r>
            <w:r w:rsidR="003D2926">
              <w:rPr>
                <w:webHidden/>
              </w:rPr>
              <w:tab/>
            </w:r>
            <w:r w:rsidR="003D2926">
              <w:rPr>
                <w:webHidden/>
              </w:rPr>
              <w:fldChar w:fldCharType="begin"/>
            </w:r>
            <w:r w:rsidR="003D2926">
              <w:rPr>
                <w:webHidden/>
              </w:rPr>
              <w:instrText xml:space="preserve"> PAGEREF _Toc530149434 \h </w:instrText>
            </w:r>
            <w:r w:rsidR="003D2926">
              <w:rPr>
                <w:webHidden/>
              </w:rPr>
            </w:r>
            <w:r w:rsidR="003D2926">
              <w:rPr>
                <w:webHidden/>
              </w:rPr>
              <w:fldChar w:fldCharType="separate"/>
            </w:r>
            <w:r w:rsidR="008C3C20">
              <w:rPr>
                <w:webHidden/>
              </w:rPr>
              <w:t>19</w:t>
            </w:r>
            <w:r w:rsidR="003D2926">
              <w:rPr>
                <w:webHidden/>
              </w:rPr>
              <w:fldChar w:fldCharType="end"/>
            </w:r>
          </w:hyperlink>
        </w:p>
        <w:p w14:paraId="1C396CF1" w14:textId="77777777" w:rsidR="003D2926" w:rsidRDefault="002314DF">
          <w:pPr>
            <w:pStyle w:val="TOC1"/>
            <w:rPr>
              <w:rFonts w:asciiTheme="minorHAnsi" w:eastAsiaTheme="minorEastAsia" w:hAnsiTheme="minorHAnsi"/>
              <w:b w:val="0"/>
              <w:lang w:eastAsia="en-AU"/>
            </w:rPr>
          </w:pPr>
          <w:hyperlink w:anchor="_Toc530149435" w:history="1">
            <w:r w:rsidR="003D2926" w:rsidRPr="00A85F9F">
              <w:rPr>
                <w:rStyle w:val="Hyperlink"/>
              </w:rPr>
              <w:t>Appendix A: Sugar industry inquiries and reviews</w:t>
            </w:r>
            <w:r w:rsidR="003D2926">
              <w:rPr>
                <w:webHidden/>
              </w:rPr>
              <w:tab/>
            </w:r>
            <w:r w:rsidR="003D2926">
              <w:rPr>
                <w:webHidden/>
              </w:rPr>
              <w:fldChar w:fldCharType="begin"/>
            </w:r>
            <w:r w:rsidR="003D2926">
              <w:rPr>
                <w:webHidden/>
              </w:rPr>
              <w:instrText xml:space="preserve"> PAGEREF _Toc530149435 \h </w:instrText>
            </w:r>
            <w:r w:rsidR="003D2926">
              <w:rPr>
                <w:webHidden/>
              </w:rPr>
            </w:r>
            <w:r w:rsidR="003D2926">
              <w:rPr>
                <w:webHidden/>
              </w:rPr>
              <w:fldChar w:fldCharType="separate"/>
            </w:r>
            <w:r w:rsidR="008C3C20">
              <w:rPr>
                <w:webHidden/>
              </w:rPr>
              <w:t>21</w:t>
            </w:r>
            <w:r w:rsidR="003D2926">
              <w:rPr>
                <w:webHidden/>
              </w:rPr>
              <w:fldChar w:fldCharType="end"/>
            </w:r>
          </w:hyperlink>
        </w:p>
        <w:p w14:paraId="62151CAF" w14:textId="77777777" w:rsidR="003D2926" w:rsidRDefault="002314DF">
          <w:pPr>
            <w:pStyle w:val="TOC1"/>
            <w:rPr>
              <w:rFonts w:asciiTheme="minorHAnsi" w:eastAsiaTheme="minorEastAsia" w:hAnsiTheme="minorHAnsi"/>
              <w:b w:val="0"/>
              <w:lang w:eastAsia="en-AU"/>
            </w:rPr>
          </w:pPr>
          <w:hyperlink w:anchor="_Toc530149436" w:history="1">
            <w:r w:rsidR="003D2926" w:rsidRPr="00A85F9F">
              <w:rPr>
                <w:rStyle w:val="Hyperlink"/>
              </w:rPr>
              <w:t>Appendix B: Operation of the code</w:t>
            </w:r>
            <w:r w:rsidR="003D2926">
              <w:rPr>
                <w:webHidden/>
              </w:rPr>
              <w:tab/>
            </w:r>
            <w:r w:rsidR="003D2926">
              <w:rPr>
                <w:webHidden/>
              </w:rPr>
              <w:fldChar w:fldCharType="begin"/>
            </w:r>
            <w:r w:rsidR="003D2926">
              <w:rPr>
                <w:webHidden/>
              </w:rPr>
              <w:instrText xml:space="preserve"> PAGEREF _Toc530149436 \h </w:instrText>
            </w:r>
            <w:r w:rsidR="003D2926">
              <w:rPr>
                <w:webHidden/>
              </w:rPr>
            </w:r>
            <w:r w:rsidR="003D2926">
              <w:rPr>
                <w:webHidden/>
              </w:rPr>
              <w:fldChar w:fldCharType="separate"/>
            </w:r>
            <w:r w:rsidR="008C3C20">
              <w:rPr>
                <w:webHidden/>
              </w:rPr>
              <w:t>24</w:t>
            </w:r>
            <w:r w:rsidR="003D2926">
              <w:rPr>
                <w:webHidden/>
              </w:rPr>
              <w:fldChar w:fldCharType="end"/>
            </w:r>
          </w:hyperlink>
        </w:p>
        <w:p w14:paraId="5EFA5C2F" w14:textId="77777777" w:rsidR="003D2926" w:rsidRDefault="002314DF">
          <w:pPr>
            <w:pStyle w:val="TOC2"/>
            <w:rPr>
              <w:rFonts w:asciiTheme="minorHAnsi" w:eastAsiaTheme="minorEastAsia" w:hAnsiTheme="minorHAnsi"/>
              <w:lang w:eastAsia="en-AU"/>
            </w:rPr>
          </w:pPr>
          <w:hyperlink w:anchor="_Toc530149437" w:history="1">
            <w:r w:rsidR="003D2926" w:rsidRPr="00A85F9F">
              <w:rPr>
                <w:rStyle w:val="Hyperlink"/>
                <w:lang w:eastAsia="ja-JP"/>
              </w:rPr>
              <w:t>Part 2—Obligation to act in good faith</w:t>
            </w:r>
            <w:r w:rsidR="003D2926">
              <w:rPr>
                <w:webHidden/>
              </w:rPr>
              <w:tab/>
            </w:r>
            <w:r w:rsidR="003D2926">
              <w:rPr>
                <w:webHidden/>
              </w:rPr>
              <w:fldChar w:fldCharType="begin"/>
            </w:r>
            <w:r w:rsidR="003D2926">
              <w:rPr>
                <w:webHidden/>
              </w:rPr>
              <w:instrText xml:space="preserve"> PAGEREF _Toc530149437 \h </w:instrText>
            </w:r>
            <w:r w:rsidR="003D2926">
              <w:rPr>
                <w:webHidden/>
              </w:rPr>
            </w:r>
            <w:r w:rsidR="003D2926">
              <w:rPr>
                <w:webHidden/>
              </w:rPr>
              <w:fldChar w:fldCharType="separate"/>
            </w:r>
            <w:r w:rsidR="008C3C20">
              <w:rPr>
                <w:webHidden/>
              </w:rPr>
              <w:t>24</w:t>
            </w:r>
            <w:r w:rsidR="003D2926">
              <w:rPr>
                <w:webHidden/>
              </w:rPr>
              <w:fldChar w:fldCharType="end"/>
            </w:r>
          </w:hyperlink>
        </w:p>
        <w:p w14:paraId="45AF6585" w14:textId="77777777" w:rsidR="003D2926" w:rsidRDefault="002314DF">
          <w:pPr>
            <w:pStyle w:val="TOC2"/>
            <w:rPr>
              <w:rFonts w:asciiTheme="minorHAnsi" w:eastAsiaTheme="minorEastAsia" w:hAnsiTheme="minorHAnsi"/>
              <w:lang w:eastAsia="en-AU"/>
            </w:rPr>
          </w:pPr>
          <w:hyperlink w:anchor="_Toc530149438" w:history="1">
            <w:r w:rsidR="003D2926" w:rsidRPr="00A85F9F">
              <w:rPr>
                <w:rStyle w:val="Hyperlink"/>
                <w:lang w:eastAsia="ja-JP"/>
              </w:rPr>
              <w:t>Part 3—Supply contracts</w:t>
            </w:r>
            <w:r w:rsidR="003D2926">
              <w:rPr>
                <w:webHidden/>
              </w:rPr>
              <w:tab/>
            </w:r>
            <w:r w:rsidR="003D2926">
              <w:rPr>
                <w:webHidden/>
              </w:rPr>
              <w:fldChar w:fldCharType="begin"/>
            </w:r>
            <w:r w:rsidR="003D2926">
              <w:rPr>
                <w:webHidden/>
              </w:rPr>
              <w:instrText xml:space="preserve"> PAGEREF _Toc530149438 \h </w:instrText>
            </w:r>
            <w:r w:rsidR="003D2926">
              <w:rPr>
                <w:webHidden/>
              </w:rPr>
            </w:r>
            <w:r w:rsidR="003D2926">
              <w:rPr>
                <w:webHidden/>
              </w:rPr>
              <w:fldChar w:fldCharType="separate"/>
            </w:r>
            <w:r w:rsidR="008C3C20">
              <w:rPr>
                <w:webHidden/>
              </w:rPr>
              <w:t>24</w:t>
            </w:r>
            <w:r w:rsidR="003D2926">
              <w:rPr>
                <w:webHidden/>
              </w:rPr>
              <w:fldChar w:fldCharType="end"/>
            </w:r>
          </w:hyperlink>
        </w:p>
        <w:p w14:paraId="74D66F1D" w14:textId="77777777" w:rsidR="003D2926" w:rsidRDefault="002314DF">
          <w:pPr>
            <w:pStyle w:val="TOC2"/>
            <w:rPr>
              <w:rFonts w:asciiTheme="minorHAnsi" w:eastAsiaTheme="minorEastAsia" w:hAnsiTheme="minorHAnsi"/>
              <w:lang w:eastAsia="en-AU"/>
            </w:rPr>
          </w:pPr>
          <w:hyperlink w:anchor="_Toc530149439" w:history="1">
            <w:r w:rsidR="003D2926" w:rsidRPr="00A85F9F">
              <w:rPr>
                <w:rStyle w:val="Hyperlink"/>
                <w:lang w:eastAsia="ja-JP"/>
              </w:rPr>
              <w:t>Part 4—Arbitration of terms of intended on-supply agreements</w:t>
            </w:r>
            <w:r w:rsidR="003D2926">
              <w:rPr>
                <w:webHidden/>
              </w:rPr>
              <w:tab/>
            </w:r>
            <w:r w:rsidR="003D2926">
              <w:rPr>
                <w:webHidden/>
              </w:rPr>
              <w:fldChar w:fldCharType="begin"/>
            </w:r>
            <w:r w:rsidR="003D2926">
              <w:rPr>
                <w:webHidden/>
              </w:rPr>
              <w:instrText xml:space="preserve"> PAGEREF _Toc530149439 \h </w:instrText>
            </w:r>
            <w:r w:rsidR="003D2926">
              <w:rPr>
                <w:webHidden/>
              </w:rPr>
            </w:r>
            <w:r w:rsidR="003D2926">
              <w:rPr>
                <w:webHidden/>
              </w:rPr>
              <w:fldChar w:fldCharType="separate"/>
            </w:r>
            <w:r w:rsidR="008C3C20">
              <w:rPr>
                <w:webHidden/>
              </w:rPr>
              <w:t>24</w:t>
            </w:r>
            <w:r w:rsidR="003D2926">
              <w:rPr>
                <w:webHidden/>
              </w:rPr>
              <w:fldChar w:fldCharType="end"/>
            </w:r>
          </w:hyperlink>
        </w:p>
        <w:p w14:paraId="61719688" w14:textId="77777777" w:rsidR="003D2926" w:rsidRDefault="002314DF">
          <w:pPr>
            <w:pStyle w:val="TOC1"/>
            <w:rPr>
              <w:rFonts w:asciiTheme="minorHAnsi" w:eastAsiaTheme="minorEastAsia" w:hAnsiTheme="minorHAnsi"/>
              <w:b w:val="0"/>
              <w:lang w:eastAsia="en-AU"/>
            </w:rPr>
          </w:pPr>
          <w:hyperlink w:anchor="_Toc530149440" w:history="1">
            <w:r w:rsidR="003D2926" w:rsidRPr="00A85F9F">
              <w:rPr>
                <w:rStyle w:val="Hyperlink"/>
              </w:rPr>
              <w:t>Appendix C: Submissions received</w:t>
            </w:r>
            <w:r w:rsidR="003D2926">
              <w:rPr>
                <w:webHidden/>
              </w:rPr>
              <w:tab/>
            </w:r>
            <w:r w:rsidR="003D2926">
              <w:rPr>
                <w:webHidden/>
              </w:rPr>
              <w:fldChar w:fldCharType="begin"/>
            </w:r>
            <w:r w:rsidR="003D2926">
              <w:rPr>
                <w:webHidden/>
              </w:rPr>
              <w:instrText xml:space="preserve"> PAGEREF _Toc530149440 \h </w:instrText>
            </w:r>
            <w:r w:rsidR="003D2926">
              <w:rPr>
                <w:webHidden/>
              </w:rPr>
            </w:r>
            <w:r w:rsidR="003D2926">
              <w:rPr>
                <w:webHidden/>
              </w:rPr>
              <w:fldChar w:fldCharType="separate"/>
            </w:r>
            <w:r w:rsidR="008C3C20">
              <w:rPr>
                <w:webHidden/>
              </w:rPr>
              <w:t>25</w:t>
            </w:r>
            <w:r w:rsidR="003D2926">
              <w:rPr>
                <w:webHidden/>
              </w:rPr>
              <w:fldChar w:fldCharType="end"/>
            </w:r>
          </w:hyperlink>
        </w:p>
        <w:p w14:paraId="5DA8C7EE" w14:textId="77777777" w:rsidR="003D2926" w:rsidRDefault="002314DF">
          <w:pPr>
            <w:pStyle w:val="TOC1"/>
            <w:rPr>
              <w:rFonts w:asciiTheme="minorHAnsi" w:eastAsiaTheme="minorEastAsia" w:hAnsiTheme="minorHAnsi"/>
              <w:b w:val="0"/>
              <w:lang w:eastAsia="en-AU"/>
            </w:rPr>
          </w:pPr>
          <w:hyperlink w:anchor="_Toc530149441" w:history="1">
            <w:r w:rsidR="003D2926" w:rsidRPr="00A85F9F">
              <w:rPr>
                <w:rStyle w:val="Hyperlink"/>
              </w:rPr>
              <w:t>References</w:t>
            </w:r>
            <w:r w:rsidR="003D2926">
              <w:rPr>
                <w:webHidden/>
              </w:rPr>
              <w:tab/>
            </w:r>
            <w:r w:rsidR="003D2926">
              <w:rPr>
                <w:webHidden/>
              </w:rPr>
              <w:fldChar w:fldCharType="begin"/>
            </w:r>
            <w:r w:rsidR="003D2926">
              <w:rPr>
                <w:webHidden/>
              </w:rPr>
              <w:instrText xml:space="preserve"> PAGEREF _Toc530149441 \h </w:instrText>
            </w:r>
            <w:r w:rsidR="003D2926">
              <w:rPr>
                <w:webHidden/>
              </w:rPr>
            </w:r>
            <w:r w:rsidR="003D2926">
              <w:rPr>
                <w:webHidden/>
              </w:rPr>
              <w:fldChar w:fldCharType="separate"/>
            </w:r>
            <w:r w:rsidR="008C3C20">
              <w:rPr>
                <w:webHidden/>
              </w:rPr>
              <w:t>27</w:t>
            </w:r>
            <w:r w:rsidR="003D2926">
              <w:rPr>
                <w:webHidden/>
              </w:rPr>
              <w:fldChar w:fldCharType="end"/>
            </w:r>
          </w:hyperlink>
        </w:p>
        <w:p w14:paraId="18CF4154" w14:textId="77777777" w:rsidR="003F4055" w:rsidRDefault="0074664F">
          <w:r>
            <w:rPr>
              <w:b/>
              <w:noProof/>
            </w:rPr>
            <w:fldChar w:fldCharType="end"/>
          </w:r>
        </w:p>
      </w:sdtContent>
    </w:sdt>
    <w:p w14:paraId="6209FA3F" w14:textId="77777777" w:rsidR="003F4055" w:rsidRDefault="0074664F">
      <w:pPr>
        <w:pStyle w:val="TOCHeading2"/>
        <w:rPr>
          <w:rStyle w:val="Strong"/>
        </w:rPr>
      </w:pPr>
      <w:r>
        <w:rPr>
          <w:rStyle w:val="Strong"/>
        </w:rPr>
        <w:t>Tables</w:t>
      </w:r>
    </w:p>
    <w:p w14:paraId="33D22EB6" w14:textId="77777777" w:rsidR="003F4055" w:rsidRDefault="0074664F">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530055213" w:history="1">
        <w:r>
          <w:rPr>
            <w:rStyle w:val="Hyperlink"/>
            <w:noProof/>
          </w:rPr>
          <w:t>Table 1 Sugar code of conduct review, public consultations, 2018</w:t>
        </w:r>
        <w:r>
          <w:rPr>
            <w:noProof/>
            <w:webHidden/>
          </w:rPr>
          <w:tab/>
        </w:r>
        <w:r>
          <w:rPr>
            <w:noProof/>
            <w:webHidden/>
          </w:rPr>
          <w:fldChar w:fldCharType="begin"/>
        </w:r>
        <w:r>
          <w:rPr>
            <w:noProof/>
            <w:webHidden/>
          </w:rPr>
          <w:instrText xml:space="preserve"> PAGEREF _Toc530055213 \h </w:instrText>
        </w:r>
        <w:r>
          <w:rPr>
            <w:noProof/>
            <w:webHidden/>
          </w:rPr>
        </w:r>
        <w:r>
          <w:rPr>
            <w:noProof/>
            <w:webHidden/>
          </w:rPr>
          <w:fldChar w:fldCharType="separate"/>
        </w:r>
        <w:r w:rsidR="008C3C20">
          <w:rPr>
            <w:noProof/>
            <w:webHidden/>
          </w:rPr>
          <w:t>9</w:t>
        </w:r>
        <w:r>
          <w:rPr>
            <w:noProof/>
            <w:webHidden/>
          </w:rPr>
          <w:fldChar w:fldCharType="end"/>
        </w:r>
      </w:hyperlink>
    </w:p>
    <w:p w14:paraId="2156BE35" w14:textId="77777777" w:rsidR="003F4055" w:rsidRDefault="0074664F">
      <w:pPr>
        <w:pStyle w:val="TableofFigures"/>
        <w:tabs>
          <w:tab w:val="right" w:leader="dot" w:pos="9060"/>
        </w:tabs>
        <w:rPr>
          <w:noProof/>
        </w:rPr>
      </w:pPr>
      <w:r>
        <w:rPr>
          <w:noProof/>
        </w:rPr>
        <w:fldChar w:fldCharType="end"/>
      </w:r>
      <w:r>
        <w:fldChar w:fldCharType="begin"/>
      </w:r>
      <w:r>
        <w:instrText xml:space="preserve"> TOC \h \z \c "Table A" </w:instrText>
      </w:r>
      <w:r>
        <w:fldChar w:fldCharType="separate"/>
      </w:r>
      <w:hyperlink w:anchor="_Toc530050600" w:history="1">
        <w:r>
          <w:rPr>
            <w:rStyle w:val="Hyperlink"/>
            <w:noProof/>
          </w:rPr>
          <w:t>Table A1 Sugar industry inquiries and reviews, 1983 to 2017</w:t>
        </w:r>
        <w:r>
          <w:rPr>
            <w:noProof/>
            <w:webHidden/>
          </w:rPr>
          <w:tab/>
        </w:r>
        <w:r>
          <w:rPr>
            <w:noProof/>
            <w:webHidden/>
          </w:rPr>
          <w:fldChar w:fldCharType="begin"/>
        </w:r>
        <w:r>
          <w:rPr>
            <w:noProof/>
            <w:webHidden/>
          </w:rPr>
          <w:instrText xml:space="preserve"> PAGEREF _Toc530050600 \h </w:instrText>
        </w:r>
        <w:r>
          <w:rPr>
            <w:noProof/>
            <w:webHidden/>
          </w:rPr>
        </w:r>
        <w:r>
          <w:rPr>
            <w:noProof/>
            <w:webHidden/>
          </w:rPr>
          <w:fldChar w:fldCharType="separate"/>
        </w:r>
        <w:r w:rsidR="008C3C20">
          <w:rPr>
            <w:noProof/>
            <w:webHidden/>
          </w:rPr>
          <w:t>21</w:t>
        </w:r>
        <w:r>
          <w:rPr>
            <w:noProof/>
            <w:webHidden/>
          </w:rPr>
          <w:fldChar w:fldCharType="end"/>
        </w:r>
      </w:hyperlink>
    </w:p>
    <w:p w14:paraId="17CBB2AD" w14:textId="77777777" w:rsidR="003F4055" w:rsidRDefault="0074664F">
      <w:pPr>
        <w:pStyle w:val="TableofFigures"/>
        <w:tabs>
          <w:tab w:val="right" w:leader="dot" w:pos="9060"/>
        </w:tabs>
      </w:pPr>
      <w:r>
        <w:fldChar w:fldCharType="end"/>
      </w:r>
    </w:p>
    <w:p w14:paraId="7C924BE5" w14:textId="77777777" w:rsidR="003F4055" w:rsidRDefault="0074664F">
      <w:pPr>
        <w:pStyle w:val="TOCHeading2"/>
        <w:rPr>
          <w:rStyle w:val="Strong"/>
        </w:rPr>
      </w:pPr>
      <w:r>
        <w:rPr>
          <w:rStyle w:val="Strong"/>
        </w:rPr>
        <w:t>Figures</w:t>
      </w:r>
    </w:p>
    <w:p w14:paraId="1376811D" w14:textId="77777777" w:rsidR="003F4055" w:rsidRDefault="0074664F">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530055214" w:history="1">
        <w:r>
          <w:rPr>
            <w:rStyle w:val="Hyperlink"/>
            <w:noProof/>
          </w:rPr>
          <w:t>Figure 1 Sugar, average world nominal price, 2014–2018 a</w:t>
        </w:r>
        <w:r>
          <w:rPr>
            <w:noProof/>
            <w:webHidden/>
          </w:rPr>
          <w:tab/>
        </w:r>
        <w:r>
          <w:rPr>
            <w:noProof/>
            <w:webHidden/>
          </w:rPr>
          <w:fldChar w:fldCharType="begin"/>
        </w:r>
        <w:r>
          <w:rPr>
            <w:noProof/>
            <w:webHidden/>
          </w:rPr>
          <w:instrText xml:space="preserve"> PAGEREF _Toc530055214 \h </w:instrText>
        </w:r>
        <w:r>
          <w:rPr>
            <w:noProof/>
            <w:webHidden/>
          </w:rPr>
        </w:r>
        <w:r>
          <w:rPr>
            <w:noProof/>
            <w:webHidden/>
          </w:rPr>
          <w:fldChar w:fldCharType="separate"/>
        </w:r>
        <w:r w:rsidR="008C3C20">
          <w:rPr>
            <w:noProof/>
            <w:webHidden/>
          </w:rPr>
          <w:t>14</w:t>
        </w:r>
        <w:r>
          <w:rPr>
            <w:noProof/>
            <w:webHidden/>
          </w:rPr>
          <w:fldChar w:fldCharType="end"/>
        </w:r>
      </w:hyperlink>
    </w:p>
    <w:p w14:paraId="4443DED2" w14:textId="77777777" w:rsidR="003F4055" w:rsidRDefault="002314DF">
      <w:pPr>
        <w:pStyle w:val="TableofFigures"/>
        <w:tabs>
          <w:tab w:val="right" w:leader="dot" w:pos="9060"/>
        </w:tabs>
        <w:rPr>
          <w:rFonts w:asciiTheme="minorHAnsi" w:eastAsiaTheme="minorEastAsia" w:hAnsiTheme="minorHAnsi"/>
          <w:noProof/>
          <w:lang w:eastAsia="en-AU"/>
        </w:rPr>
      </w:pPr>
      <w:hyperlink w:anchor="_Toc530055215" w:history="1">
        <w:r w:rsidR="0074664F">
          <w:rPr>
            <w:rStyle w:val="Hyperlink"/>
            <w:noProof/>
          </w:rPr>
          <w:t>Figure 2 Australian sugarcane and dairy farm productivity, 1970–71 to 2012–13</w:t>
        </w:r>
        <w:r w:rsidR="0074664F">
          <w:rPr>
            <w:noProof/>
            <w:webHidden/>
          </w:rPr>
          <w:tab/>
        </w:r>
        <w:r w:rsidR="0074664F">
          <w:rPr>
            <w:noProof/>
            <w:webHidden/>
          </w:rPr>
          <w:fldChar w:fldCharType="begin"/>
        </w:r>
        <w:r w:rsidR="0074664F">
          <w:rPr>
            <w:noProof/>
            <w:webHidden/>
          </w:rPr>
          <w:instrText xml:space="preserve"> PAGEREF _Toc530055215 \h </w:instrText>
        </w:r>
        <w:r w:rsidR="0074664F">
          <w:rPr>
            <w:noProof/>
            <w:webHidden/>
          </w:rPr>
        </w:r>
        <w:r w:rsidR="0074664F">
          <w:rPr>
            <w:noProof/>
            <w:webHidden/>
          </w:rPr>
          <w:fldChar w:fldCharType="separate"/>
        </w:r>
        <w:r w:rsidR="008C3C20">
          <w:rPr>
            <w:noProof/>
            <w:webHidden/>
          </w:rPr>
          <w:t>19</w:t>
        </w:r>
        <w:r w:rsidR="0074664F">
          <w:rPr>
            <w:noProof/>
            <w:webHidden/>
          </w:rPr>
          <w:fldChar w:fldCharType="end"/>
        </w:r>
      </w:hyperlink>
    </w:p>
    <w:p w14:paraId="7AC7FB59" w14:textId="77777777" w:rsidR="003F4055" w:rsidRDefault="0074664F">
      <w:r>
        <w:fldChar w:fldCharType="end"/>
      </w:r>
    </w:p>
    <w:p w14:paraId="65027619" w14:textId="77777777" w:rsidR="003F4055" w:rsidRDefault="0074664F">
      <w:pPr>
        <w:pStyle w:val="Heading2"/>
        <w:numPr>
          <w:ilvl w:val="0"/>
          <w:numId w:val="0"/>
        </w:numPr>
        <w:ind w:left="709" w:hanging="709"/>
      </w:pPr>
      <w:bookmarkStart w:id="1" w:name="_Toc430782149"/>
      <w:bookmarkStart w:id="2" w:name="_Toc530149416"/>
      <w:r>
        <w:lastRenderedPageBreak/>
        <w:t>Summary</w:t>
      </w:r>
      <w:bookmarkEnd w:id="1"/>
      <w:bookmarkEnd w:id="2"/>
    </w:p>
    <w:p w14:paraId="2A798529" w14:textId="6CA85A65" w:rsidR="003F4055" w:rsidRDefault="0074664F">
      <w:r>
        <w:t xml:space="preserve">The Australian sugarcane industry is one of Australia’s largest rural industries. Cane farms are located across Queensland from Mossman in the far north to Grafton in northern New South Wales, and are largely owned by sole proprietors and family partnerships. The industry is unique because cut sugar is highly perishable, so it must be sent nearby for </w:t>
      </w:r>
      <w:r w:rsidR="00D528FD">
        <w:t>milling</w:t>
      </w:r>
      <w:r>
        <w:t>—limiting competition. Growers and their local mills are depend</w:t>
      </w:r>
      <w:r w:rsidR="00123544">
        <w:t>ent</w:t>
      </w:r>
      <w:r>
        <w:t xml:space="preserve"> on each other to achieve high global sugar prices because of the long planting and harvesting cycle, the limited crushing season and long forward contracts that are entered into when selling sugar.</w:t>
      </w:r>
    </w:p>
    <w:p w14:paraId="12F634D6" w14:textId="43C23BEA" w:rsidR="003F4055" w:rsidRDefault="0074664F">
      <w:r>
        <w:t xml:space="preserve">Until 2006 the industry was highly regulated. </w:t>
      </w:r>
      <w:r w:rsidR="003958FD">
        <w:t>R</w:t>
      </w:r>
      <w:r>
        <w:t xml:space="preserve">eviews found it to be uncompetitive internationally, unable to handle volatile global sugar prices and not adaptive to innovation. In </w:t>
      </w:r>
      <w:r w:rsidR="003958FD">
        <w:t xml:space="preserve">2005 </w:t>
      </w:r>
      <w:r>
        <w:t xml:space="preserve">industry participants together agreed to move to a more commercial, non-legislative marketing structure and the Queensland Government agreed to introduce to parliament the legislative amendments necessary to support the structural changes. The subsequent deregulation in 2006 </w:t>
      </w:r>
      <w:r w:rsidR="003958FD">
        <w:t xml:space="preserve">removed export restrictions and </w:t>
      </w:r>
      <w:r>
        <w:t>created a system where parties were able to freely negotiate contractual terms.</w:t>
      </w:r>
    </w:p>
    <w:p w14:paraId="0A55BF66" w14:textId="4AF4B401" w:rsidR="003F4055" w:rsidRDefault="0074664F">
      <w:r>
        <w:t xml:space="preserve">Since deregulation the industry has become globally competitive, and this was achieved without the level of government support seen in many other sugar-producing countries. Many growers and millers adjusted readily to the new environment and were able to engage in stable, productive and robust commercial negotiations. However, </w:t>
      </w:r>
      <w:r w:rsidR="00123544">
        <w:t xml:space="preserve">some </w:t>
      </w:r>
      <w:r>
        <w:t xml:space="preserve">experienced difficulties reaching mutually acceptable contract terms—leading to prolonged negotiating impasses. As a result, the Queensland Parliament amended the </w:t>
      </w:r>
      <w:r w:rsidRPr="00123544">
        <w:rPr>
          <w:rStyle w:val="Emphasis"/>
        </w:rPr>
        <w:t>Sugar Industry Act 1999</w:t>
      </w:r>
      <w:r>
        <w:t xml:space="preserve"> (</w:t>
      </w:r>
      <w:r w:rsidR="00D528FD">
        <w:t>Sugar Industry Act</w:t>
      </w:r>
      <w:r>
        <w:t xml:space="preserve">) and the Australian </w:t>
      </w:r>
      <w:r w:rsidRPr="00123544">
        <w:t>Parliament</w:t>
      </w:r>
      <w:r>
        <w:t xml:space="preserve"> made the Competition and Consumer (Industry Code—Sugar) Regulations 2017, known as the sugar code of conduct. The code was created to give parties more certainty about options available to resolve the negotiating deadlock. </w:t>
      </w:r>
      <w:r w:rsidR="001B7C0E">
        <w:t>The Regulations require a review of the code after 18 months</w:t>
      </w:r>
      <w:r>
        <w:t xml:space="preserve"> to determine whether it had achieved their objectives and to consider its future.</w:t>
      </w:r>
    </w:p>
    <w:p w14:paraId="169C74BD" w14:textId="53189582" w:rsidR="003F4055" w:rsidRDefault="0074664F">
      <w:r>
        <w:t>In the course of conducting this review, there was evidence that the industry is work</w:t>
      </w:r>
      <w:r w:rsidR="001B7C0E">
        <w:t>ing</w:t>
      </w:r>
      <w:r>
        <w:t xml:space="preserve"> together to achieve mutually beneficial outcomes. For example, representatives from across the industry formed the Australian Sugar Industry Alliance (ASA)</w:t>
      </w:r>
      <w:r w:rsidR="001B7C0E">
        <w:t>. Industry representative bodies are also jointly preparing to host</w:t>
      </w:r>
      <w:r>
        <w:t xml:space="preserve"> the July 2019 International Sugar Organization Conference.</w:t>
      </w:r>
    </w:p>
    <w:p w14:paraId="0B37317B" w14:textId="77777777" w:rsidR="003F4055" w:rsidRDefault="0074664F">
      <w:pPr>
        <w:pStyle w:val="Heading3"/>
        <w:numPr>
          <w:ilvl w:val="0"/>
          <w:numId w:val="0"/>
        </w:numPr>
        <w:ind w:left="964" w:hanging="964"/>
      </w:pPr>
      <w:bookmarkStart w:id="3" w:name="_Toc530149417"/>
      <w:r>
        <w:t>Key findings of the review</w:t>
      </w:r>
      <w:bookmarkEnd w:id="3"/>
    </w:p>
    <w:p w14:paraId="5F7205B6" w14:textId="6FD3F086" w:rsidR="003F4055" w:rsidRDefault="0074664F">
      <w:pPr>
        <w:pStyle w:val="Heading4"/>
        <w:numPr>
          <w:ilvl w:val="0"/>
          <w:numId w:val="0"/>
        </w:numPr>
        <w:ind w:left="964" w:hanging="964"/>
      </w:pPr>
      <w:r>
        <w:t>Code provides a clear dispute resolution mechanism</w:t>
      </w:r>
    </w:p>
    <w:p w14:paraId="345202A4" w14:textId="0DE0EDB1" w:rsidR="003F4055" w:rsidRDefault="0074664F">
      <w:r>
        <w:t xml:space="preserve">In a deregulated environment, commercial terms of contracts should be reached through negotiation not regulation. However, in the Australian sugar industry a small proportion of parties </w:t>
      </w:r>
      <w:r w:rsidR="00D648D0">
        <w:t>do not</w:t>
      </w:r>
      <w:r>
        <w:t xml:space="preserve"> yet appear to be at a point where this will occur without continued regulatory support.</w:t>
      </w:r>
    </w:p>
    <w:p w14:paraId="493C1A28" w14:textId="540DF575" w:rsidR="003F4055" w:rsidRDefault="0074664F">
      <w:r>
        <w:t>The code provides clear avenues for dispute resolution, supporting productive industry contracting and negotiation.</w:t>
      </w:r>
    </w:p>
    <w:p w14:paraId="21C43C70" w14:textId="090B5268" w:rsidR="003F4055" w:rsidRDefault="0074664F">
      <w:pPr>
        <w:pStyle w:val="Heading4"/>
        <w:numPr>
          <w:ilvl w:val="0"/>
          <w:numId w:val="0"/>
        </w:numPr>
        <w:ind w:left="964" w:hanging="964"/>
      </w:pPr>
      <w:r>
        <w:lastRenderedPageBreak/>
        <w:t>Code should be refined to avoid unintended consequences</w:t>
      </w:r>
    </w:p>
    <w:p w14:paraId="004F483E" w14:textId="2553ECD3" w:rsidR="003F4055" w:rsidRDefault="0074664F">
      <w:r>
        <w:t>Miller feedback included the concern that clauses defining the terms of pre-contract arbitration could be interpreted to apply to products other than raw sugar. In the past, millers have used sugarcane by-products to create other products (such as molasses), offsetting operational costs and sustaining profitability.</w:t>
      </w:r>
    </w:p>
    <w:p w14:paraId="7C9324CC" w14:textId="1162B033" w:rsidR="003F4055" w:rsidRDefault="0074664F">
      <w:r>
        <w:t>The code should be clearer and more specific that it applies to raw sugar only. This would provide millers with confidence to invest in other innovative products and in the industry more generally.</w:t>
      </w:r>
    </w:p>
    <w:p w14:paraId="33F7A1BE" w14:textId="120E5172" w:rsidR="003F4055" w:rsidRDefault="0074664F">
      <w:pPr>
        <w:pStyle w:val="Heading4"/>
        <w:numPr>
          <w:ilvl w:val="0"/>
          <w:numId w:val="0"/>
        </w:numPr>
        <w:ind w:left="964" w:hanging="964"/>
      </w:pPr>
      <w:r>
        <w:t>Code should focus on dispute resolution</w:t>
      </w:r>
    </w:p>
    <w:p w14:paraId="3E04D303" w14:textId="0D18554E" w:rsidR="003F4055" w:rsidRDefault="0074664F">
      <w:r>
        <w:t xml:space="preserve">A major function of </w:t>
      </w:r>
      <w:r w:rsidR="001B7C0E">
        <w:t>i</w:t>
      </w:r>
      <w:r>
        <w:t>ndustry codes is to provide parties with certainty on avenues available to resolve disputes. They should help regulate the behaviour of parties in their dealings rather than specify the outcomes of dealings. Codes that provide flexibility so parties can arrive at agreements that best suit their circumstances are preferable to those that pre-empt negotiation outcomes and potentially leave both parties worse off.</w:t>
      </w:r>
    </w:p>
    <w:p w14:paraId="5A1FDD86" w14:textId="13001EDB" w:rsidR="003F4055" w:rsidRDefault="0074664F">
      <w:r>
        <w:t>The sugar code of conduct largely focuses on resolving disputes, but one clause may pre-empt negotiations. This clause specifies that millers cannot exercise the right to market all the sugar they produce as they see fit but rather provides growers with power to select the marketer a miller must use for a proportion of sugar produced. The provision is not well suited to a code of conduct because it reaches into commercial matters and determines an outcome that may not be in the best interests of either party or the industry.</w:t>
      </w:r>
    </w:p>
    <w:p w14:paraId="138249CE" w14:textId="05DBF165" w:rsidR="003F4055" w:rsidRDefault="0074664F">
      <w:r>
        <w:t>There is evidence of commercial arrangements where millers and growers have agreed that marketing activities continue to remain the responsibility of the miller.</w:t>
      </w:r>
    </w:p>
    <w:p w14:paraId="08561B70" w14:textId="5B9E56BD" w:rsidR="003F4055" w:rsidRDefault="0074664F">
      <w:r>
        <w:t>The Australian Government Productivity Commission (</w:t>
      </w:r>
      <w:r w:rsidR="001B7C0E">
        <w:t>2016</w:t>
      </w:r>
      <w:r w:rsidR="00D528FD">
        <w:t>)</w:t>
      </w:r>
      <w:r>
        <w:t xml:space="preserve"> and the Queensland Productivity Commission (</w:t>
      </w:r>
      <w:r w:rsidR="001B7C0E">
        <w:t>2015</w:t>
      </w:r>
      <w:r w:rsidR="00D528FD">
        <w:t xml:space="preserve">) </w:t>
      </w:r>
      <w:r>
        <w:t xml:space="preserve">have separately concluded that these marketing restrictions impede profitability in the sector. </w:t>
      </w:r>
      <w:r w:rsidR="00887939">
        <w:t>The</w:t>
      </w:r>
      <w:r>
        <w:t xml:space="preserve"> marketing provisions </w:t>
      </w:r>
      <w:r w:rsidR="00887939">
        <w:t xml:space="preserve">in the code </w:t>
      </w:r>
      <w:r>
        <w:t xml:space="preserve">duplicate </w:t>
      </w:r>
      <w:r w:rsidR="00D528FD">
        <w:t>the Sugar Industry Act</w:t>
      </w:r>
      <w:r>
        <w:t>, meaning that code provisions have no practical effect. The review recommends that the marketing restrictions provision be removed from the code and that the Queensland Government retain responsibility for marketing restriction issues.</w:t>
      </w:r>
    </w:p>
    <w:p w14:paraId="6A67429F" w14:textId="0785A6BF" w:rsidR="003F4055" w:rsidRDefault="0074664F">
      <w:pPr>
        <w:pStyle w:val="Heading4"/>
        <w:numPr>
          <w:ilvl w:val="0"/>
          <w:numId w:val="0"/>
        </w:numPr>
      </w:pPr>
      <w:r>
        <w:t>Industry should continue to work together to achieve mutually beneficial outcomes</w:t>
      </w:r>
    </w:p>
    <w:p w14:paraId="6E676B50" w14:textId="1EEAFCEF" w:rsidR="003F4055" w:rsidRDefault="0074664F">
      <w:r>
        <w:t>Sugar industry participants should continue to work together to ensure the industry remains profitable and viable into the future. Despite tensions in recent years, the work of the ASA and other industry players is encouraging. Going forward, industry should develop a strategy and gain support for it from all representative bodies.</w:t>
      </w:r>
    </w:p>
    <w:p w14:paraId="108CCC4F" w14:textId="77777777" w:rsidR="003F4055" w:rsidRDefault="0074664F" w:rsidP="00235C35">
      <w:pPr>
        <w:pStyle w:val="Heading2"/>
        <w:numPr>
          <w:ilvl w:val="0"/>
          <w:numId w:val="0"/>
        </w:numPr>
      </w:pPr>
      <w:bookmarkStart w:id="4" w:name="_Toc530149418"/>
      <w:r>
        <w:lastRenderedPageBreak/>
        <w:t>Recommendations</w:t>
      </w:r>
      <w:bookmarkEnd w:id="4"/>
    </w:p>
    <w:p w14:paraId="0486AA13" w14:textId="5C4A8F1B" w:rsidR="003F4055" w:rsidRDefault="0074664F">
      <w:pPr>
        <w:pStyle w:val="ListNumber"/>
      </w:pPr>
      <w:r>
        <w:t xml:space="preserve">The code should be retained to continue to provide certainty for growers and millers regarding their arbitration options while they conclude their adjustment to commercially negotiated cane supply contracts.  </w:t>
      </w:r>
    </w:p>
    <w:p w14:paraId="3D37574C" w14:textId="36184F07" w:rsidR="003F4055" w:rsidRDefault="0074664F">
      <w:pPr>
        <w:pStyle w:val="ListNumber"/>
      </w:pPr>
      <w:r>
        <w:t>The code should be amended to make clear that pre-contractual arbitration applies to raw sugar only and not to any other products obtained from sugar cane. This will provide millers with regulatory certainty and facilitate investment in milling assets and development of innovative products.</w:t>
      </w:r>
    </w:p>
    <w:p w14:paraId="0F1CC186" w14:textId="348A5DCC" w:rsidR="003F4055" w:rsidRDefault="0074664F">
      <w:pPr>
        <w:pStyle w:val="ListNumber"/>
      </w:pPr>
      <w:r>
        <w:t xml:space="preserve">The provision that allows growers to choose their marketer should be repealed from the code. It is inconsistent with the objectives and benefits of the recent evolution of the industry’s regulatory arrangements, and duplicates obligations already contained in the </w:t>
      </w:r>
      <w:r w:rsidRPr="00B831AD">
        <w:rPr>
          <w:rStyle w:val="Emphasis"/>
        </w:rPr>
        <w:t>Sugar Industry Act 1999</w:t>
      </w:r>
      <w:r>
        <w:t>.</w:t>
      </w:r>
    </w:p>
    <w:p w14:paraId="6BE9D39F" w14:textId="5EBB4255" w:rsidR="003F4055" w:rsidRDefault="0074664F">
      <w:pPr>
        <w:pStyle w:val="ListNumber"/>
      </w:pPr>
      <w:r>
        <w:t>The Code should be reviewed in two years to assess whether commercial relationships between the parties have matured and whether the code is still needed.</w:t>
      </w:r>
    </w:p>
    <w:p w14:paraId="04686FCE" w14:textId="0C4EF247" w:rsidR="003F4055" w:rsidRDefault="0074664F">
      <w:pPr>
        <w:pStyle w:val="ListNumber"/>
      </w:pPr>
      <w:r>
        <w:t>Australian sugar industry representative bodies should work collaboratively to develop a long-term strategy to address shared future challenges.</w:t>
      </w:r>
    </w:p>
    <w:p w14:paraId="3595DAD3" w14:textId="69B249D8" w:rsidR="003F4055" w:rsidRDefault="0074664F">
      <w:pPr>
        <w:pStyle w:val="ListNumber"/>
      </w:pPr>
      <w:r>
        <w:t xml:space="preserve">All </w:t>
      </w:r>
      <w:r w:rsidR="00B831AD">
        <w:t xml:space="preserve">industry </w:t>
      </w:r>
      <w:r>
        <w:t>parties should focus on the longer term and fundamental issues jeopardising the industry’s future.</w:t>
      </w:r>
    </w:p>
    <w:p w14:paraId="50F891D7" w14:textId="77777777" w:rsidR="003F4055" w:rsidRDefault="003F4055">
      <w:pPr>
        <w:sectPr w:rsidR="003F4055">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p>
    <w:p w14:paraId="6AFFBFFE" w14:textId="77777777" w:rsidR="003F4055" w:rsidRDefault="0074664F">
      <w:pPr>
        <w:pStyle w:val="Heading2"/>
        <w:numPr>
          <w:ilvl w:val="0"/>
          <w:numId w:val="0"/>
        </w:numPr>
        <w:ind w:left="720" w:hanging="720"/>
      </w:pPr>
      <w:bookmarkStart w:id="5" w:name="_Toc430782150"/>
      <w:bookmarkStart w:id="6" w:name="_Toc530149419"/>
      <w:r>
        <w:lastRenderedPageBreak/>
        <w:t>Introduction</w:t>
      </w:r>
      <w:bookmarkEnd w:id="5"/>
      <w:bookmarkEnd w:id="6"/>
    </w:p>
    <w:p w14:paraId="707559C6" w14:textId="3360F2A6" w:rsidR="003F4055" w:rsidRDefault="0074664F">
      <w:pPr>
        <w:pStyle w:val="Heading3"/>
        <w:numPr>
          <w:ilvl w:val="0"/>
          <w:numId w:val="0"/>
        </w:numPr>
        <w:ind w:left="964" w:hanging="964"/>
        <w:rPr>
          <w:lang w:eastAsia="ja-JP"/>
        </w:rPr>
      </w:pPr>
      <w:bookmarkStart w:id="7" w:name="_Toc530149420"/>
      <w:r>
        <w:rPr>
          <w:lang w:eastAsia="ja-JP"/>
        </w:rPr>
        <w:t>Review context</w:t>
      </w:r>
      <w:bookmarkEnd w:id="7"/>
    </w:p>
    <w:p w14:paraId="21FB693E" w14:textId="1AFF7137" w:rsidR="003F4055" w:rsidRDefault="0074664F">
      <w:r>
        <w:t>The Competition and Consumer (Industry the Code—Sugar) Regulations 2017 established the sugar code of conduct, coming into effect on 5 April 2017.</w:t>
      </w:r>
    </w:p>
    <w:p w14:paraId="5AB385A0" w14:textId="5293DC43" w:rsidR="003F4055" w:rsidRDefault="0074664F">
      <w:r>
        <w:t>The code regulates the conduct of growers, mill owners and marketers of grower economic interest (GEI) sugar in relation to contracts or agreements for the supply of cane or the on-supply of sugar. It has three main components:</w:t>
      </w:r>
    </w:p>
    <w:p w14:paraId="341A203F" w14:textId="77777777" w:rsidR="003F4055" w:rsidRDefault="0074664F">
      <w:pPr>
        <w:pStyle w:val="ListNumber"/>
        <w:numPr>
          <w:ilvl w:val="0"/>
          <w:numId w:val="31"/>
        </w:numPr>
      </w:pPr>
      <w:r>
        <w:t>Grower marketing choice for any sugar for which growers bear the price risk (grower economic interest sugar).</w:t>
      </w:r>
    </w:p>
    <w:p w14:paraId="6953D18C" w14:textId="77777777" w:rsidR="003F4055" w:rsidRDefault="0074664F">
      <w:pPr>
        <w:pStyle w:val="ListNumber"/>
        <w:numPr>
          <w:ilvl w:val="0"/>
          <w:numId w:val="31"/>
        </w:numPr>
      </w:pPr>
      <w:r>
        <w:t>Mandatory pre-contract arbitration between mill owners and marketers (on-supply agreements).</w:t>
      </w:r>
    </w:p>
    <w:p w14:paraId="4F9ADEB2" w14:textId="0D75C983" w:rsidR="003F4055" w:rsidRDefault="0074664F">
      <w:pPr>
        <w:pStyle w:val="ListNumber"/>
        <w:numPr>
          <w:ilvl w:val="0"/>
          <w:numId w:val="31"/>
        </w:numPr>
      </w:pPr>
      <w:r>
        <w:t>Mandatory pre-contract arbitration between cane growers and mill owners (cane supply agreements).</w:t>
      </w:r>
    </w:p>
    <w:p w14:paraId="035E2FA7" w14:textId="7AC55E25" w:rsidR="003F4055" w:rsidRDefault="0074664F">
      <w:r>
        <w:t>Under the Regulations, a review of the operation of the code must have commenced within 18 months of its commencement—therefore by 5 October 2018.</w:t>
      </w:r>
    </w:p>
    <w:p w14:paraId="4F56DD1A" w14:textId="77777777" w:rsidR="003F4055" w:rsidRDefault="0074664F">
      <w:pPr>
        <w:pStyle w:val="Heading3"/>
        <w:numPr>
          <w:ilvl w:val="0"/>
          <w:numId w:val="0"/>
        </w:numPr>
        <w:ind w:left="964" w:hanging="964"/>
      </w:pPr>
      <w:bookmarkStart w:id="8" w:name="_Toc530149421"/>
      <w:r>
        <w:t>Review approach</w:t>
      </w:r>
      <w:bookmarkEnd w:id="8"/>
    </w:p>
    <w:p w14:paraId="526D1A91" w14:textId="0BCF746C" w:rsidR="003F4055" w:rsidRDefault="0074664F">
      <w:r>
        <w:t xml:space="preserve">On 4 July 2018 the Hon. David </w:t>
      </w:r>
      <w:proofErr w:type="spellStart"/>
      <w:r>
        <w:t>Littleproud</w:t>
      </w:r>
      <w:proofErr w:type="spellEnd"/>
      <w:r>
        <w:t> MP, Minister for Agriculture and Water Resources, together with the Hon. Michelle Landry MP, member for Capricornia, and Mr George Christensen MP, member for Dawson, announced the code would be reviewed to determine its effectiveness and the requirement or otherwise for amendments.</w:t>
      </w:r>
    </w:p>
    <w:p w14:paraId="3EA10AA3" w14:textId="66071190" w:rsidR="003F4055" w:rsidRDefault="0074664F">
      <w:r>
        <w:t>The Australian Government Department of Agriculture and Water Resources led the review. Its team also included officers from the Australian Government Treasury.</w:t>
      </w:r>
    </w:p>
    <w:p w14:paraId="4321E083" w14:textId="02A52E7D" w:rsidR="003F4055" w:rsidRDefault="0074664F">
      <w:r>
        <w:t>Agriculture established a Have Your Say page to provide stakeholders with information on the review and an opportunity to make written submissions (Department of Agric</w:t>
      </w:r>
      <w:r w:rsidR="005322DF">
        <w:t>ulture and Water Resources 2018</w:t>
      </w:r>
      <w:r>
        <w:t>).</w:t>
      </w:r>
    </w:p>
    <w:p w14:paraId="05AEDE81" w14:textId="768E5F73" w:rsidR="003F4055" w:rsidRDefault="0074664F">
      <w:r>
        <w:t xml:space="preserve">The code was implemented without a regulation impact statement. Therefore, a review of the regulatory impact of the code should be available within two years of its commencement—April 2019 (Office of Best Practice Regulation </w:t>
      </w:r>
      <w:r w:rsidR="00C64956">
        <w:t>2016</w:t>
      </w:r>
      <w:r w:rsidR="005322DF">
        <w:t>)</w:t>
      </w:r>
      <w:r>
        <w:t>.</w:t>
      </w:r>
    </w:p>
    <w:p w14:paraId="6A7801C2" w14:textId="2350F9EA" w:rsidR="003F4055" w:rsidRDefault="0074664F">
      <w:pPr>
        <w:pStyle w:val="Heading3"/>
        <w:numPr>
          <w:ilvl w:val="0"/>
          <w:numId w:val="0"/>
        </w:numPr>
        <w:ind w:left="964" w:hanging="964"/>
      </w:pPr>
      <w:bookmarkStart w:id="9" w:name="_Toc530149422"/>
      <w:r>
        <w:t>Review terms of reference</w:t>
      </w:r>
      <w:bookmarkEnd w:id="9"/>
    </w:p>
    <w:p w14:paraId="18E84D11" w14:textId="2C255736" w:rsidR="003F4055" w:rsidRDefault="0074664F">
      <w:r>
        <w:t>The review terms of reference were to inquire into:</w:t>
      </w:r>
    </w:p>
    <w:p w14:paraId="22E133A2" w14:textId="2F8F8CAF" w:rsidR="003F4055" w:rsidRDefault="0074664F">
      <w:pPr>
        <w:pStyle w:val="ListNumber"/>
        <w:numPr>
          <w:ilvl w:val="0"/>
          <w:numId w:val="32"/>
        </w:numPr>
      </w:pPr>
      <w:r>
        <w:t>The effect that Commonwealth Government intervention by prescribing the Code has had on Australia’s raw sugar export industry and whether it continues to be appropriate for the purposes of</w:t>
      </w:r>
    </w:p>
    <w:p w14:paraId="34869901" w14:textId="3114D5CA" w:rsidR="003F4055" w:rsidRDefault="0074664F">
      <w:pPr>
        <w:pStyle w:val="ListNumber2"/>
      </w:pPr>
      <w:r>
        <w:t>regulating the conduct of growers, mill owners and marketers of sugar in relation to contracts or agreements for the supply of cane or the on-supply of sugar</w:t>
      </w:r>
    </w:p>
    <w:p w14:paraId="2AA89C52" w14:textId="340A527F" w:rsidR="003F4055" w:rsidRDefault="0074664F">
      <w:pPr>
        <w:pStyle w:val="ListNumber2"/>
      </w:pPr>
      <w:r>
        <w:lastRenderedPageBreak/>
        <w:t>ensuring that supply contracts between growers and mill owners have guaranteed the grower’s choice of the marketing entity for the grower economic interest sugar manufactured from the cane the grower supplies</w:t>
      </w:r>
    </w:p>
    <w:p w14:paraId="2181D147" w14:textId="0B0B9354" w:rsidR="003F4055" w:rsidRDefault="0074664F">
      <w:pPr>
        <w:pStyle w:val="ListNumber2"/>
      </w:pPr>
      <w:proofErr w:type="gramStart"/>
      <w:r>
        <w:t>requiring</w:t>
      </w:r>
      <w:proofErr w:type="gramEnd"/>
      <w:r>
        <w:t xml:space="preserve"> or providing for pre-contractual arbitration of the terms of agreements for the supply of cane or the on-supply of sugar if the parties fail to agree to those terms.</w:t>
      </w:r>
    </w:p>
    <w:p w14:paraId="0C466252" w14:textId="561FB20A" w:rsidR="003F4055" w:rsidRDefault="0074664F">
      <w:pPr>
        <w:pStyle w:val="ListNumber"/>
      </w:pPr>
      <w:r>
        <w:t>The current and future impacts on competition of the Code in relation to Australia’s raw sugar export market, including for the supply of cane and marketing services of grower economic interest sugar.</w:t>
      </w:r>
    </w:p>
    <w:p w14:paraId="033688E2" w14:textId="18FE1023" w:rsidR="003F4055" w:rsidRDefault="0074664F">
      <w:pPr>
        <w:pStyle w:val="ListNumber"/>
      </w:pPr>
      <w:r>
        <w:t>The regulatory impacts of the Code on businesses in the raw sugar export supply chain.</w:t>
      </w:r>
    </w:p>
    <w:p w14:paraId="5E2DF634" w14:textId="65BDD4C5" w:rsidR="003F4055" w:rsidRDefault="0074664F">
      <w:pPr>
        <w:pStyle w:val="ListNumber"/>
      </w:pPr>
      <w:r>
        <w:t>The extent to which the Code has delivered a net benefit for the Australian community.</w:t>
      </w:r>
    </w:p>
    <w:p w14:paraId="244B1A43" w14:textId="77777777" w:rsidR="003F4055" w:rsidRDefault="0074664F">
      <w:pPr>
        <w:pStyle w:val="ListNumber"/>
      </w:pPr>
      <w:r>
        <w:t>Any other related matters.</w:t>
      </w:r>
    </w:p>
    <w:p w14:paraId="703B3FFF" w14:textId="3E988366" w:rsidR="003F4055" w:rsidRDefault="0074664F">
      <w:r>
        <w:t>The review will provide advice on whether the Code should:</w:t>
      </w:r>
    </w:p>
    <w:p w14:paraId="2C131AAA" w14:textId="7BF5C73A" w:rsidR="003F4055" w:rsidRDefault="0074664F">
      <w:pPr>
        <w:pStyle w:val="ListNumber2"/>
      </w:pPr>
      <w:r>
        <w:t>remain in operation without amendment</w:t>
      </w:r>
    </w:p>
    <w:p w14:paraId="73F2BD80" w14:textId="1EE900D8" w:rsidR="003F4055" w:rsidRDefault="0074664F">
      <w:pPr>
        <w:pStyle w:val="ListNumber2"/>
      </w:pPr>
      <w:r>
        <w:t>remain in operation with amendment</w:t>
      </w:r>
    </w:p>
    <w:p w14:paraId="425CDE39" w14:textId="77777777" w:rsidR="003F4055" w:rsidRDefault="0074664F" w:rsidP="00447D9B">
      <w:pPr>
        <w:pStyle w:val="ListParagraph"/>
        <w:ind w:firstLine="131"/>
      </w:pPr>
      <w:proofErr w:type="gramStart"/>
      <w:r>
        <w:t>or</w:t>
      </w:r>
      <w:proofErr w:type="gramEnd"/>
    </w:p>
    <w:p w14:paraId="7FC5FAF5" w14:textId="77777777" w:rsidR="003F4055" w:rsidRDefault="0074664F">
      <w:pPr>
        <w:pStyle w:val="ListNumber2"/>
      </w:pPr>
      <w:proofErr w:type="gramStart"/>
      <w:r>
        <w:t>be</w:t>
      </w:r>
      <w:proofErr w:type="gramEnd"/>
      <w:r>
        <w:t xml:space="preserve"> repealed.</w:t>
      </w:r>
    </w:p>
    <w:p w14:paraId="6939896E" w14:textId="77777777" w:rsidR="003F4055" w:rsidRDefault="0074664F">
      <w:pPr>
        <w:pStyle w:val="Heading3"/>
        <w:numPr>
          <w:ilvl w:val="0"/>
          <w:numId w:val="0"/>
        </w:numPr>
        <w:ind w:left="964" w:hanging="964"/>
      </w:pPr>
      <w:bookmarkStart w:id="10" w:name="_Toc530149423"/>
      <w:r>
        <w:t>Written submissions and consultations</w:t>
      </w:r>
      <w:bookmarkEnd w:id="10"/>
    </w:p>
    <w:p w14:paraId="20B165E7" w14:textId="03771671" w:rsidR="003F4055" w:rsidRDefault="0074664F">
      <w:r>
        <w:t xml:space="preserve">The review team invited written submissions from the public and held public consultations and face-to-face meetings with key industry bodies. It received 60 written submissions. See </w:t>
      </w:r>
      <w:hyperlink w:anchor="_Appendix_C:_Written" w:history="1">
        <w:r>
          <w:rPr>
            <w:rStyle w:val="Hyperlink"/>
          </w:rPr>
          <w:t>Appendix C: Submissions received</w:t>
        </w:r>
      </w:hyperlink>
      <w:r>
        <w:t xml:space="preserve"> and Department of Agriculture and Water Resources (2018).</w:t>
      </w:r>
    </w:p>
    <w:p w14:paraId="509F1606" w14:textId="23B3A33C" w:rsidR="003F4055" w:rsidRDefault="0074664F">
      <w:r>
        <w:t>Public consultations were held in hubs in major sugarcane-growing areas (</w:t>
      </w:r>
      <w:r>
        <w:fldChar w:fldCharType="begin"/>
      </w:r>
      <w:r>
        <w:instrText xml:space="preserve"> REF _Ref530057222 \h </w:instrText>
      </w:r>
      <w:r>
        <w:fldChar w:fldCharType="separate"/>
      </w:r>
      <w:r w:rsidR="008C3C20">
        <w:t xml:space="preserve">Table </w:t>
      </w:r>
      <w:r w:rsidR="008C3C20">
        <w:rPr>
          <w:noProof/>
        </w:rPr>
        <w:t>1</w:t>
      </w:r>
      <w:r>
        <w:fldChar w:fldCharType="end"/>
      </w:r>
      <w:r>
        <w:t>).</w:t>
      </w:r>
    </w:p>
    <w:p w14:paraId="021CCC7C" w14:textId="77777777" w:rsidR="003F4055" w:rsidRDefault="0074664F" w:rsidP="00447D9B">
      <w:pPr>
        <w:pStyle w:val="Caption"/>
      </w:pPr>
      <w:bookmarkStart w:id="11" w:name="_Ref530057222"/>
      <w:bookmarkStart w:id="12" w:name="_Toc530055213"/>
      <w:r>
        <w:t xml:space="preserve">Table </w:t>
      </w:r>
      <w:r w:rsidR="00B831AD">
        <w:rPr>
          <w:noProof/>
        </w:rPr>
        <w:fldChar w:fldCharType="begin"/>
      </w:r>
      <w:r w:rsidR="00B831AD">
        <w:rPr>
          <w:noProof/>
        </w:rPr>
        <w:instrText xml:space="preserve"> SEQ Table \* ARABIC </w:instrText>
      </w:r>
      <w:r w:rsidR="00B831AD">
        <w:rPr>
          <w:noProof/>
        </w:rPr>
        <w:fldChar w:fldCharType="separate"/>
      </w:r>
      <w:r w:rsidR="008C3C20">
        <w:rPr>
          <w:noProof/>
        </w:rPr>
        <w:t>1</w:t>
      </w:r>
      <w:r w:rsidR="00B831AD">
        <w:rPr>
          <w:noProof/>
        </w:rPr>
        <w:fldChar w:fldCharType="end"/>
      </w:r>
      <w:bookmarkEnd w:id="11"/>
      <w:r>
        <w:t xml:space="preserve"> Sugar code of conduct review, public consultations, </w:t>
      </w:r>
      <w:proofErr w:type="gramStart"/>
      <w:r>
        <w:t>2018</w:t>
      </w:r>
      <w:bookmarkEnd w:id="12"/>
      <w:proofErr w:type="gramEnd"/>
    </w:p>
    <w:tbl>
      <w:tblPr>
        <w:tblStyle w:val="TableGrid"/>
        <w:tblW w:w="0" w:type="auto"/>
        <w:tblLook w:val="04A0" w:firstRow="1" w:lastRow="0" w:firstColumn="1" w:lastColumn="0" w:noHBand="0" w:noVBand="1"/>
      </w:tblPr>
      <w:tblGrid>
        <w:gridCol w:w="1838"/>
        <w:gridCol w:w="2692"/>
        <w:gridCol w:w="2265"/>
        <w:gridCol w:w="2265"/>
      </w:tblGrid>
      <w:tr w:rsidR="003F4055" w14:paraId="2D72F903" w14:textId="77777777" w:rsidTr="00447D9B">
        <w:trPr>
          <w:tblHeader/>
        </w:trPr>
        <w:tc>
          <w:tcPr>
            <w:tcW w:w="1838" w:type="dxa"/>
          </w:tcPr>
          <w:p w14:paraId="25DD5E88" w14:textId="77777777" w:rsidR="003F4055" w:rsidRDefault="0074664F">
            <w:pPr>
              <w:pStyle w:val="TableHeading"/>
            </w:pPr>
            <w:r>
              <w:t>Area</w:t>
            </w:r>
          </w:p>
        </w:tc>
        <w:tc>
          <w:tcPr>
            <w:tcW w:w="2692" w:type="dxa"/>
          </w:tcPr>
          <w:p w14:paraId="388044B3" w14:textId="77777777" w:rsidR="003F4055" w:rsidRDefault="0074664F">
            <w:pPr>
              <w:pStyle w:val="TableHeading"/>
            </w:pPr>
            <w:r>
              <w:t>Date</w:t>
            </w:r>
          </w:p>
        </w:tc>
        <w:tc>
          <w:tcPr>
            <w:tcW w:w="2265" w:type="dxa"/>
          </w:tcPr>
          <w:p w14:paraId="2BD867D6" w14:textId="77777777" w:rsidR="003F4055" w:rsidRDefault="0074664F">
            <w:pPr>
              <w:pStyle w:val="TableHeading"/>
            </w:pPr>
            <w:r>
              <w:t>Time</w:t>
            </w:r>
          </w:p>
        </w:tc>
        <w:tc>
          <w:tcPr>
            <w:tcW w:w="2265" w:type="dxa"/>
          </w:tcPr>
          <w:p w14:paraId="28144A4B" w14:textId="77777777" w:rsidR="003F4055" w:rsidRDefault="0074664F">
            <w:pPr>
              <w:pStyle w:val="TableHeading"/>
            </w:pPr>
            <w:r>
              <w:t xml:space="preserve">Location </w:t>
            </w:r>
          </w:p>
        </w:tc>
      </w:tr>
      <w:tr w:rsidR="003F4055" w14:paraId="7A467376" w14:textId="77777777" w:rsidTr="00447D9B">
        <w:tc>
          <w:tcPr>
            <w:tcW w:w="1838" w:type="dxa"/>
          </w:tcPr>
          <w:p w14:paraId="2EC7B2CB" w14:textId="3D89FBAE" w:rsidR="003F4055" w:rsidRDefault="0074664F">
            <w:pPr>
              <w:pStyle w:val="TableText"/>
            </w:pPr>
            <w:r>
              <w:t>Gordonvale, Queensland</w:t>
            </w:r>
          </w:p>
        </w:tc>
        <w:tc>
          <w:tcPr>
            <w:tcW w:w="2692" w:type="dxa"/>
          </w:tcPr>
          <w:p w14:paraId="3E22F342" w14:textId="7189159A" w:rsidR="003F4055" w:rsidRDefault="0074664F">
            <w:pPr>
              <w:pStyle w:val="TableText"/>
            </w:pPr>
            <w:r>
              <w:t>Tuesday, 4 September 2018</w:t>
            </w:r>
          </w:p>
        </w:tc>
        <w:tc>
          <w:tcPr>
            <w:tcW w:w="2265" w:type="dxa"/>
          </w:tcPr>
          <w:p w14:paraId="5DDAF8D3" w14:textId="77777777" w:rsidR="003F4055" w:rsidRDefault="0074664F">
            <w:pPr>
              <w:pStyle w:val="TableText"/>
            </w:pPr>
            <w:r>
              <w:t>9.30 am – 10.30 am</w:t>
            </w:r>
          </w:p>
        </w:tc>
        <w:tc>
          <w:tcPr>
            <w:tcW w:w="2265" w:type="dxa"/>
          </w:tcPr>
          <w:p w14:paraId="3488AC4A" w14:textId="573C997C" w:rsidR="003F4055" w:rsidRDefault="0074664F">
            <w:pPr>
              <w:pStyle w:val="TableText"/>
            </w:pPr>
            <w:r>
              <w:t>Gordonvale Community Hall, 17–19 Cannon Street, Gordonvale QLD 4865</w:t>
            </w:r>
          </w:p>
        </w:tc>
      </w:tr>
      <w:tr w:rsidR="003F4055" w14:paraId="095E67C0" w14:textId="77777777" w:rsidTr="00447D9B">
        <w:tc>
          <w:tcPr>
            <w:tcW w:w="1838" w:type="dxa"/>
          </w:tcPr>
          <w:p w14:paraId="7BC87B3C" w14:textId="77777777" w:rsidR="003F4055" w:rsidRDefault="0074664F">
            <w:pPr>
              <w:pStyle w:val="TableText"/>
            </w:pPr>
            <w:r>
              <w:t>Innisfail, Queensland</w:t>
            </w:r>
          </w:p>
        </w:tc>
        <w:tc>
          <w:tcPr>
            <w:tcW w:w="2692" w:type="dxa"/>
          </w:tcPr>
          <w:p w14:paraId="552CB949" w14:textId="4AD8FE6A" w:rsidR="003F4055" w:rsidRDefault="0074664F">
            <w:pPr>
              <w:pStyle w:val="TableText"/>
            </w:pPr>
            <w:r>
              <w:t>Tuesday, 4 September 2018</w:t>
            </w:r>
          </w:p>
        </w:tc>
        <w:tc>
          <w:tcPr>
            <w:tcW w:w="2265" w:type="dxa"/>
          </w:tcPr>
          <w:p w14:paraId="2FCD158A" w14:textId="77777777" w:rsidR="003F4055" w:rsidRDefault="0074664F">
            <w:pPr>
              <w:pStyle w:val="TableText"/>
            </w:pPr>
            <w:r>
              <w:t>1.30 pm – 2.30 pm</w:t>
            </w:r>
          </w:p>
        </w:tc>
        <w:tc>
          <w:tcPr>
            <w:tcW w:w="2265" w:type="dxa"/>
          </w:tcPr>
          <w:p w14:paraId="69C017D0" w14:textId="77777777" w:rsidR="003F4055" w:rsidRDefault="0074664F">
            <w:pPr>
              <w:pStyle w:val="TableText"/>
            </w:pPr>
            <w:r>
              <w:t>Innisfail</w:t>
            </w:r>
          </w:p>
        </w:tc>
      </w:tr>
      <w:tr w:rsidR="003F4055" w14:paraId="3CAE7531" w14:textId="77777777" w:rsidTr="00447D9B">
        <w:tc>
          <w:tcPr>
            <w:tcW w:w="1838" w:type="dxa"/>
          </w:tcPr>
          <w:p w14:paraId="05BED46B" w14:textId="77777777" w:rsidR="003F4055" w:rsidRDefault="0074664F">
            <w:pPr>
              <w:pStyle w:val="TableText"/>
            </w:pPr>
            <w:r>
              <w:t>Ingham, Queensland</w:t>
            </w:r>
          </w:p>
        </w:tc>
        <w:tc>
          <w:tcPr>
            <w:tcW w:w="2692" w:type="dxa"/>
          </w:tcPr>
          <w:p w14:paraId="04E7D209" w14:textId="01A51695" w:rsidR="003F4055" w:rsidRDefault="0074664F">
            <w:pPr>
              <w:pStyle w:val="TableText"/>
            </w:pPr>
            <w:r>
              <w:t>Wednesday, 5 September 2018</w:t>
            </w:r>
          </w:p>
        </w:tc>
        <w:tc>
          <w:tcPr>
            <w:tcW w:w="2265" w:type="dxa"/>
          </w:tcPr>
          <w:p w14:paraId="4C71497C" w14:textId="77777777" w:rsidR="003F4055" w:rsidRDefault="0074664F">
            <w:pPr>
              <w:pStyle w:val="TableText"/>
            </w:pPr>
            <w:r>
              <w:t>9.30 am – 10.30 am</w:t>
            </w:r>
          </w:p>
        </w:tc>
        <w:tc>
          <w:tcPr>
            <w:tcW w:w="2265" w:type="dxa"/>
          </w:tcPr>
          <w:p w14:paraId="311CE5F3" w14:textId="77777777" w:rsidR="003F4055" w:rsidRDefault="0074664F">
            <w:pPr>
              <w:pStyle w:val="TableText"/>
            </w:pPr>
            <w:r>
              <w:t>Ingham</w:t>
            </w:r>
          </w:p>
        </w:tc>
      </w:tr>
      <w:tr w:rsidR="003F4055" w14:paraId="29AAACB0" w14:textId="77777777" w:rsidTr="00447D9B">
        <w:tc>
          <w:tcPr>
            <w:tcW w:w="1838" w:type="dxa"/>
          </w:tcPr>
          <w:p w14:paraId="0BD2B172" w14:textId="77777777" w:rsidR="003F4055" w:rsidRDefault="0074664F">
            <w:pPr>
              <w:pStyle w:val="TableText"/>
            </w:pPr>
            <w:r>
              <w:t>Ayr, Queensland</w:t>
            </w:r>
          </w:p>
        </w:tc>
        <w:tc>
          <w:tcPr>
            <w:tcW w:w="2692" w:type="dxa"/>
          </w:tcPr>
          <w:p w14:paraId="2CEE1152" w14:textId="355FFF16" w:rsidR="003F4055" w:rsidRDefault="0074664F">
            <w:pPr>
              <w:pStyle w:val="TableText"/>
            </w:pPr>
            <w:r>
              <w:t>Thursday, 6 September 2018</w:t>
            </w:r>
          </w:p>
        </w:tc>
        <w:tc>
          <w:tcPr>
            <w:tcW w:w="2265" w:type="dxa"/>
          </w:tcPr>
          <w:p w14:paraId="441B4564" w14:textId="3EC9C83C" w:rsidR="003F4055" w:rsidRDefault="0074664F">
            <w:pPr>
              <w:pStyle w:val="TableText"/>
            </w:pPr>
            <w:r>
              <w:t>9.30 am – 10.30 am</w:t>
            </w:r>
          </w:p>
        </w:tc>
        <w:tc>
          <w:tcPr>
            <w:tcW w:w="2265" w:type="dxa"/>
          </w:tcPr>
          <w:p w14:paraId="6541D58F" w14:textId="77777777" w:rsidR="003F4055" w:rsidRDefault="0074664F">
            <w:pPr>
              <w:pStyle w:val="TableText"/>
            </w:pPr>
            <w:r>
              <w:t>Ayr</w:t>
            </w:r>
          </w:p>
        </w:tc>
      </w:tr>
      <w:tr w:rsidR="003F4055" w14:paraId="7C602725" w14:textId="77777777" w:rsidTr="00447D9B">
        <w:tc>
          <w:tcPr>
            <w:tcW w:w="1838" w:type="dxa"/>
          </w:tcPr>
          <w:p w14:paraId="13AF9855" w14:textId="77777777" w:rsidR="003F4055" w:rsidRDefault="0074664F">
            <w:pPr>
              <w:pStyle w:val="TableText"/>
            </w:pPr>
            <w:r>
              <w:t>Mackay, Queensland</w:t>
            </w:r>
          </w:p>
        </w:tc>
        <w:tc>
          <w:tcPr>
            <w:tcW w:w="2692" w:type="dxa"/>
          </w:tcPr>
          <w:p w14:paraId="5273B7CA" w14:textId="5E137196" w:rsidR="003F4055" w:rsidRDefault="0074664F">
            <w:pPr>
              <w:pStyle w:val="TableText"/>
            </w:pPr>
            <w:r>
              <w:t>Thursday, 6 September 2018</w:t>
            </w:r>
          </w:p>
        </w:tc>
        <w:tc>
          <w:tcPr>
            <w:tcW w:w="2265" w:type="dxa"/>
          </w:tcPr>
          <w:p w14:paraId="3C5EA217" w14:textId="2AF96A19" w:rsidR="003F4055" w:rsidRDefault="0074664F">
            <w:pPr>
              <w:pStyle w:val="TableText"/>
            </w:pPr>
            <w:r>
              <w:t>3.30 pm – 4.30 pm</w:t>
            </w:r>
          </w:p>
        </w:tc>
        <w:tc>
          <w:tcPr>
            <w:tcW w:w="2265" w:type="dxa"/>
          </w:tcPr>
          <w:p w14:paraId="157D20CD" w14:textId="5E171ED1" w:rsidR="003F4055" w:rsidRDefault="0074664F">
            <w:pPr>
              <w:pStyle w:val="TableText"/>
            </w:pPr>
            <w:r>
              <w:t>Jubilee Community Centre, Room 4, 73 Gordon Street, Mackay QLD 4740</w:t>
            </w:r>
          </w:p>
        </w:tc>
      </w:tr>
      <w:tr w:rsidR="003F4055" w14:paraId="0984A837" w14:textId="77777777" w:rsidTr="00447D9B">
        <w:tc>
          <w:tcPr>
            <w:tcW w:w="1838" w:type="dxa"/>
          </w:tcPr>
          <w:p w14:paraId="0FCAAC02" w14:textId="77777777" w:rsidR="003F4055" w:rsidRDefault="0074664F">
            <w:pPr>
              <w:pStyle w:val="TableText"/>
            </w:pPr>
            <w:r>
              <w:t>Bundaberg, Queensland</w:t>
            </w:r>
          </w:p>
        </w:tc>
        <w:tc>
          <w:tcPr>
            <w:tcW w:w="2692" w:type="dxa"/>
          </w:tcPr>
          <w:p w14:paraId="6D357C0D" w14:textId="380631FC" w:rsidR="003F4055" w:rsidRDefault="0074664F">
            <w:pPr>
              <w:pStyle w:val="TableText"/>
            </w:pPr>
            <w:r>
              <w:t>Monday, 10 September 2018</w:t>
            </w:r>
          </w:p>
        </w:tc>
        <w:tc>
          <w:tcPr>
            <w:tcW w:w="2265" w:type="dxa"/>
          </w:tcPr>
          <w:p w14:paraId="37E4E8D2" w14:textId="77777777" w:rsidR="003F4055" w:rsidRDefault="0074664F">
            <w:pPr>
              <w:pStyle w:val="TableText"/>
            </w:pPr>
            <w:r>
              <w:t>3.30 pm – 4.30 pm</w:t>
            </w:r>
          </w:p>
        </w:tc>
        <w:tc>
          <w:tcPr>
            <w:tcW w:w="2265" w:type="dxa"/>
          </w:tcPr>
          <w:p w14:paraId="63C4A1EB" w14:textId="60B86643" w:rsidR="003F4055" w:rsidRDefault="0074664F">
            <w:pPr>
              <w:pStyle w:val="TableText"/>
            </w:pPr>
            <w:r>
              <w:t>Bundaberg Civic Centre, Supper Room, 190 </w:t>
            </w:r>
            <w:proofErr w:type="spellStart"/>
            <w:r>
              <w:t>Bourbong</w:t>
            </w:r>
            <w:proofErr w:type="spellEnd"/>
            <w:r>
              <w:t xml:space="preserve"> Street, Bundaberg Central QLD 4670</w:t>
            </w:r>
          </w:p>
        </w:tc>
      </w:tr>
      <w:tr w:rsidR="003F4055" w14:paraId="06D3F589" w14:textId="77777777" w:rsidTr="00447D9B">
        <w:tc>
          <w:tcPr>
            <w:tcW w:w="1838" w:type="dxa"/>
          </w:tcPr>
          <w:p w14:paraId="4135F26A" w14:textId="77777777" w:rsidR="003F4055" w:rsidRDefault="0074664F">
            <w:pPr>
              <w:pStyle w:val="TableText"/>
            </w:pPr>
            <w:r>
              <w:t>Broadwater, New South Wales</w:t>
            </w:r>
          </w:p>
        </w:tc>
        <w:tc>
          <w:tcPr>
            <w:tcW w:w="2692" w:type="dxa"/>
          </w:tcPr>
          <w:p w14:paraId="4DA19B55" w14:textId="77777777" w:rsidR="003F4055" w:rsidRDefault="0074664F">
            <w:pPr>
              <w:pStyle w:val="TableText"/>
            </w:pPr>
            <w:r>
              <w:t>Wednesday, 12 September 2018</w:t>
            </w:r>
          </w:p>
        </w:tc>
        <w:tc>
          <w:tcPr>
            <w:tcW w:w="2265" w:type="dxa"/>
          </w:tcPr>
          <w:p w14:paraId="4BD0E904" w14:textId="1D3810C1" w:rsidR="003F4055" w:rsidRDefault="0074664F">
            <w:pPr>
              <w:pStyle w:val="TableText"/>
            </w:pPr>
            <w:r>
              <w:t>9.30 am – 10.30 am</w:t>
            </w:r>
          </w:p>
        </w:tc>
        <w:tc>
          <w:tcPr>
            <w:tcW w:w="2265" w:type="dxa"/>
          </w:tcPr>
          <w:p w14:paraId="28880FD4" w14:textId="77777777" w:rsidR="003F4055" w:rsidRDefault="0074664F">
            <w:pPr>
              <w:pStyle w:val="TableText"/>
            </w:pPr>
            <w:r>
              <w:t>Riley’s Hill Community Centre, Little Pitt Street, Broadwater NSW 2472</w:t>
            </w:r>
          </w:p>
        </w:tc>
      </w:tr>
    </w:tbl>
    <w:p w14:paraId="08F1E628" w14:textId="2A6A1AF8" w:rsidR="003F4055" w:rsidRDefault="0074664F" w:rsidP="00447D9B">
      <w:pPr>
        <w:spacing w:before="240"/>
      </w:pPr>
      <w:r>
        <w:lastRenderedPageBreak/>
        <w:t xml:space="preserve">The review team met with </w:t>
      </w:r>
      <w:r w:rsidR="005322DF">
        <w:t>the Australian Cane Farmers Association, Australian Competition and Consumer Commission, Australian Sugar Milling Council</w:t>
      </w:r>
      <w:r w:rsidR="005322DF" w:rsidRPr="005322DF">
        <w:t xml:space="preserve"> </w:t>
      </w:r>
      <w:r w:rsidR="005322DF">
        <w:t>members and board, Burdekin District Cane Growers Organisation, CANEGROWERS members and board and Queensland Sugar Limited</w:t>
      </w:r>
      <w:r>
        <w:t>. It also held a teleconference with the Productivity Commission.</w:t>
      </w:r>
    </w:p>
    <w:p w14:paraId="4317403B" w14:textId="226915EF" w:rsidR="003F4055" w:rsidRDefault="0074664F">
      <w:pPr>
        <w:pStyle w:val="Heading2"/>
        <w:numPr>
          <w:ilvl w:val="0"/>
          <w:numId w:val="33"/>
        </w:numPr>
      </w:pPr>
      <w:bookmarkStart w:id="13" w:name="_Toc530149424"/>
      <w:r>
        <w:lastRenderedPageBreak/>
        <w:t>Australian sugar industry</w:t>
      </w:r>
      <w:bookmarkEnd w:id="13"/>
    </w:p>
    <w:p w14:paraId="6E07FE02" w14:textId="77777777" w:rsidR="003F4055" w:rsidRDefault="0074664F">
      <w:pPr>
        <w:pStyle w:val="Heading3"/>
      </w:pPr>
      <w:bookmarkStart w:id="14" w:name="_Toc530149425"/>
      <w:r>
        <w:t>Industry structure</w:t>
      </w:r>
      <w:bookmarkEnd w:id="14"/>
    </w:p>
    <w:p w14:paraId="43A8861E" w14:textId="5F51C9A8" w:rsidR="003F4055" w:rsidRDefault="0074664F">
      <w:r>
        <w:t>The sugarcane industry is one of Australia’s largest rural industries, and sugar cane is Queensland’s largest agricultural crop. Farms and mills are primarily located along the eastern Australian coastline, from Mossman in far north Queensland to Grafton in northern New South Wales. Approximately 4,000 farms grow sugar cane on around 380,000 hectares. They supply 24 mills, owned by eight separate milling companies (Australian Sugar Milling Council 2018).</w:t>
      </w:r>
    </w:p>
    <w:p w14:paraId="332DFC40" w14:textId="2451C002" w:rsidR="003F4055" w:rsidRDefault="0074664F">
      <w:r>
        <w:t>The vast majority of cane farms are owned by sole proprietors or family partnerships. The Australian sugar industry directly employs approximately 16,000 people across the growing, harvesting, milling and transport sectors (Australian Sugar Milling Council 2018).</w:t>
      </w:r>
    </w:p>
    <w:p w14:paraId="0632E471" w14:textId="2C49E8D1" w:rsidR="003F4055" w:rsidRDefault="0074664F">
      <w:r>
        <w:t>Sugar mills are owned by publicly owned entities, privately held companies limited by guarantee and co-operatives. Between 2010 and 2012 ownership in Australia’s sugar mills changed substantially, resulting in half the milling groups (representing 75 per cent of production) becoming foreign owned.</w:t>
      </w:r>
    </w:p>
    <w:p w14:paraId="69727793" w14:textId="731FB2DB" w:rsidR="003F4055" w:rsidRDefault="0074664F">
      <w:r>
        <w:t>The industry’s major product is raw crystal sugar, which is sold to domestic and overseas refineries. Queensland produces approximately 95 per cent of Australia’s raw sugar, and northern New South Wales produces the balance.</w:t>
      </w:r>
    </w:p>
    <w:p w14:paraId="676228E7" w14:textId="317CF419" w:rsidR="003F4055" w:rsidRDefault="0074664F">
      <w:r>
        <w:t>In 2016 Australia produced 36.5 million tonnes of sugar cane and 4.77 million tonnes of sugar. The sugarcane crop can also produce 1 million tonnes of molasses and 10 million tonnes of bagasse annually. Bagasse is the fibrous matter that remains after sugar cane or sorghum stalks are crushed to extract their juice. It is used as a biofuel and in the manufacture of pulp and building materials.</w:t>
      </w:r>
    </w:p>
    <w:p w14:paraId="3BC81257" w14:textId="0EC33D9F" w:rsidR="003F4055" w:rsidRDefault="0074664F">
      <w:r>
        <w:t xml:space="preserve">Approximately 85 to 90 per cent of the raw sugar produced is exported, generating up to $2 billion in export earnings. This makes Australia the second-largest sugar exporter in the world. Over recent years, Asian exports have become a major focus. </w:t>
      </w:r>
      <w:r w:rsidR="00A5332A">
        <w:t>The Republic of Korea, Japan and Indonesia</w:t>
      </w:r>
      <w:r>
        <w:t xml:space="preserve"> have become the most important destinations for Australian raw sugar</w:t>
      </w:r>
      <w:r w:rsidRPr="00A30DE9">
        <w:t>.</w:t>
      </w:r>
      <w:r>
        <w:t xml:space="preserve"> Production from New South Wales is predominately refined and sold on the domestic market.</w:t>
      </w:r>
    </w:p>
    <w:p w14:paraId="05746714" w14:textId="77777777" w:rsidR="003F4055" w:rsidRDefault="0074664F">
      <w:pPr>
        <w:pStyle w:val="Heading3"/>
      </w:pPr>
      <w:bookmarkStart w:id="15" w:name="_Toc530149426"/>
      <w:r>
        <w:t>Mutual dependence</w:t>
      </w:r>
      <w:bookmarkEnd w:id="15"/>
    </w:p>
    <w:p w14:paraId="5DA32B14" w14:textId="1DE7FBC6" w:rsidR="003F4055" w:rsidRDefault="0074664F">
      <w:r>
        <w:t>Cane growers and sugar millers are mutually dependent. Harvested cane is perishable and needs to be processed as soon as possible after cutting (within 16 hours), limiting the choice of mills for individual growers to supply their cane. In Australia a limited number of companies own most of the mills—so, even when a grower has a choice of mill, most are owned by the same company.</w:t>
      </w:r>
    </w:p>
    <w:p w14:paraId="57B87CAD" w14:textId="524E9479" w:rsidR="003F4055" w:rsidRDefault="0074664F">
      <w:r>
        <w:t>The sugar industry operates at low margins, and mills operate with high fixed costs. Millers therefore depend on growers to maximise cane throughput to keep milling infrastructure economically viable. Milling representatives advised the review team that a 5 per cent reduction in cane crush volume results in a reduction of approximately 20 per cent in earnings before interest and tax.</w:t>
      </w:r>
    </w:p>
    <w:p w14:paraId="5B93CD97" w14:textId="1F42CAFA" w:rsidR="003F4055" w:rsidRDefault="0074664F">
      <w:r>
        <w:lastRenderedPageBreak/>
        <w:t>Sugar mills are specialised infrastructure so cannot be used for alternative purposes. This means millers are less able than growers to pursue alternative market opportunities, further increasing their dependency on growers. Growers have to make substantial investments and make their investment decisions for growing seasons before millers do, but they have more flexibility to pursue alternative options in other crops or livestock.</w:t>
      </w:r>
    </w:p>
    <w:p w14:paraId="50430467" w14:textId="77777777" w:rsidR="003F4055" w:rsidRDefault="0074664F">
      <w:pPr>
        <w:pStyle w:val="Heading3"/>
      </w:pPr>
      <w:bookmarkStart w:id="16" w:name="_Toc530149427"/>
      <w:r>
        <w:t>Sugar price and cane payments</w:t>
      </w:r>
      <w:bookmarkEnd w:id="16"/>
    </w:p>
    <w:p w14:paraId="360CC87F" w14:textId="44551BF3" w:rsidR="003F4055" w:rsidRDefault="0074664F">
      <w:r>
        <w:t>Grower and miller mutual dependence is also evident in the cane payment formula. The formula was created in 1916 and has survived with only marginal modification (Hildebrand 2002). The formula primarily links the price millers pay growers for cane to the price the resulting raw sugar is sold for and the amount of sugar in the cane. This gives growers an incentive to grow cane in a manner that increases sugar content. It also means growers have a stake in the sale price of raw sugar and has led to demands from growers for choice in marketing the portion of the millers’ raw sugar that flows through to them in cane payments.</w:t>
      </w:r>
    </w:p>
    <w:p w14:paraId="23748B40" w14:textId="2D51E48B" w:rsidR="003F4055" w:rsidRDefault="0074664F">
      <w:r>
        <w:t>The raw sugar price has two main components—the global sugar price and premiums achieved through marketing. The review received conflicting information about the impact of sugar marketing on the final cane payment growers receive. However, the global sugar price has the biggest impact by a large margin. Growers and millers value sugar marketing premiums on cane payments. However, the impact of these premiums is marginal compared with the impact of the global sugar price.</w:t>
      </w:r>
    </w:p>
    <w:p w14:paraId="490EEB4B" w14:textId="00657FAA" w:rsidR="003F4055" w:rsidRDefault="0074664F">
      <w:r>
        <w:t>Given the impact of the global sugar price on cane payments, growers need access to a range of sugar pricing options that provide flexibility to meet different business plans and risk appetites. Post deregulation, millers made pricing options available to allow growers (Submission 2, Australian Sugar Milling Council) to manage their price exposure independent of millers’ price risk-management strategies. Many submissions indicated that the range of price management options available to growers increased markedly following implementation of grower choice in marketing. Marketing bodies owned by millers and Queensland Sugar Limited (QSL) began engaging more with growers about pricing strategies, leading to increased grower awareness of price risk-management strategies. QSL is a charity not-for-profit company limited by guarantee that is owned jointly by mill-owner members and grower members.</w:t>
      </w:r>
    </w:p>
    <w:p w14:paraId="5C657C4E" w14:textId="77777777" w:rsidR="003F4055" w:rsidRDefault="0074664F">
      <w:pPr>
        <w:pStyle w:val="Heading4"/>
        <w:numPr>
          <w:ilvl w:val="0"/>
          <w:numId w:val="0"/>
        </w:numPr>
        <w:ind w:left="964" w:hanging="964"/>
      </w:pPr>
      <w:r>
        <w:t>Marketing restrictions</w:t>
      </w:r>
    </w:p>
    <w:p w14:paraId="3C5E90EE" w14:textId="6890ACD5" w:rsidR="003F4055" w:rsidRDefault="0074664F">
      <w:r>
        <w:t xml:space="preserve">Given the relatively marginal impact of marketing on cane payments, during consultation the review team asked stakeholders why they considered marketing restrictions and grower choice in marketing so important. Growers </w:t>
      </w:r>
      <w:r w:rsidR="00DE351C">
        <w:t>claim there are</w:t>
      </w:r>
      <w:r>
        <w:t xml:space="preserve"> financial benefits—such as having control of the risk associated with marketing the share of the sugar growers have an economic interest in and gaining any potential benefits from arbitrage in trading.</w:t>
      </w:r>
    </w:p>
    <w:p w14:paraId="12EAD713" w14:textId="77777777" w:rsidR="003F4055" w:rsidRDefault="0074664F">
      <w:pPr>
        <w:pStyle w:val="Heading3"/>
      </w:pPr>
      <w:bookmarkStart w:id="17" w:name="_Toc530149428"/>
      <w:r>
        <w:t>Sugar industry deregulation</w:t>
      </w:r>
      <w:bookmarkEnd w:id="17"/>
    </w:p>
    <w:p w14:paraId="5649BADC" w14:textId="68658B18" w:rsidR="003F4055" w:rsidRDefault="0074664F">
      <w:r>
        <w:t xml:space="preserve">In the early 2000s successive reviews concluded that the regulatory system established under the </w:t>
      </w:r>
      <w:r w:rsidR="00D528FD" w:rsidRPr="00BE7DE1">
        <w:t>Sugar Industry Act</w:t>
      </w:r>
      <w:r w:rsidRPr="00BE7DE1">
        <w:t xml:space="preserve"> had</w:t>
      </w:r>
      <w:r>
        <w:t xml:space="preserve"> constrained sugar industry productivity. These reviews also raised questions on whether the highly regulated nature of the Queensland industry was hindering industry development and its responsiveness to the international trading environment. They also found that the system increased tension between growers and mill operators and fostered </w:t>
      </w:r>
      <w:r>
        <w:lastRenderedPageBreak/>
        <w:t>resistance to change—hindering productivity and diminishing innovation (State of Queensland 2004).</w:t>
      </w:r>
    </w:p>
    <w:p w14:paraId="65926449" w14:textId="5A787BCE" w:rsidR="003F4055" w:rsidRDefault="0074664F">
      <w:r>
        <w:t xml:space="preserve">In 2005 the Queensland sugar industry—represented by the Australian Sugar Milling Council and CANEGROWERS—and the Queensland Government signed a memorandum of understanding in response to these reviews. They agreed that the sugar industry would move to a commercial, non-legislative marketing structure and the Queensland Government would introduce the necessary legislative amendments to support the structural changes (Queensland sugar industry and Queensland Government 2005). The Australian Government provided </w:t>
      </w:r>
      <w:r w:rsidR="00A30DE9">
        <w:t>$334</w:t>
      </w:r>
      <w:r>
        <w:t xml:space="preserve"> million to assist the industry to stabilise and underpin it during the reform process. These funds helped consolidate the cane-growing sector and provided for those who chose to exit the industry.</w:t>
      </w:r>
    </w:p>
    <w:p w14:paraId="3C1E209B" w14:textId="1A95FFF2" w:rsidR="003F4055" w:rsidRDefault="0074664F">
      <w:r>
        <w:t xml:space="preserve">On 1 January </w:t>
      </w:r>
      <w:r w:rsidRPr="00BE7DE1">
        <w:t xml:space="preserve">2006 the </w:t>
      </w:r>
      <w:r w:rsidR="00D528FD" w:rsidRPr="00BE7DE1">
        <w:t>Sugar Industry Act</w:t>
      </w:r>
      <w:r w:rsidRPr="00BE7DE1">
        <w:t xml:space="preserve"> was</w:t>
      </w:r>
      <w:r>
        <w:t xml:space="preserve"> amended to deregulate the sugar industry. The amendments:</w:t>
      </w:r>
    </w:p>
    <w:p w14:paraId="6AD5BD36" w14:textId="002ADE5A" w:rsidR="003F4055" w:rsidRDefault="0074664F" w:rsidP="00A5332A">
      <w:pPr>
        <w:pStyle w:val="ListBullet"/>
      </w:pPr>
      <w:r>
        <w:t>allowed parties to determine contractual terms, including price</w:t>
      </w:r>
    </w:p>
    <w:p w14:paraId="24C8B7D5" w14:textId="07A0C04C" w:rsidR="003F4055" w:rsidRDefault="0074664F" w:rsidP="00A5332A">
      <w:pPr>
        <w:pStyle w:val="ListBullet"/>
      </w:pPr>
      <w:proofErr w:type="gramStart"/>
      <w:r>
        <w:t>removed</w:t>
      </w:r>
      <w:proofErr w:type="gramEnd"/>
      <w:r>
        <w:t xml:space="preserve"> export restrictions.</w:t>
      </w:r>
    </w:p>
    <w:p w14:paraId="4341198E" w14:textId="11D8E1B3" w:rsidR="003F4055" w:rsidRDefault="0074664F">
      <w:r>
        <w:t>Before deregulation, QSL had a single-desk monopoly to market all exported raw sugar. Deregulation allowed the emergence of multiple marketers of sugar, removing the single-desk arrangement that protected QSL’s revenue.</w:t>
      </w:r>
    </w:p>
    <w:p w14:paraId="337E38C0" w14:textId="642D4BD3" w:rsidR="003F4055" w:rsidRDefault="0074664F">
      <w:r>
        <w:t>Some changes to the longstanding marketing arrangement occurred immediately post deregulation, but others took more time. For example, in 2014 three millers announced their intention to not enter into new raw sugar supply agreements with QSL, opting to market the raw sugar themselves from 2017.</w:t>
      </w:r>
    </w:p>
    <w:p w14:paraId="08F59412" w14:textId="05EC9D6E" w:rsidR="003F4055" w:rsidRDefault="0074664F">
      <w:r>
        <w:t xml:space="preserve">The </w:t>
      </w:r>
      <w:r w:rsidRPr="00A5332A">
        <w:rPr>
          <w:rStyle w:val="Emphasis"/>
        </w:rPr>
        <w:t>Sugar Industry (Real Choice in Marketing) Amendment Act 2015</w:t>
      </w:r>
      <w:r w:rsidRPr="00A5332A">
        <w:t xml:space="preserve"> </w:t>
      </w:r>
      <w:r>
        <w:t>subsequently gave growers the right to require milling companies to direct grower economic interest (GEI) sugar to third-party marketers such as QSL and provided for pre-contract arbitration between growers and millers for cane supply agreements. The amendments also introduced on-supply agreements between millers and marketers but did not provide for their pre-contract arbitration.</w:t>
      </w:r>
    </w:p>
    <w:p w14:paraId="503E2A04" w14:textId="43E9296F" w:rsidR="003F4055" w:rsidRDefault="0074664F">
      <w:r>
        <w:t>Some grower groups expressed concern about proposals to stop using QSL as the marketer for exported raw</w:t>
      </w:r>
      <w:r w:rsidR="005322DF">
        <w:t xml:space="preserve"> GEI</w:t>
      </w:r>
      <w:r>
        <w:t xml:space="preserve"> sugar. Grower concerns can broadly be summarised as:</w:t>
      </w:r>
    </w:p>
    <w:p w14:paraId="7BDEAD1F" w14:textId="4F517C63" w:rsidR="003F4055" w:rsidRDefault="0074664F">
      <w:pPr>
        <w:pStyle w:val="ListBullet"/>
      </w:pPr>
      <w:r>
        <w:t>losing control of the risks associated with marketing GEI sugar</w:t>
      </w:r>
    </w:p>
    <w:p w14:paraId="28A47E04" w14:textId="1D9D0738" w:rsidR="003F4055" w:rsidRDefault="0074664F">
      <w:pPr>
        <w:pStyle w:val="ListBullet"/>
      </w:pPr>
      <w:r>
        <w:t>loss of trading arbitrage benefits</w:t>
      </w:r>
    </w:p>
    <w:p w14:paraId="49832DC1" w14:textId="2C2AAAEA" w:rsidR="003F4055" w:rsidRDefault="0074664F">
      <w:pPr>
        <w:pStyle w:val="ListBullet"/>
      </w:pPr>
      <w:proofErr w:type="gramStart"/>
      <w:r>
        <w:t>lack</w:t>
      </w:r>
      <w:proofErr w:type="gramEnd"/>
      <w:r>
        <w:t xml:space="preserve"> of trust in the transparency millers would provide.</w:t>
      </w:r>
    </w:p>
    <w:p w14:paraId="487F17D5" w14:textId="5DEC21B2" w:rsidR="003F4055" w:rsidRDefault="0074664F">
      <w:r>
        <w:t xml:space="preserve">See </w:t>
      </w:r>
      <w:hyperlink w:anchor="_Appendix_A:_Sugar" w:history="1">
        <w:r>
          <w:rPr>
            <w:rStyle w:val="Hyperlink"/>
          </w:rPr>
          <w:t>Appendix A: Sugar industry inquiries and reviews</w:t>
        </w:r>
      </w:hyperlink>
      <w:r>
        <w:t>.</w:t>
      </w:r>
    </w:p>
    <w:p w14:paraId="4EC23499" w14:textId="46D58FA4" w:rsidR="003F4055" w:rsidRDefault="0074664F">
      <w:pPr>
        <w:pStyle w:val="Heading2"/>
      </w:pPr>
      <w:bookmarkStart w:id="18" w:name="_Toc530149429"/>
      <w:r>
        <w:lastRenderedPageBreak/>
        <w:t>Sugar code of conduct</w:t>
      </w:r>
      <w:bookmarkEnd w:id="18"/>
    </w:p>
    <w:p w14:paraId="0B68B2D8" w14:textId="09F46897" w:rsidR="003F4055" w:rsidRDefault="0074664F">
      <w:pPr>
        <w:pStyle w:val="Heading3"/>
      </w:pPr>
      <w:bookmarkStart w:id="19" w:name="_Toc530149430"/>
      <w:r>
        <w:t>Code background</w:t>
      </w:r>
      <w:bookmarkEnd w:id="19"/>
    </w:p>
    <w:p w14:paraId="4AA1B31A" w14:textId="1BCA334A" w:rsidR="003F4055" w:rsidRPr="0085640C" w:rsidRDefault="0074664F">
      <w:pPr>
        <w:rPr>
          <w:color w:val="000000" w:themeColor="text1"/>
        </w:rPr>
      </w:pPr>
      <w:r>
        <w:t xml:space="preserve">In 2017 Wilmar and QSL were still negotiating the terms of an on-supply agreement (OSA) to allow growers to market their grower economic interest (GEI) sugar with QSL. Many growers in the affected regions chose not to enter into a cane supply agreement (CSA) until they could choose their GEI sugar marketer. </w:t>
      </w:r>
      <w:r w:rsidR="0085640C">
        <w:t>The</w:t>
      </w:r>
      <w:r w:rsidR="00585C95">
        <w:t xml:space="preserve"> OSA between Wilmar </w:t>
      </w:r>
      <w:r w:rsidR="00585C95" w:rsidRPr="0085640C">
        <w:rPr>
          <w:color w:val="000000" w:themeColor="text1"/>
        </w:rPr>
        <w:t>and QSL</w:t>
      </w:r>
      <w:r w:rsidR="005322DF">
        <w:rPr>
          <w:color w:val="000000" w:themeColor="text1"/>
        </w:rPr>
        <w:t xml:space="preserve"> was</w:t>
      </w:r>
      <w:r w:rsidR="00585C95" w:rsidRPr="0085640C">
        <w:rPr>
          <w:color w:val="000000" w:themeColor="text1"/>
        </w:rPr>
        <w:t xml:space="preserve"> not finalised until 22 May 2017</w:t>
      </w:r>
      <w:r w:rsidR="0085640C" w:rsidRPr="0085640C">
        <w:rPr>
          <w:color w:val="000000" w:themeColor="text1"/>
        </w:rPr>
        <w:t>. As a result</w:t>
      </w:r>
      <w:r w:rsidR="00585C95" w:rsidRPr="0085640C">
        <w:rPr>
          <w:color w:val="000000" w:themeColor="text1"/>
        </w:rPr>
        <w:t xml:space="preserve">, </w:t>
      </w:r>
      <w:r w:rsidRPr="0085640C">
        <w:rPr>
          <w:color w:val="000000" w:themeColor="text1"/>
        </w:rPr>
        <w:t>many of the 1,500 affected cane growers did not have a CSA</w:t>
      </w:r>
      <w:r w:rsidR="00585C95" w:rsidRPr="0085640C">
        <w:rPr>
          <w:color w:val="000000" w:themeColor="text1"/>
        </w:rPr>
        <w:t xml:space="preserve"> until after this</w:t>
      </w:r>
      <w:r w:rsidR="0085640C" w:rsidRPr="0085640C">
        <w:rPr>
          <w:color w:val="000000" w:themeColor="text1"/>
        </w:rPr>
        <w:t xml:space="preserve"> time</w:t>
      </w:r>
      <w:r w:rsidR="005322DF">
        <w:rPr>
          <w:color w:val="000000" w:themeColor="text1"/>
        </w:rPr>
        <w:t xml:space="preserve">, with the crush </w:t>
      </w:r>
      <w:r w:rsidRPr="0085640C">
        <w:rPr>
          <w:color w:val="000000" w:themeColor="text1"/>
        </w:rPr>
        <w:t xml:space="preserve">due to commence mid-year. Under the </w:t>
      </w:r>
      <w:r w:rsidR="00D528FD" w:rsidRPr="0085640C">
        <w:rPr>
          <w:color w:val="000000" w:themeColor="text1"/>
        </w:rPr>
        <w:t>Sugar Industry Act</w:t>
      </w:r>
      <w:r w:rsidRPr="0085640C">
        <w:rPr>
          <w:color w:val="000000" w:themeColor="text1"/>
        </w:rPr>
        <w:t xml:space="preserve"> growers cannot supply cane to a mill without a CSA, so growers could either:</w:t>
      </w:r>
    </w:p>
    <w:p w14:paraId="3860D3D9" w14:textId="77777777" w:rsidR="003F4055" w:rsidRPr="0085640C" w:rsidRDefault="0074664F" w:rsidP="00DE0A1B">
      <w:pPr>
        <w:pStyle w:val="ListBullet"/>
        <w:rPr>
          <w:color w:val="000000" w:themeColor="text1"/>
        </w:rPr>
      </w:pPr>
      <w:r w:rsidRPr="0085640C">
        <w:rPr>
          <w:color w:val="000000" w:themeColor="text1"/>
        </w:rPr>
        <w:t>wait to finalise their CSA, potentially delaying their harvest and in turn payments for their cane</w:t>
      </w:r>
    </w:p>
    <w:p w14:paraId="75ABF8C8" w14:textId="36DA5952" w:rsidR="003F4055" w:rsidRPr="0085640C" w:rsidRDefault="0074664F" w:rsidP="00DE0A1B">
      <w:pPr>
        <w:pStyle w:val="ListParagraph"/>
        <w:ind w:hanging="294"/>
        <w:rPr>
          <w:color w:val="000000" w:themeColor="text1"/>
        </w:rPr>
      </w:pPr>
      <w:proofErr w:type="gramStart"/>
      <w:r w:rsidRPr="0085640C">
        <w:rPr>
          <w:color w:val="000000" w:themeColor="text1"/>
        </w:rPr>
        <w:t>or</w:t>
      </w:r>
      <w:proofErr w:type="gramEnd"/>
    </w:p>
    <w:p w14:paraId="6173FF66" w14:textId="371E5FF9" w:rsidR="003F4055" w:rsidRPr="0085640C" w:rsidRDefault="0074664F" w:rsidP="00DE0A1B">
      <w:pPr>
        <w:pStyle w:val="ListBullet"/>
        <w:rPr>
          <w:color w:val="000000" w:themeColor="text1"/>
        </w:rPr>
      </w:pPr>
      <w:proofErr w:type="gramStart"/>
      <w:r w:rsidRPr="0085640C">
        <w:rPr>
          <w:color w:val="000000" w:themeColor="text1"/>
        </w:rPr>
        <w:t>market</w:t>
      </w:r>
      <w:proofErr w:type="gramEnd"/>
      <w:r w:rsidRPr="0085640C">
        <w:rPr>
          <w:color w:val="000000" w:themeColor="text1"/>
        </w:rPr>
        <w:t xml:space="preserve"> with the miller-marketer and use the pricing options provided by them</w:t>
      </w:r>
      <w:r w:rsidR="005322DF">
        <w:rPr>
          <w:color w:val="000000" w:themeColor="text1"/>
        </w:rPr>
        <w:t xml:space="preserve"> (and subsequently transfer marketer to QSL if they chose)</w:t>
      </w:r>
      <w:r w:rsidRPr="0085640C">
        <w:rPr>
          <w:color w:val="000000" w:themeColor="text1"/>
        </w:rPr>
        <w:t>.</w:t>
      </w:r>
    </w:p>
    <w:p w14:paraId="3A19D7E1" w14:textId="23549A61" w:rsidR="003F4055" w:rsidRDefault="0074664F">
      <w:r w:rsidRPr="0085640C">
        <w:rPr>
          <w:color w:val="000000" w:themeColor="text1"/>
        </w:rPr>
        <w:t xml:space="preserve">Growers in some districts chose not to enter into a CSA until the relevant OSA with QSL was in place. The </w:t>
      </w:r>
      <w:r>
        <w:t xml:space="preserve">world sugar price dropped from </w:t>
      </w:r>
      <w:r w:rsidR="005322DF">
        <w:t xml:space="preserve">highs of </w:t>
      </w:r>
      <w:r>
        <w:t>US22.91c per pound in October 2016 to US13.53c per pound in June 2017 (</w:t>
      </w:r>
      <w:r>
        <w:fldChar w:fldCharType="begin"/>
      </w:r>
      <w:r>
        <w:instrText xml:space="preserve"> REF _Ref529877442 \h </w:instrText>
      </w:r>
      <w:r>
        <w:fldChar w:fldCharType="separate"/>
      </w:r>
      <w:r w:rsidR="008C3C20">
        <w:t xml:space="preserve">Figure </w:t>
      </w:r>
      <w:r w:rsidR="008C3C20">
        <w:rPr>
          <w:noProof/>
        </w:rPr>
        <w:t>1</w:t>
      </w:r>
      <w:r>
        <w:fldChar w:fldCharType="end"/>
      </w:r>
      <w:r>
        <w:t xml:space="preserve">). </w:t>
      </w:r>
      <w:r w:rsidR="0085640C">
        <w:t>When</w:t>
      </w:r>
      <w:r>
        <w:t xml:space="preserve"> the growers eventually signed CSAs, they had missed out on the best prices.</w:t>
      </w:r>
    </w:p>
    <w:p w14:paraId="7C09446E" w14:textId="0DCFAB8A" w:rsidR="003F4055" w:rsidRDefault="0074664F">
      <w:pPr>
        <w:pStyle w:val="Caption"/>
      </w:pPr>
      <w:bookmarkStart w:id="20" w:name="_Ref529877442"/>
      <w:bookmarkStart w:id="21" w:name="_Toc530055214"/>
      <w:r>
        <w:t xml:space="preserve">Figure </w:t>
      </w:r>
      <w:r>
        <w:rPr>
          <w:noProof/>
        </w:rPr>
        <w:fldChar w:fldCharType="begin"/>
      </w:r>
      <w:r>
        <w:rPr>
          <w:noProof/>
        </w:rPr>
        <w:instrText xml:space="preserve"> SEQ Figure \* ARABIC </w:instrText>
      </w:r>
      <w:r>
        <w:rPr>
          <w:noProof/>
        </w:rPr>
        <w:fldChar w:fldCharType="separate"/>
      </w:r>
      <w:r w:rsidR="008C3C20">
        <w:rPr>
          <w:noProof/>
        </w:rPr>
        <w:t>1</w:t>
      </w:r>
      <w:r>
        <w:rPr>
          <w:noProof/>
        </w:rPr>
        <w:fldChar w:fldCharType="end"/>
      </w:r>
      <w:bookmarkEnd w:id="20"/>
      <w:r>
        <w:t xml:space="preserve"> Sugar, average world nominal price, 2014–2018 a</w:t>
      </w:r>
      <w:bookmarkEnd w:id="21"/>
    </w:p>
    <w:p w14:paraId="0A9331BE" w14:textId="77777777" w:rsidR="003F4055" w:rsidRDefault="0074664F">
      <w:r>
        <w:rPr>
          <w:noProof/>
          <w:lang w:eastAsia="en-AU"/>
        </w:rPr>
        <w:drawing>
          <wp:inline distT="0" distB="0" distL="0" distR="0" wp14:anchorId="0D39571D" wp14:editId="36C8E78C">
            <wp:extent cx="5731510" cy="2919095"/>
            <wp:effectExtent l="0" t="0" r="2540" b="14605"/>
            <wp:docPr id="7" name="Chart 7" descr="This figure shows the world sugar price as per the Intercontinental Exchange, sugar no. 11 contra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E7EA37" w14:textId="77777777" w:rsidR="003F4055" w:rsidRDefault="0074664F" w:rsidP="00887939">
      <w:pPr>
        <w:pStyle w:val="FigureTableNoteSource"/>
      </w:pPr>
      <w:proofErr w:type="spellStart"/>
      <w:proofErr w:type="gramStart"/>
      <w:r w:rsidRPr="00887939">
        <w:rPr>
          <w:rStyle w:val="Strong"/>
        </w:rPr>
        <w:t>a</w:t>
      </w:r>
      <w:proofErr w:type="spellEnd"/>
      <w:proofErr w:type="gramEnd"/>
      <w:r>
        <w:t xml:space="preserve"> Intercontinental Exchange, sugar no. 11.</w:t>
      </w:r>
    </w:p>
    <w:p w14:paraId="788E90AD" w14:textId="7C23EFC9" w:rsidR="003F4055" w:rsidRDefault="0074664F">
      <w:r>
        <w:t>Millers in those districts told the review team that the CSAs they offered gave growers the option to lock in the higher prices and transfer GEI marketing to QSL later—but that growers chose not to sign at all. Growers reported that they were given no information on timing or how the transfer would have worked in practice.</w:t>
      </w:r>
    </w:p>
    <w:p w14:paraId="105131BD" w14:textId="7D396639" w:rsidR="003F4055" w:rsidRDefault="0074664F">
      <w:r>
        <w:lastRenderedPageBreak/>
        <w:t>In some districts growers took advantage of the millers’ offer and locked in the higher prices. In the districts where growers held out and were unable to take advantage of higher prices, it is clear that trust and respect between the grower representatives and millers was much lower. Grower representatives and millers in these cases appeared to take a ‘winner takes all’ approach.</w:t>
      </w:r>
    </w:p>
    <w:p w14:paraId="61DA9F97" w14:textId="22663429" w:rsidR="003F4055" w:rsidRPr="00BE7DE1" w:rsidRDefault="0074664F">
      <w:r>
        <w:t xml:space="preserve">In one district pre-contract </w:t>
      </w:r>
      <w:r w:rsidRPr="00BE7DE1">
        <w:t xml:space="preserve">arbitration ultimately failed—due to the arbitrator forming the view that the arbitration provision in the </w:t>
      </w:r>
      <w:r w:rsidR="00D528FD" w:rsidRPr="00BE7DE1">
        <w:t>Sugar Industry Act</w:t>
      </w:r>
      <w:r w:rsidRPr="00BE7DE1">
        <w:t xml:space="preserve"> was unconstitutional.</w:t>
      </w:r>
    </w:p>
    <w:p w14:paraId="1B29463D" w14:textId="45EBD253" w:rsidR="003F4055" w:rsidRDefault="0074664F">
      <w:r w:rsidRPr="00BE7DE1">
        <w:t xml:space="preserve">In April 2017 the Australian Parliament made the Competition and Consumer (Industry Code—Sugar) Regulations 2017, known as the sugar code of conduct, to give parties more certainty about options available to them to resolve the negotiating deadlock. The code reinforced the amendments to the </w:t>
      </w:r>
      <w:r w:rsidR="00D528FD" w:rsidRPr="00BE7DE1">
        <w:t>Sugar Industry Act</w:t>
      </w:r>
      <w:r w:rsidRPr="00BE7DE1">
        <w:t>—allowing for grower choice in marketing, including pre-contract CSA arbitration. It also provided for</w:t>
      </w:r>
      <w:r>
        <w:t xml:space="preserve"> pre-contract arbitration of OSAs and introduced a requirement for parties to act in good faith.</w:t>
      </w:r>
    </w:p>
    <w:p w14:paraId="19785898" w14:textId="4D612EB4" w:rsidR="003F4055" w:rsidRDefault="0074664F">
      <w:r>
        <w:t xml:space="preserve">Shortly after the introduction of the code, all remaining OSAs and CSAs were finalised. Code provisions were not used during the negotiations. See </w:t>
      </w:r>
      <w:hyperlink w:anchor="_Appendix_B:_Operation" w:history="1">
        <w:r>
          <w:rPr>
            <w:rStyle w:val="Hyperlink"/>
          </w:rPr>
          <w:t>Appendix B: Operation of the code</w:t>
        </w:r>
      </w:hyperlink>
      <w:r>
        <w:t xml:space="preserve"> for a description of code provisions.</w:t>
      </w:r>
    </w:p>
    <w:p w14:paraId="38EB8F2B" w14:textId="24498D94" w:rsidR="003F4055" w:rsidRDefault="0074664F">
      <w:pPr>
        <w:pStyle w:val="Heading3"/>
      </w:pPr>
      <w:bookmarkStart w:id="22" w:name="_Toc530149431"/>
      <w:r>
        <w:t>Code impact</w:t>
      </w:r>
      <w:bookmarkEnd w:id="22"/>
    </w:p>
    <w:p w14:paraId="3FE03731" w14:textId="4A3A17E8" w:rsidR="003F4055" w:rsidRDefault="0074664F">
      <w:r>
        <w:t xml:space="preserve">The code provisions have not yet been used. </w:t>
      </w:r>
      <w:r w:rsidR="005322DF">
        <w:t>Despite this</w:t>
      </w:r>
      <w:r>
        <w:t>, industry has strong views on the impact of the code.</w:t>
      </w:r>
    </w:p>
    <w:p w14:paraId="17B23316" w14:textId="2FD591C9" w:rsidR="003F4055" w:rsidRDefault="0074664F">
      <w:pPr>
        <w:pStyle w:val="Heading4"/>
        <w:numPr>
          <w:ilvl w:val="0"/>
          <w:numId w:val="0"/>
        </w:numPr>
      </w:pPr>
      <w:r>
        <w:t>Grower perspectives</w:t>
      </w:r>
    </w:p>
    <w:p w14:paraId="2A5E9621" w14:textId="6275C86D" w:rsidR="003F4055" w:rsidRPr="00BE7DE1" w:rsidRDefault="0074664F">
      <w:r>
        <w:t xml:space="preserve">Many growers and representatives advised the review team that they considered the code an </w:t>
      </w:r>
      <w:r w:rsidRPr="00BE7DE1">
        <w:t xml:space="preserve">important safety net to protect their access to choice in marketing, particularly given that the </w:t>
      </w:r>
      <w:r w:rsidR="00D528FD" w:rsidRPr="00BE7DE1">
        <w:t>Sugar Industry Act</w:t>
      </w:r>
      <w:r w:rsidRPr="00BE7DE1">
        <w:t xml:space="preserve"> could be repealed. They emphasised the importance of the availability of pre-contract arbitration to break negotiation deadlocks, noting their reduced bargaining power due to availability of only one miller. Grower representatives noted the uncertainty surrounding arbitration under the </w:t>
      </w:r>
      <w:r w:rsidR="00D528FD" w:rsidRPr="00BE7DE1">
        <w:t>Sugar Industry Act</w:t>
      </w:r>
      <w:r w:rsidRPr="00BE7DE1">
        <w:t xml:space="preserve"> so that code provisions were potentially the only arbitration available. Grower representatives also highlighted the potential value of the code good faith provisions.</w:t>
      </w:r>
    </w:p>
    <w:p w14:paraId="09B2403D" w14:textId="270B0E34" w:rsidR="003F4055" w:rsidRDefault="0074664F">
      <w:r w:rsidRPr="00BE7DE1">
        <w:t xml:space="preserve">Grower representatives also described the grower choice in marketing created by the </w:t>
      </w:r>
      <w:r w:rsidR="00D528FD" w:rsidRPr="00BE7DE1">
        <w:t>Sugar Industry Act</w:t>
      </w:r>
      <w:r w:rsidRPr="00BE7DE1">
        <w:t xml:space="preserve"> and supported by the code as ‘the final step in the deregulation of the industry’</w:t>
      </w:r>
      <w:r>
        <w:t xml:space="preserve"> (Submission 15, </w:t>
      </w:r>
      <w:r w:rsidR="00585C95">
        <w:t>Synergies Report</w:t>
      </w:r>
      <w:r>
        <w:t>)—because it enabled further competition in a part of the supply chain. Miller representatives took the opposite point of view.</w:t>
      </w:r>
    </w:p>
    <w:p w14:paraId="16572C3E" w14:textId="0192E7D2" w:rsidR="003F4055" w:rsidRDefault="0074664F">
      <w:pPr>
        <w:pStyle w:val="Heading4"/>
        <w:numPr>
          <w:ilvl w:val="0"/>
          <w:numId w:val="0"/>
        </w:numPr>
        <w:ind w:left="964" w:hanging="964"/>
      </w:pPr>
      <w:r>
        <w:t>Miller perspectives</w:t>
      </w:r>
    </w:p>
    <w:p w14:paraId="29491653" w14:textId="4016F266" w:rsidR="003F4055" w:rsidRDefault="0074664F">
      <w:r>
        <w:t>Millers advised the review team that the code has added uncertainty, complexity and cost to sugar industry operations, deterring investment and undermining competitiveness. They said that investments not committed to before the code was established have been postponed or cancelled. They were particularly concerned about pre-contract arbitration because they believe it runs counter to the objective of sugar industry deregulation (Submission 2, Australian Sugar Milling Council). Millers emphasised their uncertainty about pre-contract arbitration being used to extend code provisions to cover by-products of sugar production (such as molasses or energy generated by bagasse).</w:t>
      </w:r>
    </w:p>
    <w:p w14:paraId="73EA32C9" w14:textId="77777777" w:rsidR="003F4055" w:rsidRDefault="0074664F">
      <w:pPr>
        <w:pStyle w:val="Heading3"/>
      </w:pPr>
      <w:bookmarkStart w:id="23" w:name="_Toc530149432"/>
      <w:r>
        <w:lastRenderedPageBreak/>
        <w:t>Code evaluation</w:t>
      </w:r>
      <w:bookmarkEnd w:id="23"/>
    </w:p>
    <w:p w14:paraId="7AAB318B" w14:textId="7EDD0BCC" w:rsidR="003F4055" w:rsidRDefault="0074664F">
      <w:r>
        <w:t>The code contains provisions that restrict millers’ ability to market sugar produced from cane purchased and give growers this right. This means that growers may elect a third-party marketer other than the miller to market their economic interest sugar, requiring millers to enter into OSAs.</w:t>
      </w:r>
    </w:p>
    <w:p w14:paraId="14988A53" w14:textId="195D0AEC" w:rsidR="003F4055" w:rsidRDefault="0074664F">
      <w:r>
        <w:t xml:space="preserve">These marketing restrictions relate to issues that are unique and confined to Queensland. The code marketing restriction provisions mirror those in the </w:t>
      </w:r>
      <w:r w:rsidR="00D528FD">
        <w:t>Sugar Industry Act</w:t>
      </w:r>
      <w:r>
        <w:t xml:space="preserve">. However, they have no effect in Queensland because supply contracts (including in relation to marketing restrictions) are already regulated by </w:t>
      </w:r>
      <w:r w:rsidR="00BE7DE1">
        <w:t xml:space="preserve">the </w:t>
      </w:r>
      <w:r w:rsidR="00D528FD">
        <w:t>Sugar Industry Act</w:t>
      </w:r>
      <w:r>
        <w:t>.</w:t>
      </w:r>
    </w:p>
    <w:p w14:paraId="3AFF4A20" w14:textId="7F2C4C39" w:rsidR="003F4055" w:rsidRDefault="0074664F">
      <w:r>
        <w:t xml:space="preserve">When the sugar code of conduct was first introduced, marketing restrictions had been a key contention between the parties—so code provisions were designed to help resolve a prolonged negotiating impasse. </w:t>
      </w:r>
      <w:r w:rsidR="0085640C">
        <w:t>It may not remain</w:t>
      </w:r>
      <w:r>
        <w:t xml:space="preserve"> appropriate that a Commonwealth code of conduct intended to regulate commercial behaviour across Australia contain provisions that determine commercial outcomes relevant to one state only.</w:t>
      </w:r>
    </w:p>
    <w:p w14:paraId="23682E52" w14:textId="3A445B2C" w:rsidR="00F37904" w:rsidRDefault="00F37904">
      <w:pPr>
        <w:pStyle w:val="Heading4"/>
        <w:numPr>
          <w:ilvl w:val="0"/>
          <w:numId w:val="0"/>
        </w:numPr>
        <w:ind w:left="964" w:hanging="964"/>
      </w:pPr>
      <w:r w:rsidRPr="00F37904">
        <w:t>The role of the Australian Competition and Consumer Commission</w:t>
      </w:r>
    </w:p>
    <w:p w14:paraId="78F641D5" w14:textId="29CB9CCC" w:rsidR="00F37904" w:rsidRPr="00773247" w:rsidRDefault="00F37904" w:rsidP="00F37904">
      <w:pPr>
        <w:jc w:val="both"/>
        <w:rPr>
          <w:lang w:eastAsia="ja-JP"/>
        </w:rPr>
      </w:pPr>
      <w:r w:rsidRPr="00773247">
        <w:rPr>
          <w:lang w:eastAsia="ja-JP"/>
        </w:rPr>
        <w:t xml:space="preserve">The </w:t>
      </w:r>
      <w:r w:rsidR="00773247">
        <w:rPr>
          <w:lang w:eastAsia="ja-JP"/>
        </w:rPr>
        <w:t>role of the Australian Competition and Consumer Commission (</w:t>
      </w:r>
      <w:r w:rsidRPr="00773247">
        <w:rPr>
          <w:lang w:eastAsia="ja-JP"/>
        </w:rPr>
        <w:t>ACCC</w:t>
      </w:r>
      <w:r w:rsidR="00773247">
        <w:rPr>
          <w:lang w:eastAsia="ja-JP"/>
        </w:rPr>
        <w:t>)</w:t>
      </w:r>
      <w:r w:rsidR="00773247" w:rsidRPr="00773247">
        <w:rPr>
          <w:lang w:eastAsia="ja-JP"/>
        </w:rPr>
        <w:t xml:space="preserve"> under the c</w:t>
      </w:r>
      <w:r w:rsidRPr="00773247">
        <w:rPr>
          <w:lang w:eastAsia="ja-JP"/>
        </w:rPr>
        <w:t>ode is to ensure that the parties act in good faith during their dealings with each other. This limited ACCC role was intended to reflec</w:t>
      </w:r>
      <w:r w:rsidR="00773247" w:rsidRPr="00773247">
        <w:rPr>
          <w:lang w:eastAsia="ja-JP"/>
        </w:rPr>
        <w:t>t the minimalist nature of the c</w:t>
      </w:r>
      <w:r w:rsidRPr="00773247">
        <w:rPr>
          <w:lang w:eastAsia="ja-JP"/>
        </w:rPr>
        <w:t xml:space="preserve">ode, as it was primarily designed to provide pre-contractual arbitration as a safety net for the industry in situations where the parties are unable to reach agreement on commercial terms. </w:t>
      </w:r>
    </w:p>
    <w:p w14:paraId="1A4888CF" w14:textId="31B3F90C" w:rsidR="00F37904" w:rsidRPr="00773247" w:rsidRDefault="00F37904" w:rsidP="00F37904">
      <w:pPr>
        <w:ind w:right="-46"/>
        <w:rPr>
          <w:lang w:eastAsia="ja-JP"/>
        </w:rPr>
      </w:pPr>
      <w:r w:rsidRPr="00773247">
        <w:rPr>
          <w:lang w:eastAsia="ja-JP"/>
        </w:rPr>
        <w:t>In its submission</w:t>
      </w:r>
      <w:r w:rsidR="00773247">
        <w:rPr>
          <w:lang w:eastAsia="ja-JP"/>
        </w:rPr>
        <w:t>,</w:t>
      </w:r>
      <w:r w:rsidRPr="00773247">
        <w:rPr>
          <w:lang w:eastAsia="ja-JP"/>
        </w:rPr>
        <w:t xml:space="preserve"> the ACCC recommend</w:t>
      </w:r>
      <w:r w:rsidR="00773247">
        <w:rPr>
          <w:lang w:eastAsia="ja-JP"/>
        </w:rPr>
        <w:t>ed</w:t>
      </w:r>
      <w:r w:rsidRPr="00773247">
        <w:rPr>
          <w:lang w:eastAsia="ja-JP"/>
        </w:rPr>
        <w:t xml:space="preserve"> that the</w:t>
      </w:r>
      <w:r w:rsidR="00773247">
        <w:rPr>
          <w:lang w:eastAsia="ja-JP"/>
        </w:rPr>
        <w:t xml:space="preserve"> code</w:t>
      </w:r>
      <w:r w:rsidRPr="00773247">
        <w:rPr>
          <w:lang w:eastAsia="ja-JP"/>
        </w:rPr>
        <w:t xml:space="preserve"> grower choice provisions be activated to allow </w:t>
      </w:r>
      <w:r w:rsidR="00773247">
        <w:rPr>
          <w:lang w:eastAsia="ja-JP"/>
        </w:rPr>
        <w:t>it</w:t>
      </w:r>
      <w:r w:rsidRPr="00773247">
        <w:rPr>
          <w:lang w:eastAsia="ja-JP"/>
        </w:rPr>
        <w:t xml:space="preserve"> </w:t>
      </w:r>
      <w:r w:rsidR="00773247" w:rsidRPr="00773247">
        <w:rPr>
          <w:lang w:eastAsia="ja-JP"/>
        </w:rPr>
        <w:t xml:space="preserve">to take enforcement action and </w:t>
      </w:r>
      <w:r w:rsidRPr="00773247">
        <w:rPr>
          <w:lang w:eastAsia="ja-JP"/>
        </w:rPr>
        <w:t>introduce civil pecuniary penalt</w:t>
      </w:r>
      <w:r w:rsidR="00CB3974" w:rsidRPr="00CB3974">
        <w:rPr>
          <w:lang w:eastAsia="ja-JP"/>
        </w:rPr>
        <w:t>ies for breaches of the c</w:t>
      </w:r>
      <w:r w:rsidRPr="00773247">
        <w:rPr>
          <w:lang w:eastAsia="ja-JP"/>
        </w:rPr>
        <w:t>ode</w:t>
      </w:r>
      <w:r w:rsidR="00CB3974">
        <w:rPr>
          <w:lang w:eastAsia="ja-JP"/>
        </w:rPr>
        <w:t xml:space="preserve"> (Submission 1, Australian Competition and Consumer Commission)</w:t>
      </w:r>
      <w:r w:rsidRPr="00773247">
        <w:rPr>
          <w:lang w:eastAsia="ja-JP"/>
        </w:rPr>
        <w:t xml:space="preserve">. However, marketing restrictions are already regulated by the </w:t>
      </w:r>
      <w:r w:rsidR="00D528FD">
        <w:rPr>
          <w:lang w:eastAsia="ja-JP"/>
        </w:rPr>
        <w:t>Sugar Industry Act</w:t>
      </w:r>
      <w:r w:rsidRPr="00773247">
        <w:rPr>
          <w:lang w:eastAsia="ja-JP"/>
        </w:rPr>
        <w:t xml:space="preserve">, which provides remedies and legal recourse for growers that are not afforded choice of marketer in accordance with that law. </w:t>
      </w:r>
    </w:p>
    <w:p w14:paraId="6BB52D8F" w14:textId="77777777" w:rsidR="00F37904" w:rsidRPr="00773247" w:rsidRDefault="00F37904" w:rsidP="00F37904">
      <w:pPr>
        <w:jc w:val="both"/>
        <w:rPr>
          <w:lang w:eastAsia="ja-JP"/>
        </w:rPr>
      </w:pPr>
      <w:r w:rsidRPr="00773247">
        <w:rPr>
          <w:lang w:eastAsia="ja-JP"/>
        </w:rPr>
        <w:t>Similarly, there is little evidence to support the introduction of pecuniary penalty provisions. While t</w:t>
      </w:r>
      <w:r w:rsidRPr="00773247">
        <w:t xml:space="preserve">here are other industry codes currently operating in Australia which include ACCC penalty provisions, these have been added after reviews of the relevant code concluded there to be evidence of persistent non-compliance by industry participants. In contrast, the review did not receive any compelling evidence of this nature in the sugar industry, nor did the review receive any other submissions calling for additional powers for the ACCC. Stakeholder attendees at the public consultations did not raise the limited role of the ACCC or lack of penalty provisions as being a concern. </w:t>
      </w:r>
    </w:p>
    <w:p w14:paraId="20A1C847" w14:textId="6818CC60" w:rsidR="00F37904" w:rsidRPr="00773247" w:rsidRDefault="00F37904" w:rsidP="00F37904">
      <w:pPr>
        <w:jc w:val="both"/>
      </w:pPr>
      <w:r w:rsidRPr="00773247">
        <w:t xml:space="preserve">The provisions of the </w:t>
      </w:r>
      <w:r w:rsidR="00773247">
        <w:t>c</w:t>
      </w:r>
      <w:r w:rsidRPr="00773247">
        <w:t xml:space="preserve">ode currently provide for pre-contract arbitration, which is capable of resolving issues relating to whether grower choice has been provided, without the need for further ACCC involvement. The review has considered the merits of these proposals and has determined that they are not suitable for the </w:t>
      </w:r>
      <w:r w:rsidR="00773247">
        <w:t>c</w:t>
      </w:r>
      <w:r w:rsidRPr="00773247">
        <w:t xml:space="preserve">ode, particularly as the industry continues its path towards deregulation and strengthening commercial relationships. </w:t>
      </w:r>
    </w:p>
    <w:p w14:paraId="2F6BC4DD" w14:textId="798D130C" w:rsidR="00F37904" w:rsidRPr="001B3FCF" w:rsidRDefault="00F37904" w:rsidP="00773247">
      <w:r w:rsidRPr="00773247">
        <w:t>The situation should be monitored and if necessary, further ACCC involvement could be considered.</w:t>
      </w:r>
    </w:p>
    <w:p w14:paraId="0F49E6BA" w14:textId="77777777" w:rsidR="003F4055" w:rsidRDefault="0074664F">
      <w:pPr>
        <w:pStyle w:val="Heading4"/>
        <w:numPr>
          <w:ilvl w:val="0"/>
          <w:numId w:val="0"/>
        </w:numPr>
        <w:ind w:left="964" w:hanging="964"/>
      </w:pPr>
      <w:r>
        <w:lastRenderedPageBreak/>
        <w:t>Productivity Commission findings</w:t>
      </w:r>
    </w:p>
    <w:p w14:paraId="21252BFD" w14:textId="11A0D280" w:rsidR="003F4055" w:rsidRDefault="0074664F">
      <w:r>
        <w:t xml:space="preserve">The Productivity Commission and others </w:t>
      </w:r>
      <w:r w:rsidR="00123544">
        <w:t xml:space="preserve">have </w:t>
      </w:r>
      <w:r>
        <w:t xml:space="preserve">raised significant concerns about marketing restrictions. The Productivity Commission (2016) inquiry into the regulation of the Australian agricultural sector examined the marketing restrictions contained in </w:t>
      </w:r>
      <w:r w:rsidRPr="00BE7DE1">
        <w:t xml:space="preserve">the </w:t>
      </w:r>
      <w:r w:rsidR="00D528FD" w:rsidRPr="00BE7DE1">
        <w:t>Sugar Industry Act</w:t>
      </w:r>
      <w:r>
        <w:t xml:space="preserve"> and found:</w:t>
      </w:r>
    </w:p>
    <w:p w14:paraId="2A154827" w14:textId="77777777" w:rsidR="003F4055" w:rsidRDefault="0074664F">
      <w:pPr>
        <w:pStyle w:val="Quote"/>
      </w:pPr>
      <w:r>
        <w:t>There is no market failure (or other reasonable objective) to justify the re-regulation. The evidence also suggests that the growers’ preferred choice of marketing arrangements is likely to reduce the productivity and profitability of the industry (by constraining investment and structural adjustment).</w:t>
      </w:r>
    </w:p>
    <w:p w14:paraId="0D7DBF56" w14:textId="77777777" w:rsidR="003F4055" w:rsidRDefault="0074664F">
      <w:r>
        <w:t>The Productivity Commission also referred to Queensland Productivity Commission findings that the benefits of additional regulation did not outweigh the costs of the original Bill, which contained marketing restrictions.</w:t>
      </w:r>
    </w:p>
    <w:p w14:paraId="2C21FE71" w14:textId="77777777" w:rsidR="003F4055" w:rsidRDefault="0074664F">
      <w:r>
        <w:t>The Queensland Productivity Commission (2015) found that the Bill:</w:t>
      </w:r>
    </w:p>
    <w:p w14:paraId="2F2AF15F" w14:textId="77777777" w:rsidR="003F4055" w:rsidRDefault="0074664F">
      <w:pPr>
        <w:pStyle w:val="Quote"/>
      </w:pPr>
      <w:r>
        <w:t xml:space="preserve">… </w:t>
      </w:r>
      <w:proofErr w:type="gramStart"/>
      <w:r>
        <w:t>interferes</w:t>
      </w:r>
      <w:proofErr w:type="gramEnd"/>
      <w:r>
        <w:t xml:space="preserve"> with property rights of millers … This is likely to reduce the profitability of future sugar mill investment and dampen longer term innovation and productivity compared to no additional regulation.</w:t>
      </w:r>
    </w:p>
    <w:p w14:paraId="1D7A8575" w14:textId="77777777" w:rsidR="003F4055" w:rsidRDefault="0074664F">
      <w:pPr>
        <w:pStyle w:val="Heading4"/>
        <w:numPr>
          <w:ilvl w:val="0"/>
          <w:numId w:val="0"/>
        </w:numPr>
        <w:ind w:left="964" w:hanging="964"/>
      </w:pPr>
      <w:r>
        <w:t>Conclusion</w:t>
      </w:r>
    </w:p>
    <w:p w14:paraId="005E98F9" w14:textId="7159690B" w:rsidR="003F4055" w:rsidRDefault="0074664F">
      <w:r>
        <w:t xml:space="preserve">On balance, the review found little benefit in retaining duplicative and non-operative provisions in the code. The inclusion of these provisions may hinder the ability of the </w:t>
      </w:r>
      <w:r w:rsidR="00D528FD">
        <w:t>Sugar Industry Act</w:t>
      </w:r>
      <w:r>
        <w:t xml:space="preserve"> to </w:t>
      </w:r>
      <w:r w:rsidR="00773247">
        <w:t>be</w:t>
      </w:r>
      <w:r>
        <w:t xml:space="preserve"> change</w:t>
      </w:r>
      <w:r w:rsidR="00773247">
        <w:t>d</w:t>
      </w:r>
      <w:r>
        <w:t xml:space="preserve"> to meet the needs of the Queensland sugar industry. It may also risk creating inconsistencies between Australian and state sugar industry law and future policy.</w:t>
      </w:r>
    </w:p>
    <w:p w14:paraId="481F362A" w14:textId="7C8F8A76" w:rsidR="003F4055" w:rsidRDefault="0074664F">
      <w:r>
        <w:t xml:space="preserve">The Queensland-specific grower choice provisions should be removed from code. The code could then provide a robust national framework for dispute resolution across the industry—a common feature of other prescribed industry codes. This change would not affect growers’ choice of marketer rights because this would continue to be provided for under the </w:t>
      </w:r>
      <w:r w:rsidR="00D528FD">
        <w:t>Sugar Industry Act</w:t>
      </w:r>
      <w:r>
        <w:t>.</w:t>
      </w:r>
    </w:p>
    <w:p w14:paraId="706DBB74" w14:textId="11292B12" w:rsidR="003F4055" w:rsidRDefault="0074664F">
      <w:pPr>
        <w:pStyle w:val="Heading3"/>
      </w:pPr>
      <w:bookmarkStart w:id="24" w:name="_Toc530149433"/>
      <w:r>
        <w:t>Potential conflicts with Part IV of the Competition and Consumer Act 2010</w:t>
      </w:r>
      <w:bookmarkEnd w:id="24"/>
    </w:p>
    <w:p w14:paraId="3CBD4355" w14:textId="23E61A70" w:rsidR="003F4055" w:rsidRDefault="0074664F">
      <w:r>
        <w:t xml:space="preserve">The code </w:t>
      </w:r>
      <w:r w:rsidR="00CA4009">
        <w:t>has</w:t>
      </w:r>
      <w:r>
        <w:t xml:space="preserve"> an exemption from the Part IV anti-competitive conduct provisions </w:t>
      </w:r>
      <w:r w:rsidR="00CA4009">
        <w:t>of</w:t>
      </w:r>
      <w:r>
        <w:t xml:space="preserve"> the </w:t>
      </w:r>
      <w:r w:rsidRPr="00773247">
        <w:rPr>
          <w:rStyle w:val="Emphasis"/>
        </w:rPr>
        <w:t>Competition and Consumer Act 2010</w:t>
      </w:r>
      <w:r>
        <w:t xml:space="preserve"> (CCA), which authorises the ‘doing of things’ under the code. However, the CCA only allows this exemption to last for two years, after which time it sunsets. There was a concern that the code may be found to be inconsistent with Part IV of the CCA after the exemption sunsets. For example, agreements under the code may involve a cartel provision</w:t>
      </w:r>
      <w:r w:rsidR="00D528FD">
        <w:t xml:space="preserve">. This </w:t>
      </w:r>
      <w:r>
        <w:t>could be in conflict with sections 45 and 47 of the CCA, which deal with conduct that has the purpose or effect (or is likely to have the effect) of substantially lessening competition.</w:t>
      </w:r>
    </w:p>
    <w:p w14:paraId="43CCE6D3" w14:textId="3BC297B5" w:rsidR="003F4055" w:rsidRDefault="0074664F">
      <w:r>
        <w:t>On 5 May 2017 the ACCC authorised growers to collectively bargain with millers for 10 years. The authorisation applies only to growers represented by CANEGROWERS.</w:t>
      </w:r>
    </w:p>
    <w:p w14:paraId="26C0096A" w14:textId="0003ACC7" w:rsidR="003F4055" w:rsidRDefault="0074664F">
      <w:r>
        <w:t xml:space="preserve">The ACCC is also seeking submissions on a potential collective bargaining and franchising class exemption. The exemption would provide eligible businesses and franchisees with legal protection to collectively bargain with customers or suppliers without having to apply to the </w:t>
      </w:r>
      <w:r>
        <w:lastRenderedPageBreak/>
        <w:t>ACCC. Collective bargaining by cane growers with mills could be covered by this potential class exemption.</w:t>
      </w:r>
    </w:p>
    <w:p w14:paraId="3035FC67" w14:textId="344EDF3E" w:rsidR="003F4055" w:rsidRDefault="0074664F">
      <w:r>
        <w:t>The risk of inconsistency between the code and Part IV of the CCA is deemed low.</w:t>
      </w:r>
    </w:p>
    <w:p w14:paraId="2220CD8B" w14:textId="50D71887" w:rsidR="003F4055" w:rsidRDefault="0074664F">
      <w:pPr>
        <w:pStyle w:val="Heading2"/>
      </w:pPr>
      <w:bookmarkStart w:id="25" w:name="_Toc530149434"/>
      <w:r>
        <w:lastRenderedPageBreak/>
        <w:t>Long-term strategy</w:t>
      </w:r>
      <w:bookmarkEnd w:id="25"/>
    </w:p>
    <w:p w14:paraId="5F7A03F8" w14:textId="77777777" w:rsidR="003F4055" w:rsidRDefault="0074664F">
      <w:r>
        <w:t>Since deregulation in 2006 the Australian sugar industry has become globally competitive. It achieved this without the level of government support seen in many other sugar-producing countries. However, global competitiveness is not static and the industry will face future challenges—not least of these being low global sugar prices resulting from oversupply.</w:t>
      </w:r>
    </w:p>
    <w:p w14:paraId="66F71CF4" w14:textId="77777777" w:rsidR="003F4055" w:rsidRDefault="0074664F">
      <w:r>
        <w:t>The world indicator price for raw sugar (Intercontinental Exchange, nearby futures, no. 11 contract) is forecast to fall by 15 per cent to average US11c per pound in 2018–19 (October to September). If realised, the world sugar indicator price would be the lowest since 2003–04, when the price was around US9c per pound (in 2017–18 dollars). Support policies in countries such as India, Thailand and the United States are expected to continue to keep local sugar prices well above the world price, providing an incentive for higher production. In 2018–19 carry-over stocks are expected to reach record levels and production is expected to be higher than consumption (ABARES 2018). If realised, world sugar supplies would exceed record levels.</w:t>
      </w:r>
    </w:p>
    <w:p w14:paraId="01795094" w14:textId="3026CDC4" w:rsidR="003F4055" w:rsidRDefault="0074664F">
      <w:r>
        <w:t xml:space="preserve">Many cane farms are unprofitable. The most recent ABARES </w:t>
      </w:r>
      <w:r w:rsidR="00975D5F">
        <w:t>survey for 2013–14</w:t>
      </w:r>
      <w:r>
        <w:t xml:space="preserve"> showed that only 11 per cent of sugarcane farming businesses (those planting more than 250 hectares of cane) were profitable</w:t>
      </w:r>
      <w:r w:rsidR="004B6740">
        <w:t xml:space="preserve"> (ABARES 2015)</w:t>
      </w:r>
      <w:r>
        <w:t>. Anecdotal information collected during the survey suggested that farmers are subsidising small sugarcane businesses with income from other sources.</w:t>
      </w:r>
    </w:p>
    <w:p w14:paraId="2614EFBF" w14:textId="02D29B52" w:rsidR="003F4055" w:rsidRDefault="0074664F">
      <w:r>
        <w:t>Productivity also appears to be stagnant (</w:t>
      </w:r>
      <w:r>
        <w:fldChar w:fldCharType="begin"/>
      </w:r>
      <w:r>
        <w:instrText xml:space="preserve"> REF _Ref529971647 \h </w:instrText>
      </w:r>
      <w:r>
        <w:fldChar w:fldCharType="separate"/>
      </w:r>
      <w:r w:rsidR="008C3C20">
        <w:t xml:space="preserve">Figure </w:t>
      </w:r>
      <w:r w:rsidR="008C3C20">
        <w:rPr>
          <w:noProof/>
        </w:rPr>
        <w:t>2</w:t>
      </w:r>
      <w:r>
        <w:fldChar w:fldCharType="end"/>
      </w:r>
      <w:r>
        <w:t>). Sugar yields per hectare have increased by less than 0.3 per cent per year since 1970–71 compared with nearly 1.9 per cent per year for milk yields per cow. The dairy and sugar industries have similar monopsony and deregulation characteristics.</w:t>
      </w:r>
    </w:p>
    <w:p w14:paraId="0C3E2BC9" w14:textId="2760D086" w:rsidR="003F4055" w:rsidRDefault="0074664F" w:rsidP="00E262EB">
      <w:pPr>
        <w:pStyle w:val="Caption"/>
        <w:keepLines/>
      </w:pPr>
      <w:bookmarkStart w:id="26" w:name="_Ref529971647"/>
      <w:bookmarkStart w:id="27" w:name="_Toc530055215"/>
      <w:r>
        <w:t xml:space="preserve">Figure </w:t>
      </w:r>
      <w:r>
        <w:rPr>
          <w:noProof/>
        </w:rPr>
        <w:fldChar w:fldCharType="begin"/>
      </w:r>
      <w:r>
        <w:rPr>
          <w:noProof/>
        </w:rPr>
        <w:instrText xml:space="preserve"> SEQ Figure \* ARABIC </w:instrText>
      </w:r>
      <w:r>
        <w:rPr>
          <w:noProof/>
        </w:rPr>
        <w:fldChar w:fldCharType="separate"/>
      </w:r>
      <w:r w:rsidR="008C3C20">
        <w:rPr>
          <w:noProof/>
        </w:rPr>
        <w:t>2</w:t>
      </w:r>
      <w:r>
        <w:rPr>
          <w:noProof/>
        </w:rPr>
        <w:fldChar w:fldCharType="end"/>
      </w:r>
      <w:bookmarkEnd w:id="26"/>
      <w:r>
        <w:t xml:space="preserve"> Australian sugarcane and dairy farm productivity, 1970–71 to 2012–13</w:t>
      </w:r>
      <w:bookmarkEnd w:id="27"/>
    </w:p>
    <w:p w14:paraId="4822823E" w14:textId="77777777" w:rsidR="003F4055" w:rsidRDefault="0074664F" w:rsidP="00E262EB">
      <w:pPr>
        <w:keepNext/>
        <w:keepLines/>
      </w:pPr>
      <w:r>
        <w:rPr>
          <w:noProof/>
          <w:lang w:eastAsia="en-AU"/>
        </w:rPr>
        <w:drawing>
          <wp:inline distT="0" distB="0" distL="0" distR="0" wp14:anchorId="6017130E" wp14:editId="41B19EC9">
            <wp:extent cx="4890770" cy="2777706"/>
            <wp:effectExtent l="0" t="0" r="0" b="0"/>
            <wp:docPr id="10" name="Chart 10" descr="This figure compares the productivity of the Australian dairy industry with the Australian sugar industry from 1970 to 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8F45DE" w14:textId="60660C10" w:rsidR="00C52424" w:rsidRDefault="0074664F" w:rsidP="00C52424">
      <w:pPr>
        <w:pStyle w:val="FigureTableNoteSource"/>
        <w:keepNext/>
        <w:keepLines/>
      </w:pPr>
      <w:r>
        <w:t xml:space="preserve">Source: </w:t>
      </w:r>
      <w:r w:rsidR="003B7917">
        <w:t>ABARES 2017</w:t>
      </w:r>
      <w:r w:rsidR="005322DF">
        <w:t>a and 2017b</w:t>
      </w:r>
    </w:p>
    <w:p w14:paraId="55E4DF1D" w14:textId="22201EED" w:rsidR="003F4055" w:rsidRDefault="0074664F">
      <w:r>
        <w:t xml:space="preserve">The industry faces continuing pressures on production costs, particularly for labour, electricity and water. </w:t>
      </w:r>
      <w:r w:rsidR="00BE7DE1">
        <w:t>Sugarc</w:t>
      </w:r>
      <w:r>
        <w:t xml:space="preserve">ane production costs are currently around $37 per tonne. Prices for regulated </w:t>
      </w:r>
      <w:r>
        <w:lastRenderedPageBreak/>
        <w:t>irrigation water and electricity are rising rapidly. This will potentially threaten the viability of irrigated sugar cane into the future. The Australian sugar industry is mechanised and performs well technically. However, rural labour costs have increased considerably due to strong competition for skilled labour from the resources industry.</w:t>
      </w:r>
    </w:p>
    <w:p w14:paraId="49C5E268" w14:textId="0BFE3E17" w:rsidR="003F4055" w:rsidRDefault="0074664F">
      <w:r>
        <w:t>Increased electricity prices affect irrigated sugarcane farms. According to CANEGROWERS (2018a), electricity prices are threatening the financial and environmental sustainability of irrigated agriculture in Queensland. Irrigation is critical to the sugarcane industry. Around 3,500 Queensland sugarcane farms are irrigated, representing around 55 per cent of total growers and 60 per cent of production. The main irrigation areas are the Atherton Tablelands, Burdekin, Proserpine, Mackay, Bundaberg, Isis and Maryborough. Most growers in these areas irrigate and production would be much lower otherwise (CANEGROWERS 2018b).</w:t>
      </w:r>
    </w:p>
    <w:p w14:paraId="4FAFA47C" w14:textId="3D173DAF" w:rsidR="003F4055" w:rsidRDefault="0074664F">
      <w:r>
        <w:t>Grower and miller interests in the industry’s future are most aligned on its social licence, including on the environment and health. Whole-of-industry effort will lead to best outcomes.</w:t>
      </w:r>
    </w:p>
    <w:p w14:paraId="204604B0" w14:textId="558E08ED" w:rsidR="003F4055" w:rsidRDefault="0074664F">
      <w:r>
        <w:t>The Great Barrier Reef is threatened due to the combined effects of mass coral bleaching, pollution, storm damage and outbreaks of pests like crown-of-thorns starfish. Sugar cane is the major agricultural crop grown within reef catchments, and nutrient run-off from cane farms is a major contributor to pollution (Queensland Government 2017). The industry has started to address these issues. However, it will take time and joint commitment to change farming practices developed over a century.</w:t>
      </w:r>
    </w:p>
    <w:p w14:paraId="392E8D09" w14:textId="18B49622" w:rsidR="003F4055" w:rsidRDefault="0074664F">
      <w:r>
        <w:t xml:space="preserve">Health and nutrition issues related to obesity levels and sugar consumption are commonly raised in the community. Dietary guidelines advise the Australian population to reduce added sugar intake. A sugar tax has been identified </w:t>
      </w:r>
      <w:r w:rsidR="00096F7C">
        <w:t xml:space="preserve">by some </w:t>
      </w:r>
      <w:r>
        <w:t>as a part of a solution.</w:t>
      </w:r>
    </w:p>
    <w:p w14:paraId="49E5557B" w14:textId="567254F0" w:rsidR="003F4055" w:rsidRDefault="0074664F">
      <w:r>
        <w:t>The industry must focus on driving innovation. For example, the Queensland University of Technology (</w:t>
      </w:r>
      <w:r w:rsidR="00A8327F">
        <w:t>2018)</w:t>
      </w:r>
      <w:r>
        <w:t xml:space="preserve"> outlined how the biofuels industry could create thousands of jobs and $1 billion per year. It also argued that </w:t>
      </w:r>
      <w:r w:rsidR="00CA4009">
        <w:t>there needs</w:t>
      </w:r>
      <w:r>
        <w:t xml:space="preserve"> to be progress from biofuels to </w:t>
      </w:r>
      <w:proofErr w:type="spellStart"/>
      <w:r>
        <w:t>bioproducts</w:t>
      </w:r>
      <w:proofErr w:type="spellEnd"/>
      <w:r w:rsidR="00CA4009">
        <w:t>. D</w:t>
      </w:r>
      <w:r>
        <w:t xml:space="preserve">emand for biofuels would start to decline from around 2030 as people move to charging cars off home solar panels instead of using petrol or biofuels. It expects ethanol to retain importance as a base for production of other </w:t>
      </w:r>
      <w:proofErr w:type="spellStart"/>
      <w:r>
        <w:t>bioproducts</w:t>
      </w:r>
      <w:proofErr w:type="spellEnd"/>
      <w:r>
        <w:t>. Committing cane to these other uses would result in a dramatic reduction in total supply for sugar production, potentially leaving sugar mills as stranded assets. The industry must plan to build a viable and diversified future.</w:t>
      </w:r>
    </w:p>
    <w:p w14:paraId="7E0D26E6" w14:textId="70B95446" w:rsidR="003F4055" w:rsidRDefault="0074664F">
      <w:pPr>
        <w:pStyle w:val="Heading2"/>
        <w:numPr>
          <w:ilvl w:val="0"/>
          <w:numId w:val="0"/>
        </w:numPr>
      </w:pPr>
      <w:bookmarkStart w:id="28" w:name="_Appendix_A:_History"/>
      <w:bookmarkStart w:id="29" w:name="_Appendix_A:_Sugar"/>
      <w:bookmarkStart w:id="30" w:name="_Toc430782160"/>
      <w:bookmarkStart w:id="31" w:name="_Toc530149435"/>
      <w:bookmarkEnd w:id="28"/>
      <w:bookmarkEnd w:id="29"/>
      <w:r>
        <w:lastRenderedPageBreak/>
        <w:t xml:space="preserve">Appendix A: </w:t>
      </w:r>
      <w:bookmarkEnd w:id="30"/>
      <w:r>
        <w:t>Sugar industry inquiries and reviews</w:t>
      </w:r>
      <w:bookmarkEnd w:id="31"/>
    </w:p>
    <w:p w14:paraId="599A2FE0" w14:textId="797BA8A4" w:rsidR="003F4055" w:rsidRDefault="0074664F">
      <w:pPr>
        <w:pStyle w:val="Caption"/>
      </w:pPr>
      <w:bookmarkStart w:id="32" w:name="_Toc401230265"/>
      <w:bookmarkStart w:id="33" w:name="_Toc530050600"/>
      <w:r>
        <w:t xml:space="preserve">Table </w:t>
      </w:r>
      <w:proofErr w:type="gramStart"/>
      <w:r w:rsidRPr="001B3FCF">
        <w:t>A</w:t>
      </w:r>
      <w:proofErr w:type="gramEnd"/>
      <w:r w:rsidRPr="001B3FCF">
        <w:rPr>
          <w:noProof/>
        </w:rPr>
        <w:fldChar w:fldCharType="begin"/>
      </w:r>
      <w:r w:rsidRPr="001B3FCF">
        <w:rPr>
          <w:noProof/>
        </w:rPr>
        <w:instrText xml:space="preserve"> SEQ Table_A \* ARABIC </w:instrText>
      </w:r>
      <w:r w:rsidRPr="001B3FCF">
        <w:rPr>
          <w:noProof/>
        </w:rPr>
        <w:fldChar w:fldCharType="separate"/>
      </w:r>
      <w:r w:rsidR="008C3C20">
        <w:rPr>
          <w:noProof/>
        </w:rPr>
        <w:t>1</w:t>
      </w:r>
      <w:r w:rsidRPr="001B3FCF">
        <w:rPr>
          <w:noProof/>
        </w:rPr>
        <w:fldChar w:fldCharType="end"/>
      </w:r>
      <w:r w:rsidRPr="001B3FCF">
        <w:t xml:space="preserve"> </w:t>
      </w:r>
      <w:r>
        <w:t>Sugar industry inquiries and reviews</w:t>
      </w:r>
      <w:bookmarkEnd w:id="32"/>
      <w:r w:rsidRPr="001B3FCF">
        <w:t xml:space="preserve">, </w:t>
      </w:r>
      <w:r>
        <w:t>1983 to 2017</w:t>
      </w:r>
      <w:bookmarkEnd w:id="33"/>
    </w:p>
    <w:tbl>
      <w:tblPr>
        <w:tblStyle w:val="TableGrid"/>
        <w:tblW w:w="0" w:type="auto"/>
        <w:tblLook w:val="04A0" w:firstRow="1" w:lastRow="0" w:firstColumn="1" w:lastColumn="0" w:noHBand="0" w:noVBand="1"/>
      </w:tblPr>
      <w:tblGrid>
        <w:gridCol w:w="715"/>
        <w:gridCol w:w="2541"/>
        <w:gridCol w:w="5804"/>
      </w:tblGrid>
      <w:tr w:rsidR="003F4055" w14:paraId="166EF88A" w14:textId="77777777" w:rsidTr="00CA4009">
        <w:trPr>
          <w:tblHeader/>
        </w:trPr>
        <w:tc>
          <w:tcPr>
            <w:tcW w:w="715" w:type="dxa"/>
          </w:tcPr>
          <w:p w14:paraId="0B2B9AFD" w14:textId="77777777" w:rsidR="003F4055" w:rsidRDefault="0074664F">
            <w:pPr>
              <w:pStyle w:val="TableHeading"/>
            </w:pPr>
            <w:r>
              <w:t>Year</w:t>
            </w:r>
          </w:p>
        </w:tc>
        <w:tc>
          <w:tcPr>
            <w:tcW w:w="2541" w:type="dxa"/>
          </w:tcPr>
          <w:p w14:paraId="22E5A3FE" w14:textId="77777777" w:rsidR="003F4055" w:rsidRDefault="0074664F">
            <w:pPr>
              <w:pStyle w:val="TableHeading"/>
            </w:pPr>
            <w:r>
              <w:t>Review</w:t>
            </w:r>
          </w:p>
        </w:tc>
        <w:tc>
          <w:tcPr>
            <w:tcW w:w="5804" w:type="dxa"/>
          </w:tcPr>
          <w:p w14:paraId="5ED11712" w14:textId="77777777" w:rsidR="003F4055" w:rsidRDefault="0074664F">
            <w:pPr>
              <w:pStyle w:val="TableHeading"/>
            </w:pPr>
            <w:r>
              <w:t>Key points</w:t>
            </w:r>
          </w:p>
        </w:tc>
      </w:tr>
      <w:tr w:rsidR="003F4055" w14:paraId="4C4216F5" w14:textId="77777777" w:rsidTr="00CA4009">
        <w:tc>
          <w:tcPr>
            <w:tcW w:w="715" w:type="dxa"/>
          </w:tcPr>
          <w:p w14:paraId="3A41884C" w14:textId="77777777" w:rsidR="003F4055" w:rsidRDefault="0074664F">
            <w:pPr>
              <w:pStyle w:val="TableText"/>
            </w:pPr>
            <w:r>
              <w:t>1983</w:t>
            </w:r>
          </w:p>
        </w:tc>
        <w:tc>
          <w:tcPr>
            <w:tcW w:w="2541" w:type="dxa"/>
          </w:tcPr>
          <w:p w14:paraId="7F168DFE" w14:textId="5A90EDF3" w:rsidR="003F4055" w:rsidRDefault="0074664F">
            <w:pPr>
              <w:pStyle w:val="TableText"/>
            </w:pPr>
            <w:r>
              <w:t>Industry Assistance Commission—inquiry into whether short-term assistance should be provided</w:t>
            </w:r>
          </w:p>
        </w:tc>
        <w:tc>
          <w:tcPr>
            <w:tcW w:w="5804" w:type="dxa"/>
          </w:tcPr>
          <w:p w14:paraId="1F5246EE" w14:textId="050561D7" w:rsidR="003F4055" w:rsidRDefault="0074664F" w:rsidP="001B3FCF">
            <w:pPr>
              <w:pStyle w:val="TableText"/>
            </w:pPr>
            <w:r>
              <w:t>Found that:</w:t>
            </w:r>
          </w:p>
          <w:p w14:paraId="3277E377" w14:textId="77777777" w:rsidR="003F4055" w:rsidRDefault="0074664F">
            <w:pPr>
              <w:pStyle w:val="TableBullet1"/>
            </w:pPr>
            <w:r>
              <w:t>all industries should absorb some fluctuations in their competitive positions without government assistance</w:t>
            </w:r>
          </w:p>
          <w:p w14:paraId="3C5E1F40" w14:textId="6F7FDE8A" w:rsidR="003F4055" w:rsidRDefault="0074664F">
            <w:pPr>
              <w:pStyle w:val="TableBullet1"/>
            </w:pPr>
            <w:r>
              <w:t>no assistance was warranted where short-term fluctuations in revenue were unlikely to cause a great outflow of resources, which would occur in an industry where re-entry is uncontrolled</w:t>
            </w:r>
          </w:p>
          <w:p w14:paraId="01E1BDFC" w14:textId="23E708ED" w:rsidR="003F4055" w:rsidRDefault="0074664F">
            <w:pPr>
              <w:pStyle w:val="TableBullet1"/>
            </w:pPr>
            <w:proofErr w:type="gramStart"/>
            <w:r>
              <w:t>no</w:t>
            </w:r>
            <w:proofErr w:type="gramEnd"/>
            <w:r>
              <w:t xml:space="preserve"> short term assistance was justified over that available under general provisions of the Rural Adjustment Scheme.</w:t>
            </w:r>
          </w:p>
        </w:tc>
      </w:tr>
      <w:tr w:rsidR="003F4055" w14:paraId="2D5E0E62" w14:textId="77777777" w:rsidTr="00CA4009">
        <w:tc>
          <w:tcPr>
            <w:tcW w:w="715" w:type="dxa"/>
          </w:tcPr>
          <w:p w14:paraId="1E778781" w14:textId="77777777" w:rsidR="003F4055" w:rsidRDefault="0074664F">
            <w:pPr>
              <w:pStyle w:val="TableText"/>
            </w:pPr>
            <w:r>
              <w:t>1983</w:t>
            </w:r>
          </w:p>
        </w:tc>
        <w:tc>
          <w:tcPr>
            <w:tcW w:w="2541" w:type="dxa"/>
          </w:tcPr>
          <w:p w14:paraId="6A9629D1" w14:textId="651F2FFD" w:rsidR="003F4055" w:rsidRDefault="0074664F">
            <w:pPr>
              <w:pStyle w:val="TableText"/>
            </w:pPr>
            <w:r>
              <w:t>Industry Assistance Commission</w:t>
            </w:r>
          </w:p>
        </w:tc>
        <w:tc>
          <w:tcPr>
            <w:tcW w:w="5804" w:type="dxa"/>
          </w:tcPr>
          <w:p w14:paraId="1DCF1B7B" w14:textId="179C5851" w:rsidR="003F4055" w:rsidRDefault="0074664F">
            <w:pPr>
              <w:pStyle w:val="TableBullet1"/>
            </w:pPr>
            <w:r>
              <w:t>Industry and Advisory Committee (1983) inquiry recommended termination of the sugar agreement.</w:t>
            </w:r>
          </w:p>
        </w:tc>
      </w:tr>
      <w:tr w:rsidR="003F4055" w14:paraId="65DAA17C" w14:textId="77777777" w:rsidTr="00CA4009">
        <w:tc>
          <w:tcPr>
            <w:tcW w:w="715" w:type="dxa"/>
          </w:tcPr>
          <w:p w14:paraId="0C5A9122" w14:textId="77777777" w:rsidR="003F4055" w:rsidRDefault="0074664F">
            <w:pPr>
              <w:pStyle w:val="TableText"/>
            </w:pPr>
            <w:r>
              <w:t>1986</w:t>
            </w:r>
          </w:p>
        </w:tc>
        <w:tc>
          <w:tcPr>
            <w:tcW w:w="2541" w:type="dxa"/>
          </w:tcPr>
          <w:p w14:paraId="097E7C6D" w14:textId="77777777" w:rsidR="003F4055" w:rsidRDefault="0074664F">
            <w:pPr>
              <w:pStyle w:val="TableText"/>
            </w:pPr>
            <w:r>
              <w:t>Bureau of Agricultural Economics</w:t>
            </w:r>
          </w:p>
        </w:tc>
        <w:tc>
          <w:tcPr>
            <w:tcW w:w="5804" w:type="dxa"/>
          </w:tcPr>
          <w:p w14:paraId="5478287B" w14:textId="77777777" w:rsidR="003F4055" w:rsidRDefault="0074664F" w:rsidP="001B3FCF">
            <w:pPr>
              <w:pStyle w:val="TableText"/>
            </w:pPr>
            <w:r>
              <w:t>Found that:</w:t>
            </w:r>
          </w:p>
          <w:p w14:paraId="20B5CA15" w14:textId="4561214D" w:rsidR="003F4055" w:rsidRDefault="0074664F">
            <w:pPr>
              <w:pStyle w:val="TableBullet1"/>
            </w:pPr>
            <w:r>
              <w:t>regulatory regimes inhibited efficiencies in the off-farm sector and substantial cost savings could be made in transporting and milling cane</w:t>
            </w:r>
          </w:p>
          <w:p w14:paraId="79164178" w14:textId="3B8D4238" w:rsidR="003F4055" w:rsidRDefault="0074664F" w:rsidP="0085640C">
            <w:pPr>
              <w:pStyle w:val="TableBullet1"/>
            </w:pPr>
            <w:proofErr w:type="gramStart"/>
            <w:r>
              <w:t>expanding</w:t>
            </w:r>
            <w:proofErr w:type="gramEnd"/>
            <w:r>
              <w:t xml:space="preserve"> the productive capacity of the industry could be profitable, at least in the off-farm sector of the sugar industry (</w:t>
            </w:r>
            <w:proofErr w:type="spellStart"/>
            <w:r>
              <w:t>Borrell</w:t>
            </w:r>
            <w:proofErr w:type="spellEnd"/>
            <w:r>
              <w:t xml:space="preserve"> &amp; Wong </w:t>
            </w:r>
            <w:r w:rsidR="0085640C">
              <w:t>1986</w:t>
            </w:r>
            <w:r>
              <w:t>).</w:t>
            </w:r>
          </w:p>
        </w:tc>
      </w:tr>
      <w:tr w:rsidR="003F4055" w14:paraId="3A34C560" w14:textId="77777777" w:rsidTr="00CA4009">
        <w:tc>
          <w:tcPr>
            <w:tcW w:w="715" w:type="dxa"/>
          </w:tcPr>
          <w:p w14:paraId="0F720CDC" w14:textId="77777777" w:rsidR="003F4055" w:rsidRDefault="0074664F">
            <w:pPr>
              <w:pStyle w:val="TableText"/>
            </w:pPr>
            <w:r>
              <w:t>1989</w:t>
            </w:r>
          </w:p>
        </w:tc>
        <w:tc>
          <w:tcPr>
            <w:tcW w:w="2541" w:type="dxa"/>
          </w:tcPr>
          <w:p w14:paraId="2563FC3C" w14:textId="1FD53D55" w:rsidR="003F4055" w:rsidRDefault="0074664F">
            <w:pPr>
              <w:pStyle w:val="TableText"/>
            </w:pPr>
            <w:r>
              <w:t>S</w:t>
            </w:r>
            <w:r w:rsidR="004B6740">
              <w:t>enate</w:t>
            </w:r>
            <w:r>
              <w:t xml:space="preserve"> Committee</w:t>
            </w:r>
            <w:r w:rsidR="004B6740">
              <w:t xml:space="preserve"> report on assistance for the sugar industry</w:t>
            </w:r>
          </w:p>
        </w:tc>
        <w:tc>
          <w:tcPr>
            <w:tcW w:w="5804" w:type="dxa"/>
          </w:tcPr>
          <w:p w14:paraId="07D05900" w14:textId="73A0FCD4" w:rsidR="003F4055" w:rsidRDefault="0074664F" w:rsidP="000713E4">
            <w:pPr>
              <w:pStyle w:val="TableText"/>
            </w:pPr>
            <w:r>
              <w:t>Recommended that the Australian Government:</w:t>
            </w:r>
          </w:p>
          <w:p w14:paraId="5EF30840" w14:textId="483F1520" w:rsidR="003F4055" w:rsidRDefault="0074664F">
            <w:pPr>
              <w:pStyle w:val="TableBullet1"/>
            </w:pPr>
            <w:r>
              <w:t>proceed with removal of the embargo on sugar product imports</w:t>
            </w:r>
          </w:p>
          <w:p w14:paraId="2C906262" w14:textId="0392E87E" w:rsidR="003F4055" w:rsidRDefault="0074664F">
            <w:pPr>
              <w:pStyle w:val="TableBullet1"/>
            </w:pPr>
            <w:r>
              <w:t xml:space="preserve">repeal the </w:t>
            </w:r>
            <w:r w:rsidRPr="000713E4">
              <w:rPr>
                <w:rStyle w:val="Emphasis"/>
              </w:rPr>
              <w:t>Sugar Agreement Act 1979</w:t>
            </w:r>
            <w:r>
              <w:t xml:space="preserve"> </w:t>
            </w:r>
          </w:p>
          <w:p w14:paraId="3A1B08FE" w14:textId="45E99F53" w:rsidR="003F4055" w:rsidRDefault="004B6740" w:rsidP="004B6740">
            <w:pPr>
              <w:pStyle w:val="TableBullet1"/>
            </w:pPr>
            <w:proofErr w:type="gramStart"/>
            <w:r>
              <w:t>impose</w:t>
            </w:r>
            <w:proofErr w:type="gramEnd"/>
            <w:r>
              <w:t xml:space="preserve"> a specific tariff (Parliament of Australia)</w:t>
            </w:r>
            <w:r w:rsidR="005322DF">
              <w:t>.</w:t>
            </w:r>
          </w:p>
        </w:tc>
      </w:tr>
      <w:tr w:rsidR="003F4055" w14:paraId="7BEFC707" w14:textId="77777777" w:rsidTr="00CA4009">
        <w:tc>
          <w:tcPr>
            <w:tcW w:w="715" w:type="dxa"/>
          </w:tcPr>
          <w:p w14:paraId="1584CA32" w14:textId="77777777" w:rsidR="003F4055" w:rsidRDefault="0074664F">
            <w:pPr>
              <w:pStyle w:val="TableText"/>
            </w:pPr>
            <w:r>
              <w:t>1989</w:t>
            </w:r>
          </w:p>
        </w:tc>
        <w:tc>
          <w:tcPr>
            <w:tcW w:w="2541" w:type="dxa"/>
          </w:tcPr>
          <w:p w14:paraId="224D9D3C" w14:textId="35F0C569" w:rsidR="003F4055" w:rsidRDefault="0074664F">
            <w:pPr>
              <w:pStyle w:val="TableText"/>
            </w:pPr>
            <w:r w:rsidRPr="009B0BDF">
              <w:rPr>
                <w:rStyle w:val="Emphasis"/>
              </w:rPr>
              <w:t>Primary Industries and Energy Legislation Amendment Act (No. 3) 1989</w:t>
            </w:r>
            <w:r>
              <w:t xml:space="preserve"> (</w:t>
            </w:r>
            <w:proofErr w:type="spellStart"/>
            <w:r>
              <w:t>Cth</w:t>
            </w:r>
            <w:proofErr w:type="spellEnd"/>
            <w:r>
              <w:t>)</w:t>
            </w:r>
          </w:p>
        </w:tc>
        <w:tc>
          <w:tcPr>
            <w:tcW w:w="5804" w:type="dxa"/>
          </w:tcPr>
          <w:p w14:paraId="1695BBB3" w14:textId="77777777" w:rsidR="003F4055" w:rsidRDefault="0074664F">
            <w:pPr>
              <w:pStyle w:val="TableBullet1"/>
            </w:pPr>
            <w:r>
              <w:t xml:space="preserve">Replaced the </w:t>
            </w:r>
            <w:r w:rsidRPr="009B0BDF">
              <w:rPr>
                <w:rStyle w:val="Emphasis"/>
              </w:rPr>
              <w:t>Sugar Agreement Act 1979</w:t>
            </w:r>
            <w:r>
              <w:t xml:space="preserve"> from 1 July 1989.</w:t>
            </w:r>
          </w:p>
          <w:p w14:paraId="094E7EA6" w14:textId="4A8FF350" w:rsidR="003F4055" w:rsidRDefault="0074664F">
            <w:pPr>
              <w:pStyle w:val="TableBullet1"/>
            </w:pPr>
            <w:r>
              <w:t>Existing refiners ceased to be ‘tolled’ refiners and became commercial operators in a deregulated domestic market.</w:t>
            </w:r>
          </w:p>
          <w:p w14:paraId="235D57C2" w14:textId="77777777" w:rsidR="003F4055" w:rsidRDefault="0074664F">
            <w:pPr>
              <w:pStyle w:val="TableBullet1"/>
            </w:pPr>
            <w:r>
              <w:t>Removed the embargo allowing refiners and others to import raw or refined sugar at import parity prices.</w:t>
            </w:r>
          </w:p>
          <w:p w14:paraId="4EFC82D2" w14:textId="2A8AC139" w:rsidR="003F4055" w:rsidRDefault="0074664F">
            <w:pPr>
              <w:pStyle w:val="TableBullet1"/>
            </w:pPr>
            <w:r>
              <w:t>CSR ceased to be raw sugar marketer but was appointed as the sole Queensland sugar export marketing agent by the Sugar Board.</w:t>
            </w:r>
          </w:p>
          <w:p w14:paraId="483387DB" w14:textId="746FF210" w:rsidR="003F4055" w:rsidRDefault="0074664F">
            <w:pPr>
              <w:pStyle w:val="TableBullet1"/>
            </w:pPr>
            <w:r>
              <w:t>The NSW sugar industry withdrew from voluntary pooling arrangements with Queensland to market its own sugar. Harwood Refinery was built in northern New South Wales—to meet over 25% of domestic refined sugar requirements.</w:t>
            </w:r>
          </w:p>
        </w:tc>
      </w:tr>
      <w:tr w:rsidR="003F4055" w14:paraId="10A605E4" w14:textId="77777777" w:rsidTr="00CA4009">
        <w:tc>
          <w:tcPr>
            <w:tcW w:w="715" w:type="dxa"/>
          </w:tcPr>
          <w:p w14:paraId="38B35C04" w14:textId="77777777" w:rsidR="003F4055" w:rsidRDefault="0074664F">
            <w:pPr>
              <w:pStyle w:val="TableText"/>
            </w:pPr>
            <w:r>
              <w:t>1991</w:t>
            </w:r>
          </w:p>
        </w:tc>
        <w:tc>
          <w:tcPr>
            <w:tcW w:w="2541" w:type="dxa"/>
          </w:tcPr>
          <w:p w14:paraId="53DDE4B0" w14:textId="232C239E" w:rsidR="003F4055" w:rsidRDefault="0074664F">
            <w:pPr>
              <w:pStyle w:val="TableText"/>
            </w:pPr>
            <w:r>
              <w:t>Industry Commission inquiry report on statutory marketing arrangements</w:t>
            </w:r>
            <w:r w:rsidR="0067776E">
              <w:t xml:space="preserve"> for primary products</w:t>
            </w:r>
          </w:p>
        </w:tc>
        <w:tc>
          <w:tcPr>
            <w:tcW w:w="5804" w:type="dxa"/>
          </w:tcPr>
          <w:p w14:paraId="029B089C" w14:textId="1E93B24E" w:rsidR="003F4055" w:rsidRDefault="0074664F" w:rsidP="0067776E">
            <w:pPr>
              <w:pStyle w:val="TableBullet1"/>
            </w:pPr>
            <w:r>
              <w:t xml:space="preserve">Found that greatest efficiency gains would come from modifying or terminating statutory marketing arrangements where domestic price effects are greatest and those </w:t>
            </w:r>
            <w:r w:rsidR="0067776E">
              <w:t>that</w:t>
            </w:r>
            <w:r>
              <w:t xml:space="preserve"> control marketing outlets, prices or production (Industry Commission 1991).</w:t>
            </w:r>
          </w:p>
        </w:tc>
      </w:tr>
      <w:tr w:rsidR="003F4055" w14:paraId="09F5A2F5" w14:textId="77777777" w:rsidTr="00CA4009">
        <w:tc>
          <w:tcPr>
            <w:tcW w:w="715" w:type="dxa"/>
          </w:tcPr>
          <w:p w14:paraId="4C3CBEAB" w14:textId="77777777" w:rsidR="003F4055" w:rsidRDefault="0074664F">
            <w:pPr>
              <w:pStyle w:val="TableText"/>
            </w:pPr>
            <w:r>
              <w:t>1992</w:t>
            </w:r>
          </w:p>
        </w:tc>
        <w:tc>
          <w:tcPr>
            <w:tcW w:w="2541" w:type="dxa"/>
          </w:tcPr>
          <w:p w14:paraId="516B7180" w14:textId="77777777" w:rsidR="003F4055" w:rsidRDefault="0074664F">
            <w:pPr>
              <w:pStyle w:val="TableText"/>
            </w:pPr>
            <w:r>
              <w:t>Industry Commission inquiry report on the Australian sugar industry</w:t>
            </w:r>
          </w:p>
        </w:tc>
        <w:tc>
          <w:tcPr>
            <w:tcW w:w="5804" w:type="dxa"/>
          </w:tcPr>
          <w:p w14:paraId="21EE0B00" w14:textId="1FCC61B9" w:rsidR="003F4055" w:rsidRDefault="0074664F">
            <w:pPr>
              <w:pStyle w:val="TableBullet1"/>
            </w:pPr>
            <w:r>
              <w:t>The industry competes successfully on world markets but has one of the most restrictive regulatory regimes of any Australian industry. This is impeding its growth and performance.</w:t>
            </w:r>
          </w:p>
          <w:p w14:paraId="4428CE20" w14:textId="7ECDBEF5" w:rsidR="003F4055" w:rsidRDefault="0074664F">
            <w:pPr>
              <w:pStyle w:val="TableBullet1"/>
            </w:pPr>
            <w:r>
              <w:t>Staged removal of all production and marketing controls specifically targeted at the sugar industry would benefit the industry and the Queensland and Australian economies.</w:t>
            </w:r>
          </w:p>
          <w:p w14:paraId="6C787445" w14:textId="3623CB85" w:rsidR="003F4055" w:rsidRDefault="0074664F">
            <w:pPr>
              <w:pStyle w:val="TableBullet1"/>
            </w:pPr>
            <w:r>
              <w:t>Millers, and some growers, should choose how they market their sugar and how they handle their exposure to marketing risks.</w:t>
            </w:r>
          </w:p>
          <w:p w14:paraId="64116251" w14:textId="11DD0026" w:rsidR="003F4055" w:rsidRDefault="0074664F">
            <w:pPr>
              <w:pStyle w:val="TableBullet1"/>
            </w:pPr>
            <w:r>
              <w:lastRenderedPageBreak/>
              <w:t>Reform of these regulatory controls is the major focus of this report (Industry Commission 1992).</w:t>
            </w:r>
          </w:p>
        </w:tc>
      </w:tr>
      <w:tr w:rsidR="003F4055" w14:paraId="2357B45D" w14:textId="77777777" w:rsidTr="00CA4009">
        <w:tc>
          <w:tcPr>
            <w:tcW w:w="715" w:type="dxa"/>
          </w:tcPr>
          <w:p w14:paraId="2F794934" w14:textId="77777777" w:rsidR="003F4055" w:rsidRDefault="0074664F">
            <w:pPr>
              <w:pStyle w:val="TableText"/>
            </w:pPr>
            <w:r>
              <w:lastRenderedPageBreak/>
              <w:t>1996</w:t>
            </w:r>
          </w:p>
        </w:tc>
        <w:tc>
          <w:tcPr>
            <w:tcW w:w="2541" w:type="dxa"/>
          </w:tcPr>
          <w:p w14:paraId="5AFA0C35" w14:textId="3E41F1EB" w:rsidR="003F4055" w:rsidRDefault="0074664F">
            <w:pPr>
              <w:pStyle w:val="TableText"/>
            </w:pPr>
            <w:r>
              <w:t xml:space="preserve">Sugar Industry Review Working Party (SIRWP) report </w:t>
            </w:r>
            <w:r w:rsidRPr="00CA4009">
              <w:rPr>
                <w:rStyle w:val="Emphasis"/>
              </w:rPr>
              <w:t>Winning globally</w:t>
            </w:r>
          </w:p>
        </w:tc>
        <w:tc>
          <w:tcPr>
            <w:tcW w:w="5804" w:type="dxa"/>
          </w:tcPr>
          <w:p w14:paraId="063466C8" w14:textId="2FE4907D" w:rsidR="003F4055" w:rsidRDefault="0074664F" w:rsidP="00A62219">
            <w:pPr>
              <w:pStyle w:val="TableBullet1"/>
            </w:pPr>
            <w:r>
              <w:t>Found that the industry and wider community would benefit from remaining regulated, though at a lower level than under the sugar industry legislation (</w:t>
            </w:r>
            <w:r w:rsidR="00A62219">
              <w:t xml:space="preserve">SIRWP report </w:t>
            </w:r>
            <w:r>
              <w:t>199</w:t>
            </w:r>
            <w:r w:rsidR="00A62219">
              <w:t>6</w:t>
            </w:r>
            <w:r>
              <w:t>)</w:t>
            </w:r>
            <w:r w:rsidR="00A62219">
              <w:t>.</w:t>
            </w:r>
          </w:p>
        </w:tc>
      </w:tr>
      <w:tr w:rsidR="003F4055" w14:paraId="4DB62B0B" w14:textId="77777777" w:rsidTr="00CA4009">
        <w:tc>
          <w:tcPr>
            <w:tcW w:w="715" w:type="dxa"/>
          </w:tcPr>
          <w:p w14:paraId="76AF25FA" w14:textId="77777777" w:rsidR="003F4055" w:rsidRDefault="0074664F">
            <w:pPr>
              <w:pStyle w:val="TableText"/>
            </w:pPr>
            <w:r>
              <w:t>1998</w:t>
            </w:r>
          </w:p>
        </w:tc>
        <w:tc>
          <w:tcPr>
            <w:tcW w:w="2541" w:type="dxa"/>
          </w:tcPr>
          <w:p w14:paraId="3850F1FD" w14:textId="77777777" w:rsidR="003F4055" w:rsidRDefault="0074664F">
            <w:pPr>
              <w:pStyle w:val="TableText"/>
            </w:pPr>
            <w:r>
              <w:t>Parliamentary Sugar Industry Task Force</w:t>
            </w:r>
          </w:p>
        </w:tc>
        <w:tc>
          <w:tcPr>
            <w:tcW w:w="5804" w:type="dxa"/>
          </w:tcPr>
          <w:p w14:paraId="14604EA7" w14:textId="67AFC138" w:rsidR="003F4055" w:rsidRDefault="0074664F">
            <w:pPr>
              <w:pStyle w:val="TableBullet1"/>
            </w:pPr>
            <w:r>
              <w:t>Recommended continued maintenance of Queensland single desk marketing arrangements.</w:t>
            </w:r>
          </w:p>
        </w:tc>
      </w:tr>
      <w:tr w:rsidR="003F4055" w14:paraId="2D246560" w14:textId="77777777" w:rsidTr="00CA4009">
        <w:tc>
          <w:tcPr>
            <w:tcW w:w="715" w:type="dxa"/>
          </w:tcPr>
          <w:p w14:paraId="609E1EAF" w14:textId="77777777" w:rsidR="003F4055" w:rsidRDefault="0074664F">
            <w:pPr>
              <w:pStyle w:val="TableText"/>
            </w:pPr>
            <w:r>
              <w:t>1999</w:t>
            </w:r>
          </w:p>
        </w:tc>
        <w:tc>
          <w:tcPr>
            <w:tcW w:w="2541" w:type="dxa"/>
          </w:tcPr>
          <w:p w14:paraId="2D0C09AD" w14:textId="77777777" w:rsidR="003F4055" w:rsidRDefault="0074664F">
            <w:pPr>
              <w:pStyle w:val="TableText"/>
            </w:pPr>
            <w:r>
              <w:t>Moves toward deregulation</w:t>
            </w:r>
          </w:p>
        </w:tc>
        <w:tc>
          <w:tcPr>
            <w:tcW w:w="5804" w:type="dxa"/>
          </w:tcPr>
          <w:p w14:paraId="41DBED1E" w14:textId="5561BC32" w:rsidR="003F4055" w:rsidRDefault="0074664F">
            <w:pPr>
              <w:pStyle w:val="TableBullet1"/>
            </w:pPr>
            <w:r>
              <w:t xml:space="preserve">Queensland Parliament repealed the </w:t>
            </w:r>
            <w:r w:rsidRPr="00CA4009">
              <w:rPr>
                <w:rStyle w:val="Emphasis"/>
              </w:rPr>
              <w:t>Regulation of Sugarcane Prices Act 1915</w:t>
            </w:r>
            <w:r>
              <w:t xml:space="preserve"> and the </w:t>
            </w:r>
            <w:r w:rsidRPr="00CA4009">
              <w:rPr>
                <w:rStyle w:val="Emphasis"/>
              </w:rPr>
              <w:t>Sugar Acquisition Act 1915</w:t>
            </w:r>
            <w:r>
              <w:t xml:space="preserve">, replacing them with the </w:t>
            </w:r>
            <w:r w:rsidRPr="00CA4009">
              <w:rPr>
                <w:rStyle w:val="Emphasis"/>
              </w:rPr>
              <w:t>Sugar Industry Act 1999</w:t>
            </w:r>
            <w:r>
              <w:t>.</w:t>
            </w:r>
          </w:p>
        </w:tc>
      </w:tr>
      <w:tr w:rsidR="003F4055" w14:paraId="22FDF7FB" w14:textId="77777777" w:rsidTr="00CA4009">
        <w:tc>
          <w:tcPr>
            <w:tcW w:w="715" w:type="dxa"/>
          </w:tcPr>
          <w:p w14:paraId="6851E6AB" w14:textId="77777777" w:rsidR="003F4055" w:rsidRDefault="0074664F">
            <w:pPr>
              <w:pStyle w:val="TableText"/>
            </w:pPr>
            <w:r>
              <w:t>2000</w:t>
            </w:r>
          </w:p>
        </w:tc>
        <w:tc>
          <w:tcPr>
            <w:tcW w:w="2541" w:type="dxa"/>
          </w:tcPr>
          <w:p w14:paraId="290B2350" w14:textId="5BF8A4F0" w:rsidR="003F4055" w:rsidRPr="009B0BDF" w:rsidRDefault="0074664F">
            <w:pPr>
              <w:pStyle w:val="TableText"/>
              <w:rPr>
                <w:rStyle w:val="Emphasis"/>
              </w:rPr>
            </w:pPr>
            <w:r w:rsidRPr="009B0BDF">
              <w:rPr>
                <w:rStyle w:val="Emphasis"/>
              </w:rPr>
              <w:t>Sugar Industry Act 1999</w:t>
            </w:r>
          </w:p>
        </w:tc>
        <w:tc>
          <w:tcPr>
            <w:tcW w:w="5804" w:type="dxa"/>
          </w:tcPr>
          <w:p w14:paraId="2B566AD6" w14:textId="6CDC75BC" w:rsidR="003F4055" w:rsidRDefault="0074664F">
            <w:pPr>
              <w:pStyle w:val="TableBullet1"/>
            </w:pPr>
            <w:r>
              <w:t>Effective 1 January 2000.</w:t>
            </w:r>
          </w:p>
          <w:p w14:paraId="2D4D651E" w14:textId="609D9260" w:rsidR="003F4055" w:rsidRDefault="0074664F">
            <w:pPr>
              <w:pStyle w:val="TableBullet1"/>
            </w:pPr>
            <w:r>
              <w:t>Cane production areas established, linking cane growers to local mills (State of Queensland 2004).</w:t>
            </w:r>
          </w:p>
          <w:p w14:paraId="0D2CED6B" w14:textId="2DAA9F97" w:rsidR="003F4055" w:rsidRDefault="0074664F">
            <w:pPr>
              <w:pStyle w:val="TableBullet1"/>
            </w:pPr>
            <w:r>
              <w:t>Required growers and mill owners to negotiate income distribution (State of Queensland 1999).</w:t>
            </w:r>
          </w:p>
          <w:p w14:paraId="0F9CDA38" w14:textId="722DCDDF" w:rsidR="003F4055" w:rsidRDefault="0074664F">
            <w:pPr>
              <w:pStyle w:val="TableBullet1"/>
            </w:pPr>
            <w:r>
              <w:t>Allowed for collective and individual negotiations. However, a grower could not agree to an individual contract if the contract would adversely affect other growers (Hildebrand 2002).</w:t>
            </w:r>
          </w:p>
          <w:p w14:paraId="0F6C609A" w14:textId="48314301" w:rsidR="003F4055" w:rsidRDefault="0074664F">
            <w:pPr>
              <w:pStyle w:val="TableBullet1"/>
            </w:pPr>
            <w:r>
              <w:t>Prescribed matters to be included in contracts.</w:t>
            </w:r>
          </w:p>
          <w:p w14:paraId="4BC2A7A5" w14:textId="3C7BEE75" w:rsidR="003F4055" w:rsidRDefault="0074664F">
            <w:pPr>
              <w:pStyle w:val="TableBullet1"/>
            </w:pPr>
            <w:r>
              <w:t>Linked price of cane to price of raw sugar. However, contract negotiations could determine a different approach.</w:t>
            </w:r>
          </w:p>
          <w:p w14:paraId="05A64B86" w14:textId="77777777" w:rsidR="003F4055" w:rsidRDefault="0074664F">
            <w:pPr>
              <w:pStyle w:val="TableBullet1"/>
            </w:pPr>
            <w:r>
              <w:t>Dispute resolution mechanisms established.</w:t>
            </w:r>
          </w:p>
          <w:p w14:paraId="7BAFD151" w14:textId="2D664A83" w:rsidR="003F4055" w:rsidRDefault="0074664F">
            <w:pPr>
              <w:pStyle w:val="TableBullet1"/>
            </w:pPr>
            <w:r>
              <w:t>QSL continued as single desk marketer for Queensland raw sugar exports (Ryan 2014).</w:t>
            </w:r>
          </w:p>
        </w:tc>
      </w:tr>
      <w:tr w:rsidR="003F4055" w14:paraId="56EC0AF7" w14:textId="77777777" w:rsidTr="00CA4009">
        <w:tc>
          <w:tcPr>
            <w:tcW w:w="715" w:type="dxa"/>
          </w:tcPr>
          <w:p w14:paraId="041F0CDD" w14:textId="77777777" w:rsidR="003F4055" w:rsidRDefault="0074664F">
            <w:pPr>
              <w:pStyle w:val="TableText"/>
            </w:pPr>
            <w:r>
              <w:t>2000</w:t>
            </w:r>
          </w:p>
        </w:tc>
        <w:tc>
          <w:tcPr>
            <w:tcW w:w="2541" w:type="dxa"/>
          </w:tcPr>
          <w:p w14:paraId="363D2200" w14:textId="484559AF" w:rsidR="003F4055" w:rsidRDefault="0074664F">
            <w:pPr>
              <w:pStyle w:val="TableText"/>
            </w:pPr>
            <w:r>
              <w:t>National Competition Council information paper</w:t>
            </w:r>
          </w:p>
        </w:tc>
        <w:tc>
          <w:tcPr>
            <w:tcW w:w="5804" w:type="dxa"/>
          </w:tcPr>
          <w:p w14:paraId="624E17D0" w14:textId="77777777" w:rsidR="003F4055" w:rsidRDefault="0074664F" w:rsidP="009B0BDF">
            <w:pPr>
              <w:pStyle w:val="TableText"/>
            </w:pPr>
            <w:r>
              <w:t>Found that:</w:t>
            </w:r>
          </w:p>
          <w:p w14:paraId="68F48125" w14:textId="278E5D1A" w:rsidR="003F4055" w:rsidRDefault="0074664F">
            <w:pPr>
              <w:pStyle w:val="TableBullet1"/>
            </w:pPr>
            <w:r>
              <w:t>failure to maximize efficiency and flexibility in each part of the supply chain limited Australia’s competitiveness and prosperity</w:t>
            </w:r>
          </w:p>
          <w:p w14:paraId="070B4894" w14:textId="72E2C70D" w:rsidR="003F4055" w:rsidRDefault="0074664F">
            <w:pPr>
              <w:pStyle w:val="TableBullet1"/>
            </w:pPr>
            <w:proofErr w:type="gramStart"/>
            <w:r>
              <w:t>short-term</w:t>
            </w:r>
            <w:proofErr w:type="gramEnd"/>
            <w:r>
              <w:t xml:space="preserve"> concerns that delay or prevent necessary restructure, investment and efficiency gains would be short-sighted (National Competition Council 2000).</w:t>
            </w:r>
          </w:p>
        </w:tc>
      </w:tr>
      <w:tr w:rsidR="003F4055" w14:paraId="347592DB" w14:textId="77777777" w:rsidTr="00CA4009">
        <w:tc>
          <w:tcPr>
            <w:tcW w:w="715" w:type="dxa"/>
          </w:tcPr>
          <w:p w14:paraId="386D7E39" w14:textId="77777777" w:rsidR="003F4055" w:rsidRDefault="0074664F">
            <w:pPr>
              <w:pStyle w:val="TableText"/>
            </w:pPr>
            <w:r>
              <w:t>2000</w:t>
            </w:r>
          </w:p>
        </w:tc>
        <w:tc>
          <w:tcPr>
            <w:tcW w:w="2541" w:type="dxa"/>
          </w:tcPr>
          <w:p w14:paraId="5B90180A" w14:textId="00FB2A99" w:rsidR="003F4055" w:rsidRDefault="0074664F">
            <w:pPr>
              <w:pStyle w:val="TableText"/>
            </w:pPr>
            <w:r>
              <w:t xml:space="preserve">Productivity Commission review of single desk selling </w:t>
            </w:r>
          </w:p>
        </w:tc>
        <w:tc>
          <w:tcPr>
            <w:tcW w:w="5804" w:type="dxa"/>
          </w:tcPr>
          <w:p w14:paraId="41F70E7A" w14:textId="2E920101" w:rsidR="003F4055" w:rsidRDefault="0074664F">
            <w:pPr>
              <w:pStyle w:val="TableBullet1"/>
            </w:pPr>
            <w:r>
              <w:t>Provided a framework for analysing potential benefits and costs of single-desk (or monopoly) marketing arrangements in Australian agricultural industries</w:t>
            </w:r>
            <w:r w:rsidR="005322DF">
              <w:t>.</w:t>
            </w:r>
          </w:p>
          <w:p w14:paraId="3DF325CD" w14:textId="2D91964D" w:rsidR="003F4055" w:rsidRDefault="0074664F">
            <w:pPr>
              <w:pStyle w:val="TableBullet1"/>
            </w:pPr>
            <w:r>
              <w:t>Suggested that conditions necessary for benefits of single desks to outweigh the costs are unlikely to be met in practice. This is because Australia is unlikely to have the ability to affect prices in world markets significantly and many claimed benefits of single-desk arrangements can be achieved without a regulated monopoly over all exports.</w:t>
            </w:r>
          </w:p>
          <w:p w14:paraId="33FE0E41" w14:textId="3D316C78" w:rsidR="003F4055" w:rsidRDefault="0074664F">
            <w:pPr>
              <w:pStyle w:val="TableBullet1"/>
            </w:pPr>
            <w:r>
              <w:t>Found that single-desk arrangements inevitably discourage product and marketing innovations. Therefore, costs may be especially large in markets where product variety and value-adding are essential for success (</w:t>
            </w:r>
            <w:proofErr w:type="spellStart"/>
            <w:r>
              <w:t>Gropp</w:t>
            </w:r>
            <w:proofErr w:type="spellEnd"/>
            <w:r>
              <w:t xml:space="preserve">, Hallam &amp; </w:t>
            </w:r>
            <w:proofErr w:type="spellStart"/>
            <w:r>
              <w:t>Manion</w:t>
            </w:r>
            <w:proofErr w:type="spellEnd"/>
            <w:r>
              <w:t xml:space="preserve">, </w:t>
            </w:r>
            <w:proofErr w:type="gramStart"/>
            <w:r>
              <w:t>V</w:t>
            </w:r>
            <w:proofErr w:type="gramEnd"/>
            <w:r>
              <w:t xml:space="preserve"> 2000).</w:t>
            </w:r>
          </w:p>
        </w:tc>
      </w:tr>
      <w:tr w:rsidR="003F4055" w14:paraId="47BCC1BE" w14:textId="77777777" w:rsidTr="00CA4009">
        <w:tc>
          <w:tcPr>
            <w:tcW w:w="715" w:type="dxa"/>
          </w:tcPr>
          <w:p w14:paraId="1D8F9ABA" w14:textId="77777777" w:rsidR="003F4055" w:rsidRDefault="0074664F">
            <w:pPr>
              <w:pStyle w:val="TableText"/>
            </w:pPr>
            <w:r>
              <w:t>2002</w:t>
            </w:r>
          </w:p>
        </w:tc>
        <w:tc>
          <w:tcPr>
            <w:tcW w:w="2541" w:type="dxa"/>
          </w:tcPr>
          <w:p w14:paraId="292F89C5" w14:textId="2C1B169B" w:rsidR="003F4055" w:rsidRDefault="0074664F">
            <w:pPr>
              <w:pStyle w:val="TableText"/>
            </w:pPr>
            <w:r>
              <w:t>Hildebrand report (2002)</w:t>
            </w:r>
          </w:p>
        </w:tc>
        <w:tc>
          <w:tcPr>
            <w:tcW w:w="5804" w:type="dxa"/>
            <w:vMerge w:val="restart"/>
          </w:tcPr>
          <w:p w14:paraId="1FC506E3" w14:textId="58BFBA7B" w:rsidR="003F4055" w:rsidRDefault="0074664F">
            <w:pPr>
              <w:pStyle w:val="TableBullet1"/>
            </w:pPr>
            <w:r>
              <w:t xml:space="preserve">Successive reviews concluded that the regulatory system established under the </w:t>
            </w:r>
            <w:r w:rsidRPr="009B0BDF">
              <w:rPr>
                <w:rStyle w:val="Emphasis"/>
              </w:rPr>
              <w:t>Sugar Industry Act 1999</w:t>
            </w:r>
            <w:r>
              <w:t xml:space="preserve"> stifled industry productivity.</w:t>
            </w:r>
          </w:p>
          <w:p w14:paraId="64A5EE68" w14:textId="4E61E8C2" w:rsidR="003F4055" w:rsidRDefault="0074664F">
            <w:pPr>
              <w:pStyle w:val="TableBullet1"/>
            </w:pPr>
            <w:r>
              <w:t>Questioned whether the highly regulated nature of the Queensland industry was hindering industry development and responsiveness to the dynamics and complexity of the international trading environment.</w:t>
            </w:r>
          </w:p>
          <w:p w14:paraId="4CB7F19C" w14:textId="27E4B6BF" w:rsidR="003F4055" w:rsidRDefault="0074664F">
            <w:pPr>
              <w:pStyle w:val="TableBullet1"/>
            </w:pPr>
            <w:r>
              <w:t>Found that the system created antagonism between growers and mill operators and fostered a resistance to change, which hindered productivity and diminished innovation (State of Queensland 2004).</w:t>
            </w:r>
          </w:p>
        </w:tc>
      </w:tr>
      <w:tr w:rsidR="003F4055" w14:paraId="21381E3D" w14:textId="77777777" w:rsidTr="00CA4009">
        <w:tc>
          <w:tcPr>
            <w:tcW w:w="715" w:type="dxa"/>
          </w:tcPr>
          <w:p w14:paraId="2F616839" w14:textId="77777777" w:rsidR="003F4055" w:rsidRDefault="0074664F">
            <w:pPr>
              <w:pStyle w:val="TableText"/>
            </w:pPr>
            <w:r>
              <w:t>2003</w:t>
            </w:r>
          </w:p>
        </w:tc>
        <w:tc>
          <w:tcPr>
            <w:tcW w:w="2541" w:type="dxa"/>
          </w:tcPr>
          <w:p w14:paraId="46E81026" w14:textId="13675349" w:rsidR="003F4055" w:rsidRDefault="0074664F">
            <w:pPr>
              <w:pStyle w:val="TableText"/>
            </w:pPr>
            <w:r>
              <w:t>Williams (2003)</w:t>
            </w:r>
          </w:p>
        </w:tc>
        <w:tc>
          <w:tcPr>
            <w:tcW w:w="5804" w:type="dxa"/>
            <w:vMerge/>
          </w:tcPr>
          <w:p w14:paraId="4FC0598C" w14:textId="77777777" w:rsidR="003F4055" w:rsidRDefault="003F4055"/>
        </w:tc>
      </w:tr>
      <w:tr w:rsidR="003F4055" w14:paraId="39B4B2E1" w14:textId="77777777" w:rsidTr="00CA4009">
        <w:tc>
          <w:tcPr>
            <w:tcW w:w="715" w:type="dxa"/>
          </w:tcPr>
          <w:p w14:paraId="00ECBD7D" w14:textId="77777777" w:rsidR="003F4055" w:rsidRDefault="0074664F">
            <w:pPr>
              <w:pStyle w:val="TableText"/>
            </w:pPr>
            <w:r>
              <w:t>2005</w:t>
            </w:r>
          </w:p>
        </w:tc>
        <w:tc>
          <w:tcPr>
            <w:tcW w:w="2541" w:type="dxa"/>
          </w:tcPr>
          <w:p w14:paraId="152E2826" w14:textId="7DF2DCAD" w:rsidR="003F4055" w:rsidRDefault="0074664F">
            <w:pPr>
              <w:pStyle w:val="TableText"/>
            </w:pPr>
            <w:r>
              <w:t>Centre for International Economics (2005)</w:t>
            </w:r>
          </w:p>
        </w:tc>
        <w:tc>
          <w:tcPr>
            <w:tcW w:w="5804" w:type="dxa"/>
            <w:vMerge/>
          </w:tcPr>
          <w:p w14:paraId="26C6F513" w14:textId="77777777" w:rsidR="003F4055" w:rsidRDefault="003F4055"/>
        </w:tc>
      </w:tr>
      <w:tr w:rsidR="003F4055" w14:paraId="661ABFB5" w14:textId="77777777" w:rsidTr="00CA4009">
        <w:tc>
          <w:tcPr>
            <w:tcW w:w="715" w:type="dxa"/>
          </w:tcPr>
          <w:p w14:paraId="643F432E" w14:textId="77777777" w:rsidR="003F4055" w:rsidRDefault="0074664F">
            <w:pPr>
              <w:pStyle w:val="TableText"/>
            </w:pPr>
            <w:r>
              <w:t>2005</w:t>
            </w:r>
          </w:p>
        </w:tc>
        <w:tc>
          <w:tcPr>
            <w:tcW w:w="2541" w:type="dxa"/>
          </w:tcPr>
          <w:p w14:paraId="6A013159" w14:textId="117ED070" w:rsidR="003F4055" w:rsidRDefault="0074664F">
            <w:pPr>
              <w:pStyle w:val="TableText"/>
            </w:pPr>
            <w:r>
              <w:t xml:space="preserve">Memorandum of understanding (Queensland sugar industry and </w:t>
            </w:r>
            <w:r>
              <w:lastRenderedPageBreak/>
              <w:t xml:space="preserve">Queensland Government 2005) </w:t>
            </w:r>
          </w:p>
        </w:tc>
        <w:tc>
          <w:tcPr>
            <w:tcW w:w="5804" w:type="dxa"/>
          </w:tcPr>
          <w:p w14:paraId="4ACF03EA" w14:textId="636C00BE" w:rsidR="003F4055" w:rsidRDefault="0074664F">
            <w:pPr>
              <w:pStyle w:val="TableBullet1"/>
            </w:pPr>
            <w:r>
              <w:lastRenderedPageBreak/>
              <w:t>Memorandum of understanding signed.</w:t>
            </w:r>
          </w:p>
          <w:p w14:paraId="02D60705" w14:textId="6C55DE56" w:rsidR="003F4055" w:rsidRDefault="0074664F">
            <w:pPr>
              <w:pStyle w:val="TableBullet1"/>
            </w:pPr>
            <w:r>
              <w:lastRenderedPageBreak/>
              <w:t>Noted that all parties recognise that 'the future cannot simply be an extension of the past and that previous assumptions driving production and structural arrangements need to be changed.</w:t>
            </w:r>
          </w:p>
          <w:p w14:paraId="67D80A94" w14:textId="353F74FD" w:rsidR="003F4055" w:rsidRDefault="0074664F">
            <w:pPr>
              <w:pStyle w:val="TableBullet1"/>
            </w:pPr>
            <w:r>
              <w:t>Industry agreed to move to commercial, non-legislative marketing structure and Queensland Government agreed to introduce necessary legislative amendments to support the structural changes.</w:t>
            </w:r>
          </w:p>
        </w:tc>
      </w:tr>
      <w:tr w:rsidR="003F4055" w14:paraId="57127F58" w14:textId="77777777" w:rsidTr="00CA4009">
        <w:tc>
          <w:tcPr>
            <w:tcW w:w="715" w:type="dxa"/>
          </w:tcPr>
          <w:p w14:paraId="2B3981D5" w14:textId="77777777" w:rsidR="003F4055" w:rsidRDefault="0074664F">
            <w:pPr>
              <w:pStyle w:val="TableText"/>
            </w:pPr>
            <w:r>
              <w:lastRenderedPageBreak/>
              <w:t>2005</w:t>
            </w:r>
          </w:p>
        </w:tc>
        <w:tc>
          <w:tcPr>
            <w:tcW w:w="2541" w:type="dxa"/>
          </w:tcPr>
          <w:p w14:paraId="5836A49D" w14:textId="5E77EF8A" w:rsidR="003F4055" w:rsidRDefault="0074664F">
            <w:pPr>
              <w:pStyle w:val="TableText"/>
            </w:pPr>
            <w:r>
              <w:t>Sugar Industry Reform Program</w:t>
            </w:r>
          </w:p>
        </w:tc>
        <w:tc>
          <w:tcPr>
            <w:tcW w:w="5804" w:type="dxa"/>
          </w:tcPr>
          <w:p w14:paraId="43560BE1" w14:textId="454EB52C" w:rsidR="003F4055" w:rsidRDefault="0074664F" w:rsidP="00A30DE9">
            <w:pPr>
              <w:pStyle w:val="TableBullet1"/>
            </w:pPr>
            <w:r>
              <w:t xml:space="preserve">Australian Government provided </w:t>
            </w:r>
            <w:r w:rsidR="00A30DE9">
              <w:t>$334</w:t>
            </w:r>
            <w:r>
              <w:t> million to assist industry to stabilise and underpin it during the reform process. Funds helped consolidate cane-growing sector and those exiting industry.</w:t>
            </w:r>
          </w:p>
        </w:tc>
      </w:tr>
      <w:tr w:rsidR="003F4055" w14:paraId="3DA71374" w14:textId="77777777" w:rsidTr="00CA4009">
        <w:tc>
          <w:tcPr>
            <w:tcW w:w="715" w:type="dxa"/>
          </w:tcPr>
          <w:p w14:paraId="7BAC2D2E" w14:textId="77777777" w:rsidR="003F4055" w:rsidRDefault="0074664F">
            <w:pPr>
              <w:pStyle w:val="TableText"/>
            </w:pPr>
            <w:r>
              <w:t>2006</w:t>
            </w:r>
          </w:p>
        </w:tc>
        <w:tc>
          <w:tcPr>
            <w:tcW w:w="2541" w:type="dxa"/>
          </w:tcPr>
          <w:p w14:paraId="174E323A" w14:textId="77777777" w:rsidR="003F4055" w:rsidRDefault="0074664F">
            <w:pPr>
              <w:pStyle w:val="TableText"/>
            </w:pPr>
            <w:r>
              <w:t>Industry deregulation</w:t>
            </w:r>
          </w:p>
        </w:tc>
        <w:tc>
          <w:tcPr>
            <w:tcW w:w="5804" w:type="dxa"/>
          </w:tcPr>
          <w:p w14:paraId="2DE99FEE" w14:textId="16CF8EDF" w:rsidR="003F4055" w:rsidRDefault="0074664F">
            <w:pPr>
              <w:pStyle w:val="TableBullet1"/>
            </w:pPr>
            <w:r w:rsidRPr="009B0BDF">
              <w:rPr>
                <w:rStyle w:val="Emphasis"/>
              </w:rPr>
              <w:t>Sugar Industry Act 1999</w:t>
            </w:r>
            <w:r>
              <w:t xml:space="preserve"> amended to deregulate the sugar industry:</w:t>
            </w:r>
          </w:p>
          <w:p w14:paraId="76A94486" w14:textId="77777777" w:rsidR="003F4055" w:rsidRDefault="0074664F">
            <w:pPr>
              <w:pStyle w:val="TableBullet2"/>
            </w:pPr>
            <w:r>
              <w:t>parties were made free to determine contractual terms including price</w:t>
            </w:r>
          </w:p>
          <w:p w14:paraId="56B6CB6E" w14:textId="77777777" w:rsidR="003F4055" w:rsidRDefault="0074664F">
            <w:pPr>
              <w:pStyle w:val="TableBullet2"/>
            </w:pPr>
            <w:proofErr w:type="gramStart"/>
            <w:r>
              <w:t>export</w:t>
            </w:r>
            <w:proofErr w:type="gramEnd"/>
            <w:r>
              <w:t xml:space="preserve"> restrictions were removed.</w:t>
            </w:r>
          </w:p>
        </w:tc>
      </w:tr>
      <w:tr w:rsidR="003F4055" w14:paraId="75161D7B" w14:textId="77777777" w:rsidTr="00CA4009">
        <w:tc>
          <w:tcPr>
            <w:tcW w:w="715" w:type="dxa"/>
          </w:tcPr>
          <w:p w14:paraId="4DA21079" w14:textId="77777777" w:rsidR="003F4055" w:rsidRDefault="0074664F">
            <w:pPr>
              <w:pStyle w:val="TableText"/>
            </w:pPr>
            <w:r>
              <w:t>2015</w:t>
            </w:r>
          </w:p>
        </w:tc>
        <w:tc>
          <w:tcPr>
            <w:tcW w:w="2541" w:type="dxa"/>
          </w:tcPr>
          <w:p w14:paraId="5D5EC8CC" w14:textId="33A8C13A" w:rsidR="003F4055" w:rsidRDefault="0074664F">
            <w:pPr>
              <w:pStyle w:val="TableText"/>
            </w:pPr>
            <w:r w:rsidRPr="009B0BDF">
              <w:rPr>
                <w:rStyle w:val="Emphasis"/>
              </w:rPr>
              <w:t>Sugar Industry (Real Choice in Marketing) Amendment Act 2015</w:t>
            </w:r>
            <w:r>
              <w:t xml:space="preserve"> (Qld)</w:t>
            </w:r>
          </w:p>
        </w:tc>
        <w:tc>
          <w:tcPr>
            <w:tcW w:w="5804" w:type="dxa"/>
          </w:tcPr>
          <w:p w14:paraId="184A27F5" w14:textId="6C099B18" w:rsidR="003F4055" w:rsidRDefault="0074664F">
            <w:pPr>
              <w:pStyle w:val="TableBullet1"/>
            </w:pPr>
            <w:r>
              <w:t>Ensures grower choice in nominating the marketing entity for on-supply sugar in which they have an economic interest</w:t>
            </w:r>
          </w:p>
          <w:p w14:paraId="6FEBA06B" w14:textId="478FDD6E" w:rsidR="003F4055" w:rsidRDefault="0074664F">
            <w:pPr>
              <w:pStyle w:val="TableBullet1"/>
            </w:pPr>
            <w:r>
              <w:t>Facilitates fair and final resolution of commercial disputes between growers and mill owners.</w:t>
            </w:r>
          </w:p>
          <w:p w14:paraId="3D760E79" w14:textId="77777777" w:rsidR="003F4055" w:rsidRDefault="0074664F">
            <w:pPr>
              <w:pStyle w:val="TableBullet1"/>
            </w:pPr>
            <w:r>
              <w:t>Came into effect 17 December 2017.</w:t>
            </w:r>
          </w:p>
        </w:tc>
      </w:tr>
      <w:tr w:rsidR="003F4055" w14:paraId="2B07E166" w14:textId="77777777" w:rsidTr="00CA4009">
        <w:tc>
          <w:tcPr>
            <w:tcW w:w="715" w:type="dxa"/>
          </w:tcPr>
          <w:p w14:paraId="6C75FC9B" w14:textId="77777777" w:rsidR="003F4055" w:rsidRDefault="0074664F">
            <w:pPr>
              <w:pStyle w:val="TableText"/>
            </w:pPr>
            <w:r>
              <w:t>2015</w:t>
            </w:r>
          </w:p>
        </w:tc>
        <w:tc>
          <w:tcPr>
            <w:tcW w:w="2541" w:type="dxa"/>
          </w:tcPr>
          <w:p w14:paraId="0568A925" w14:textId="752EAC95" w:rsidR="003F4055" w:rsidRDefault="0074664F">
            <w:pPr>
              <w:pStyle w:val="TableText"/>
            </w:pPr>
            <w:r>
              <w:t>QLD Productivity Commission (2015)</w:t>
            </w:r>
          </w:p>
        </w:tc>
        <w:tc>
          <w:tcPr>
            <w:tcW w:w="5804" w:type="dxa"/>
          </w:tcPr>
          <w:p w14:paraId="1B2D9409" w14:textId="1A9FD85A" w:rsidR="003F4055" w:rsidRDefault="0074664F">
            <w:pPr>
              <w:pStyle w:val="TableBullet1"/>
            </w:pPr>
            <w:r>
              <w:t xml:space="preserve">Regulation impact statement on Sugar Industry (Real Choice in Marketing) Amendment Bill 2015 finalised in November 2015. </w:t>
            </w:r>
          </w:p>
          <w:p w14:paraId="3E94DB76" w14:textId="77777777" w:rsidR="003F4055" w:rsidRDefault="0074664F" w:rsidP="009B0BDF">
            <w:pPr>
              <w:pStyle w:val="TableText"/>
            </w:pPr>
            <w:r>
              <w:t>Found:</w:t>
            </w:r>
          </w:p>
          <w:p w14:paraId="6FB40E90" w14:textId="22924772" w:rsidR="003F4055" w:rsidRDefault="0074664F">
            <w:pPr>
              <w:pStyle w:val="TableBullet1"/>
            </w:pPr>
            <w:r>
              <w:t>no evidence to support a case of market failure in the Queensland sugar industry to indicate need for additional government intervention</w:t>
            </w:r>
          </w:p>
          <w:p w14:paraId="699F9C34" w14:textId="24F6D0F2" w:rsidR="003F4055" w:rsidRDefault="0074664F">
            <w:pPr>
              <w:pStyle w:val="TableBullet1"/>
            </w:pPr>
            <w:r>
              <w:t>benefits of regulation proposed by the Bill do not outweigh costs</w:t>
            </w:r>
          </w:p>
          <w:p w14:paraId="2B385454" w14:textId="53885D9C" w:rsidR="003F4055" w:rsidRDefault="0074664F">
            <w:pPr>
              <w:pStyle w:val="TableBullet1"/>
            </w:pPr>
            <w:proofErr w:type="gramStart"/>
            <w:r>
              <w:t>retaining</w:t>
            </w:r>
            <w:proofErr w:type="gramEnd"/>
            <w:r>
              <w:t xml:space="preserve"> the existing regulatory framework with no additional regulation would provide greatest net benefit to Queensland.</w:t>
            </w:r>
          </w:p>
        </w:tc>
      </w:tr>
      <w:tr w:rsidR="003F4055" w14:paraId="290E91A3" w14:textId="77777777" w:rsidTr="00CA4009">
        <w:tc>
          <w:tcPr>
            <w:tcW w:w="715" w:type="dxa"/>
          </w:tcPr>
          <w:p w14:paraId="685ED973" w14:textId="77777777" w:rsidR="003F4055" w:rsidRDefault="0074664F">
            <w:pPr>
              <w:pStyle w:val="TableText"/>
            </w:pPr>
            <w:r>
              <w:t>2015</w:t>
            </w:r>
          </w:p>
        </w:tc>
        <w:tc>
          <w:tcPr>
            <w:tcW w:w="2541" w:type="dxa"/>
          </w:tcPr>
          <w:p w14:paraId="19C8F0FD" w14:textId="7D57AD7E" w:rsidR="003F4055" w:rsidRDefault="0074664F">
            <w:pPr>
              <w:pStyle w:val="TableText"/>
            </w:pPr>
            <w:r>
              <w:t>Sugar Marketing Code of Conduct Taskforce</w:t>
            </w:r>
          </w:p>
        </w:tc>
        <w:tc>
          <w:tcPr>
            <w:tcW w:w="5804" w:type="dxa"/>
          </w:tcPr>
          <w:p w14:paraId="4CD1D614" w14:textId="66DCD016" w:rsidR="003F4055" w:rsidRDefault="0074664F">
            <w:pPr>
              <w:pStyle w:val="TableBullet1"/>
            </w:pPr>
            <w:r>
              <w:t>Found that a mandatory sugar industry code of conduct would give growers market protection and choice in marketing.</w:t>
            </w:r>
          </w:p>
        </w:tc>
      </w:tr>
      <w:tr w:rsidR="003F4055" w14:paraId="190C1ECF" w14:textId="77777777" w:rsidTr="00CA4009">
        <w:tc>
          <w:tcPr>
            <w:tcW w:w="715" w:type="dxa"/>
          </w:tcPr>
          <w:p w14:paraId="2EF5E1EC" w14:textId="77777777" w:rsidR="003F4055" w:rsidRDefault="0074664F">
            <w:pPr>
              <w:pStyle w:val="TableText"/>
            </w:pPr>
            <w:r>
              <w:t>2015</w:t>
            </w:r>
          </w:p>
        </w:tc>
        <w:tc>
          <w:tcPr>
            <w:tcW w:w="2541" w:type="dxa"/>
          </w:tcPr>
          <w:p w14:paraId="29E8EE0E" w14:textId="53CCE09F" w:rsidR="003F4055" w:rsidRDefault="0074664F">
            <w:pPr>
              <w:pStyle w:val="TableText"/>
            </w:pPr>
            <w:r>
              <w:t>Senate Rural and Regional Affairs and Transport References Committee (2015)</w:t>
            </w:r>
          </w:p>
        </w:tc>
        <w:tc>
          <w:tcPr>
            <w:tcW w:w="5804" w:type="dxa"/>
          </w:tcPr>
          <w:p w14:paraId="68016853" w14:textId="79CA9427" w:rsidR="003F4055" w:rsidRDefault="0074664F" w:rsidP="00A30DE9">
            <w:pPr>
              <w:pStyle w:val="TableBullet1"/>
            </w:pPr>
            <w:r>
              <w:t>Recommended the development and implementation of a mandatory sugar industry code of conduct. Acknowledged that</w:t>
            </w:r>
            <w:r w:rsidR="00A30DE9">
              <w:t xml:space="preserve"> </w:t>
            </w:r>
            <w:r>
              <w:t>provided appropriate stakeholder consultation is undertaken, the work of the Sugar Marketing Code of Conduct Taskforce may provide a foundation upon which a code of conduct may be established.</w:t>
            </w:r>
          </w:p>
        </w:tc>
      </w:tr>
      <w:tr w:rsidR="003F4055" w14:paraId="2913A184" w14:textId="77777777" w:rsidTr="00CA4009">
        <w:tc>
          <w:tcPr>
            <w:tcW w:w="715" w:type="dxa"/>
          </w:tcPr>
          <w:p w14:paraId="010698D6" w14:textId="6629FB90" w:rsidR="003F4055" w:rsidRDefault="0074664F">
            <w:pPr>
              <w:pStyle w:val="TableText"/>
            </w:pPr>
            <w:r>
              <w:t>2016</w:t>
            </w:r>
          </w:p>
        </w:tc>
        <w:tc>
          <w:tcPr>
            <w:tcW w:w="2541" w:type="dxa"/>
          </w:tcPr>
          <w:p w14:paraId="7521EE9B" w14:textId="057EF098" w:rsidR="003F4055" w:rsidRDefault="0074664F">
            <w:pPr>
              <w:pStyle w:val="TableText"/>
            </w:pPr>
            <w:r>
              <w:t>Productivity Commission (2016)</w:t>
            </w:r>
          </w:p>
        </w:tc>
        <w:tc>
          <w:tcPr>
            <w:tcW w:w="5804" w:type="dxa"/>
          </w:tcPr>
          <w:p w14:paraId="31CB983D" w14:textId="71E0A84B" w:rsidR="003F4055" w:rsidRDefault="0074664F">
            <w:pPr>
              <w:pStyle w:val="TableBullet1"/>
            </w:pPr>
            <w:r>
              <w:t>Found no market failure or other reasonable objective to justify the re-regulation of the Queensland sugar industry</w:t>
            </w:r>
          </w:p>
          <w:p w14:paraId="6A9C18C6" w14:textId="52A54479" w:rsidR="003F4055" w:rsidRDefault="0074664F">
            <w:pPr>
              <w:pStyle w:val="TableBullet1"/>
            </w:pPr>
            <w:r>
              <w:t>Recommended repeal of the 2015 amendments.</w:t>
            </w:r>
          </w:p>
          <w:p w14:paraId="016F621D" w14:textId="341D5A55" w:rsidR="003F4055" w:rsidRDefault="0074664F">
            <w:pPr>
              <w:pStyle w:val="TableBullet1"/>
            </w:pPr>
            <w:r>
              <w:t>Found that QSL’s charity status reduces transparency of its financial performance and is likely to further impede structural adjustment.</w:t>
            </w:r>
          </w:p>
        </w:tc>
      </w:tr>
    </w:tbl>
    <w:p w14:paraId="6F487482" w14:textId="77777777" w:rsidR="003F4055" w:rsidRDefault="003F4055"/>
    <w:p w14:paraId="49AA8F8B" w14:textId="77777777" w:rsidR="003F4055" w:rsidRDefault="0074664F">
      <w:pPr>
        <w:pStyle w:val="Heading2"/>
        <w:numPr>
          <w:ilvl w:val="0"/>
          <w:numId w:val="0"/>
        </w:numPr>
        <w:ind w:left="720" w:hanging="720"/>
      </w:pPr>
      <w:bookmarkStart w:id="34" w:name="_Appendix_B:_Operation"/>
      <w:bookmarkStart w:id="35" w:name="_Toc530149436"/>
      <w:bookmarkEnd w:id="34"/>
      <w:r>
        <w:lastRenderedPageBreak/>
        <w:t>Appendix B: Operation of the code</w:t>
      </w:r>
      <w:bookmarkEnd w:id="35"/>
    </w:p>
    <w:p w14:paraId="2F51AC20" w14:textId="0FCA0AF4" w:rsidR="003F4055" w:rsidRDefault="0074664F">
      <w:pPr>
        <w:rPr>
          <w:lang w:eastAsia="ja-JP"/>
        </w:rPr>
      </w:pPr>
      <w:r>
        <w:rPr>
          <w:lang w:eastAsia="ja-JP"/>
        </w:rPr>
        <w:t>The code regulates the conduct of growers, mill owners and marketers (of grower economic interest sugar) in relation to contracts or agreements for the supply of cane or the on-supply of sugar, including establishing a process for pre-contractual arbitration where the parties fail to agree to terms of contracts or agreements.</w:t>
      </w:r>
    </w:p>
    <w:p w14:paraId="6B451F4A" w14:textId="5512DCD3" w:rsidR="003F4055" w:rsidRDefault="0074664F">
      <w:pPr>
        <w:pStyle w:val="Heading3"/>
        <w:numPr>
          <w:ilvl w:val="0"/>
          <w:numId w:val="0"/>
        </w:numPr>
        <w:ind w:left="964" w:hanging="964"/>
        <w:rPr>
          <w:lang w:eastAsia="ja-JP"/>
        </w:rPr>
      </w:pPr>
      <w:bookmarkStart w:id="36" w:name="_Toc530149437"/>
      <w:r>
        <w:rPr>
          <w:lang w:eastAsia="ja-JP"/>
        </w:rPr>
        <w:t>Part 2—Obligation to act in good faith</w:t>
      </w:r>
      <w:bookmarkEnd w:id="36"/>
    </w:p>
    <w:p w14:paraId="55CE47A7" w14:textId="77777777" w:rsidR="003F4055" w:rsidRDefault="0074664F">
      <w:pPr>
        <w:rPr>
          <w:lang w:eastAsia="ja-JP"/>
        </w:rPr>
      </w:pPr>
      <w:r>
        <w:rPr>
          <w:lang w:eastAsia="ja-JP"/>
        </w:rPr>
        <w:t>Cane growers, mill owners and marketers must act in good faith in all their dealings with each other, including when undertaking arbitration under the code.</w:t>
      </w:r>
    </w:p>
    <w:p w14:paraId="659FAF8D" w14:textId="77777777" w:rsidR="003F4055" w:rsidRDefault="0074664F" w:rsidP="001B3FCF">
      <w:pPr>
        <w:pStyle w:val="Heading3"/>
        <w:numPr>
          <w:ilvl w:val="0"/>
          <w:numId w:val="0"/>
        </w:numPr>
        <w:ind w:left="964" w:hanging="964"/>
        <w:rPr>
          <w:lang w:eastAsia="ja-JP"/>
        </w:rPr>
      </w:pPr>
      <w:bookmarkStart w:id="37" w:name="_Toc530149438"/>
      <w:r>
        <w:rPr>
          <w:lang w:eastAsia="ja-JP"/>
        </w:rPr>
        <w:t>Part 3—Supply contracts</w:t>
      </w:r>
      <w:bookmarkEnd w:id="37"/>
    </w:p>
    <w:p w14:paraId="3A1EA4EA" w14:textId="75B49E60" w:rsidR="003F4055" w:rsidRDefault="0074664F">
      <w:pPr>
        <w:rPr>
          <w:lang w:eastAsia="ja-JP"/>
        </w:rPr>
      </w:pPr>
      <w:r>
        <w:rPr>
          <w:lang w:eastAsia="ja-JP"/>
        </w:rPr>
        <w:t>Cane growers and mill owners must have a supply contract with the minimum terms about the sale of on-supply sugar provided for in the supply contract and the dispute resolution process. These provisions only apply if there is no other Australian law that specifically relates to supply contracts and that would apply to a supply contract between the grower and the mill owner for the supply of that cane.</w:t>
      </w:r>
    </w:p>
    <w:p w14:paraId="44A9860A" w14:textId="77777777" w:rsidR="003F4055" w:rsidRDefault="0074664F">
      <w:pPr>
        <w:rPr>
          <w:lang w:eastAsia="ja-JP"/>
        </w:rPr>
      </w:pPr>
      <w:r>
        <w:rPr>
          <w:lang w:eastAsia="ja-JP"/>
        </w:rPr>
        <w:t>Part 3 also provides for arbitration of disputed terms of supply contracts.</w:t>
      </w:r>
    </w:p>
    <w:p w14:paraId="36881017" w14:textId="77777777" w:rsidR="003F4055" w:rsidRDefault="0074664F" w:rsidP="001B3FCF">
      <w:pPr>
        <w:pStyle w:val="Heading3"/>
        <w:numPr>
          <w:ilvl w:val="0"/>
          <w:numId w:val="0"/>
        </w:numPr>
        <w:rPr>
          <w:lang w:eastAsia="ja-JP"/>
        </w:rPr>
      </w:pPr>
      <w:bookmarkStart w:id="38" w:name="_Toc530149439"/>
      <w:r>
        <w:rPr>
          <w:lang w:eastAsia="ja-JP"/>
        </w:rPr>
        <w:t>Part 4—Arbitration of terms of intended on-supply agreements</w:t>
      </w:r>
      <w:bookmarkEnd w:id="38"/>
    </w:p>
    <w:p w14:paraId="1CDE0FC2" w14:textId="77777777" w:rsidR="003F4055" w:rsidRDefault="0074664F">
      <w:pPr>
        <w:rPr>
          <w:lang w:eastAsia="ja-JP"/>
        </w:rPr>
      </w:pPr>
      <w:r>
        <w:rPr>
          <w:lang w:eastAsia="ja-JP"/>
        </w:rPr>
        <w:t>Part 4 sets out the application of the code to disputes between marketers and mill owners negotiating an on-supply agreement and the process for arbitration for the terms of an on-supply agreement.</w:t>
      </w:r>
    </w:p>
    <w:p w14:paraId="0E0F514F" w14:textId="37171B18" w:rsidR="003F4055" w:rsidRDefault="0074664F">
      <w:pPr>
        <w:pStyle w:val="Heading2"/>
        <w:numPr>
          <w:ilvl w:val="0"/>
          <w:numId w:val="0"/>
        </w:numPr>
        <w:ind w:left="720" w:hanging="720"/>
      </w:pPr>
      <w:bookmarkStart w:id="39" w:name="_Appendix_C:_Written"/>
      <w:bookmarkStart w:id="40" w:name="_Appendix_C:_Submissions"/>
      <w:bookmarkStart w:id="41" w:name="_Toc530149440"/>
      <w:bookmarkEnd w:id="39"/>
      <w:bookmarkEnd w:id="40"/>
      <w:r>
        <w:lastRenderedPageBreak/>
        <w:t>Appendix C: Submissions received</w:t>
      </w:r>
      <w:bookmarkEnd w:id="41"/>
    </w:p>
    <w:p w14:paraId="7CAEF047" w14:textId="77777777" w:rsidR="003F4055" w:rsidRPr="0074664F" w:rsidRDefault="0074664F" w:rsidP="001B3FCF">
      <w:r>
        <w:rPr>
          <w:lang w:eastAsia="ja-JP"/>
        </w:rPr>
        <w:t>The review report drew on information and views provided in stakeholder submissions and public consultations on the Sugar code of conduct review (Department of Agriculture and Water Resources 2018b). These stakeholders made written submissions:</w:t>
      </w:r>
    </w:p>
    <w:p w14:paraId="11F5CA6B" w14:textId="77777777" w:rsidR="003F4055" w:rsidRDefault="0074664F" w:rsidP="001B3FCF">
      <w:pPr>
        <w:pStyle w:val="ListNumber"/>
        <w:numPr>
          <w:ilvl w:val="0"/>
          <w:numId w:val="38"/>
        </w:numPr>
        <w:rPr>
          <w:lang w:eastAsia="ja-JP"/>
        </w:rPr>
      </w:pPr>
      <w:r>
        <w:rPr>
          <w:lang w:eastAsia="ja-JP"/>
        </w:rPr>
        <w:t>Australian Competition and Consumer Commission</w:t>
      </w:r>
    </w:p>
    <w:p w14:paraId="1D632491" w14:textId="77777777" w:rsidR="003F4055" w:rsidRDefault="0074664F" w:rsidP="001B3FCF">
      <w:pPr>
        <w:pStyle w:val="ListNumber"/>
        <w:rPr>
          <w:lang w:eastAsia="ja-JP"/>
        </w:rPr>
      </w:pPr>
      <w:r>
        <w:rPr>
          <w:lang w:eastAsia="ja-JP"/>
        </w:rPr>
        <w:t>Australian Sugar Milling Council</w:t>
      </w:r>
    </w:p>
    <w:p w14:paraId="7F7EA344" w14:textId="77777777" w:rsidR="003F4055" w:rsidRDefault="0074664F" w:rsidP="001B3FCF">
      <w:pPr>
        <w:pStyle w:val="ListNumber"/>
        <w:rPr>
          <w:lang w:eastAsia="ja-JP"/>
        </w:rPr>
      </w:pPr>
      <w:r>
        <w:rPr>
          <w:lang w:eastAsia="ja-JP"/>
        </w:rPr>
        <w:t>Burdekin District Cane Growers</w:t>
      </w:r>
    </w:p>
    <w:p w14:paraId="384A6AAE" w14:textId="77777777" w:rsidR="003F4055" w:rsidRDefault="0074664F" w:rsidP="001B3FCF">
      <w:pPr>
        <w:pStyle w:val="ListNumber"/>
        <w:rPr>
          <w:lang w:eastAsia="ja-JP"/>
        </w:rPr>
      </w:pPr>
      <w:r>
        <w:rPr>
          <w:lang w:eastAsia="ja-JP"/>
        </w:rPr>
        <w:t>CANEGROWERS Bundaberg</w:t>
      </w:r>
    </w:p>
    <w:p w14:paraId="19EB5C2C" w14:textId="77777777" w:rsidR="003F4055" w:rsidRDefault="0074664F" w:rsidP="001B3FCF">
      <w:pPr>
        <w:pStyle w:val="ListNumber"/>
        <w:rPr>
          <w:lang w:eastAsia="ja-JP"/>
        </w:rPr>
      </w:pPr>
      <w:r>
        <w:rPr>
          <w:lang w:eastAsia="ja-JP"/>
        </w:rPr>
        <w:t>CANEGROWERS Burdekin</w:t>
      </w:r>
    </w:p>
    <w:p w14:paraId="753BB7FB" w14:textId="77777777" w:rsidR="003F4055" w:rsidRDefault="0074664F" w:rsidP="001B3FCF">
      <w:pPr>
        <w:pStyle w:val="ListNumber"/>
        <w:rPr>
          <w:lang w:eastAsia="ja-JP"/>
        </w:rPr>
      </w:pPr>
      <w:r>
        <w:rPr>
          <w:lang w:eastAsia="ja-JP"/>
        </w:rPr>
        <w:t>CANEGROWERS Herbert River</w:t>
      </w:r>
    </w:p>
    <w:p w14:paraId="0F0E1AA3" w14:textId="77777777" w:rsidR="003F4055" w:rsidRDefault="0074664F" w:rsidP="001B3FCF">
      <w:pPr>
        <w:pStyle w:val="ListNumber"/>
        <w:rPr>
          <w:lang w:eastAsia="ja-JP"/>
        </w:rPr>
      </w:pPr>
      <w:r>
        <w:rPr>
          <w:lang w:eastAsia="ja-JP"/>
        </w:rPr>
        <w:t>CANEGROWERS Innisfail</w:t>
      </w:r>
    </w:p>
    <w:p w14:paraId="2B209BD5" w14:textId="77777777" w:rsidR="003F4055" w:rsidRDefault="0074664F" w:rsidP="001B3FCF">
      <w:pPr>
        <w:pStyle w:val="ListNumber"/>
        <w:rPr>
          <w:lang w:eastAsia="ja-JP"/>
        </w:rPr>
      </w:pPr>
      <w:r>
        <w:rPr>
          <w:lang w:eastAsia="ja-JP"/>
        </w:rPr>
        <w:t>CANEGROWERS ISIS</w:t>
      </w:r>
    </w:p>
    <w:p w14:paraId="1D071233" w14:textId="77777777" w:rsidR="003F4055" w:rsidRDefault="0074664F" w:rsidP="001B3FCF">
      <w:pPr>
        <w:pStyle w:val="ListNumber"/>
        <w:rPr>
          <w:lang w:eastAsia="ja-JP"/>
        </w:rPr>
      </w:pPr>
      <w:r>
        <w:rPr>
          <w:lang w:eastAsia="ja-JP"/>
        </w:rPr>
        <w:t>CANEGROWERS Mackay</w:t>
      </w:r>
    </w:p>
    <w:p w14:paraId="3351DD82" w14:textId="77777777" w:rsidR="003F4055" w:rsidRDefault="0074664F" w:rsidP="001B3FCF">
      <w:pPr>
        <w:pStyle w:val="ListNumber"/>
        <w:rPr>
          <w:lang w:eastAsia="ja-JP"/>
        </w:rPr>
      </w:pPr>
      <w:r>
        <w:rPr>
          <w:lang w:eastAsia="ja-JP"/>
        </w:rPr>
        <w:t>CANEGROWERS Tully</w:t>
      </w:r>
    </w:p>
    <w:p w14:paraId="66AB99CB" w14:textId="77777777" w:rsidR="003F4055" w:rsidRDefault="0074664F" w:rsidP="001B3FCF">
      <w:pPr>
        <w:pStyle w:val="ListNumber"/>
        <w:rPr>
          <w:lang w:eastAsia="ja-JP"/>
        </w:rPr>
      </w:pPr>
      <w:r>
        <w:rPr>
          <w:lang w:eastAsia="ja-JP"/>
        </w:rPr>
        <w:t>CANEGROWERS/Australian Cane Farmers Association</w:t>
      </w:r>
    </w:p>
    <w:p w14:paraId="6037EB38" w14:textId="77777777" w:rsidR="003F4055" w:rsidRDefault="0074664F" w:rsidP="001B3FCF">
      <w:pPr>
        <w:pStyle w:val="ListNumber"/>
        <w:rPr>
          <w:lang w:eastAsia="ja-JP"/>
        </w:rPr>
      </w:pPr>
      <w:r>
        <w:rPr>
          <w:lang w:eastAsia="ja-JP"/>
        </w:rPr>
        <w:t>National Farmers Federation</w:t>
      </w:r>
    </w:p>
    <w:p w14:paraId="5C47A174" w14:textId="77777777" w:rsidR="003F4055" w:rsidRDefault="0074664F" w:rsidP="001B3FCF">
      <w:pPr>
        <w:pStyle w:val="ListNumber"/>
        <w:rPr>
          <w:lang w:eastAsia="ja-JP"/>
        </w:rPr>
      </w:pPr>
      <w:r>
        <w:rPr>
          <w:lang w:eastAsia="ja-JP"/>
        </w:rPr>
        <w:t>Queensland Farmers Federation</w:t>
      </w:r>
    </w:p>
    <w:p w14:paraId="4309BE60" w14:textId="77777777" w:rsidR="003F4055" w:rsidRDefault="0074664F" w:rsidP="001B3FCF">
      <w:pPr>
        <w:pStyle w:val="ListNumber"/>
        <w:rPr>
          <w:lang w:eastAsia="ja-JP"/>
        </w:rPr>
      </w:pPr>
      <w:r>
        <w:rPr>
          <w:lang w:eastAsia="ja-JP"/>
        </w:rPr>
        <w:t>Queensland Sugar Limited</w:t>
      </w:r>
    </w:p>
    <w:p w14:paraId="67D93D8B" w14:textId="7BA2348D" w:rsidR="003F4055" w:rsidRDefault="0074664F" w:rsidP="001B3FCF">
      <w:pPr>
        <w:pStyle w:val="ListNumber"/>
        <w:rPr>
          <w:lang w:eastAsia="ja-JP"/>
        </w:rPr>
      </w:pPr>
      <w:r>
        <w:rPr>
          <w:lang w:eastAsia="ja-JP"/>
        </w:rPr>
        <w:t>Queensland Sugar Limited/CANEGROWERS/ Australian Cane Farmers Association/Burdekin District Cane Growers—‘</w:t>
      </w:r>
      <w:r w:rsidR="00585C95">
        <w:rPr>
          <w:lang w:eastAsia="ja-JP"/>
        </w:rPr>
        <w:t>Review of the Sugar Code of Conduct</w:t>
      </w:r>
      <w:r>
        <w:rPr>
          <w:lang w:eastAsia="ja-JP"/>
        </w:rPr>
        <w:t>’</w:t>
      </w:r>
      <w:r w:rsidR="00585C95">
        <w:rPr>
          <w:lang w:eastAsia="ja-JP"/>
        </w:rPr>
        <w:t xml:space="preserve"> (Synergies Report)</w:t>
      </w:r>
    </w:p>
    <w:p w14:paraId="141AE114" w14:textId="77777777" w:rsidR="003F4055" w:rsidRDefault="0074664F" w:rsidP="001B3FCF">
      <w:pPr>
        <w:pStyle w:val="ListNumber"/>
        <w:rPr>
          <w:lang w:eastAsia="ja-JP"/>
        </w:rPr>
      </w:pPr>
      <w:r>
        <w:rPr>
          <w:lang w:eastAsia="ja-JP"/>
        </w:rPr>
        <w:t>Tully Sugar Limited</w:t>
      </w:r>
    </w:p>
    <w:p w14:paraId="46CDE32F" w14:textId="0B17E818" w:rsidR="003F4055" w:rsidRDefault="0074664F" w:rsidP="00DE0A1B">
      <w:pPr>
        <w:pStyle w:val="ListNumber"/>
        <w:rPr>
          <w:lang w:eastAsia="ja-JP"/>
        </w:rPr>
      </w:pPr>
      <w:r>
        <w:rPr>
          <w:lang w:eastAsia="ja-JP"/>
        </w:rPr>
        <w:t xml:space="preserve">Anthony and Emily </w:t>
      </w:r>
      <w:proofErr w:type="spellStart"/>
      <w:r>
        <w:rPr>
          <w:lang w:eastAsia="ja-JP"/>
        </w:rPr>
        <w:t>Vasta</w:t>
      </w:r>
      <w:proofErr w:type="spellEnd"/>
    </w:p>
    <w:p w14:paraId="63915AA3" w14:textId="77777777" w:rsidR="003F4055" w:rsidRDefault="0074664F" w:rsidP="00DE0A1B">
      <w:pPr>
        <w:pStyle w:val="ListNumber"/>
        <w:rPr>
          <w:lang w:eastAsia="ja-JP"/>
        </w:rPr>
      </w:pPr>
      <w:r>
        <w:rPr>
          <w:lang w:eastAsia="ja-JP"/>
        </w:rPr>
        <w:t>Bradley Hanson</w:t>
      </w:r>
    </w:p>
    <w:p w14:paraId="5A4F13E0" w14:textId="77777777" w:rsidR="003F4055" w:rsidRDefault="0074664F" w:rsidP="00DE0A1B">
      <w:pPr>
        <w:pStyle w:val="ListNumber"/>
        <w:rPr>
          <w:lang w:eastAsia="ja-JP"/>
        </w:rPr>
      </w:pPr>
      <w:r>
        <w:rPr>
          <w:lang w:eastAsia="ja-JP"/>
        </w:rPr>
        <w:t>Callum Boland</w:t>
      </w:r>
    </w:p>
    <w:p w14:paraId="26BA7176" w14:textId="77777777" w:rsidR="003F4055" w:rsidRDefault="0074664F" w:rsidP="00DE0A1B">
      <w:pPr>
        <w:pStyle w:val="ListNumber"/>
        <w:rPr>
          <w:lang w:eastAsia="ja-JP"/>
        </w:rPr>
      </w:pPr>
      <w:r>
        <w:rPr>
          <w:lang w:eastAsia="ja-JP"/>
        </w:rPr>
        <w:t>Clive Williams</w:t>
      </w:r>
    </w:p>
    <w:p w14:paraId="599F83B9" w14:textId="77777777" w:rsidR="003F4055" w:rsidRDefault="0074664F" w:rsidP="00DE0A1B">
      <w:pPr>
        <w:pStyle w:val="ListNumber"/>
        <w:rPr>
          <w:lang w:eastAsia="ja-JP"/>
        </w:rPr>
      </w:pPr>
      <w:r>
        <w:rPr>
          <w:lang w:eastAsia="ja-JP"/>
        </w:rPr>
        <w:t>Cr. Lyn McLaughlin</w:t>
      </w:r>
    </w:p>
    <w:p w14:paraId="578D3176" w14:textId="77777777" w:rsidR="003F4055" w:rsidRDefault="0074664F" w:rsidP="00DE0A1B">
      <w:pPr>
        <w:pStyle w:val="ListNumber"/>
        <w:rPr>
          <w:lang w:eastAsia="ja-JP"/>
        </w:rPr>
      </w:pPr>
      <w:r>
        <w:rPr>
          <w:lang w:eastAsia="ja-JP"/>
        </w:rPr>
        <w:t>Dale Last MP</w:t>
      </w:r>
    </w:p>
    <w:p w14:paraId="5EAF733A" w14:textId="77777777" w:rsidR="003F4055" w:rsidRDefault="0074664F" w:rsidP="00DE0A1B">
      <w:pPr>
        <w:pStyle w:val="ListNumber"/>
        <w:rPr>
          <w:lang w:eastAsia="ja-JP"/>
        </w:rPr>
      </w:pPr>
      <w:r>
        <w:rPr>
          <w:lang w:eastAsia="ja-JP"/>
        </w:rPr>
        <w:t>Ferdinand Francis John Pavetto</w:t>
      </w:r>
    </w:p>
    <w:p w14:paraId="0BE45F7A" w14:textId="77777777" w:rsidR="003F4055" w:rsidRDefault="0074664F" w:rsidP="00DE0A1B">
      <w:pPr>
        <w:pStyle w:val="ListNumber"/>
        <w:rPr>
          <w:lang w:eastAsia="ja-JP"/>
        </w:rPr>
      </w:pPr>
      <w:r>
        <w:rPr>
          <w:lang w:eastAsia="ja-JP"/>
        </w:rPr>
        <w:t xml:space="preserve">Fleur </w:t>
      </w:r>
      <w:proofErr w:type="spellStart"/>
      <w:r>
        <w:rPr>
          <w:lang w:eastAsia="ja-JP"/>
        </w:rPr>
        <w:t>Vigerzi</w:t>
      </w:r>
      <w:proofErr w:type="spellEnd"/>
    </w:p>
    <w:p w14:paraId="532F71E8" w14:textId="2F2F9492" w:rsidR="003F4055" w:rsidRDefault="0074664F" w:rsidP="00DE0A1B">
      <w:pPr>
        <w:pStyle w:val="ListNumber"/>
        <w:rPr>
          <w:lang w:eastAsia="ja-JP"/>
        </w:rPr>
      </w:pPr>
      <w:r>
        <w:rPr>
          <w:lang w:eastAsia="ja-JP"/>
        </w:rPr>
        <w:t>Francis and Sherell Lando</w:t>
      </w:r>
    </w:p>
    <w:p w14:paraId="5E31C006" w14:textId="4F637330" w:rsidR="003F4055" w:rsidRDefault="0074664F" w:rsidP="00DE0A1B">
      <w:pPr>
        <w:pStyle w:val="ListNumber"/>
        <w:rPr>
          <w:lang w:eastAsia="ja-JP"/>
        </w:rPr>
      </w:pPr>
      <w:r>
        <w:rPr>
          <w:lang w:eastAsia="ja-JP"/>
        </w:rPr>
        <w:t>Gary and Pam Elton</w:t>
      </w:r>
    </w:p>
    <w:p w14:paraId="35A091DA" w14:textId="77777777" w:rsidR="003F4055" w:rsidRDefault="0074664F" w:rsidP="00DE0A1B">
      <w:pPr>
        <w:pStyle w:val="ListNumber"/>
        <w:rPr>
          <w:lang w:eastAsia="ja-JP"/>
        </w:rPr>
      </w:pPr>
      <w:r>
        <w:rPr>
          <w:lang w:eastAsia="ja-JP"/>
        </w:rPr>
        <w:t>Geoffrey Tait</w:t>
      </w:r>
    </w:p>
    <w:p w14:paraId="6C0832B5" w14:textId="77777777" w:rsidR="003F4055" w:rsidRDefault="0074664F" w:rsidP="00DE0A1B">
      <w:pPr>
        <w:pStyle w:val="ListNumber"/>
        <w:rPr>
          <w:lang w:eastAsia="ja-JP"/>
        </w:rPr>
      </w:pPr>
      <w:r>
        <w:rPr>
          <w:lang w:eastAsia="ja-JP"/>
        </w:rPr>
        <w:lastRenderedPageBreak/>
        <w:t>Gloria Paul</w:t>
      </w:r>
    </w:p>
    <w:p w14:paraId="118E33C8" w14:textId="77777777" w:rsidR="003F4055" w:rsidRDefault="0074664F" w:rsidP="00DE0A1B">
      <w:pPr>
        <w:pStyle w:val="ListNumber"/>
        <w:rPr>
          <w:lang w:eastAsia="ja-JP"/>
        </w:rPr>
      </w:pPr>
      <w:r>
        <w:rPr>
          <w:lang w:eastAsia="ja-JP"/>
        </w:rPr>
        <w:t>Greg Rossato</w:t>
      </w:r>
    </w:p>
    <w:p w14:paraId="17653409" w14:textId="77777777" w:rsidR="003F4055" w:rsidRDefault="0074664F" w:rsidP="00DE0A1B">
      <w:pPr>
        <w:pStyle w:val="ListNumber"/>
        <w:rPr>
          <w:lang w:eastAsia="ja-JP"/>
        </w:rPr>
      </w:pPr>
      <w:r>
        <w:rPr>
          <w:lang w:eastAsia="ja-JP"/>
        </w:rPr>
        <w:t xml:space="preserve">Joseph </w:t>
      </w:r>
      <w:proofErr w:type="spellStart"/>
      <w:r>
        <w:rPr>
          <w:lang w:eastAsia="ja-JP"/>
        </w:rPr>
        <w:t>Quagliata</w:t>
      </w:r>
      <w:proofErr w:type="spellEnd"/>
    </w:p>
    <w:p w14:paraId="2089EF79" w14:textId="77777777" w:rsidR="003F4055" w:rsidRDefault="0074664F" w:rsidP="00DE0A1B">
      <w:pPr>
        <w:pStyle w:val="ListNumber"/>
        <w:rPr>
          <w:lang w:eastAsia="ja-JP"/>
        </w:rPr>
      </w:pPr>
      <w:r>
        <w:rPr>
          <w:lang w:eastAsia="ja-JP"/>
        </w:rPr>
        <w:t>Kent Fowler</w:t>
      </w:r>
    </w:p>
    <w:p w14:paraId="66B4C341" w14:textId="77777777" w:rsidR="003F4055" w:rsidRDefault="0074664F" w:rsidP="00DE0A1B">
      <w:pPr>
        <w:pStyle w:val="ListNumber"/>
        <w:rPr>
          <w:lang w:eastAsia="ja-JP"/>
        </w:rPr>
      </w:pPr>
      <w:r>
        <w:rPr>
          <w:lang w:eastAsia="ja-JP"/>
        </w:rPr>
        <w:t>Kevin Borg</w:t>
      </w:r>
    </w:p>
    <w:p w14:paraId="3FB38DB3" w14:textId="77777777" w:rsidR="003F4055" w:rsidRDefault="0074664F" w:rsidP="00DE0A1B">
      <w:pPr>
        <w:pStyle w:val="ListNumber"/>
        <w:rPr>
          <w:lang w:eastAsia="ja-JP"/>
        </w:rPr>
      </w:pPr>
      <w:r>
        <w:rPr>
          <w:lang w:eastAsia="ja-JP"/>
        </w:rPr>
        <w:t xml:space="preserve">Lawrence </w:t>
      </w:r>
      <w:proofErr w:type="spellStart"/>
      <w:r>
        <w:rPr>
          <w:lang w:eastAsia="ja-JP"/>
        </w:rPr>
        <w:t>Brotto</w:t>
      </w:r>
      <w:proofErr w:type="spellEnd"/>
    </w:p>
    <w:p w14:paraId="664FD3E2" w14:textId="77777777" w:rsidR="003F4055" w:rsidRDefault="0074664F" w:rsidP="00DE0A1B">
      <w:pPr>
        <w:pStyle w:val="ListNumber"/>
        <w:rPr>
          <w:lang w:eastAsia="ja-JP"/>
        </w:rPr>
      </w:pPr>
      <w:r>
        <w:rPr>
          <w:lang w:eastAsia="ja-JP"/>
        </w:rPr>
        <w:t xml:space="preserve">Lorenzo </w:t>
      </w:r>
      <w:proofErr w:type="spellStart"/>
      <w:r>
        <w:rPr>
          <w:lang w:eastAsia="ja-JP"/>
        </w:rPr>
        <w:t>Rigano</w:t>
      </w:r>
      <w:proofErr w:type="spellEnd"/>
    </w:p>
    <w:p w14:paraId="1F80665C" w14:textId="77777777" w:rsidR="003F4055" w:rsidRDefault="0074664F" w:rsidP="00DE0A1B">
      <w:pPr>
        <w:pStyle w:val="ListNumber"/>
        <w:rPr>
          <w:lang w:eastAsia="ja-JP"/>
        </w:rPr>
      </w:pPr>
      <w:r>
        <w:rPr>
          <w:lang w:eastAsia="ja-JP"/>
        </w:rPr>
        <w:t xml:space="preserve">Louise </w:t>
      </w:r>
      <w:proofErr w:type="spellStart"/>
      <w:r>
        <w:rPr>
          <w:lang w:eastAsia="ja-JP"/>
        </w:rPr>
        <w:t>Dall’Osto</w:t>
      </w:r>
      <w:proofErr w:type="spellEnd"/>
    </w:p>
    <w:p w14:paraId="1BE3A86C" w14:textId="77777777" w:rsidR="003F4055" w:rsidRDefault="0074664F" w:rsidP="00DE0A1B">
      <w:pPr>
        <w:pStyle w:val="ListNumber"/>
        <w:rPr>
          <w:lang w:eastAsia="ja-JP"/>
        </w:rPr>
      </w:pPr>
      <w:r>
        <w:rPr>
          <w:lang w:eastAsia="ja-JP"/>
        </w:rPr>
        <w:t>Mark Rossato</w:t>
      </w:r>
    </w:p>
    <w:p w14:paraId="07C0F847" w14:textId="77777777" w:rsidR="003F4055" w:rsidRDefault="0074664F" w:rsidP="00DE0A1B">
      <w:pPr>
        <w:pStyle w:val="ListNumber"/>
        <w:rPr>
          <w:lang w:eastAsia="ja-JP"/>
        </w:rPr>
      </w:pPr>
      <w:r>
        <w:rPr>
          <w:lang w:eastAsia="ja-JP"/>
        </w:rPr>
        <w:t>Michael Boland</w:t>
      </w:r>
    </w:p>
    <w:p w14:paraId="11016262" w14:textId="77777777" w:rsidR="003F4055" w:rsidRDefault="0074664F" w:rsidP="00DE0A1B">
      <w:pPr>
        <w:pStyle w:val="ListNumber"/>
        <w:rPr>
          <w:lang w:eastAsia="ja-JP"/>
        </w:rPr>
      </w:pPr>
      <w:r>
        <w:rPr>
          <w:lang w:eastAsia="ja-JP"/>
        </w:rPr>
        <w:t>Michael Zabala</w:t>
      </w:r>
    </w:p>
    <w:p w14:paraId="7D2811FB" w14:textId="77777777" w:rsidR="003F4055" w:rsidRDefault="0074664F" w:rsidP="00DE0A1B">
      <w:pPr>
        <w:pStyle w:val="ListNumber"/>
        <w:rPr>
          <w:lang w:eastAsia="ja-JP"/>
        </w:rPr>
      </w:pPr>
      <w:r>
        <w:rPr>
          <w:lang w:eastAsia="ja-JP"/>
        </w:rPr>
        <w:t>Neil Johnson</w:t>
      </w:r>
    </w:p>
    <w:p w14:paraId="04BB6D27" w14:textId="77777777" w:rsidR="003F4055" w:rsidRDefault="0074664F" w:rsidP="00DE0A1B">
      <w:pPr>
        <w:pStyle w:val="ListNumber"/>
        <w:rPr>
          <w:lang w:eastAsia="ja-JP"/>
        </w:rPr>
      </w:pPr>
      <w:r>
        <w:rPr>
          <w:lang w:eastAsia="ja-JP"/>
        </w:rPr>
        <w:t xml:space="preserve">Nicholas </w:t>
      </w:r>
      <w:proofErr w:type="spellStart"/>
      <w:r>
        <w:rPr>
          <w:lang w:eastAsia="ja-JP"/>
        </w:rPr>
        <w:t>Dametto</w:t>
      </w:r>
      <w:proofErr w:type="spellEnd"/>
    </w:p>
    <w:p w14:paraId="2557156F" w14:textId="77777777" w:rsidR="003F4055" w:rsidRDefault="0074664F" w:rsidP="00DE0A1B">
      <w:pPr>
        <w:pStyle w:val="ListNumber"/>
        <w:rPr>
          <w:lang w:eastAsia="ja-JP"/>
        </w:rPr>
      </w:pPr>
      <w:r>
        <w:rPr>
          <w:lang w:eastAsia="ja-JP"/>
        </w:rPr>
        <w:t>Owen Menkens</w:t>
      </w:r>
    </w:p>
    <w:p w14:paraId="18DE19DE" w14:textId="77777777" w:rsidR="003F4055" w:rsidRDefault="0074664F" w:rsidP="00DE0A1B">
      <w:pPr>
        <w:pStyle w:val="ListNumber"/>
        <w:rPr>
          <w:lang w:eastAsia="ja-JP"/>
        </w:rPr>
      </w:pPr>
      <w:r>
        <w:rPr>
          <w:lang w:eastAsia="ja-JP"/>
        </w:rPr>
        <w:t xml:space="preserve">Phil </w:t>
      </w:r>
      <w:proofErr w:type="spellStart"/>
      <w:r>
        <w:rPr>
          <w:lang w:eastAsia="ja-JP"/>
        </w:rPr>
        <w:t>Loizou</w:t>
      </w:r>
      <w:proofErr w:type="spellEnd"/>
    </w:p>
    <w:p w14:paraId="1B932B9F" w14:textId="77777777" w:rsidR="003F4055" w:rsidRDefault="0074664F" w:rsidP="00DE0A1B">
      <w:pPr>
        <w:pStyle w:val="ListNumber"/>
        <w:rPr>
          <w:lang w:eastAsia="ja-JP"/>
        </w:rPr>
      </w:pPr>
      <w:r>
        <w:rPr>
          <w:lang w:eastAsia="ja-JP"/>
        </w:rPr>
        <w:t>Phil Whitby</w:t>
      </w:r>
    </w:p>
    <w:p w14:paraId="77FD41A8" w14:textId="77777777" w:rsidR="003F4055" w:rsidRDefault="0074664F" w:rsidP="00DE0A1B">
      <w:pPr>
        <w:pStyle w:val="ListNumber"/>
        <w:rPr>
          <w:lang w:eastAsia="ja-JP"/>
        </w:rPr>
      </w:pPr>
      <w:r>
        <w:rPr>
          <w:lang w:eastAsia="ja-JP"/>
        </w:rPr>
        <w:t xml:space="preserve">Ricardo </w:t>
      </w:r>
      <w:proofErr w:type="spellStart"/>
      <w:r>
        <w:rPr>
          <w:lang w:eastAsia="ja-JP"/>
        </w:rPr>
        <w:t>Pellizzari</w:t>
      </w:r>
      <w:proofErr w:type="spellEnd"/>
    </w:p>
    <w:p w14:paraId="49CCD480" w14:textId="77777777" w:rsidR="003F4055" w:rsidRDefault="0074664F" w:rsidP="00DE0A1B">
      <w:pPr>
        <w:pStyle w:val="ListNumber"/>
        <w:rPr>
          <w:lang w:eastAsia="ja-JP"/>
        </w:rPr>
      </w:pPr>
      <w:r>
        <w:rPr>
          <w:lang w:eastAsia="ja-JP"/>
        </w:rPr>
        <w:t xml:space="preserve">Rita </w:t>
      </w:r>
      <w:proofErr w:type="spellStart"/>
      <w:r>
        <w:rPr>
          <w:lang w:eastAsia="ja-JP"/>
        </w:rPr>
        <w:t>Quagliata</w:t>
      </w:r>
      <w:proofErr w:type="spellEnd"/>
    </w:p>
    <w:p w14:paraId="5200FFC0" w14:textId="77777777" w:rsidR="003F4055" w:rsidRDefault="0074664F" w:rsidP="00DE0A1B">
      <w:pPr>
        <w:pStyle w:val="ListNumber"/>
        <w:rPr>
          <w:lang w:eastAsia="ja-JP"/>
        </w:rPr>
      </w:pPr>
      <w:r>
        <w:rPr>
          <w:lang w:eastAsia="ja-JP"/>
        </w:rPr>
        <w:t>Robert Blines</w:t>
      </w:r>
    </w:p>
    <w:p w14:paraId="0B604D02" w14:textId="77777777" w:rsidR="003F4055" w:rsidRDefault="0074664F" w:rsidP="00DE0A1B">
      <w:pPr>
        <w:pStyle w:val="ListNumber"/>
        <w:rPr>
          <w:lang w:eastAsia="ja-JP"/>
        </w:rPr>
      </w:pPr>
      <w:r>
        <w:rPr>
          <w:lang w:eastAsia="ja-JP"/>
        </w:rPr>
        <w:t>Rod Watt</w:t>
      </w:r>
    </w:p>
    <w:p w14:paraId="0876FA8E" w14:textId="77777777" w:rsidR="003F4055" w:rsidRDefault="0074664F" w:rsidP="00DE0A1B">
      <w:pPr>
        <w:pStyle w:val="ListNumber"/>
        <w:rPr>
          <w:lang w:eastAsia="ja-JP"/>
        </w:rPr>
      </w:pPr>
      <w:r>
        <w:rPr>
          <w:lang w:eastAsia="ja-JP"/>
        </w:rPr>
        <w:t>Ronald Berryman</w:t>
      </w:r>
    </w:p>
    <w:p w14:paraId="5776CF3C" w14:textId="77777777" w:rsidR="003F4055" w:rsidRDefault="0074664F" w:rsidP="00DE0A1B">
      <w:pPr>
        <w:pStyle w:val="ListNumber"/>
        <w:rPr>
          <w:lang w:eastAsia="ja-JP"/>
        </w:rPr>
      </w:pPr>
      <w:r>
        <w:rPr>
          <w:lang w:eastAsia="ja-JP"/>
        </w:rPr>
        <w:t>Sarah Menkens</w:t>
      </w:r>
    </w:p>
    <w:p w14:paraId="03F90CBD" w14:textId="77777777" w:rsidR="003F4055" w:rsidRDefault="0074664F" w:rsidP="00DE0A1B">
      <w:pPr>
        <w:pStyle w:val="ListNumber"/>
        <w:rPr>
          <w:lang w:eastAsia="ja-JP"/>
        </w:rPr>
      </w:pPr>
      <w:r>
        <w:rPr>
          <w:lang w:eastAsia="ja-JP"/>
        </w:rPr>
        <w:t>Shaun Betteridge</w:t>
      </w:r>
    </w:p>
    <w:p w14:paraId="046A5D45" w14:textId="77777777" w:rsidR="003F4055" w:rsidRDefault="0074664F" w:rsidP="00DE0A1B">
      <w:pPr>
        <w:pStyle w:val="ListNumber"/>
        <w:rPr>
          <w:lang w:eastAsia="ja-JP"/>
        </w:rPr>
      </w:pPr>
      <w:proofErr w:type="spellStart"/>
      <w:r>
        <w:rPr>
          <w:lang w:eastAsia="ja-JP"/>
        </w:rPr>
        <w:t>Sibby</w:t>
      </w:r>
      <w:proofErr w:type="spellEnd"/>
      <w:r>
        <w:rPr>
          <w:lang w:eastAsia="ja-JP"/>
        </w:rPr>
        <w:t xml:space="preserve"> </w:t>
      </w:r>
      <w:proofErr w:type="spellStart"/>
      <w:r>
        <w:rPr>
          <w:lang w:eastAsia="ja-JP"/>
        </w:rPr>
        <w:t>Previtera</w:t>
      </w:r>
      <w:proofErr w:type="spellEnd"/>
    </w:p>
    <w:p w14:paraId="7F88D2CA" w14:textId="3546E396" w:rsidR="003F4055" w:rsidRDefault="0074664F" w:rsidP="00DE0A1B">
      <w:pPr>
        <w:pStyle w:val="ListNumber"/>
        <w:rPr>
          <w:lang w:eastAsia="ja-JP"/>
        </w:rPr>
      </w:pPr>
      <w:r>
        <w:rPr>
          <w:lang w:eastAsia="ja-JP"/>
        </w:rPr>
        <w:t>Stephen and Mary Fry</w:t>
      </w:r>
    </w:p>
    <w:p w14:paraId="3F0B8E76" w14:textId="77777777" w:rsidR="003F4055" w:rsidRDefault="0074664F" w:rsidP="00DE0A1B">
      <w:pPr>
        <w:pStyle w:val="ListNumber"/>
        <w:rPr>
          <w:lang w:eastAsia="ja-JP"/>
        </w:rPr>
      </w:pPr>
      <w:r>
        <w:rPr>
          <w:lang w:eastAsia="ja-JP"/>
        </w:rPr>
        <w:t>Stephen Falco</w:t>
      </w:r>
    </w:p>
    <w:p w14:paraId="3965211B" w14:textId="77777777" w:rsidR="003F4055" w:rsidRDefault="0074664F" w:rsidP="00DE0A1B">
      <w:pPr>
        <w:pStyle w:val="ListNumber"/>
        <w:rPr>
          <w:lang w:eastAsia="ja-JP"/>
        </w:rPr>
      </w:pPr>
      <w:r>
        <w:rPr>
          <w:lang w:eastAsia="ja-JP"/>
        </w:rPr>
        <w:t xml:space="preserve">Stephen </w:t>
      </w:r>
      <w:proofErr w:type="spellStart"/>
      <w:r>
        <w:rPr>
          <w:lang w:eastAsia="ja-JP"/>
        </w:rPr>
        <w:t>Mckeering</w:t>
      </w:r>
      <w:proofErr w:type="spellEnd"/>
    </w:p>
    <w:p w14:paraId="77B3D349" w14:textId="77777777" w:rsidR="003F4055" w:rsidRDefault="0074664F" w:rsidP="00DE0A1B">
      <w:pPr>
        <w:pStyle w:val="ListNumber"/>
        <w:rPr>
          <w:lang w:eastAsia="ja-JP"/>
        </w:rPr>
      </w:pPr>
      <w:r>
        <w:rPr>
          <w:lang w:eastAsia="ja-JP"/>
        </w:rPr>
        <w:t>Stephen Poli</w:t>
      </w:r>
    </w:p>
    <w:p w14:paraId="48BD867D" w14:textId="77777777" w:rsidR="003F4055" w:rsidRDefault="0074664F" w:rsidP="00DE0A1B">
      <w:pPr>
        <w:pStyle w:val="ListNumber"/>
        <w:rPr>
          <w:lang w:eastAsia="ja-JP"/>
        </w:rPr>
      </w:pPr>
      <w:r>
        <w:rPr>
          <w:lang w:eastAsia="ja-JP"/>
        </w:rPr>
        <w:t>Tanya Baillie</w:t>
      </w:r>
    </w:p>
    <w:p w14:paraId="29DD43B3" w14:textId="77777777" w:rsidR="003F4055" w:rsidRDefault="0074664F" w:rsidP="00DE0A1B">
      <w:pPr>
        <w:pStyle w:val="ListNumber"/>
        <w:rPr>
          <w:lang w:eastAsia="ja-JP"/>
        </w:rPr>
      </w:pPr>
      <w:r>
        <w:rPr>
          <w:lang w:eastAsia="ja-JP"/>
        </w:rPr>
        <w:t>Thomas Callow</w:t>
      </w:r>
    </w:p>
    <w:p w14:paraId="287AFF26" w14:textId="77777777" w:rsidR="003F4055" w:rsidRDefault="0074664F" w:rsidP="00DE0A1B">
      <w:pPr>
        <w:pStyle w:val="ListNumber"/>
        <w:rPr>
          <w:lang w:eastAsia="ja-JP"/>
        </w:rPr>
      </w:pPr>
      <w:r>
        <w:rPr>
          <w:lang w:eastAsia="ja-JP"/>
        </w:rPr>
        <w:t xml:space="preserve">Warren </w:t>
      </w:r>
      <w:proofErr w:type="spellStart"/>
      <w:r>
        <w:rPr>
          <w:lang w:eastAsia="ja-JP"/>
        </w:rPr>
        <w:t>Caspanello</w:t>
      </w:r>
      <w:proofErr w:type="spellEnd"/>
    </w:p>
    <w:p w14:paraId="119B1579" w14:textId="77777777" w:rsidR="003F4055" w:rsidRDefault="0074664F" w:rsidP="00DE0A1B">
      <w:pPr>
        <w:pStyle w:val="ListNumber"/>
        <w:rPr>
          <w:lang w:eastAsia="ja-JP"/>
        </w:rPr>
      </w:pPr>
      <w:r>
        <w:rPr>
          <w:lang w:eastAsia="ja-JP"/>
        </w:rPr>
        <w:t>William Lucas</w:t>
      </w:r>
    </w:p>
    <w:p w14:paraId="05936D12" w14:textId="77777777" w:rsidR="003F4055" w:rsidRDefault="0074664F">
      <w:pPr>
        <w:pStyle w:val="Heading2"/>
        <w:numPr>
          <w:ilvl w:val="0"/>
          <w:numId w:val="0"/>
        </w:numPr>
        <w:ind w:left="709" w:hanging="709"/>
      </w:pPr>
      <w:bookmarkStart w:id="42" w:name="_Toc430782162"/>
      <w:bookmarkStart w:id="43" w:name="_Toc530149441"/>
      <w:r>
        <w:lastRenderedPageBreak/>
        <w:t>References</w:t>
      </w:r>
      <w:bookmarkEnd w:id="42"/>
      <w:bookmarkEnd w:id="43"/>
    </w:p>
    <w:p w14:paraId="109EACA1" w14:textId="2FA16647" w:rsidR="004B6740" w:rsidRDefault="004B6740">
      <w:pPr>
        <w:rPr>
          <w:lang w:eastAsia="ja-JP"/>
        </w:rPr>
      </w:pPr>
      <w:r>
        <w:rPr>
          <w:lang w:eastAsia="ja-JP"/>
        </w:rPr>
        <w:t xml:space="preserve">ABARES 2015, </w:t>
      </w:r>
      <w:hyperlink r:id="rId22" w:history="1">
        <w:r w:rsidRPr="003B7917">
          <w:rPr>
            <w:rStyle w:val="Hyperlink"/>
            <w:lang w:eastAsia="ja-JP"/>
          </w:rPr>
          <w:t>Australian sugarcane farm businesses</w:t>
        </w:r>
      </w:hyperlink>
      <w:r>
        <w:rPr>
          <w:lang w:eastAsia="ja-JP"/>
        </w:rPr>
        <w:t>, Australian Bureau of Agricultural and Resource Economics and Sciences, Canberra.</w:t>
      </w:r>
    </w:p>
    <w:p w14:paraId="0E7FCCB6" w14:textId="323D52A3" w:rsidR="003B7917" w:rsidRDefault="003B7917">
      <w:pPr>
        <w:rPr>
          <w:lang w:eastAsia="ja-JP"/>
        </w:rPr>
      </w:pPr>
      <w:r>
        <w:rPr>
          <w:lang w:eastAsia="ja-JP"/>
        </w:rPr>
        <w:t>ABARES 2017</w:t>
      </w:r>
      <w:r w:rsidR="005322DF">
        <w:rPr>
          <w:lang w:eastAsia="ja-JP"/>
        </w:rPr>
        <w:t>a</w:t>
      </w:r>
      <w:r>
        <w:rPr>
          <w:lang w:eastAsia="ja-JP"/>
        </w:rPr>
        <w:t xml:space="preserve">, </w:t>
      </w:r>
      <w:hyperlink r:id="rId23" w:history="1">
        <w:r w:rsidRPr="003B7917">
          <w:rPr>
            <w:rStyle w:val="Hyperlink"/>
            <w:lang w:eastAsia="ja-JP"/>
          </w:rPr>
          <w:t>Agricultural Commodity Statistics Dairy (MS Excel 0.2 MB)</w:t>
        </w:r>
      </w:hyperlink>
      <w:r>
        <w:rPr>
          <w:lang w:eastAsia="ja-JP"/>
        </w:rPr>
        <w:t>, Australian Bureau of Agricultural and Resource Economics and Sciences, Canberra, accessed 16 November 2018.</w:t>
      </w:r>
    </w:p>
    <w:p w14:paraId="57DD288C" w14:textId="759817CB" w:rsidR="003B7917" w:rsidRDefault="003B7917">
      <w:pPr>
        <w:rPr>
          <w:lang w:eastAsia="ja-JP"/>
        </w:rPr>
      </w:pPr>
      <w:r>
        <w:rPr>
          <w:lang w:eastAsia="ja-JP"/>
        </w:rPr>
        <w:t>ABARES 2017</w:t>
      </w:r>
      <w:r w:rsidR="005322DF">
        <w:rPr>
          <w:lang w:eastAsia="ja-JP"/>
        </w:rPr>
        <w:t>b</w:t>
      </w:r>
      <w:r>
        <w:rPr>
          <w:lang w:eastAsia="ja-JP"/>
        </w:rPr>
        <w:t xml:space="preserve">, </w:t>
      </w:r>
      <w:hyperlink r:id="rId24" w:history="1">
        <w:r w:rsidRPr="003B7917">
          <w:rPr>
            <w:rStyle w:val="Hyperlink"/>
            <w:lang w:eastAsia="ja-JP"/>
          </w:rPr>
          <w:t>Agricultural Commodity Statistics Sugar (MS Excel 0.1 MB)</w:t>
        </w:r>
      </w:hyperlink>
      <w:r>
        <w:rPr>
          <w:lang w:eastAsia="ja-JP"/>
        </w:rPr>
        <w:t>, Australian Bureau of Agricultural and Resource Economics and Sciences, Canberra, accessed 16 November 2018.</w:t>
      </w:r>
    </w:p>
    <w:p w14:paraId="03CC022A" w14:textId="77777777" w:rsidR="003F4055" w:rsidRDefault="0074664F">
      <w:pPr>
        <w:rPr>
          <w:lang w:eastAsia="ja-JP"/>
        </w:rPr>
      </w:pPr>
      <w:r>
        <w:rPr>
          <w:lang w:eastAsia="ja-JP"/>
        </w:rPr>
        <w:t xml:space="preserve">ABARES 2018, </w:t>
      </w:r>
      <w:hyperlink r:id="rId25" w:history="1">
        <w:r>
          <w:rPr>
            <w:rStyle w:val="Hyperlink"/>
            <w:lang w:eastAsia="ja-JP"/>
          </w:rPr>
          <w:t>Agricultural commodities: June quarter</w:t>
        </w:r>
      </w:hyperlink>
      <w:r>
        <w:rPr>
          <w:lang w:eastAsia="ja-JP"/>
        </w:rPr>
        <w:t>, Australian Bureau of Agricultural and Resource Economics and Sciences, Canberra.</w:t>
      </w:r>
    </w:p>
    <w:p w14:paraId="447BC8B1" w14:textId="77777777" w:rsidR="003F4055" w:rsidRDefault="0074664F">
      <w:pPr>
        <w:rPr>
          <w:lang w:eastAsia="ja-JP"/>
        </w:rPr>
      </w:pPr>
      <w:r>
        <w:rPr>
          <w:lang w:eastAsia="ja-JP"/>
        </w:rPr>
        <w:t xml:space="preserve">Australian Sugar Milling Council 2018, </w:t>
      </w:r>
      <w:hyperlink r:id="rId26" w:history="1">
        <w:r>
          <w:rPr>
            <w:rStyle w:val="Hyperlink"/>
            <w:lang w:eastAsia="ja-JP"/>
          </w:rPr>
          <w:t>Industry overview</w:t>
        </w:r>
      </w:hyperlink>
      <w:r>
        <w:rPr>
          <w:lang w:eastAsia="ja-JP"/>
        </w:rPr>
        <w:t>, Brisbane, accessed 2 October 2018.</w:t>
      </w:r>
    </w:p>
    <w:p w14:paraId="5BCF1A6C" w14:textId="3B1115A2" w:rsidR="003F4055" w:rsidRDefault="0074664F">
      <w:pPr>
        <w:rPr>
          <w:lang w:eastAsia="ja-JP"/>
        </w:rPr>
      </w:pPr>
      <w:proofErr w:type="spellStart"/>
      <w:r w:rsidRPr="00832AAD">
        <w:rPr>
          <w:lang w:eastAsia="ja-JP"/>
        </w:rPr>
        <w:t>Borrell</w:t>
      </w:r>
      <w:proofErr w:type="spellEnd"/>
      <w:r w:rsidRPr="00832AAD">
        <w:rPr>
          <w:lang w:eastAsia="ja-JP"/>
        </w:rPr>
        <w:t xml:space="preserve">, B &amp; Wong, G, </w:t>
      </w:r>
      <w:r w:rsidRPr="00832AAD">
        <w:rPr>
          <w:i/>
          <w:lang w:eastAsia="ja-JP"/>
        </w:rPr>
        <w:t xml:space="preserve">Efficiency of Transport, Milling and </w:t>
      </w:r>
      <w:r w:rsidR="005B4CE3" w:rsidRPr="00832AAD">
        <w:rPr>
          <w:i/>
          <w:lang w:eastAsia="ja-JP"/>
        </w:rPr>
        <w:t>Handling in the Sugar Industry</w:t>
      </w:r>
      <w:r w:rsidR="005B4CE3" w:rsidRPr="00832AAD">
        <w:rPr>
          <w:lang w:eastAsia="ja-JP"/>
        </w:rPr>
        <w:t>, Canberra.</w:t>
      </w:r>
    </w:p>
    <w:p w14:paraId="33357F32" w14:textId="120C2701" w:rsidR="003F4055" w:rsidRDefault="0074664F">
      <w:pPr>
        <w:rPr>
          <w:lang w:eastAsia="ja-JP"/>
        </w:rPr>
      </w:pPr>
      <w:r>
        <w:rPr>
          <w:lang w:eastAsia="ja-JP"/>
        </w:rPr>
        <w:t xml:space="preserve">CANEGROWERS 2018a, </w:t>
      </w:r>
      <w:hyperlink r:id="rId27" w:history="1">
        <w:r w:rsidRPr="00A62219">
          <w:rPr>
            <w:rStyle w:val="Hyperlink"/>
            <w:lang w:eastAsia="ja-JP"/>
          </w:rPr>
          <w:t>Queensland state election position statement: electricity</w:t>
        </w:r>
      </w:hyperlink>
      <w:r>
        <w:rPr>
          <w:lang w:eastAsia="ja-JP"/>
        </w:rPr>
        <w:t>, Queensland Cane Growers Organisation, Brisbane.</w:t>
      </w:r>
    </w:p>
    <w:p w14:paraId="265D7277" w14:textId="5968F59A" w:rsidR="003F4055" w:rsidRDefault="0074664F">
      <w:pPr>
        <w:rPr>
          <w:lang w:eastAsia="ja-JP"/>
        </w:rPr>
      </w:pPr>
      <w:r>
        <w:rPr>
          <w:lang w:eastAsia="ja-JP"/>
        </w:rPr>
        <w:t xml:space="preserve">CANEGROWERS 2018b, </w:t>
      </w:r>
      <w:hyperlink r:id="rId28" w:history="1">
        <w:r w:rsidRPr="00A62219">
          <w:rPr>
            <w:rStyle w:val="Hyperlink"/>
            <w:lang w:eastAsia="ja-JP"/>
          </w:rPr>
          <w:t>Position statement: water, Queensland Cane Growers Organisation</w:t>
        </w:r>
      </w:hyperlink>
      <w:r>
        <w:rPr>
          <w:lang w:eastAsia="ja-JP"/>
        </w:rPr>
        <w:t>, Brisbane.</w:t>
      </w:r>
    </w:p>
    <w:p w14:paraId="69FCF5C7" w14:textId="77777777" w:rsidR="003F4055" w:rsidRDefault="0074664F">
      <w:pPr>
        <w:rPr>
          <w:lang w:eastAsia="ja-JP"/>
        </w:rPr>
      </w:pPr>
      <w:r>
        <w:rPr>
          <w:lang w:eastAsia="ja-JP"/>
        </w:rPr>
        <w:t xml:space="preserve">Centre for International Economics 2005, </w:t>
      </w:r>
      <w:r w:rsidRPr="00832AAD">
        <w:rPr>
          <w:i/>
          <w:lang w:eastAsia="ja-JP"/>
        </w:rPr>
        <w:t>Unshackling Queensland sugar</w:t>
      </w:r>
      <w:r>
        <w:rPr>
          <w:lang w:eastAsia="ja-JP"/>
        </w:rPr>
        <w:t>, Canberra.</w:t>
      </w:r>
    </w:p>
    <w:p w14:paraId="13F0B382" w14:textId="66D5CC1E" w:rsidR="003F4055" w:rsidRDefault="0074664F">
      <w:pPr>
        <w:rPr>
          <w:lang w:eastAsia="ja-JP"/>
        </w:rPr>
      </w:pPr>
      <w:r>
        <w:rPr>
          <w:lang w:eastAsia="ja-JP"/>
        </w:rPr>
        <w:t xml:space="preserve">Department of Agriculture and Water Resources 2018, </w:t>
      </w:r>
      <w:hyperlink r:id="rId29" w:history="1">
        <w:r>
          <w:rPr>
            <w:rStyle w:val="Hyperlink"/>
            <w:lang w:eastAsia="ja-JP"/>
          </w:rPr>
          <w:t>Sugar code of conduct review</w:t>
        </w:r>
      </w:hyperlink>
      <w:r>
        <w:rPr>
          <w:lang w:eastAsia="ja-JP"/>
        </w:rPr>
        <w:t>, Have Your Say, Canberra.</w:t>
      </w:r>
    </w:p>
    <w:p w14:paraId="1F856F5F" w14:textId="77777777" w:rsidR="0069431A" w:rsidRDefault="0069431A" w:rsidP="0069431A">
      <w:pPr>
        <w:rPr>
          <w:lang w:eastAsia="ja-JP"/>
        </w:rPr>
      </w:pPr>
      <w:r>
        <w:rPr>
          <w:lang w:eastAsia="ja-JP"/>
        </w:rPr>
        <w:t xml:space="preserve">Department of Prime Minister and Cabinet, Office of Best Practice Regulation 2016, </w:t>
      </w:r>
      <w:hyperlink r:id="rId30" w:history="1">
        <w:r w:rsidRPr="0069431A">
          <w:rPr>
            <w:rStyle w:val="Hyperlink"/>
            <w:lang w:eastAsia="ja-JP"/>
          </w:rPr>
          <w:t>Post-implementation review Guidance Note</w:t>
        </w:r>
      </w:hyperlink>
      <w:r>
        <w:rPr>
          <w:lang w:eastAsia="ja-JP"/>
        </w:rPr>
        <w:t>, Canberra.</w:t>
      </w:r>
    </w:p>
    <w:p w14:paraId="37E7EAC0" w14:textId="77777777" w:rsidR="0069431A" w:rsidRDefault="0069431A" w:rsidP="0069431A">
      <w:pPr>
        <w:rPr>
          <w:lang w:eastAsia="ja-JP"/>
        </w:rPr>
      </w:pPr>
      <w:proofErr w:type="spellStart"/>
      <w:r>
        <w:rPr>
          <w:lang w:eastAsia="ja-JP"/>
        </w:rPr>
        <w:t>Gropp</w:t>
      </w:r>
      <w:proofErr w:type="spellEnd"/>
      <w:r>
        <w:rPr>
          <w:lang w:eastAsia="ja-JP"/>
        </w:rPr>
        <w:t xml:space="preserve">, L, Hallam, T &amp; </w:t>
      </w:r>
      <w:proofErr w:type="spellStart"/>
      <w:r>
        <w:rPr>
          <w:lang w:eastAsia="ja-JP"/>
        </w:rPr>
        <w:t>Manion</w:t>
      </w:r>
      <w:proofErr w:type="spellEnd"/>
      <w:r>
        <w:rPr>
          <w:lang w:eastAsia="ja-JP"/>
        </w:rPr>
        <w:t xml:space="preserve">, V 2000, </w:t>
      </w:r>
      <w:hyperlink r:id="rId31" w:history="1">
        <w:r>
          <w:rPr>
            <w:rStyle w:val="Hyperlink"/>
            <w:lang w:eastAsia="ja-JP"/>
          </w:rPr>
          <w:t>Single-desk marketing: assessing the economic arguments</w:t>
        </w:r>
      </w:hyperlink>
      <w:r>
        <w:rPr>
          <w:lang w:eastAsia="ja-JP"/>
        </w:rPr>
        <w:t>, Productivity Commission, Melbourne.</w:t>
      </w:r>
    </w:p>
    <w:p w14:paraId="14233974" w14:textId="11561C96" w:rsidR="003F4055" w:rsidRDefault="0074664F">
      <w:pPr>
        <w:rPr>
          <w:lang w:eastAsia="ja-JP"/>
        </w:rPr>
      </w:pPr>
      <w:r>
        <w:rPr>
          <w:lang w:eastAsia="ja-JP"/>
        </w:rPr>
        <w:t xml:space="preserve">Hildebrand, C 2002, </w:t>
      </w:r>
      <w:r w:rsidRPr="00832AAD">
        <w:rPr>
          <w:i/>
          <w:lang w:eastAsia="ja-JP"/>
        </w:rPr>
        <w:t>Independent assessment of the sugar industry</w:t>
      </w:r>
      <w:r>
        <w:rPr>
          <w:lang w:eastAsia="ja-JP"/>
        </w:rPr>
        <w:t>, Department of Agriculture, Fisheries and Forestry, Canberra.</w:t>
      </w:r>
    </w:p>
    <w:p w14:paraId="265FC599" w14:textId="27353EDD" w:rsidR="003F4055" w:rsidRDefault="00975D5F">
      <w:pPr>
        <w:rPr>
          <w:lang w:eastAsia="ja-JP"/>
        </w:rPr>
      </w:pPr>
      <w:r>
        <w:rPr>
          <w:lang w:eastAsia="ja-JP"/>
        </w:rPr>
        <w:t>Industries</w:t>
      </w:r>
      <w:r w:rsidR="0074664F">
        <w:rPr>
          <w:lang w:eastAsia="ja-JP"/>
        </w:rPr>
        <w:t xml:space="preserve"> Assistance Commission 1983, </w:t>
      </w:r>
      <w:r w:rsidR="0074664F" w:rsidRPr="00975D5F">
        <w:rPr>
          <w:i/>
          <w:lang w:eastAsia="ja-JP"/>
        </w:rPr>
        <w:t>the Sugar Industry – Interim Report</w:t>
      </w:r>
      <w:r w:rsidR="0074664F">
        <w:rPr>
          <w:lang w:eastAsia="ja-JP"/>
        </w:rPr>
        <w:t>,</w:t>
      </w:r>
      <w:r>
        <w:rPr>
          <w:lang w:eastAsia="ja-JP"/>
        </w:rPr>
        <w:t xml:space="preserve"> Canberra.</w:t>
      </w:r>
    </w:p>
    <w:p w14:paraId="432C49BC" w14:textId="77777777" w:rsidR="003F4055" w:rsidRDefault="0074664F">
      <w:pPr>
        <w:rPr>
          <w:lang w:eastAsia="ja-JP"/>
        </w:rPr>
      </w:pPr>
      <w:r>
        <w:rPr>
          <w:lang w:eastAsia="ja-JP"/>
        </w:rPr>
        <w:t xml:space="preserve">Industry Commission 1992, </w:t>
      </w:r>
      <w:hyperlink r:id="rId32" w:history="1">
        <w:r>
          <w:rPr>
            <w:rStyle w:val="Hyperlink"/>
            <w:lang w:eastAsia="ja-JP"/>
          </w:rPr>
          <w:t>The Australian sugar industry</w:t>
        </w:r>
      </w:hyperlink>
      <w:r>
        <w:rPr>
          <w:lang w:eastAsia="ja-JP"/>
        </w:rPr>
        <w:t>, March, Canberra.</w:t>
      </w:r>
    </w:p>
    <w:p w14:paraId="15159242" w14:textId="77777777" w:rsidR="003F4055" w:rsidRDefault="0074664F">
      <w:pPr>
        <w:rPr>
          <w:lang w:eastAsia="ja-JP"/>
        </w:rPr>
      </w:pPr>
      <w:r>
        <w:rPr>
          <w:lang w:eastAsia="ja-JP"/>
        </w:rPr>
        <w:t xml:space="preserve">Industry Commission 1991, </w:t>
      </w:r>
      <w:hyperlink r:id="rId33" w:history="1">
        <w:proofErr w:type="gramStart"/>
        <w:r>
          <w:rPr>
            <w:rStyle w:val="Hyperlink"/>
            <w:lang w:eastAsia="ja-JP"/>
          </w:rPr>
          <w:t>Statutory</w:t>
        </w:r>
        <w:proofErr w:type="gramEnd"/>
        <w:r>
          <w:rPr>
            <w:rStyle w:val="Hyperlink"/>
            <w:lang w:eastAsia="ja-JP"/>
          </w:rPr>
          <w:t xml:space="preserve"> marketing arrangements for primary products</w:t>
        </w:r>
      </w:hyperlink>
      <w:r>
        <w:rPr>
          <w:lang w:eastAsia="ja-JP"/>
        </w:rPr>
        <w:t>, March, Canberra.</w:t>
      </w:r>
    </w:p>
    <w:p w14:paraId="1F770E8D" w14:textId="77777777" w:rsidR="003F4055" w:rsidRDefault="0074664F">
      <w:pPr>
        <w:rPr>
          <w:lang w:eastAsia="ja-JP"/>
        </w:rPr>
      </w:pPr>
      <w:r>
        <w:rPr>
          <w:lang w:eastAsia="ja-JP"/>
        </w:rPr>
        <w:t xml:space="preserve">National Competition Council 2000, </w:t>
      </w:r>
      <w:hyperlink r:id="rId34" w:history="1">
        <w:proofErr w:type="gramStart"/>
        <w:r>
          <w:rPr>
            <w:rStyle w:val="Hyperlink"/>
            <w:lang w:eastAsia="ja-JP"/>
          </w:rPr>
          <w:t>Securing</w:t>
        </w:r>
        <w:proofErr w:type="gramEnd"/>
        <w:r>
          <w:rPr>
            <w:rStyle w:val="Hyperlink"/>
            <w:lang w:eastAsia="ja-JP"/>
          </w:rPr>
          <w:t xml:space="preserve"> the future of Australian agriculture: sugar</w:t>
        </w:r>
      </w:hyperlink>
      <w:r>
        <w:rPr>
          <w:lang w:eastAsia="ja-JP"/>
        </w:rPr>
        <w:t>, Melbourne.</w:t>
      </w:r>
    </w:p>
    <w:p w14:paraId="1D93CA99" w14:textId="27E92253" w:rsidR="004B6740" w:rsidRDefault="004B6740">
      <w:pPr>
        <w:rPr>
          <w:lang w:eastAsia="ja-JP"/>
        </w:rPr>
      </w:pPr>
      <w:r>
        <w:rPr>
          <w:lang w:eastAsia="ja-JP"/>
        </w:rPr>
        <w:t xml:space="preserve">Parliament of Australia, </w:t>
      </w:r>
      <w:hyperlink r:id="rId35" w:history="1">
        <w:r w:rsidRPr="004B6740">
          <w:rPr>
            <w:rStyle w:val="Hyperlink"/>
            <w:lang w:eastAsia="ja-JP"/>
          </w:rPr>
          <w:t>Industry, Science and Technology</w:t>
        </w:r>
      </w:hyperlink>
      <w:r>
        <w:rPr>
          <w:lang w:eastAsia="ja-JP"/>
        </w:rPr>
        <w:t>, Canberra, accessed 2 October 2018.</w:t>
      </w:r>
    </w:p>
    <w:p w14:paraId="15DC5D57" w14:textId="77777777" w:rsidR="003F4055" w:rsidRDefault="0074664F">
      <w:pPr>
        <w:rPr>
          <w:lang w:eastAsia="ja-JP"/>
        </w:rPr>
      </w:pPr>
      <w:r>
        <w:rPr>
          <w:lang w:eastAsia="ja-JP"/>
        </w:rPr>
        <w:t xml:space="preserve">Productivity Commission 2016, </w:t>
      </w:r>
      <w:hyperlink r:id="rId36" w:history="1">
        <w:r>
          <w:rPr>
            <w:rStyle w:val="Hyperlink"/>
            <w:lang w:eastAsia="ja-JP"/>
          </w:rPr>
          <w:t>Regulation of Australian agriculture</w:t>
        </w:r>
      </w:hyperlink>
      <w:r>
        <w:rPr>
          <w:lang w:eastAsia="ja-JP"/>
        </w:rPr>
        <w:t>, report no. 79, Canberra.</w:t>
      </w:r>
    </w:p>
    <w:p w14:paraId="41F58FF9" w14:textId="77777777" w:rsidR="003F4055" w:rsidRDefault="0074664F">
      <w:pPr>
        <w:rPr>
          <w:lang w:eastAsia="ja-JP"/>
        </w:rPr>
      </w:pPr>
      <w:r>
        <w:rPr>
          <w:lang w:eastAsia="ja-JP"/>
        </w:rPr>
        <w:lastRenderedPageBreak/>
        <w:t xml:space="preserve">Queensland Government 2017, </w:t>
      </w:r>
      <w:hyperlink r:id="rId37" w:history="1">
        <w:proofErr w:type="gramStart"/>
        <w:r>
          <w:rPr>
            <w:rStyle w:val="Hyperlink"/>
            <w:lang w:eastAsia="ja-JP"/>
          </w:rPr>
          <w:t>Existing</w:t>
        </w:r>
        <w:proofErr w:type="gramEnd"/>
        <w:r>
          <w:rPr>
            <w:rStyle w:val="Hyperlink"/>
            <w:lang w:eastAsia="ja-JP"/>
          </w:rPr>
          <w:t xml:space="preserve"> reef protection regulations: impacts of nutrient and pesticide run-off from cane farming</w:t>
        </w:r>
      </w:hyperlink>
      <w:r>
        <w:rPr>
          <w:lang w:eastAsia="ja-JP"/>
        </w:rPr>
        <w:t>, Brisbane, accessed 10 October 2018.</w:t>
      </w:r>
    </w:p>
    <w:p w14:paraId="04A1143C" w14:textId="77777777" w:rsidR="003F4055" w:rsidRDefault="0074664F">
      <w:pPr>
        <w:rPr>
          <w:lang w:eastAsia="ja-JP"/>
        </w:rPr>
      </w:pPr>
      <w:r>
        <w:t xml:space="preserve">Queensland Productivity Commission 2015, </w:t>
      </w:r>
      <w:hyperlink r:id="rId38" w:history="1">
        <w:r>
          <w:rPr>
            <w:rStyle w:val="Hyperlink"/>
          </w:rPr>
          <w:t>Sugar Industry (Real Choice in Marketing) Amendment Bill 2015: decision regulatory impact statement</w:t>
        </w:r>
      </w:hyperlink>
      <w:r>
        <w:t>, Brisbane.</w:t>
      </w:r>
    </w:p>
    <w:p w14:paraId="3291EDEE" w14:textId="77777777" w:rsidR="003F4055" w:rsidRDefault="0074664F">
      <w:pPr>
        <w:rPr>
          <w:lang w:eastAsia="ja-JP"/>
        </w:rPr>
      </w:pPr>
      <w:r>
        <w:rPr>
          <w:lang w:eastAsia="ja-JP"/>
        </w:rPr>
        <w:t xml:space="preserve">Queensland sugar industry and Queensland Government 2005, </w:t>
      </w:r>
      <w:hyperlink r:id="rId39" w:history="1">
        <w:r>
          <w:rPr>
            <w:rStyle w:val="Hyperlink"/>
            <w:lang w:eastAsia="ja-JP"/>
          </w:rPr>
          <w:t>Memorandum of understanding between the Queensland sugar industry and the Queensland Government (pdf 34.4kb)</w:t>
        </w:r>
      </w:hyperlink>
      <w:r>
        <w:rPr>
          <w:lang w:eastAsia="ja-JP"/>
        </w:rPr>
        <w:t>, Brisbane.</w:t>
      </w:r>
    </w:p>
    <w:p w14:paraId="23619CC7" w14:textId="49C9AC30" w:rsidR="003F4055" w:rsidRDefault="0074664F">
      <w:pPr>
        <w:rPr>
          <w:lang w:eastAsia="ja-JP"/>
        </w:rPr>
      </w:pPr>
      <w:r>
        <w:rPr>
          <w:lang w:eastAsia="ja-JP"/>
        </w:rPr>
        <w:t xml:space="preserve">Queensland University of Technology </w:t>
      </w:r>
      <w:r w:rsidR="00A8327F">
        <w:rPr>
          <w:lang w:eastAsia="ja-JP"/>
        </w:rPr>
        <w:t xml:space="preserve">2018, </w:t>
      </w:r>
      <w:hyperlink r:id="rId40" w:history="1">
        <w:r w:rsidR="00A8327F" w:rsidRPr="00A30DE9">
          <w:rPr>
            <w:rStyle w:val="Hyperlink"/>
            <w:lang w:eastAsia="ja-JP"/>
          </w:rPr>
          <w:t xml:space="preserve">Biofuels to </w:t>
        </w:r>
        <w:proofErr w:type="spellStart"/>
        <w:r w:rsidR="00A8327F" w:rsidRPr="00A30DE9">
          <w:rPr>
            <w:rStyle w:val="Hyperlink"/>
            <w:lang w:eastAsia="ja-JP"/>
          </w:rPr>
          <w:t>bioproducts</w:t>
        </w:r>
        <w:proofErr w:type="spellEnd"/>
        <w:r w:rsidR="00A8327F" w:rsidRPr="00A30DE9">
          <w:rPr>
            <w:rStyle w:val="Hyperlink"/>
            <w:lang w:eastAsia="ja-JP"/>
          </w:rPr>
          <w:t>: a growth industry for Australia</w:t>
        </w:r>
      </w:hyperlink>
      <w:r w:rsidR="00A8327F">
        <w:rPr>
          <w:lang w:eastAsia="ja-JP"/>
        </w:rPr>
        <w:t>, Brisbane.</w:t>
      </w:r>
    </w:p>
    <w:p w14:paraId="72C8458C" w14:textId="302ECEE0" w:rsidR="003F4055" w:rsidRDefault="0074664F">
      <w:pPr>
        <w:rPr>
          <w:lang w:eastAsia="ja-JP"/>
        </w:rPr>
      </w:pPr>
      <w:r>
        <w:rPr>
          <w:lang w:eastAsia="ja-JP"/>
        </w:rPr>
        <w:t xml:space="preserve">Ryan, S 2014, ‘General Manager’s comment’, </w:t>
      </w:r>
      <w:hyperlink r:id="rId41" w:history="1">
        <w:r w:rsidRPr="00A30DE9">
          <w:rPr>
            <w:rStyle w:val="Hyperlink"/>
            <w:lang w:eastAsia="ja-JP"/>
          </w:rPr>
          <w:t>The Australian Cane Farmer</w:t>
        </w:r>
      </w:hyperlink>
      <w:r>
        <w:rPr>
          <w:lang w:eastAsia="ja-JP"/>
        </w:rPr>
        <w:t>, July, p. 3.</w:t>
      </w:r>
    </w:p>
    <w:p w14:paraId="0821021A" w14:textId="77777777" w:rsidR="003F4055" w:rsidRDefault="0074664F">
      <w:pPr>
        <w:rPr>
          <w:lang w:eastAsia="ja-JP"/>
        </w:rPr>
      </w:pPr>
      <w:r>
        <w:rPr>
          <w:lang w:eastAsia="ja-JP"/>
        </w:rPr>
        <w:t xml:space="preserve">Senate Rural and Regional Affairs and Transport References Committee 2015, </w:t>
      </w:r>
      <w:hyperlink r:id="rId42" w:history="1">
        <w:r>
          <w:rPr>
            <w:rStyle w:val="Hyperlink"/>
            <w:lang w:eastAsia="ja-JP"/>
          </w:rPr>
          <w:t>Current and future arrangements for the marketing of Australian sugar</w:t>
        </w:r>
      </w:hyperlink>
      <w:r>
        <w:rPr>
          <w:lang w:eastAsia="ja-JP"/>
        </w:rPr>
        <w:t>, Canberra, June.</w:t>
      </w:r>
    </w:p>
    <w:p w14:paraId="755A44D5" w14:textId="5C99274E" w:rsidR="003F4055" w:rsidRDefault="0074664F">
      <w:pPr>
        <w:rPr>
          <w:lang w:eastAsia="ja-JP"/>
        </w:rPr>
      </w:pPr>
      <w:r w:rsidRPr="00962B87">
        <w:rPr>
          <w:lang w:eastAsia="ja-JP"/>
        </w:rPr>
        <w:t xml:space="preserve">State of Queensland 1999, </w:t>
      </w:r>
      <w:hyperlink r:id="rId43" w:history="1">
        <w:r w:rsidRPr="00962B87">
          <w:rPr>
            <w:rStyle w:val="Hyperlink"/>
            <w:lang w:eastAsia="ja-JP"/>
          </w:rPr>
          <w:t>Sugar Industry Bill 1999, Explanatory notes</w:t>
        </w:r>
      </w:hyperlink>
      <w:r w:rsidRPr="00962B87">
        <w:rPr>
          <w:lang w:eastAsia="ja-JP"/>
        </w:rPr>
        <w:t>, Brisbane.</w:t>
      </w:r>
    </w:p>
    <w:p w14:paraId="230F91B9" w14:textId="77777777" w:rsidR="003F4055" w:rsidRDefault="0074664F">
      <w:pPr>
        <w:rPr>
          <w:lang w:eastAsia="ja-JP"/>
        </w:rPr>
      </w:pPr>
      <w:r w:rsidRPr="00962B87">
        <w:rPr>
          <w:lang w:eastAsia="ja-JP"/>
        </w:rPr>
        <w:t>State of Queensland 2004,</w:t>
      </w:r>
      <w:r>
        <w:rPr>
          <w:lang w:eastAsia="ja-JP"/>
        </w:rPr>
        <w:t xml:space="preserve"> </w:t>
      </w:r>
      <w:hyperlink r:id="rId44" w:history="1">
        <w:r>
          <w:rPr>
            <w:rStyle w:val="Hyperlink"/>
            <w:lang w:eastAsia="ja-JP"/>
          </w:rPr>
          <w:t>Sugar Industry Reform Bill 2004, Explanatory notes</w:t>
        </w:r>
      </w:hyperlink>
      <w:r>
        <w:rPr>
          <w:lang w:eastAsia="ja-JP"/>
        </w:rPr>
        <w:t>, Brisbane.</w:t>
      </w:r>
    </w:p>
    <w:p w14:paraId="117B5F24" w14:textId="52565076" w:rsidR="00A62219" w:rsidRDefault="00A62219">
      <w:pPr>
        <w:rPr>
          <w:lang w:eastAsia="ja-JP"/>
        </w:rPr>
      </w:pPr>
      <w:r>
        <w:rPr>
          <w:lang w:eastAsia="ja-JP"/>
        </w:rPr>
        <w:t xml:space="preserve">Sugar Industry Review Working Party 1996, </w:t>
      </w:r>
      <w:r w:rsidRPr="00A62219">
        <w:rPr>
          <w:i/>
          <w:lang w:eastAsia="ja-JP"/>
        </w:rPr>
        <w:t>Sugar winning globally</w:t>
      </w:r>
      <w:r>
        <w:rPr>
          <w:lang w:eastAsia="ja-JP"/>
        </w:rPr>
        <w:t xml:space="preserve">, </w:t>
      </w:r>
      <w:proofErr w:type="gramStart"/>
      <w:r>
        <w:rPr>
          <w:lang w:eastAsia="ja-JP"/>
        </w:rPr>
        <w:t>Brisbane</w:t>
      </w:r>
      <w:proofErr w:type="gramEnd"/>
      <w:r>
        <w:rPr>
          <w:lang w:eastAsia="ja-JP"/>
        </w:rPr>
        <w:t>.</w:t>
      </w:r>
    </w:p>
    <w:p w14:paraId="275620E1" w14:textId="77777777" w:rsidR="003F4055" w:rsidRDefault="0074664F">
      <w:pPr>
        <w:rPr>
          <w:lang w:eastAsia="ja-JP"/>
        </w:rPr>
      </w:pPr>
      <w:r>
        <w:rPr>
          <w:lang w:eastAsia="ja-JP"/>
        </w:rPr>
        <w:t xml:space="preserve">Williams, J 2003, </w:t>
      </w:r>
      <w:r w:rsidRPr="00832AAD">
        <w:rPr>
          <w:i/>
          <w:lang w:eastAsia="ja-JP"/>
        </w:rPr>
        <w:t>Overview of Australian sugar marketing under full deregulation in Queensland</w:t>
      </w:r>
      <w:r>
        <w:rPr>
          <w:lang w:eastAsia="ja-JP"/>
        </w:rPr>
        <w:t xml:space="preserve">, Agribusiness Financial Management, </w:t>
      </w:r>
      <w:proofErr w:type="gramStart"/>
      <w:r>
        <w:rPr>
          <w:lang w:eastAsia="ja-JP"/>
        </w:rPr>
        <w:t>Melbourne</w:t>
      </w:r>
      <w:proofErr w:type="gramEnd"/>
      <w:r>
        <w:rPr>
          <w:lang w:eastAsia="ja-JP"/>
        </w:rPr>
        <w:t>.</w:t>
      </w:r>
    </w:p>
    <w:sectPr w:rsidR="003F4055">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4C734" w14:textId="77777777" w:rsidR="00962B87" w:rsidRDefault="00962B87">
      <w:r>
        <w:separator/>
      </w:r>
    </w:p>
    <w:p w14:paraId="24CAC001" w14:textId="77777777" w:rsidR="00962B87" w:rsidRDefault="00962B87"/>
    <w:p w14:paraId="11349CFD" w14:textId="77777777" w:rsidR="00962B87" w:rsidRDefault="00962B87"/>
  </w:endnote>
  <w:endnote w:type="continuationSeparator" w:id="0">
    <w:p w14:paraId="3FAB7117" w14:textId="77777777" w:rsidR="00962B87" w:rsidRDefault="00962B87">
      <w:r>
        <w:continuationSeparator/>
      </w:r>
    </w:p>
    <w:p w14:paraId="2F1E5D51" w14:textId="77777777" w:rsidR="00962B87" w:rsidRDefault="00962B87"/>
    <w:p w14:paraId="3AEEBDB9" w14:textId="77777777" w:rsidR="00962B87" w:rsidRDefault="00962B87"/>
  </w:endnote>
  <w:endnote w:type="continuationNotice" w:id="1">
    <w:p w14:paraId="090F44BC" w14:textId="77777777" w:rsidR="00962B87" w:rsidRDefault="00962B87">
      <w:pPr>
        <w:pStyle w:val="Footer"/>
      </w:pPr>
    </w:p>
    <w:p w14:paraId="29CC83E4" w14:textId="77777777" w:rsidR="00962B87" w:rsidRDefault="00962B87"/>
    <w:p w14:paraId="25EC8005" w14:textId="77777777" w:rsidR="00962B87" w:rsidRDefault="00962B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AC326" w14:textId="77777777" w:rsidR="00962B87" w:rsidRDefault="00962B87">
    <w:pPr>
      <w:pStyle w:val="Footer"/>
    </w:pPr>
    <w:r>
      <w:t>Department of Agriculture and Water Resources</w:t>
    </w:r>
  </w:p>
  <w:p w14:paraId="198D35FD" w14:textId="77777777" w:rsidR="00962B87" w:rsidRDefault="00962B87">
    <w:pPr>
      <w:pStyle w:val="Footer"/>
    </w:pPr>
    <w:r>
      <w:fldChar w:fldCharType="begin"/>
    </w:r>
    <w:r>
      <w:instrText xml:space="preserve"> PAGE   \* MERGEFORMAT </w:instrText>
    </w:r>
    <w:r>
      <w:fldChar w:fldCharType="separate"/>
    </w:r>
    <w:r w:rsidR="002314DF">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249F5A" w14:textId="77777777" w:rsidR="00962B87" w:rsidRDefault="00962B87">
      <w:r>
        <w:separator/>
      </w:r>
    </w:p>
    <w:p w14:paraId="1D021B7C" w14:textId="77777777" w:rsidR="00962B87" w:rsidRDefault="00962B87"/>
    <w:p w14:paraId="74E52B13" w14:textId="77777777" w:rsidR="00962B87" w:rsidRDefault="00962B87"/>
  </w:footnote>
  <w:footnote w:type="continuationSeparator" w:id="0">
    <w:p w14:paraId="58D5E89F" w14:textId="77777777" w:rsidR="00962B87" w:rsidRDefault="00962B87">
      <w:r>
        <w:continuationSeparator/>
      </w:r>
    </w:p>
    <w:p w14:paraId="214A0603" w14:textId="77777777" w:rsidR="00962B87" w:rsidRDefault="00962B87"/>
    <w:p w14:paraId="2FD56A4C" w14:textId="77777777" w:rsidR="00962B87" w:rsidRDefault="00962B87"/>
  </w:footnote>
  <w:footnote w:type="continuationNotice" w:id="1">
    <w:p w14:paraId="3CB5F404" w14:textId="77777777" w:rsidR="00962B87" w:rsidRDefault="00962B87">
      <w:pPr>
        <w:pStyle w:val="Footer"/>
      </w:pPr>
    </w:p>
    <w:p w14:paraId="2B5F053C" w14:textId="77777777" w:rsidR="00962B87" w:rsidRDefault="00962B87"/>
    <w:p w14:paraId="7758A915" w14:textId="77777777" w:rsidR="00962B87" w:rsidRDefault="00962B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E637B" w14:textId="77777777" w:rsidR="00962B87" w:rsidRDefault="00962B87">
    <w:pPr>
      <w:pStyle w:val="Header"/>
    </w:pPr>
    <w:r>
      <w:t>Review of the sugar code of conduct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74A96" w14:textId="77777777" w:rsidR="00962B87" w:rsidRDefault="00962B87">
    <w:pPr>
      <w:pStyle w:val="Header"/>
      <w:jc w:val="left"/>
    </w:pPr>
    <w:r>
      <w:rPr>
        <w:noProof/>
        <w:lang w:eastAsia="en-AU"/>
      </w:rPr>
      <w:drawing>
        <wp:inline distT="0" distB="0" distL="0" distR="0" wp14:anchorId="3CC3AF85" wp14:editId="3A315E4E">
          <wp:extent cx="2316480" cy="737616"/>
          <wp:effectExtent l="0" t="0" r="7620" b="5715"/>
          <wp:docPr id="8" name="Picture 8"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44EBA5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A913599"/>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6216FB2"/>
    <w:multiLevelType w:val="hybridMultilevel"/>
    <w:tmpl w:val="36CCA7CA"/>
    <w:lvl w:ilvl="0" w:tplc="0C090001">
      <w:start w:val="1"/>
      <w:numFmt w:val="bullet"/>
      <w:lvlText w:val=""/>
      <w:lvlJc w:val="left"/>
      <w:pPr>
        <w:ind w:left="720" w:hanging="360"/>
      </w:pPr>
      <w:rPr>
        <w:rFonts w:ascii="Symbol" w:hAnsi="Symbol" w:hint="default"/>
      </w:rPr>
    </w:lvl>
    <w:lvl w:ilvl="1" w:tplc="9B08035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num w:numId="1">
    <w:abstractNumId w:val="6"/>
  </w:num>
  <w:num w:numId="2">
    <w:abstractNumId w:val="17"/>
  </w:num>
  <w:num w:numId="3">
    <w:abstractNumId w:val="18"/>
  </w:num>
  <w:num w:numId="4">
    <w:abstractNumId w:val="9"/>
  </w:num>
  <w:num w:numId="5">
    <w:abstractNumId w:val="24"/>
  </w:num>
  <w:num w:numId="6">
    <w:abstractNumId w:val="25"/>
  </w:num>
  <w:num w:numId="7">
    <w:abstractNumId w:val="7"/>
  </w:num>
  <w:num w:numId="8">
    <w:abstractNumId w:val="12"/>
  </w:num>
  <w:num w:numId="9">
    <w:abstractNumId w:val="15"/>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2"/>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
  </w:num>
  <w:num w:numId="20">
    <w:abstractNumId w:val="0"/>
  </w:num>
  <w:num w:numId="21">
    <w:abstractNumId w:val="14"/>
  </w:num>
  <w:num w:numId="22">
    <w:abstractNumId w:val="19"/>
  </w:num>
  <w:num w:numId="23">
    <w:abstractNumId w:val="27"/>
  </w:num>
  <w:num w:numId="24">
    <w:abstractNumId w:val="11"/>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0"/>
  </w:num>
  <w:num w:numId="29">
    <w:abstractNumId w:val="23"/>
  </w:num>
  <w:num w:numId="30">
    <w:abstractNumId w:val="8"/>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21"/>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35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055"/>
    <w:rsid w:val="0001417C"/>
    <w:rsid w:val="000713E4"/>
    <w:rsid w:val="00096F7C"/>
    <w:rsid w:val="00123544"/>
    <w:rsid w:val="001B3FCF"/>
    <w:rsid w:val="001B7C0E"/>
    <w:rsid w:val="002314DF"/>
    <w:rsid w:val="00235C35"/>
    <w:rsid w:val="00395766"/>
    <w:rsid w:val="003958FD"/>
    <w:rsid w:val="003B7917"/>
    <w:rsid w:val="003D2926"/>
    <w:rsid w:val="003F4055"/>
    <w:rsid w:val="00447D9B"/>
    <w:rsid w:val="004941F1"/>
    <w:rsid w:val="004B6740"/>
    <w:rsid w:val="004C2E76"/>
    <w:rsid w:val="005322DF"/>
    <w:rsid w:val="00585C95"/>
    <w:rsid w:val="005B4CE3"/>
    <w:rsid w:val="0067776E"/>
    <w:rsid w:val="0069431A"/>
    <w:rsid w:val="006F19C6"/>
    <w:rsid w:val="0074664F"/>
    <w:rsid w:val="00773247"/>
    <w:rsid w:val="007F11D2"/>
    <w:rsid w:val="00832AAD"/>
    <w:rsid w:val="00847A54"/>
    <w:rsid w:val="0085640C"/>
    <w:rsid w:val="00887939"/>
    <w:rsid w:val="008C3C20"/>
    <w:rsid w:val="00962B87"/>
    <w:rsid w:val="00975D5F"/>
    <w:rsid w:val="009B06A3"/>
    <w:rsid w:val="009B0BDF"/>
    <w:rsid w:val="00A30DE9"/>
    <w:rsid w:val="00A5332A"/>
    <w:rsid w:val="00A62219"/>
    <w:rsid w:val="00A8327F"/>
    <w:rsid w:val="00AF2A77"/>
    <w:rsid w:val="00B831AD"/>
    <w:rsid w:val="00BE7DE1"/>
    <w:rsid w:val="00C52424"/>
    <w:rsid w:val="00C64956"/>
    <w:rsid w:val="00CA4009"/>
    <w:rsid w:val="00CB3974"/>
    <w:rsid w:val="00D528FD"/>
    <w:rsid w:val="00D648D0"/>
    <w:rsid w:val="00DE0A1B"/>
    <w:rsid w:val="00DE351C"/>
    <w:rsid w:val="00E262EB"/>
    <w:rsid w:val="00F379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5BD6618D"/>
  <w15:docId w15:val="{6F75B4A2-0D89-43E0-8955-CF7E903F0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ListParagraph">
    <w:name w:val="List Paragraph"/>
    <w:basedOn w:val="Normal"/>
    <w:uiPriority w:val="34"/>
    <w:qFormat/>
    <w:pPr>
      <w:spacing w:before="120" w:after="120" w:line="240" w:lineRule="auto"/>
      <w:ind w:left="720"/>
    </w:pPr>
  </w:style>
  <w:style w:type="paragraph" w:styleId="ListBullet4">
    <w:name w:val="List Bullet 4"/>
    <w:basedOn w:val="Normal"/>
    <w:uiPriority w:val="99"/>
    <w:unhideWhenUsed/>
    <w:pPr>
      <w:tabs>
        <w:tab w:val="num" w:pos="1209"/>
      </w:tabs>
      <w:spacing w:before="120" w:after="0" w:line="240" w:lineRule="auto"/>
      <w:ind w:left="1209" w:hanging="360"/>
      <w:contextualSpacing/>
    </w:pPr>
    <w:rPr>
      <w:rFonts w:asciiTheme="minorHAnsi" w:eastAsia="Calibri"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griculture.gov.au" TargetMode="External"/><Relationship Id="rId18" Type="http://schemas.openxmlformats.org/officeDocument/2006/relationships/footer" Target="footer1.xml"/><Relationship Id="rId26" Type="http://schemas.openxmlformats.org/officeDocument/2006/relationships/hyperlink" Target="https://asmc.com.au/industry-overview/" TargetMode="External"/><Relationship Id="rId39" Type="http://schemas.openxmlformats.org/officeDocument/2006/relationships/hyperlink" Target="https://www.daf.qld.gov.au/__data/assets/pdf_file/0006/75903/Sugar-Memorandum.pdf" TargetMode="Externa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hyperlink" Target="http://ncc.gov.au/publications/C98" TargetMode="External"/><Relationship Id="rId42" Type="http://schemas.openxmlformats.org/officeDocument/2006/relationships/hyperlink" Target="https://www.aph.gov.au/Parliamentary_Business/Committees/Senate/Rural_and_Regional_Affairs_and_Transport/Sugar/Report"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www.agriculture.gov.au/abares/publications/display?url=http://143.188.17.20/anrdl/DAFFService/display.php?fid=pb_agcomd9abcc20180619_9saNT.xml" TargetMode="External"/><Relationship Id="rId33" Type="http://schemas.openxmlformats.org/officeDocument/2006/relationships/hyperlink" Target="https://www.pc.gov.au/inquiries/completed/statutory-marketing" TargetMode="External"/><Relationship Id="rId38" Type="http://schemas.openxmlformats.org/officeDocument/2006/relationships/hyperlink" Target="https://www.qpc.qld.gov.au/publications/"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chart" Target="charts/chart1.xml"/><Relationship Id="rId29" Type="http://schemas.openxmlformats.org/officeDocument/2006/relationships/hyperlink" Target="https://haveyoursay.agriculture.gov.au/sugar-code-of-conduct-review" TargetMode="External"/><Relationship Id="rId41" Type="http://schemas.openxmlformats.org/officeDocument/2006/relationships/hyperlink" Target="http://www.acfa.com.au/public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data.daff.gov.au/data/warehouse/agcstd9abcc002/agcstd9abcc0022017_IugZg/ACS2017_SugarTables_v1.0.0.xlsx" TargetMode="External"/><Relationship Id="rId32" Type="http://schemas.openxmlformats.org/officeDocument/2006/relationships/hyperlink" Target="https://www.pc.gov.au/inquiries/completed/sugar" TargetMode="External"/><Relationship Id="rId37" Type="http://schemas.openxmlformats.org/officeDocument/2006/relationships/hyperlink" Target="https://www.qld.gov.au/environment/agriculture/sustainable-farming/reef/reef-initiatives/canefarming-impacts" TargetMode="External"/><Relationship Id="rId40" Type="http://schemas.openxmlformats.org/officeDocument/2006/relationships/hyperlink" Target="https://www.qut.edu.au/research/?id=129011"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griculture.gov.au/publications" TargetMode="External"/><Relationship Id="rId23" Type="http://schemas.openxmlformats.org/officeDocument/2006/relationships/hyperlink" Target="http://data.daff.gov.au/data/warehouse/agcstd9abcc002/agcstd9abcc0022017_IugZg/ACS2017_DairyTables_v1.0.0.xlsx" TargetMode="External"/><Relationship Id="rId28" Type="http://schemas.openxmlformats.org/officeDocument/2006/relationships/hyperlink" Target="http://www.canegrowers.com.au/page/advocacy/canegrowers-position-statements" TargetMode="External"/><Relationship Id="rId36" Type="http://schemas.openxmlformats.org/officeDocument/2006/relationships/hyperlink" Target="https://www.pc.gov.au/inquiries/completed/agriculture/report"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pc.gov.au/research/supporting/single-desk" TargetMode="External"/><Relationship Id="rId44" Type="http://schemas.openxmlformats.org/officeDocument/2006/relationships/hyperlink" Target="http://classic.austlii.edu.au/cgi-bin/download.cgi/au/legis/qld/bill_en/sirb200428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data.gov.au/dataset/pb_asffpd9absf20151218" TargetMode="External"/><Relationship Id="rId27" Type="http://schemas.openxmlformats.org/officeDocument/2006/relationships/hyperlink" Target="http://www.canegrowers.com.au/page/advocacy/canegrowers-position-statements" TargetMode="External"/><Relationship Id="rId30" Type="http://schemas.openxmlformats.org/officeDocument/2006/relationships/hyperlink" Target="https://www.pmc.gov.au/resource-centre/regulation/post-implementation-reviews-guidance-note" TargetMode="External"/><Relationship Id="rId35" Type="http://schemas.openxmlformats.org/officeDocument/2006/relationships/hyperlink" Target="https://www.aph.gov.au/Parliamentary_Business/Committees/Senate/significant%20reports/first20years/ist" TargetMode="External"/><Relationship Id="rId43" Type="http://schemas.openxmlformats.org/officeDocument/2006/relationships/hyperlink" Target="https://www.legislation.qld.gov.au/view/html/bill.first.exp/bill-1999-62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[sugar_historicaldata.xlsx]price_pivot!PivotTable2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USc/lb</a:t>
            </a:r>
          </a:p>
        </c:rich>
      </c:tx>
      <c:layout>
        <c:manualLayout>
          <c:xMode val="edge"/>
          <c:yMode val="edge"/>
          <c:x val="2.1050299135829827E-3"/>
          <c:y val="3.0454644333260821E-2"/>
        </c:manualLayout>
      </c:layout>
      <c:overlay val="0"/>
      <c:spPr>
        <a:noFill/>
        <a:ln>
          <a:noFill/>
        </a:ln>
        <a:effectLst/>
      </c:spPr>
    </c:title>
    <c:autoTitleDeleted val="0"/>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s>
    <c:plotArea>
      <c:layout/>
      <c:lineChart>
        <c:grouping val="standard"/>
        <c:varyColors val="0"/>
        <c:ser>
          <c:idx val="0"/>
          <c:order val="0"/>
          <c:tx>
            <c:strRef>
              <c:f>price_pivot!$C$1</c:f>
              <c:strCache>
                <c:ptCount val="1"/>
                <c:pt idx="0">
                  <c:v>Total</c:v>
                </c:pt>
              </c:strCache>
            </c:strRef>
          </c:tx>
          <c:spPr>
            <a:ln w="28575" cap="rnd">
              <a:solidFill>
                <a:schemeClr val="accent1"/>
              </a:solidFill>
              <a:round/>
            </a:ln>
            <a:effectLst/>
          </c:spPr>
          <c:marker>
            <c:symbol val="none"/>
          </c:marker>
          <c:cat>
            <c:multiLvlStrRef>
              <c:f>price_pivot!$A$2:$B$60</c:f>
              <c:multiLvlStrCache>
                <c:ptCount val="5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lvl>
                <c:lvl>
                  <c:pt idx="0">
                    <c:v>2014</c:v>
                  </c:pt>
                  <c:pt idx="12">
                    <c:v>2015</c:v>
                  </c:pt>
                  <c:pt idx="24">
                    <c:v>2016</c:v>
                  </c:pt>
                  <c:pt idx="36">
                    <c:v>2017</c:v>
                  </c:pt>
                  <c:pt idx="48">
                    <c:v>2018</c:v>
                  </c:pt>
                </c:lvl>
              </c:multiLvlStrCache>
            </c:multiLvlStrRef>
          </c:cat>
          <c:val>
            <c:numRef>
              <c:f>price_pivot!$C$2:$C$60</c:f>
              <c:numCache>
                <c:formatCode>General</c:formatCode>
                <c:ptCount val="58"/>
                <c:pt idx="0">
                  <c:v>15.42047619047619</c:v>
                </c:pt>
                <c:pt idx="1">
                  <c:v>16.246499999999997</c:v>
                </c:pt>
                <c:pt idx="2">
                  <c:v>17.584285714285713</c:v>
                </c:pt>
                <c:pt idx="3">
                  <c:v>16.985714285714288</c:v>
                </c:pt>
                <c:pt idx="4">
                  <c:v>17.504761904761907</c:v>
                </c:pt>
                <c:pt idx="5">
                  <c:v>17.220476190476194</c:v>
                </c:pt>
                <c:pt idx="6">
                  <c:v>17.211304347826086</c:v>
                </c:pt>
                <c:pt idx="7">
                  <c:v>15.887142857142857</c:v>
                </c:pt>
                <c:pt idx="8">
                  <c:v>14.637727272727274</c:v>
                </c:pt>
                <c:pt idx="9">
                  <c:v>16.475652173913048</c:v>
                </c:pt>
                <c:pt idx="10">
                  <c:v>15.878947368421052</c:v>
                </c:pt>
                <c:pt idx="11">
                  <c:v>14.992272727272727</c:v>
                </c:pt>
                <c:pt idx="12">
                  <c:v>15.075714285714289</c:v>
                </c:pt>
                <c:pt idx="13">
                  <c:v>14.515789473684212</c:v>
                </c:pt>
                <c:pt idx="14">
                  <c:v>12.840909090909092</c:v>
                </c:pt>
                <c:pt idx="15">
                  <c:v>12.9465</c:v>
                </c:pt>
                <c:pt idx="16">
                  <c:v>12.703500000000002</c:v>
                </c:pt>
                <c:pt idx="17">
                  <c:v>11.745909090909089</c:v>
                </c:pt>
                <c:pt idx="18">
                  <c:v>11.89695652173913</c:v>
                </c:pt>
                <c:pt idx="19">
                  <c:v>10.674761904761905</c:v>
                </c:pt>
                <c:pt idx="20">
                  <c:v>11.318095238095237</c:v>
                </c:pt>
                <c:pt idx="21">
                  <c:v>14.141818181818183</c:v>
                </c:pt>
                <c:pt idx="22">
                  <c:v>14.889047619047622</c:v>
                </c:pt>
                <c:pt idx="23">
                  <c:v>14.999999999999998</c:v>
                </c:pt>
                <c:pt idx="24">
                  <c:v>14.291052631578946</c:v>
                </c:pt>
                <c:pt idx="25">
                  <c:v>13.314000000000002</c:v>
                </c:pt>
                <c:pt idx="26">
                  <c:v>15.44181818181818</c:v>
                </c:pt>
                <c:pt idx="27">
                  <c:v>14.998095238095237</c:v>
                </c:pt>
                <c:pt idx="28">
                  <c:v>16.684285714285714</c:v>
                </c:pt>
                <c:pt idx="29">
                  <c:v>19.33727272727273</c:v>
                </c:pt>
                <c:pt idx="30">
                  <c:v>19.739047619047618</c:v>
                </c:pt>
                <c:pt idx="31">
                  <c:v>20.014347826086954</c:v>
                </c:pt>
                <c:pt idx="32">
                  <c:v>21.352380952380951</c:v>
                </c:pt>
                <c:pt idx="33">
                  <c:v>22.916666666666664</c:v>
                </c:pt>
                <c:pt idx="34">
                  <c:v>20.868571428571425</c:v>
                </c:pt>
                <c:pt idx="35">
                  <c:v>18.830000000000002</c:v>
                </c:pt>
                <c:pt idx="36">
                  <c:v>20.537619047619046</c:v>
                </c:pt>
                <c:pt idx="37">
                  <c:v>20.405789473684212</c:v>
                </c:pt>
                <c:pt idx="38">
                  <c:v>18.059565217391306</c:v>
                </c:pt>
                <c:pt idx="39">
                  <c:v>16.310526315789474</c:v>
                </c:pt>
                <c:pt idx="40">
                  <c:v>15.689090909090908</c:v>
                </c:pt>
                <c:pt idx="41">
                  <c:v>13.530000000000001</c:v>
                </c:pt>
                <c:pt idx="42">
                  <c:v>14.119</c:v>
                </c:pt>
                <c:pt idx="43">
                  <c:v>13.796086956521739</c:v>
                </c:pt>
                <c:pt idx="44">
                  <c:v>13.931000000000001</c:v>
                </c:pt>
                <c:pt idx="45">
                  <c:v>14.225000000000001</c:v>
                </c:pt>
                <c:pt idx="46">
                  <c:v>14.966666666666665</c:v>
                </c:pt>
                <c:pt idx="47">
                  <c:v>14.432499999999999</c:v>
                </c:pt>
                <c:pt idx="48">
                  <c:v>13.979523809523812</c:v>
                </c:pt>
                <c:pt idx="49">
                  <c:v>13.572631578947368</c:v>
                </c:pt>
                <c:pt idx="50">
                  <c:v>12.81590909090909</c:v>
                </c:pt>
                <c:pt idx="51">
                  <c:v>11.7895</c:v>
                </c:pt>
                <c:pt idx="52">
                  <c:v>11.813913043478262</c:v>
                </c:pt>
                <c:pt idx="53">
                  <c:v>12.090952380952384</c:v>
                </c:pt>
                <c:pt idx="54">
                  <c:v>11.155238095238095</c:v>
                </c:pt>
                <c:pt idx="55">
                  <c:v>10.448636363636362</c:v>
                </c:pt>
                <c:pt idx="56">
                  <c:v>10.814000000000002</c:v>
                </c:pt>
                <c:pt idx="57">
                  <c:v>12.562000000000001</c:v>
                </c:pt>
              </c:numCache>
            </c:numRef>
          </c:val>
          <c:smooth val="0"/>
        </c:ser>
        <c:dLbls>
          <c:showLegendKey val="0"/>
          <c:showVal val="0"/>
          <c:showCatName val="0"/>
          <c:showSerName val="0"/>
          <c:showPercent val="0"/>
          <c:showBubbleSize val="0"/>
        </c:dLbls>
        <c:smooth val="0"/>
        <c:axId val="223500768"/>
        <c:axId val="487528072"/>
      </c:lineChart>
      <c:catAx>
        <c:axId val="22350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528072"/>
        <c:crosses val="autoZero"/>
        <c:auto val="1"/>
        <c:lblAlgn val="ctr"/>
        <c:lblOffset val="100"/>
        <c:noMultiLvlLbl val="0"/>
      </c:catAx>
      <c:valAx>
        <c:axId val="487528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50076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292692338334634E-2"/>
          <c:y val="0.18961805555555555"/>
          <c:w val="0.84327128989620814"/>
          <c:h val="0.61536423611111113"/>
        </c:manualLayout>
      </c:layout>
      <c:lineChart>
        <c:grouping val="standard"/>
        <c:varyColors val="0"/>
        <c:ser>
          <c:idx val="0"/>
          <c:order val="0"/>
          <c:tx>
            <c:strRef>
              <c:f>Yield!$C$2</c:f>
              <c:strCache>
                <c:ptCount val="1"/>
                <c:pt idx="0">
                  <c:v>Milk (litres per cow)</c:v>
                </c:pt>
              </c:strCache>
            </c:strRef>
          </c:tx>
          <c:spPr>
            <a:ln>
              <a:solidFill>
                <a:srgbClr val="9BBB59">
                  <a:lumMod val="75000"/>
                </a:srgbClr>
              </a:solidFill>
            </a:ln>
          </c:spPr>
          <c:marker>
            <c:symbol val="none"/>
          </c:marker>
          <c:trendline>
            <c:trendlineType val="linear"/>
            <c:dispRSqr val="0"/>
            <c:dispEq val="1"/>
            <c:trendlineLbl>
              <c:layout>
                <c:manualLayout>
                  <c:x val="-4.8180528790195042E-2"/>
                  <c:y val="-5.0279801022667096E-2"/>
                </c:manualLayout>
              </c:layout>
              <c:numFmt formatCode="General" sourceLinked="0"/>
              <c:txPr>
                <a:bodyPr/>
                <a:lstStyle/>
                <a:p>
                  <a:pPr>
                    <a:defRPr>
                      <a:solidFill>
                        <a:schemeClr val="accent6">
                          <a:lumMod val="50000"/>
                        </a:schemeClr>
                      </a:solidFill>
                    </a:defRPr>
                  </a:pPr>
                  <a:endParaRPr lang="en-US"/>
                </a:p>
              </c:txPr>
            </c:trendlineLbl>
          </c:trendline>
          <c:cat>
            <c:strRef>
              <c:f>Yield!$B$3:$B$49</c:f>
              <c:strCache>
                <c:ptCount val="47"/>
                <c:pt idx="0">
                  <c:v>1970–71</c:v>
                </c:pt>
                <c:pt idx="1">
                  <c:v>1971–72</c:v>
                </c:pt>
                <c:pt idx="2">
                  <c:v>1972–73</c:v>
                </c:pt>
                <c:pt idx="3">
                  <c:v>1973–74</c:v>
                </c:pt>
                <c:pt idx="4">
                  <c:v>1974–75</c:v>
                </c:pt>
                <c:pt idx="5">
                  <c:v>1975–76</c:v>
                </c:pt>
                <c:pt idx="6">
                  <c:v>1976–77</c:v>
                </c:pt>
                <c:pt idx="7">
                  <c:v>1977–78</c:v>
                </c:pt>
                <c:pt idx="8">
                  <c:v>1978–79</c:v>
                </c:pt>
                <c:pt idx="9">
                  <c:v>1979–80</c:v>
                </c:pt>
                <c:pt idx="10">
                  <c:v>1980–81</c:v>
                </c:pt>
                <c:pt idx="11">
                  <c:v>1981–82</c:v>
                </c:pt>
                <c:pt idx="12">
                  <c:v>1982–83</c:v>
                </c:pt>
                <c:pt idx="13">
                  <c:v>1983–84</c:v>
                </c:pt>
                <c:pt idx="14">
                  <c:v>1984–85</c:v>
                </c:pt>
                <c:pt idx="15">
                  <c:v>1985–86</c:v>
                </c:pt>
                <c:pt idx="16">
                  <c:v>1986–87</c:v>
                </c:pt>
                <c:pt idx="17">
                  <c:v>1987–88</c:v>
                </c:pt>
                <c:pt idx="18">
                  <c:v>1988–89</c:v>
                </c:pt>
                <c:pt idx="19">
                  <c:v>1989–90</c:v>
                </c:pt>
                <c:pt idx="20">
                  <c:v>1990–91</c:v>
                </c:pt>
                <c:pt idx="21">
                  <c:v>1991–92</c:v>
                </c:pt>
                <c:pt idx="22">
                  <c:v>1992–93</c:v>
                </c:pt>
                <c:pt idx="23">
                  <c:v>1993–94 </c:v>
                </c:pt>
                <c:pt idx="24">
                  <c:v>1994–95 </c:v>
                </c:pt>
                <c:pt idx="25">
                  <c:v>1995–96 </c:v>
                </c:pt>
                <c:pt idx="26">
                  <c:v>1996–97 </c:v>
                </c:pt>
                <c:pt idx="27">
                  <c:v>1997–98  </c:v>
                </c:pt>
                <c:pt idx="28">
                  <c:v>1998–99</c:v>
                </c:pt>
                <c:pt idx="29">
                  <c:v>1999–2000  </c:v>
                </c:pt>
                <c:pt idx="30">
                  <c:v>2000–01</c:v>
                </c:pt>
                <c:pt idx="31">
                  <c:v>2001–02</c:v>
                </c:pt>
                <c:pt idx="32">
                  <c:v>2002–03</c:v>
                </c:pt>
                <c:pt idx="33">
                  <c:v>2003–04</c:v>
                </c:pt>
                <c:pt idx="34">
                  <c:v>2004–05</c:v>
                </c:pt>
                <c:pt idx="35">
                  <c:v>2005–06</c:v>
                </c:pt>
                <c:pt idx="36">
                  <c:v>2006–07</c:v>
                </c:pt>
                <c:pt idx="37">
                  <c:v>2007–08</c:v>
                </c:pt>
                <c:pt idx="38">
                  <c:v>2008–09</c:v>
                </c:pt>
                <c:pt idx="39">
                  <c:v>2009–10</c:v>
                </c:pt>
                <c:pt idx="40">
                  <c:v>2010–11</c:v>
                </c:pt>
                <c:pt idx="41">
                  <c:v>2011–12</c:v>
                </c:pt>
                <c:pt idx="42">
                  <c:v>2012–13</c:v>
                </c:pt>
                <c:pt idx="43">
                  <c:v>2013–14</c:v>
                </c:pt>
                <c:pt idx="44">
                  <c:v>2014–15</c:v>
                </c:pt>
                <c:pt idx="45">
                  <c:v>2015–16</c:v>
                </c:pt>
                <c:pt idx="46">
                  <c:v>2016–17</c:v>
                </c:pt>
              </c:strCache>
            </c:strRef>
          </c:cat>
          <c:val>
            <c:numRef>
              <c:f>Yield!$C$3:$C$49</c:f>
              <c:numCache>
                <c:formatCode>0</c:formatCode>
                <c:ptCount val="47"/>
                <c:pt idx="0">
                  <c:v>57.630869274477334</c:v>
                </c:pt>
                <c:pt idx="1">
                  <c:v>57.366054114720455</c:v>
                </c:pt>
                <c:pt idx="2">
                  <c:v>57.315916522517988</c:v>
                </c:pt>
                <c:pt idx="3">
                  <c:v>59.16446633752841</c:v>
                </c:pt>
                <c:pt idx="4">
                  <c:v>57.240877827120137</c:v>
                </c:pt>
                <c:pt idx="5">
                  <c:v>55.270238390631363</c:v>
                </c:pt>
                <c:pt idx="6">
                  <c:v>55.271525962356208</c:v>
                </c:pt>
                <c:pt idx="7">
                  <c:v>59.663651348273092</c:v>
                </c:pt>
                <c:pt idx="8">
                  <c:v>64.401871649176428</c:v>
                </c:pt>
                <c:pt idx="9">
                  <c:v>63.393855751375568</c:v>
                </c:pt>
                <c:pt idx="10">
                  <c:v>62.902308877981625</c:v>
                </c:pt>
                <c:pt idx="11">
                  <c:v>63.516502413978749</c:v>
                </c:pt>
                <c:pt idx="12">
                  <c:v>67.272109079584808</c:v>
                </c:pt>
                <c:pt idx="13">
                  <c:v>71.453356404872778</c:v>
                </c:pt>
                <c:pt idx="14">
                  <c:v>72.840682203510966</c:v>
                </c:pt>
                <c:pt idx="15">
                  <c:v>74.437533021304503</c:v>
                </c:pt>
                <c:pt idx="16">
                  <c:v>76.673892344600461</c:v>
                </c:pt>
                <c:pt idx="17">
                  <c:v>78.021739884760137</c:v>
                </c:pt>
                <c:pt idx="18">
                  <c:v>80.294544034843867</c:v>
                </c:pt>
                <c:pt idx="19">
                  <c:v>80.482922325162491</c:v>
                </c:pt>
                <c:pt idx="20">
                  <c:v>83.070395910846784</c:v>
                </c:pt>
                <c:pt idx="21">
                  <c:v>86.475935830044008</c:v>
                </c:pt>
                <c:pt idx="22">
                  <c:v>93.150991353846749</c:v>
                </c:pt>
                <c:pt idx="23">
                  <c:v>98.712799270405114</c:v>
                </c:pt>
                <c:pt idx="24">
                  <c:v>98.339992697940687</c:v>
                </c:pt>
                <c:pt idx="25">
                  <c:v>100.98047495683906</c:v>
                </c:pt>
                <c:pt idx="26">
                  <c:v>99.744973505483841</c:v>
                </c:pt>
                <c:pt idx="27">
                  <c:v>100</c:v>
                </c:pt>
                <c:pt idx="28">
                  <c:v>103.07400111167632</c:v>
                </c:pt>
                <c:pt idx="29">
                  <c:v>109.03471620718905</c:v>
                </c:pt>
                <c:pt idx="30">
                  <c:v>105.77475918589676</c:v>
                </c:pt>
                <c:pt idx="31">
                  <c:v>115.85550739164374</c:v>
                </c:pt>
                <c:pt idx="32">
                  <c:v>109.95151092177259</c:v>
                </c:pt>
                <c:pt idx="33">
                  <c:v>107.89277102675553</c:v>
                </c:pt>
                <c:pt idx="34">
                  <c:v>113.80025921655843</c:v>
                </c:pt>
                <c:pt idx="35">
                  <c:v>117.11604011025977</c:v>
                </c:pt>
                <c:pt idx="36">
                  <c:v>116.43897379224133</c:v>
                </c:pt>
                <c:pt idx="37">
                  <c:v>122.72823791008341</c:v>
                </c:pt>
                <c:pt idx="38">
                  <c:v>122.24358718355468</c:v>
                </c:pt>
                <c:pt idx="39">
                  <c:v>124.21516501977511</c:v>
                </c:pt>
                <c:pt idx="40">
                  <c:v>126.07906694259982</c:v>
                </c:pt>
                <c:pt idx="41">
                  <c:v>122.89712803853288</c:v>
                </c:pt>
                <c:pt idx="42">
                  <c:v>120.43011879049439</c:v>
                </c:pt>
                <c:pt idx="43">
                  <c:v>124.21152053709636</c:v>
                </c:pt>
                <c:pt idx="44">
                  <c:v>125.71490237696652</c:v>
                </c:pt>
                <c:pt idx="45">
                  <c:v>135.26418898584959</c:v>
                </c:pt>
                <c:pt idx="46">
                  <c:v>130.12147475410109</c:v>
                </c:pt>
              </c:numCache>
            </c:numRef>
          </c:val>
          <c:smooth val="0"/>
          <c:extLst xmlns:c16r2="http://schemas.microsoft.com/office/drawing/2015/06/chart">
            <c:ext xmlns:c16="http://schemas.microsoft.com/office/drawing/2014/chart" uri="{C3380CC4-5D6E-409C-BE32-E72D297353CC}">
              <c16:uniqueId val="{00000000-3842-4B6F-9672-5BEF809B74F1}"/>
            </c:ext>
          </c:extLst>
        </c:ser>
        <c:ser>
          <c:idx val="1"/>
          <c:order val="1"/>
          <c:tx>
            <c:strRef>
              <c:f>Yield!$D$2</c:f>
              <c:strCache>
                <c:ptCount val="1"/>
                <c:pt idx="0">
                  <c:v>Sugar (tonnes per hectare)</c:v>
                </c:pt>
              </c:strCache>
            </c:strRef>
          </c:tx>
          <c:spPr>
            <a:ln cmpd="sng">
              <a:solidFill>
                <a:srgbClr val="4F81BD">
                  <a:lumMod val="75000"/>
                </a:srgbClr>
              </a:solidFill>
              <a:prstDash val="solid"/>
            </a:ln>
            <a:effectLst/>
          </c:spPr>
          <c:marker>
            <c:symbol val="none"/>
          </c:marker>
          <c:trendline>
            <c:trendlineType val="linear"/>
            <c:dispRSqr val="0"/>
            <c:dispEq val="1"/>
            <c:trendlineLbl>
              <c:layout>
                <c:manualLayout>
                  <c:x val="6.0558644738136777E-3"/>
                  <c:y val="0.10937363810780543"/>
                </c:manualLayout>
              </c:layout>
              <c:numFmt formatCode="General" sourceLinked="0"/>
              <c:txPr>
                <a:bodyPr/>
                <a:lstStyle/>
                <a:p>
                  <a:pPr>
                    <a:defRPr>
                      <a:solidFill>
                        <a:schemeClr val="accent1">
                          <a:lumMod val="75000"/>
                        </a:schemeClr>
                      </a:solidFill>
                    </a:defRPr>
                  </a:pPr>
                  <a:endParaRPr lang="en-US"/>
                </a:p>
              </c:txPr>
            </c:trendlineLbl>
          </c:trendline>
          <c:cat>
            <c:strRef>
              <c:f>Yield!$B$3:$B$49</c:f>
              <c:strCache>
                <c:ptCount val="47"/>
                <c:pt idx="0">
                  <c:v>1970–71</c:v>
                </c:pt>
                <c:pt idx="1">
                  <c:v>1971–72</c:v>
                </c:pt>
                <c:pt idx="2">
                  <c:v>1972–73</c:v>
                </c:pt>
                <c:pt idx="3">
                  <c:v>1973–74</c:v>
                </c:pt>
                <c:pt idx="4">
                  <c:v>1974–75</c:v>
                </c:pt>
                <c:pt idx="5">
                  <c:v>1975–76</c:v>
                </c:pt>
                <c:pt idx="6">
                  <c:v>1976–77</c:v>
                </c:pt>
                <c:pt idx="7">
                  <c:v>1977–78</c:v>
                </c:pt>
                <c:pt idx="8">
                  <c:v>1978–79</c:v>
                </c:pt>
                <c:pt idx="9">
                  <c:v>1979–80</c:v>
                </c:pt>
                <c:pt idx="10">
                  <c:v>1980–81</c:v>
                </c:pt>
                <c:pt idx="11">
                  <c:v>1981–82</c:v>
                </c:pt>
                <c:pt idx="12">
                  <c:v>1982–83</c:v>
                </c:pt>
                <c:pt idx="13">
                  <c:v>1983–84</c:v>
                </c:pt>
                <c:pt idx="14">
                  <c:v>1984–85</c:v>
                </c:pt>
                <c:pt idx="15">
                  <c:v>1985–86</c:v>
                </c:pt>
                <c:pt idx="16">
                  <c:v>1986–87</c:v>
                </c:pt>
                <c:pt idx="17">
                  <c:v>1987–88</c:v>
                </c:pt>
                <c:pt idx="18">
                  <c:v>1988–89</c:v>
                </c:pt>
                <c:pt idx="19">
                  <c:v>1989–90</c:v>
                </c:pt>
                <c:pt idx="20">
                  <c:v>1990–91</c:v>
                </c:pt>
                <c:pt idx="21">
                  <c:v>1991–92</c:v>
                </c:pt>
                <c:pt idx="22">
                  <c:v>1992–93</c:v>
                </c:pt>
                <c:pt idx="23">
                  <c:v>1993–94 </c:v>
                </c:pt>
                <c:pt idx="24">
                  <c:v>1994–95 </c:v>
                </c:pt>
                <c:pt idx="25">
                  <c:v>1995–96 </c:v>
                </c:pt>
                <c:pt idx="26">
                  <c:v>1996–97 </c:v>
                </c:pt>
                <c:pt idx="27">
                  <c:v>1997–98  </c:v>
                </c:pt>
                <c:pt idx="28">
                  <c:v>1998–99</c:v>
                </c:pt>
                <c:pt idx="29">
                  <c:v>1999–2000  </c:v>
                </c:pt>
                <c:pt idx="30">
                  <c:v>2000–01</c:v>
                </c:pt>
                <c:pt idx="31">
                  <c:v>2001–02</c:v>
                </c:pt>
                <c:pt idx="32">
                  <c:v>2002–03</c:v>
                </c:pt>
                <c:pt idx="33">
                  <c:v>2003–04</c:v>
                </c:pt>
                <c:pt idx="34">
                  <c:v>2004–05</c:v>
                </c:pt>
                <c:pt idx="35">
                  <c:v>2005–06</c:v>
                </c:pt>
                <c:pt idx="36">
                  <c:v>2006–07</c:v>
                </c:pt>
                <c:pt idx="37">
                  <c:v>2007–08</c:v>
                </c:pt>
                <c:pt idx="38">
                  <c:v>2008–09</c:v>
                </c:pt>
                <c:pt idx="39">
                  <c:v>2009–10</c:v>
                </c:pt>
                <c:pt idx="40">
                  <c:v>2010–11</c:v>
                </c:pt>
                <c:pt idx="41">
                  <c:v>2011–12</c:v>
                </c:pt>
                <c:pt idx="42">
                  <c:v>2012–13</c:v>
                </c:pt>
                <c:pt idx="43">
                  <c:v>2013–14</c:v>
                </c:pt>
                <c:pt idx="44">
                  <c:v>2014–15</c:v>
                </c:pt>
                <c:pt idx="45">
                  <c:v>2015–16</c:v>
                </c:pt>
                <c:pt idx="46">
                  <c:v>2016–17</c:v>
                </c:pt>
              </c:strCache>
            </c:strRef>
          </c:cat>
          <c:val>
            <c:numRef>
              <c:f>Yield!$D$3:$D$49</c:f>
              <c:numCache>
                <c:formatCode>0</c:formatCode>
                <c:ptCount val="47"/>
                <c:pt idx="0">
                  <c:v>82.764157797704641</c:v>
                </c:pt>
                <c:pt idx="1">
                  <c:v>86.377719674021179</c:v>
                </c:pt>
                <c:pt idx="2">
                  <c:v>84.266285373983891</c:v>
                </c:pt>
                <c:pt idx="3">
                  <c:v>80.818547785895333</c:v>
                </c:pt>
                <c:pt idx="4">
                  <c:v>81.325480840912491</c:v>
                </c:pt>
                <c:pt idx="5">
                  <c:v>80.378708811689279</c:v>
                </c:pt>
                <c:pt idx="6">
                  <c:v>82.615178172059046</c:v>
                </c:pt>
                <c:pt idx="7">
                  <c:v>81.832413895929633</c:v>
                </c:pt>
                <c:pt idx="8">
                  <c:v>83.27120918443417</c:v>
                </c:pt>
                <c:pt idx="9">
                  <c:v>80.117787386312813</c:v>
                </c:pt>
                <c:pt idx="10">
                  <c:v>83.539585507678538</c:v>
                </c:pt>
                <c:pt idx="11">
                  <c:v>78.544803936186071</c:v>
                </c:pt>
                <c:pt idx="12">
                  <c:v>80.363799015953475</c:v>
                </c:pt>
                <c:pt idx="13">
                  <c:v>74.578798270463693</c:v>
                </c:pt>
                <c:pt idx="14">
                  <c:v>81.906962874608624</c:v>
                </c:pt>
                <c:pt idx="15">
                  <c:v>80.31161473087819</c:v>
                </c:pt>
                <c:pt idx="16">
                  <c:v>78.59698822126137</c:v>
                </c:pt>
                <c:pt idx="17">
                  <c:v>78.410615774563894</c:v>
                </c:pt>
                <c:pt idx="18">
                  <c:v>84.926196511107804</c:v>
                </c:pt>
                <c:pt idx="19">
                  <c:v>82.652452661398542</c:v>
                </c:pt>
                <c:pt idx="20">
                  <c:v>74.966452959594449</c:v>
                </c:pt>
                <c:pt idx="21">
                  <c:v>65.864022662889525</c:v>
                </c:pt>
                <c:pt idx="22">
                  <c:v>90.897569703295062</c:v>
                </c:pt>
                <c:pt idx="23">
                  <c:v>92.902937229759956</c:v>
                </c:pt>
                <c:pt idx="24">
                  <c:v>100.72312509318621</c:v>
                </c:pt>
                <c:pt idx="25">
                  <c:v>95.646339645146867</c:v>
                </c:pt>
                <c:pt idx="26">
                  <c:v>101.32697182048607</c:v>
                </c:pt>
                <c:pt idx="27">
                  <c:v>100</c:v>
                </c:pt>
                <c:pt idx="28">
                  <c:v>92.686745191590887</c:v>
                </c:pt>
                <c:pt idx="29">
                  <c:v>94.893394960489047</c:v>
                </c:pt>
                <c:pt idx="30">
                  <c:v>76.994185179663035</c:v>
                </c:pt>
                <c:pt idx="31">
                  <c:v>87.274489339496057</c:v>
                </c:pt>
                <c:pt idx="32">
                  <c:v>89.831519308185477</c:v>
                </c:pt>
                <c:pt idx="33">
                  <c:v>83.957059788280901</c:v>
                </c:pt>
                <c:pt idx="34">
                  <c:v>89.913523184732369</c:v>
                </c:pt>
                <c:pt idx="35">
                  <c:v>94.826300879677959</c:v>
                </c:pt>
                <c:pt idx="36">
                  <c:v>91.613239898613386</c:v>
                </c:pt>
                <c:pt idx="37">
                  <c:v>93.201133144475918</c:v>
                </c:pt>
                <c:pt idx="38">
                  <c:v>89.264947070225148</c:v>
                </c:pt>
                <c:pt idx="39">
                  <c:v>90.353362158938424</c:v>
                </c:pt>
                <c:pt idx="40">
                  <c:v>85.701505889369329</c:v>
                </c:pt>
                <c:pt idx="41">
                  <c:v>74.601162964067385</c:v>
                </c:pt>
                <c:pt idx="42">
                  <c:v>90.837930520351875</c:v>
                </c:pt>
                <c:pt idx="43">
                  <c:v>91.329953779633229</c:v>
                </c:pt>
                <c:pt idx="44">
                  <c:v>90.219173997316233</c:v>
                </c:pt>
                <c:pt idx="45">
                  <c:v>96.242731474578804</c:v>
                </c:pt>
                <c:pt idx="46">
                  <c:v>96.399284329804686</c:v>
                </c:pt>
              </c:numCache>
            </c:numRef>
          </c:val>
          <c:smooth val="0"/>
          <c:extLst xmlns:c16r2="http://schemas.microsoft.com/office/drawing/2015/06/chart">
            <c:ext xmlns:c16="http://schemas.microsoft.com/office/drawing/2014/chart" uri="{C3380CC4-5D6E-409C-BE32-E72D297353CC}">
              <c16:uniqueId val="{00000001-3842-4B6F-9672-5BEF809B74F1}"/>
            </c:ext>
          </c:extLst>
        </c:ser>
        <c:dLbls>
          <c:showLegendKey val="0"/>
          <c:showVal val="0"/>
          <c:showCatName val="0"/>
          <c:showSerName val="0"/>
          <c:showPercent val="0"/>
          <c:showBubbleSize val="0"/>
        </c:dLbls>
        <c:smooth val="0"/>
        <c:axId val="337479344"/>
        <c:axId val="337481696"/>
      </c:lineChart>
      <c:catAx>
        <c:axId val="337479344"/>
        <c:scaling>
          <c:orientation val="minMax"/>
        </c:scaling>
        <c:delete val="0"/>
        <c:axPos val="b"/>
        <c:numFmt formatCode="General" sourceLinked="1"/>
        <c:majorTickMark val="out"/>
        <c:minorTickMark val="none"/>
        <c:tickLblPos val="nextTo"/>
        <c:spPr>
          <a:ln>
            <a:solidFill>
              <a:srgbClr val="BFBFBF"/>
            </a:solidFill>
          </a:ln>
        </c:spPr>
        <c:crossAx val="337481696"/>
        <c:crosses val="autoZero"/>
        <c:auto val="1"/>
        <c:lblAlgn val="ctr"/>
        <c:lblOffset val="100"/>
        <c:tickLblSkip val="7"/>
        <c:tickMarkSkip val="7"/>
        <c:noMultiLvlLbl val="0"/>
      </c:catAx>
      <c:valAx>
        <c:axId val="337481696"/>
        <c:scaling>
          <c:orientation val="minMax"/>
        </c:scaling>
        <c:delete val="0"/>
        <c:axPos val="l"/>
        <c:numFmt formatCode="0" sourceLinked="1"/>
        <c:majorTickMark val="out"/>
        <c:minorTickMark val="none"/>
        <c:tickLblPos val="nextTo"/>
        <c:spPr>
          <a:ln>
            <a:solidFill>
              <a:srgbClr val="BFBFBF"/>
            </a:solidFill>
          </a:ln>
        </c:spPr>
        <c:crossAx val="337479344"/>
        <c:crosses val="autoZero"/>
        <c:crossBetween val="between"/>
        <c:majorUnit val="20"/>
      </c:valAx>
      <c:spPr>
        <a:noFill/>
        <a:ln>
          <a:noFill/>
        </a:ln>
      </c:spPr>
    </c:plotArea>
    <c:legend>
      <c:legendPos val="b"/>
      <c:legendEntry>
        <c:idx val="2"/>
        <c:delete val="1"/>
      </c:legendEntry>
      <c:legendEntry>
        <c:idx val="3"/>
        <c:delete val="1"/>
      </c:legendEntry>
      <c:layout/>
      <c:overlay val="0"/>
      <c:spPr>
        <a:ln>
          <a:noFill/>
        </a:ln>
      </c:spPr>
    </c:legend>
    <c:plotVisOnly val="1"/>
    <c:dispBlanksAs val="gap"/>
    <c:showDLblsOverMax val="0"/>
  </c:chart>
  <c:spPr>
    <a:noFill/>
    <a:ln>
      <a:noFill/>
    </a:ln>
  </c:spPr>
  <c:txPr>
    <a:bodyPr/>
    <a:lstStyle/>
    <a:p>
      <a:pPr>
        <a:defRPr sz="900" spc="20" baseline="0">
          <a:latin typeface="Arial" pitchFamily="34"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0.00088</cdr:x>
      <cdr:y>0.00992</cdr:y>
    </cdr:from>
    <cdr:to>
      <cdr:x>0.17022</cdr:x>
      <cdr:y>0.32742</cdr:y>
    </cdr:to>
    <cdr:sp macro="" textlink="">
      <cdr:nvSpPr>
        <cdr:cNvPr id="2" name="TextBox 1"/>
        <cdr:cNvSpPr txBox="1"/>
      </cdr:nvSpPr>
      <cdr:spPr>
        <a:xfrm xmlns:a="http://schemas.openxmlformats.org/drawingml/2006/main">
          <a:off x="4763" y="285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b="1">
              <a:latin typeface="Arial" pitchFamily="34" charset="0"/>
              <a:cs typeface="Arial" pitchFamily="34" charset="0"/>
            </a:rPr>
            <a:t>Yield</a:t>
          </a:r>
          <a:r>
            <a:rPr lang="en-AU" sz="1100">
              <a:latin typeface="Arial" pitchFamily="34" charset="0"/>
              <a:cs typeface="Arial" pitchFamily="34" charset="0"/>
            </a:rPr>
            <a:t/>
          </a:r>
          <a:br>
            <a:rPr lang="en-AU" sz="1100">
              <a:latin typeface="Arial" pitchFamily="34" charset="0"/>
              <a:cs typeface="Arial" pitchFamily="34" charset="0"/>
            </a:rPr>
          </a:br>
          <a:r>
            <a:rPr lang="en-AU" sz="1100">
              <a:effectLst/>
              <a:latin typeface="+mn-lt"/>
              <a:ea typeface="+mn-ea"/>
              <a:cs typeface="+mn-cs"/>
            </a:rPr>
            <a:t>Index </a:t>
          </a:r>
          <a:r>
            <a:rPr lang="en-AU" sz="1000">
              <a:latin typeface="Arial" pitchFamily="34" charset="0"/>
              <a:cs typeface="Arial" pitchFamily="34" charset="0"/>
            </a:rPr>
            <a:t>1997-98 =100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file>

<file path=customXml/itemProps2.xml><?xml version="1.0" encoding="utf-8"?>
<ds:datastoreItem xmlns:ds="http://schemas.openxmlformats.org/officeDocument/2006/customXml" ds:itemID="{9D1CAD33-3B39-4665-A5E6-666D035120E9}"/>
</file>

<file path=customXml/itemProps3.xml><?xml version="1.0" encoding="utf-8"?>
<ds:datastoreItem xmlns:ds="http://schemas.openxmlformats.org/officeDocument/2006/customXml" ds:itemID="{D114E5D6-F169-40CF-98EE-674B01AD6D82}"/>
</file>

<file path=customXml/itemProps4.xml><?xml version="1.0" encoding="utf-8"?>
<ds:datastoreItem xmlns:ds="http://schemas.openxmlformats.org/officeDocument/2006/customXml" ds:itemID="{7CBB0692-68E6-4FA5-BA2C-5D8966FFC2AA}"/>
</file>

<file path=docProps/app.xml><?xml version="1.0" encoding="utf-8"?>
<Properties xmlns="http://schemas.openxmlformats.org/officeDocument/2006/extended-properties" xmlns:vt="http://schemas.openxmlformats.org/officeDocument/2006/docPropsVTypes">
  <Template>Standard-report-template-with-numbered-headings (1)</Template>
  <TotalTime>0</TotalTime>
  <Pages>28</Pages>
  <Words>8782</Words>
  <Characters>50061</Characters>
  <Application>Microsoft Office Word</Application>
  <DocSecurity>4</DocSecurity>
  <Lines>417</Lines>
  <Paragraphs>117</Paragraphs>
  <ScaleCrop>false</ScaleCrop>
  <HeadingPairs>
    <vt:vector size="2" baseType="variant">
      <vt:variant>
        <vt:lpstr>Title</vt:lpstr>
      </vt:variant>
      <vt:variant>
        <vt:i4>1</vt:i4>
      </vt:variant>
    </vt:vector>
  </HeadingPairs>
  <TitlesOfParts>
    <vt:vector size="1" baseType="lpstr">
      <vt:lpstr>Review of the sugar code of conduct</vt:lpstr>
    </vt:vector>
  </TitlesOfParts>
  <Company>Department of Agriculture Fisheries &amp; Forestry</Company>
  <LinksUpToDate>false</LinksUpToDate>
  <CharactersWithSpaces>58726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sugar code of conduct</dc:title>
  <dc:subject/>
  <dc:creator>Department of Agriculture and Water Resources</dc:creator>
  <cp:keywords/>
  <dc:description/>
  <cp:lastModifiedBy>Dang, Van</cp:lastModifiedBy>
  <cp:revision>2</cp:revision>
  <cp:lastPrinted>2018-11-16T05:35:00Z</cp:lastPrinted>
  <dcterms:created xsi:type="dcterms:W3CDTF">2018-12-11T03:03:00Z</dcterms:created>
  <dcterms:modified xsi:type="dcterms:W3CDTF">2018-12-11T03:03:00Z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